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88AA" w14:textId="77777777" w:rsidR="00E533FA" w:rsidRDefault="00E533FA" w:rsidP="008F42C0">
      <w:pPr>
        <w:tabs>
          <w:tab w:val="left" w:pos="567"/>
        </w:tabs>
        <w:spacing w:after="0" w:line="288" w:lineRule="auto"/>
        <w:jc w:val="center"/>
        <w:rPr>
          <w:rFonts w:asciiTheme="majorBidi" w:hAnsiTheme="majorBidi" w:cstheme="majorBidi"/>
          <w:b/>
          <w:sz w:val="28"/>
          <w:lang w:val="en-US"/>
        </w:rPr>
      </w:pPr>
    </w:p>
    <w:p w14:paraId="7FC7609E" w14:textId="77777777" w:rsidR="00FD046D" w:rsidRDefault="00FD046D" w:rsidP="008F42C0">
      <w:pPr>
        <w:tabs>
          <w:tab w:val="left" w:pos="567"/>
        </w:tabs>
        <w:spacing w:after="0" w:line="288" w:lineRule="auto"/>
        <w:jc w:val="center"/>
        <w:rPr>
          <w:rFonts w:asciiTheme="majorBidi" w:hAnsiTheme="majorBidi" w:cstheme="majorBidi"/>
          <w:b/>
          <w:sz w:val="28"/>
        </w:rPr>
      </w:pPr>
    </w:p>
    <w:p w14:paraId="13DDCB2F" w14:textId="25DBE405" w:rsidR="00E533FA" w:rsidRDefault="00E533FA" w:rsidP="008F42C0">
      <w:pPr>
        <w:tabs>
          <w:tab w:val="left" w:pos="567"/>
        </w:tabs>
        <w:spacing w:after="0" w:line="288" w:lineRule="auto"/>
        <w:jc w:val="center"/>
        <w:rPr>
          <w:rFonts w:asciiTheme="majorBidi" w:hAnsiTheme="majorBidi" w:cstheme="majorBidi"/>
          <w:b/>
          <w:sz w:val="28"/>
        </w:rPr>
      </w:pPr>
      <w:r>
        <w:rPr>
          <w:rFonts w:asciiTheme="majorBidi" w:hAnsiTheme="majorBidi" w:cstheme="majorBidi"/>
          <w:b/>
          <w:sz w:val="28"/>
        </w:rPr>
        <w:t>UNIVERSITY OF WAIKATO</w:t>
      </w:r>
    </w:p>
    <w:p w14:paraId="3EC8935B" w14:textId="77777777" w:rsidR="00E533FA" w:rsidRDefault="00E533FA" w:rsidP="008F42C0">
      <w:pPr>
        <w:pStyle w:val="PlainText"/>
        <w:tabs>
          <w:tab w:val="left" w:pos="284"/>
          <w:tab w:val="left" w:pos="567"/>
        </w:tabs>
        <w:spacing w:line="288" w:lineRule="auto"/>
        <w:jc w:val="center"/>
        <w:rPr>
          <w:rFonts w:asciiTheme="majorBidi" w:hAnsiTheme="majorBidi" w:cstheme="majorBidi"/>
          <w:b/>
          <w:sz w:val="14"/>
          <w:szCs w:val="14"/>
        </w:rPr>
      </w:pPr>
    </w:p>
    <w:p w14:paraId="2FC9D643" w14:textId="77777777" w:rsidR="00E533FA" w:rsidRDefault="00E533FA" w:rsidP="008F42C0">
      <w:pPr>
        <w:pStyle w:val="PlainText"/>
        <w:tabs>
          <w:tab w:val="left" w:pos="284"/>
          <w:tab w:val="left" w:pos="567"/>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Pr>
              <w:rFonts w:asciiTheme="majorBidi" w:hAnsiTheme="majorBidi" w:cstheme="majorBidi"/>
              <w:b/>
              <w:sz w:val="28"/>
            </w:rPr>
            <w:t>Hamilton</w:t>
          </w:r>
        </w:smartTag>
      </w:smartTag>
    </w:p>
    <w:p w14:paraId="6D2D97C3" w14:textId="77777777" w:rsidR="00E533FA" w:rsidRDefault="00E533FA" w:rsidP="008F42C0">
      <w:pPr>
        <w:pStyle w:val="PlainText"/>
        <w:tabs>
          <w:tab w:val="left" w:pos="284"/>
          <w:tab w:val="left" w:pos="567"/>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Pr>
              <w:rFonts w:asciiTheme="majorBidi" w:hAnsiTheme="majorBidi" w:cstheme="majorBidi"/>
              <w:b/>
              <w:sz w:val="28"/>
            </w:rPr>
            <w:t>New Zealand</w:t>
          </w:r>
        </w:smartTag>
      </w:smartTag>
    </w:p>
    <w:p w14:paraId="0924025D" w14:textId="77777777" w:rsidR="00E533FA" w:rsidRDefault="00E533FA" w:rsidP="008F42C0">
      <w:pPr>
        <w:pStyle w:val="PlainText"/>
        <w:tabs>
          <w:tab w:val="left" w:pos="284"/>
          <w:tab w:val="left" w:pos="567"/>
        </w:tabs>
        <w:spacing w:line="288" w:lineRule="auto"/>
        <w:jc w:val="center"/>
        <w:rPr>
          <w:rFonts w:asciiTheme="majorBidi" w:hAnsiTheme="majorBidi" w:cstheme="majorBidi"/>
          <w:b/>
          <w:sz w:val="28"/>
        </w:rPr>
      </w:pPr>
    </w:p>
    <w:p w14:paraId="457B5A44" w14:textId="77777777"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4"/>
          <w:szCs w:val="24"/>
        </w:rPr>
      </w:pPr>
    </w:p>
    <w:p w14:paraId="2842AA30" w14:textId="1BD4B8FA"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8"/>
          <w:szCs w:val="28"/>
        </w:rPr>
      </w:pPr>
      <w:r>
        <w:rPr>
          <w:rFonts w:asciiTheme="majorBidi" w:hAnsiTheme="majorBidi" w:cstheme="majorBidi"/>
          <w:b/>
          <w:sz w:val="28"/>
          <w:szCs w:val="28"/>
        </w:rPr>
        <w:t>Corporate Governance, Information Uncertainty</w:t>
      </w:r>
      <w:r w:rsidR="00FD7E75">
        <w:rPr>
          <w:rFonts w:asciiTheme="majorBidi" w:hAnsiTheme="majorBidi" w:cstheme="majorBidi"/>
          <w:b/>
          <w:sz w:val="28"/>
          <w:szCs w:val="28"/>
        </w:rPr>
        <w:t xml:space="preserve"> and</w:t>
      </w:r>
    </w:p>
    <w:p w14:paraId="2087B1DB" w14:textId="1227E4F7"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8"/>
          <w:szCs w:val="28"/>
        </w:rPr>
      </w:pPr>
      <w:r>
        <w:rPr>
          <w:rFonts w:asciiTheme="majorBidi" w:hAnsiTheme="majorBidi" w:cstheme="majorBidi"/>
          <w:b/>
          <w:sz w:val="28"/>
          <w:szCs w:val="28"/>
        </w:rPr>
        <w:t>Market Reaction to Information Signals</w:t>
      </w:r>
    </w:p>
    <w:p w14:paraId="10BEDDCD" w14:textId="77777777"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14"/>
          <w:szCs w:val="14"/>
        </w:rPr>
      </w:pPr>
    </w:p>
    <w:p w14:paraId="054FC0A4" w14:textId="4D7F6B59"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Cs/>
          <w:sz w:val="28"/>
          <w:szCs w:val="28"/>
        </w:rPr>
      </w:pPr>
      <w:r>
        <w:rPr>
          <w:rFonts w:asciiTheme="majorBidi" w:hAnsiTheme="majorBidi" w:cstheme="majorBidi"/>
          <w:bCs/>
          <w:sz w:val="28"/>
          <w:szCs w:val="28"/>
        </w:rPr>
        <w:t>Nawaf Almaskati,  Ron Bird,  Yue Lu  and  Danny Yeung</w:t>
      </w:r>
    </w:p>
    <w:p w14:paraId="5F9E0BC6" w14:textId="77777777" w:rsidR="00E533FA" w:rsidRDefault="00E533FA" w:rsidP="008F42C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Cs/>
          <w:i/>
          <w:iCs/>
          <w:sz w:val="24"/>
          <w:szCs w:val="24"/>
        </w:rPr>
      </w:pPr>
    </w:p>
    <w:p w14:paraId="4D368D9C" w14:textId="77777777" w:rsidR="00E533FA" w:rsidRDefault="00E533FA" w:rsidP="008F42C0">
      <w:pPr>
        <w:pStyle w:val="PlainText"/>
        <w:tabs>
          <w:tab w:val="left" w:pos="284"/>
          <w:tab w:val="left" w:pos="567"/>
        </w:tabs>
        <w:spacing w:line="288" w:lineRule="auto"/>
        <w:jc w:val="both"/>
        <w:rPr>
          <w:rFonts w:asciiTheme="majorBidi" w:hAnsiTheme="majorBidi" w:cstheme="majorBidi"/>
          <w:b/>
        </w:rPr>
      </w:pPr>
    </w:p>
    <w:p w14:paraId="40E37BFA" w14:textId="77777777" w:rsidR="00E533FA" w:rsidRDefault="00E533FA" w:rsidP="008F42C0">
      <w:pPr>
        <w:pStyle w:val="PlainText"/>
        <w:tabs>
          <w:tab w:val="left" w:pos="284"/>
          <w:tab w:val="left" w:pos="567"/>
        </w:tabs>
        <w:spacing w:line="288" w:lineRule="auto"/>
        <w:jc w:val="center"/>
        <w:rPr>
          <w:rFonts w:asciiTheme="majorBidi" w:hAnsiTheme="majorBidi" w:cstheme="majorBidi"/>
          <w:b/>
          <w:bCs/>
          <w:sz w:val="28"/>
        </w:rPr>
      </w:pPr>
    </w:p>
    <w:p w14:paraId="72180BA5" w14:textId="77777777" w:rsidR="00E533FA" w:rsidRDefault="00E533FA" w:rsidP="008F42C0">
      <w:pPr>
        <w:pStyle w:val="PlainText"/>
        <w:tabs>
          <w:tab w:val="left" w:pos="284"/>
          <w:tab w:val="left" w:pos="567"/>
        </w:tabs>
        <w:spacing w:line="288" w:lineRule="auto"/>
        <w:jc w:val="center"/>
        <w:rPr>
          <w:rFonts w:asciiTheme="majorBidi" w:hAnsiTheme="majorBidi" w:cstheme="majorBidi"/>
          <w:b/>
          <w:bCs/>
          <w:sz w:val="28"/>
        </w:rPr>
      </w:pPr>
    </w:p>
    <w:p w14:paraId="1F83B360" w14:textId="00F98FDA" w:rsidR="00E533FA" w:rsidRDefault="00E533FA" w:rsidP="008F42C0">
      <w:pPr>
        <w:pStyle w:val="PlainText"/>
        <w:tabs>
          <w:tab w:val="left" w:pos="284"/>
          <w:tab w:val="left" w:pos="567"/>
        </w:tabs>
        <w:spacing w:line="288" w:lineRule="auto"/>
        <w:jc w:val="center"/>
        <w:rPr>
          <w:rFonts w:asciiTheme="majorBidi" w:hAnsiTheme="majorBidi" w:cstheme="majorBidi"/>
          <w:b/>
          <w:bCs/>
          <w:sz w:val="28"/>
        </w:rPr>
      </w:pPr>
      <w:r>
        <w:rPr>
          <w:rFonts w:asciiTheme="majorBidi" w:hAnsiTheme="majorBidi" w:cstheme="majorBidi"/>
          <w:b/>
          <w:bCs/>
          <w:sz w:val="28"/>
        </w:rPr>
        <w:t xml:space="preserve">Working Paper in Economics </w:t>
      </w:r>
      <w:r w:rsidR="00C425F5">
        <w:rPr>
          <w:rFonts w:asciiTheme="majorBidi" w:hAnsiTheme="majorBidi" w:cstheme="majorBidi"/>
          <w:b/>
          <w:bCs/>
          <w:sz w:val="28"/>
        </w:rPr>
        <w:t>15</w:t>
      </w:r>
      <w:r>
        <w:rPr>
          <w:rFonts w:asciiTheme="majorBidi" w:hAnsiTheme="majorBidi" w:cstheme="majorBidi"/>
          <w:b/>
          <w:bCs/>
          <w:sz w:val="28"/>
        </w:rPr>
        <w:t>/19</w:t>
      </w:r>
    </w:p>
    <w:p w14:paraId="1A853C39" w14:textId="77777777" w:rsidR="00E533FA" w:rsidRDefault="00E533FA" w:rsidP="008F42C0">
      <w:pPr>
        <w:pStyle w:val="PlainText"/>
        <w:tabs>
          <w:tab w:val="left" w:pos="284"/>
          <w:tab w:val="left" w:pos="567"/>
        </w:tabs>
        <w:spacing w:line="288" w:lineRule="auto"/>
        <w:jc w:val="center"/>
        <w:rPr>
          <w:rFonts w:asciiTheme="majorBidi" w:hAnsiTheme="majorBidi" w:cstheme="majorBidi"/>
          <w:b/>
          <w:bCs/>
          <w:sz w:val="28"/>
        </w:rPr>
      </w:pPr>
    </w:p>
    <w:p w14:paraId="04642217" w14:textId="77777777" w:rsidR="00E533FA" w:rsidRDefault="00E533FA" w:rsidP="008F42C0">
      <w:pPr>
        <w:pStyle w:val="PlainText"/>
        <w:tabs>
          <w:tab w:val="left" w:pos="284"/>
          <w:tab w:val="left" w:pos="567"/>
        </w:tabs>
        <w:spacing w:line="288" w:lineRule="auto"/>
        <w:jc w:val="center"/>
        <w:rPr>
          <w:rFonts w:asciiTheme="majorBidi" w:hAnsiTheme="majorBidi" w:cstheme="majorBidi"/>
          <w:sz w:val="28"/>
        </w:rPr>
      </w:pPr>
      <w:r>
        <w:rPr>
          <w:rFonts w:asciiTheme="majorBidi" w:hAnsiTheme="majorBidi" w:cstheme="majorBidi"/>
          <w:sz w:val="28"/>
        </w:rPr>
        <w:t>July 2019</w:t>
      </w:r>
    </w:p>
    <w:p w14:paraId="107C757F" w14:textId="15141DF9" w:rsidR="00E533FA" w:rsidRDefault="00E533FA" w:rsidP="008F42C0">
      <w:pPr>
        <w:pStyle w:val="PlainText"/>
        <w:tabs>
          <w:tab w:val="left" w:pos="284"/>
          <w:tab w:val="left" w:pos="567"/>
        </w:tabs>
        <w:spacing w:line="288" w:lineRule="auto"/>
        <w:jc w:val="center"/>
        <w:rPr>
          <w:rFonts w:asciiTheme="majorBidi" w:hAnsiTheme="majorBidi" w:cstheme="majorBidi"/>
          <w:sz w:val="28"/>
        </w:rPr>
      </w:pPr>
    </w:p>
    <w:p w14:paraId="3FCEA1C3" w14:textId="77777777" w:rsidR="00FD046D" w:rsidRDefault="00FD046D" w:rsidP="008F42C0">
      <w:pPr>
        <w:pStyle w:val="PlainText"/>
        <w:tabs>
          <w:tab w:val="left" w:pos="284"/>
          <w:tab w:val="left" w:pos="567"/>
        </w:tabs>
        <w:spacing w:line="288" w:lineRule="auto"/>
        <w:jc w:val="center"/>
        <w:rPr>
          <w:rFonts w:asciiTheme="majorBidi" w:hAnsiTheme="majorBidi" w:cstheme="majorBidi"/>
          <w:sz w:val="28"/>
        </w:rPr>
      </w:pPr>
    </w:p>
    <w:p w14:paraId="11B431E7" w14:textId="77777777" w:rsidR="00E533FA" w:rsidRDefault="00E533FA" w:rsidP="008F42C0">
      <w:pPr>
        <w:pStyle w:val="PlainText"/>
        <w:tabs>
          <w:tab w:val="left" w:pos="284"/>
          <w:tab w:val="left" w:pos="567"/>
        </w:tabs>
        <w:spacing w:line="288" w:lineRule="auto"/>
        <w:jc w:val="center"/>
        <w:rPr>
          <w:rFonts w:asciiTheme="majorBidi" w:hAnsiTheme="majorBidi" w:cstheme="majorBidi"/>
          <w:bCs/>
          <w:i/>
          <w:sz w:val="24"/>
          <w:szCs w:val="24"/>
        </w:rPr>
      </w:pPr>
      <w:r>
        <w:rPr>
          <w:rFonts w:asciiTheme="majorBidi" w:hAnsiTheme="majorBidi" w:cstheme="majorBidi"/>
          <w:bCs/>
          <w:i/>
          <w:sz w:val="24"/>
          <w:szCs w:val="24"/>
        </w:rPr>
        <w:t>Corresponding Author</w:t>
      </w:r>
    </w:p>
    <w:p w14:paraId="48EB1733" w14:textId="77777777" w:rsidR="00E533FA" w:rsidRDefault="00E533FA" w:rsidP="008F42C0">
      <w:pPr>
        <w:pStyle w:val="PlainText"/>
        <w:tabs>
          <w:tab w:val="left" w:pos="284"/>
          <w:tab w:val="left" w:pos="567"/>
        </w:tabs>
        <w:spacing w:line="288" w:lineRule="auto"/>
        <w:jc w:val="center"/>
        <w:rPr>
          <w:rFonts w:asciiTheme="majorBidi" w:hAnsiTheme="majorBidi" w:cstheme="majorBidi"/>
          <w:b/>
          <w:bCs/>
          <w:sz w:val="8"/>
          <w:szCs w:val="8"/>
        </w:rPr>
      </w:pPr>
    </w:p>
    <w:p w14:paraId="77D345AB" w14:textId="2718A256" w:rsidR="00E533FA" w:rsidRDefault="00E533FA" w:rsidP="008F42C0">
      <w:pPr>
        <w:pStyle w:val="PlainText"/>
        <w:tabs>
          <w:tab w:val="left" w:pos="284"/>
          <w:tab w:val="left" w:pos="567"/>
        </w:tabs>
        <w:spacing w:line="288" w:lineRule="auto"/>
        <w:jc w:val="center"/>
        <w:rPr>
          <w:rFonts w:ascii="Times New Roman" w:hAnsi="Times New Roman" w:cs="Times New Roman"/>
          <w:sz w:val="24"/>
          <w:szCs w:val="24"/>
        </w:rPr>
      </w:pPr>
      <w:r>
        <w:rPr>
          <w:rFonts w:asciiTheme="majorBidi" w:hAnsiTheme="majorBidi" w:cstheme="majorBidi"/>
          <w:bCs/>
          <w:sz w:val="24"/>
          <w:szCs w:val="24"/>
        </w:rPr>
        <w:t>Nawaf Almaskati</w:t>
      </w:r>
      <w:r w:rsidR="008F42C0">
        <w:rPr>
          <w:rFonts w:asciiTheme="majorBidi" w:hAnsiTheme="majorBidi" w:cstheme="majorBidi"/>
          <w:bCs/>
          <w:sz w:val="24"/>
          <w:szCs w:val="24"/>
        </w:rPr>
        <w:t xml:space="preserve"> (</w:t>
      </w:r>
      <w:r w:rsidRPr="008F42C0">
        <w:rPr>
          <w:rFonts w:ascii="Times New Roman" w:hAnsi="Times New Roman" w:cs="Times New Roman"/>
          <w:sz w:val="24"/>
          <w:szCs w:val="24"/>
        </w:rPr>
        <w:t>nawafmask@hotmail.com</w:t>
      </w:r>
      <w:r w:rsidR="008F42C0">
        <w:rPr>
          <w:rFonts w:ascii="Times New Roman" w:hAnsi="Times New Roman" w:cs="Times New Roman"/>
          <w:sz w:val="24"/>
          <w:szCs w:val="24"/>
        </w:rPr>
        <w:t>)</w:t>
      </w:r>
    </w:p>
    <w:p w14:paraId="7F24A82E" w14:textId="5287E5A4" w:rsidR="00E533FA" w:rsidRPr="00C8428E" w:rsidRDefault="00E533FA" w:rsidP="008F42C0">
      <w:pPr>
        <w:pStyle w:val="PlainText"/>
        <w:tabs>
          <w:tab w:val="left" w:pos="284"/>
          <w:tab w:val="left" w:pos="567"/>
        </w:tabs>
        <w:spacing w:line="288" w:lineRule="auto"/>
        <w:jc w:val="center"/>
        <w:rPr>
          <w:rFonts w:asciiTheme="majorBidi" w:hAnsiTheme="majorBidi" w:cstheme="majorBidi"/>
          <w:bCs/>
          <w:sz w:val="12"/>
          <w:szCs w:val="12"/>
        </w:rPr>
      </w:pPr>
    </w:p>
    <w:p w14:paraId="1EEF7754" w14:textId="021E9833"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bCs/>
          <w:sz w:val="24"/>
          <w:szCs w:val="24"/>
        </w:rPr>
        <w:t>Ron Bird</w:t>
      </w:r>
      <w:r w:rsidR="008F42C0">
        <w:rPr>
          <w:rFonts w:asciiTheme="majorBidi" w:hAnsiTheme="majorBidi" w:cstheme="majorBidi"/>
          <w:bCs/>
          <w:sz w:val="24"/>
          <w:szCs w:val="24"/>
        </w:rPr>
        <w:t xml:space="preserve"> (</w:t>
      </w:r>
      <w:r>
        <w:rPr>
          <w:rFonts w:asciiTheme="majorBidi" w:hAnsiTheme="majorBidi" w:cstheme="majorBidi"/>
          <w:sz w:val="24"/>
          <w:szCs w:val="24"/>
        </w:rPr>
        <w:t>ronbird@waikato.ac.nz</w:t>
      </w:r>
      <w:r w:rsidR="008F42C0">
        <w:rPr>
          <w:rFonts w:asciiTheme="majorBidi" w:hAnsiTheme="majorBidi" w:cstheme="majorBidi"/>
          <w:sz w:val="24"/>
          <w:szCs w:val="24"/>
        </w:rPr>
        <w:t>)</w:t>
      </w:r>
      <w:r>
        <w:rPr>
          <w:rFonts w:asciiTheme="majorBidi" w:hAnsiTheme="majorBidi" w:cstheme="majorBidi"/>
          <w:sz w:val="24"/>
          <w:szCs w:val="24"/>
        </w:rPr>
        <w:t xml:space="preserve"> </w:t>
      </w:r>
    </w:p>
    <w:p w14:paraId="5119F5BB" w14:textId="77777777" w:rsidR="008F42C0" w:rsidRPr="008F42C0" w:rsidRDefault="008F42C0" w:rsidP="008F42C0">
      <w:pPr>
        <w:tabs>
          <w:tab w:val="left" w:pos="567"/>
        </w:tabs>
        <w:autoSpaceDE w:val="0"/>
        <w:autoSpaceDN w:val="0"/>
        <w:adjustRightInd w:val="0"/>
        <w:spacing w:after="0" w:line="288" w:lineRule="auto"/>
        <w:jc w:val="center"/>
        <w:rPr>
          <w:rFonts w:asciiTheme="majorBidi" w:hAnsiTheme="majorBidi" w:cstheme="majorBidi"/>
          <w:sz w:val="6"/>
          <w:szCs w:val="6"/>
        </w:rPr>
      </w:pPr>
    </w:p>
    <w:p w14:paraId="156D8F8A" w14:textId="4D48C8A7" w:rsidR="00E533FA" w:rsidRPr="00BA14B0" w:rsidRDefault="00C21A1A" w:rsidP="008F42C0">
      <w:pPr>
        <w:pStyle w:val="PlainText"/>
        <w:tabs>
          <w:tab w:val="left" w:pos="284"/>
          <w:tab w:val="left" w:pos="567"/>
        </w:tabs>
        <w:spacing w:line="288" w:lineRule="auto"/>
        <w:jc w:val="center"/>
        <w:rPr>
          <w:rFonts w:asciiTheme="majorBidi" w:hAnsiTheme="majorBidi" w:cstheme="majorBidi"/>
          <w:sz w:val="24"/>
          <w:szCs w:val="24"/>
          <w:lang w:val="fr-FR"/>
        </w:rPr>
      </w:pPr>
      <w:r w:rsidRPr="00BA14B0">
        <w:rPr>
          <w:rFonts w:asciiTheme="majorBidi" w:hAnsiTheme="majorBidi" w:cstheme="majorBidi"/>
          <w:bCs/>
          <w:sz w:val="24"/>
          <w:szCs w:val="24"/>
          <w:lang w:val="fr-FR"/>
        </w:rPr>
        <w:t xml:space="preserve">Yue </w:t>
      </w:r>
      <w:r w:rsidR="00E533FA" w:rsidRPr="00BA14B0">
        <w:rPr>
          <w:rFonts w:asciiTheme="majorBidi" w:hAnsiTheme="majorBidi" w:cstheme="majorBidi"/>
          <w:bCs/>
          <w:sz w:val="24"/>
          <w:szCs w:val="24"/>
          <w:lang w:val="fr-FR"/>
        </w:rPr>
        <w:t>Lu</w:t>
      </w:r>
      <w:r w:rsidR="008F42C0" w:rsidRPr="00BA14B0">
        <w:rPr>
          <w:rFonts w:asciiTheme="majorBidi" w:hAnsiTheme="majorBidi" w:cstheme="majorBidi"/>
          <w:bCs/>
          <w:sz w:val="24"/>
          <w:szCs w:val="24"/>
          <w:lang w:val="fr-FR"/>
        </w:rPr>
        <w:t xml:space="preserve"> (</w:t>
      </w:r>
      <w:r w:rsidR="00FD7E75" w:rsidRPr="00BA14B0">
        <w:rPr>
          <w:rFonts w:asciiTheme="majorBidi" w:hAnsiTheme="majorBidi" w:cstheme="majorBidi"/>
          <w:bCs/>
          <w:sz w:val="24"/>
          <w:szCs w:val="24"/>
          <w:lang w:val="fr-FR"/>
        </w:rPr>
        <w:t>susanna.</w:t>
      </w:r>
      <w:r w:rsidR="00FD7E75">
        <w:rPr>
          <w:rFonts w:asciiTheme="majorBidi" w:hAnsiTheme="majorBidi" w:cstheme="majorBidi"/>
          <w:bCs/>
          <w:sz w:val="24"/>
          <w:szCs w:val="24"/>
          <w:lang w:val="fr-FR"/>
        </w:rPr>
        <w:t>lu</w:t>
      </w:r>
      <w:r w:rsidR="00E533FA" w:rsidRPr="00BA14B0">
        <w:rPr>
          <w:rFonts w:asciiTheme="majorBidi" w:hAnsiTheme="majorBidi" w:cstheme="majorBidi"/>
          <w:sz w:val="24"/>
          <w:szCs w:val="24"/>
          <w:lang w:val="fr-FR"/>
        </w:rPr>
        <w:t>@waikato.ac.nz</w:t>
      </w:r>
      <w:r w:rsidR="008F42C0" w:rsidRPr="00BA14B0">
        <w:rPr>
          <w:rFonts w:asciiTheme="majorBidi" w:hAnsiTheme="majorBidi" w:cstheme="majorBidi"/>
          <w:sz w:val="24"/>
          <w:szCs w:val="24"/>
          <w:lang w:val="fr-FR"/>
        </w:rPr>
        <w:t>)</w:t>
      </w:r>
    </w:p>
    <w:p w14:paraId="035FA1C8" w14:textId="77777777" w:rsidR="008F42C0" w:rsidRPr="00BA14B0" w:rsidRDefault="008F42C0" w:rsidP="008F42C0">
      <w:pPr>
        <w:pStyle w:val="PlainText"/>
        <w:tabs>
          <w:tab w:val="left" w:pos="284"/>
          <w:tab w:val="left" w:pos="567"/>
        </w:tabs>
        <w:spacing w:line="288" w:lineRule="auto"/>
        <w:jc w:val="center"/>
        <w:rPr>
          <w:rFonts w:asciiTheme="majorBidi" w:hAnsiTheme="majorBidi" w:cstheme="majorBidi"/>
          <w:sz w:val="6"/>
          <w:szCs w:val="6"/>
          <w:lang w:val="fr-FR"/>
        </w:rPr>
      </w:pPr>
    </w:p>
    <w:p w14:paraId="51BE50C8" w14:textId="77777777"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 xml:space="preserve">School of Accounting, Finance and Economics </w:t>
      </w:r>
    </w:p>
    <w:p w14:paraId="0D2DF0A9" w14:textId="77777777"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 xml:space="preserve">University of Waikato </w:t>
      </w:r>
    </w:p>
    <w:p w14:paraId="36763B5E" w14:textId="77777777"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Private Bag 3105</w:t>
      </w:r>
    </w:p>
    <w:p w14:paraId="70D052EC" w14:textId="77777777"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Hamilton 3240</w:t>
      </w:r>
    </w:p>
    <w:p w14:paraId="030A1668" w14:textId="3B305197" w:rsidR="00E533FA" w:rsidRDefault="00E533FA" w:rsidP="008F42C0">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NEW ZEALAND</w:t>
      </w:r>
    </w:p>
    <w:p w14:paraId="47B6F329" w14:textId="77777777" w:rsidR="008F42C0" w:rsidRPr="00691A14" w:rsidRDefault="008F42C0" w:rsidP="008F42C0">
      <w:pPr>
        <w:pStyle w:val="PlainText"/>
        <w:tabs>
          <w:tab w:val="left" w:pos="284"/>
          <w:tab w:val="left" w:pos="567"/>
        </w:tabs>
        <w:spacing w:line="288" w:lineRule="auto"/>
        <w:jc w:val="center"/>
        <w:rPr>
          <w:rFonts w:asciiTheme="majorBidi" w:hAnsiTheme="majorBidi" w:cstheme="majorBidi"/>
          <w:sz w:val="12"/>
          <w:szCs w:val="12"/>
        </w:rPr>
      </w:pPr>
    </w:p>
    <w:p w14:paraId="350A5233" w14:textId="735A3A34" w:rsidR="00E533FA" w:rsidRPr="00BA14B0" w:rsidRDefault="008F42C0" w:rsidP="008F42C0">
      <w:pPr>
        <w:pStyle w:val="NormalWeb"/>
        <w:tabs>
          <w:tab w:val="left" w:pos="567"/>
        </w:tabs>
        <w:spacing w:before="0" w:beforeAutospacing="0" w:after="0" w:afterAutospacing="0" w:line="288" w:lineRule="auto"/>
        <w:jc w:val="center"/>
        <w:rPr>
          <w:bCs/>
          <w:lang w:val="de-DE"/>
        </w:rPr>
      </w:pPr>
      <w:r w:rsidRPr="00BA14B0">
        <w:rPr>
          <w:bCs/>
          <w:lang w:val="de-DE"/>
        </w:rPr>
        <w:t>Danny Leung</w:t>
      </w:r>
      <w:r w:rsidR="00175715" w:rsidRPr="00BA14B0">
        <w:rPr>
          <w:bCs/>
          <w:lang w:val="de-DE"/>
        </w:rPr>
        <w:t xml:space="preserve"> (danny.yeung-1@uts.edu.au)</w:t>
      </w:r>
    </w:p>
    <w:p w14:paraId="6D622AE7" w14:textId="15CE51B5" w:rsidR="008F42C0" w:rsidRDefault="008F42C0" w:rsidP="008F42C0">
      <w:pPr>
        <w:pStyle w:val="NormalWeb"/>
        <w:tabs>
          <w:tab w:val="left" w:pos="567"/>
        </w:tabs>
        <w:spacing w:before="0" w:beforeAutospacing="0" w:after="0" w:afterAutospacing="0" w:line="288" w:lineRule="auto"/>
        <w:jc w:val="center"/>
        <w:rPr>
          <w:bCs/>
        </w:rPr>
      </w:pPr>
      <w:r>
        <w:rPr>
          <w:bCs/>
        </w:rPr>
        <w:t>University of Technology</w:t>
      </w:r>
    </w:p>
    <w:p w14:paraId="272155EC" w14:textId="63A896A3" w:rsidR="008F42C0" w:rsidRDefault="008F42C0" w:rsidP="008F42C0">
      <w:pPr>
        <w:pStyle w:val="NormalWeb"/>
        <w:tabs>
          <w:tab w:val="left" w:pos="567"/>
        </w:tabs>
        <w:spacing w:before="0" w:beforeAutospacing="0" w:after="0" w:afterAutospacing="0" w:line="288" w:lineRule="auto"/>
        <w:jc w:val="center"/>
        <w:rPr>
          <w:bCs/>
        </w:rPr>
      </w:pPr>
      <w:r>
        <w:rPr>
          <w:bCs/>
        </w:rPr>
        <w:t>Sydney</w:t>
      </w:r>
    </w:p>
    <w:p w14:paraId="55A7DAEF" w14:textId="531F8139" w:rsidR="00FD046D" w:rsidRPr="008F42C0" w:rsidRDefault="00FD046D" w:rsidP="008F42C0">
      <w:pPr>
        <w:pStyle w:val="NormalWeb"/>
        <w:tabs>
          <w:tab w:val="left" w:pos="567"/>
        </w:tabs>
        <w:spacing w:before="0" w:beforeAutospacing="0" w:after="0" w:afterAutospacing="0" w:line="288" w:lineRule="auto"/>
        <w:jc w:val="center"/>
        <w:rPr>
          <w:bCs/>
        </w:rPr>
      </w:pPr>
      <w:r>
        <w:rPr>
          <w:bCs/>
        </w:rPr>
        <w:t>AUSTRALIA</w:t>
      </w:r>
    </w:p>
    <w:p w14:paraId="68002DC4" w14:textId="77777777" w:rsidR="00E533FA" w:rsidRDefault="00E533FA" w:rsidP="008F42C0">
      <w:pPr>
        <w:tabs>
          <w:tab w:val="left" w:pos="567"/>
        </w:tabs>
        <w:spacing w:after="0" w:line="288" w:lineRule="auto"/>
        <w:jc w:val="right"/>
        <w:rPr>
          <w:rFonts w:ascii="Times New Roman" w:hAnsi="Times New Roman" w:cs="Times New Roman"/>
          <w:b/>
          <w:iCs/>
          <w:sz w:val="24"/>
          <w:szCs w:val="24"/>
        </w:rPr>
      </w:pPr>
    </w:p>
    <w:p w14:paraId="69E8B4BB" w14:textId="77777777" w:rsidR="00E533FA" w:rsidRDefault="00E533FA" w:rsidP="008F42C0">
      <w:pPr>
        <w:tabs>
          <w:tab w:val="left" w:pos="567"/>
        </w:tabs>
        <w:spacing w:after="0" w:line="288" w:lineRule="auto"/>
        <w:rPr>
          <w:rFonts w:ascii="Times New Roman" w:hAnsi="Times New Roman" w:cs="Times New Roman"/>
          <w:b/>
          <w:color w:val="000000"/>
          <w:sz w:val="24"/>
          <w:szCs w:val="24"/>
        </w:rPr>
      </w:pPr>
    </w:p>
    <w:p w14:paraId="6BE2F5BA" w14:textId="28B1C4DF" w:rsidR="00C8428E" w:rsidRDefault="00C8428E" w:rsidP="008F42C0">
      <w:pPr>
        <w:tabs>
          <w:tab w:val="left" w:pos="567"/>
        </w:tabs>
        <w:spacing w:after="0" w:line="288" w:lineRule="auto"/>
        <w:jc w:val="both"/>
        <w:rPr>
          <w:rFonts w:ascii="Times New Roman" w:hAnsi="Times New Roman" w:cs="Times New Roman"/>
          <w:b/>
          <w:bCs/>
          <w:sz w:val="24"/>
          <w:szCs w:val="24"/>
        </w:rPr>
      </w:pPr>
    </w:p>
    <w:p w14:paraId="63201062" w14:textId="77777777" w:rsidR="00FD046D" w:rsidRDefault="00FD046D" w:rsidP="008F42C0">
      <w:pPr>
        <w:tabs>
          <w:tab w:val="left" w:pos="567"/>
        </w:tabs>
        <w:spacing w:after="0" w:line="288" w:lineRule="auto"/>
        <w:jc w:val="center"/>
        <w:rPr>
          <w:rFonts w:ascii="Times New Roman" w:hAnsi="Times New Roman" w:cs="Times New Roman"/>
          <w:b/>
          <w:bCs/>
          <w:sz w:val="24"/>
          <w:szCs w:val="24"/>
        </w:rPr>
      </w:pPr>
    </w:p>
    <w:p w14:paraId="7E5F2875" w14:textId="77777777" w:rsidR="00FD046D" w:rsidRDefault="00FD046D" w:rsidP="008F42C0">
      <w:pPr>
        <w:tabs>
          <w:tab w:val="left" w:pos="567"/>
        </w:tabs>
        <w:spacing w:after="0" w:line="288" w:lineRule="auto"/>
        <w:jc w:val="center"/>
        <w:rPr>
          <w:rFonts w:ascii="Times New Roman" w:hAnsi="Times New Roman" w:cs="Times New Roman"/>
          <w:b/>
          <w:bCs/>
          <w:sz w:val="24"/>
          <w:szCs w:val="24"/>
        </w:rPr>
      </w:pPr>
    </w:p>
    <w:p w14:paraId="28BA49BE" w14:textId="239FF955" w:rsidR="00C8428E" w:rsidRDefault="00C8428E" w:rsidP="008F42C0">
      <w:pPr>
        <w:tabs>
          <w:tab w:val="left" w:pos="567"/>
        </w:tabs>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3154CCB" w14:textId="77777777" w:rsidR="00CF6015" w:rsidRPr="00CF6015" w:rsidRDefault="00CF6015" w:rsidP="00FD046D">
      <w:pPr>
        <w:tabs>
          <w:tab w:val="left" w:pos="567"/>
        </w:tabs>
        <w:spacing w:after="0" w:line="360" w:lineRule="auto"/>
        <w:jc w:val="center"/>
        <w:rPr>
          <w:rFonts w:ascii="Times New Roman" w:hAnsi="Times New Roman" w:cs="Times New Roman"/>
          <w:b/>
          <w:bCs/>
          <w:sz w:val="8"/>
          <w:szCs w:val="8"/>
        </w:rPr>
      </w:pPr>
    </w:p>
    <w:p w14:paraId="521D3F2C" w14:textId="24E13977" w:rsidR="00D61CA5" w:rsidRDefault="00D61CA5" w:rsidP="00FD046D">
      <w:pPr>
        <w:tabs>
          <w:tab w:val="left" w:pos="567"/>
        </w:tabs>
        <w:spacing w:after="0" w:line="360" w:lineRule="auto"/>
        <w:jc w:val="both"/>
        <w:rPr>
          <w:rFonts w:ascii="Times New Roman" w:hAnsi="Times New Roman" w:cs="Times New Roman"/>
          <w:sz w:val="24"/>
          <w:szCs w:val="24"/>
        </w:rPr>
      </w:pPr>
      <w:r w:rsidRPr="005224E8">
        <w:rPr>
          <w:rFonts w:ascii="Times New Roman" w:hAnsi="Times New Roman" w:cs="Times New Roman"/>
          <w:sz w:val="24"/>
          <w:szCs w:val="24"/>
        </w:rPr>
        <w:t>We examine whether the reaction of investors to earnings announcements is influenced by a firm’s governance profile. We find that firms with better governance characteristics experience a larger initial reaction to both good and bad earnings announcements regardless of the prevailing sentiment and uncertainty conditions. However, the influence of governance is constrained to the announcement period and becomes insignificant during the post-announcement period. In contrast</w:t>
      </w:r>
      <w:r>
        <w:rPr>
          <w:rFonts w:ascii="Times New Roman" w:hAnsi="Times New Roman" w:cs="Times New Roman"/>
          <w:sz w:val="24"/>
          <w:szCs w:val="24"/>
        </w:rPr>
        <w:t xml:space="preserve">, </w:t>
      </w:r>
      <w:r w:rsidRPr="005224E8">
        <w:rPr>
          <w:rFonts w:ascii="Times New Roman" w:hAnsi="Times New Roman" w:cs="Times New Roman"/>
          <w:sz w:val="24"/>
          <w:szCs w:val="24"/>
        </w:rPr>
        <w:t>we demonstrate that change</w:t>
      </w:r>
      <w:r>
        <w:rPr>
          <w:rFonts w:ascii="Times New Roman" w:hAnsi="Times New Roman" w:cs="Times New Roman"/>
          <w:sz w:val="24"/>
          <w:szCs w:val="24"/>
        </w:rPr>
        <w:t>s</w:t>
      </w:r>
      <w:r w:rsidRPr="005224E8">
        <w:rPr>
          <w:rFonts w:ascii="Times New Roman" w:hAnsi="Times New Roman" w:cs="Times New Roman"/>
          <w:sz w:val="24"/>
          <w:szCs w:val="24"/>
        </w:rPr>
        <w:t xml:space="preserve"> in </w:t>
      </w:r>
      <w:r>
        <w:rPr>
          <w:rFonts w:ascii="Times New Roman" w:hAnsi="Times New Roman" w:cs="Times New Roman"/>
          <w:sz w:val="24"/>
          <w:szCs w:val="24"/>
        </w:rPr>
        <w:t xml:space="preserve">market </w:t>
      </w:r>
      <w:r w:rsidRPr="005224E8">
        <w:rPr>
          <w:rFonts w:ascii="Times New Roman" w:hAnsi="Times New Roman" w:cs="Times New Roman"/>
          <w:sz w:val="24"/>
          <w:szCs w:val="24"/>
        </w:rPr>
        <w:t>uncertainty and</w:t>
      </w:r>
      <w:r>
        <w:rPr>
          <w:rFonts w:ascii="Times New Roman" w:hAnsi="Times New Roman" w:cs="Times New Roman"/>
          <w:sz w:val="24"/>
          <w:szCs w:val="24"/>
        </w:rPr>
        <w:t>/or</w:t>
      </w:r>
      <w:r w:rsidRPr="005224E8">
        <w:rPr>
          <w:rFonts w:ascii="Times New Roman" w:hAnsi="Times New Roman" w:cs="Times New Roman"/>
          <w:sz w:val="24"/>
          <w:szCs w:val="24"/>
        </w:rPr>
        <w:t xml:space="preserve"> </w:t>
      </w:r>
      <w:r>
        <w:rPr>
          <w:rFonts w:ascii="Times New Roman" w:hAnsi="Times New Roman" w:cs="Times New Roman"/>
          <w:sz w:val="24"/>
          <w:szCs w:val="24"/>
        </w:rPr>
        <w:t xml:space="preserve">investor </w:t>
      </w:r>
      <w:r w:rsidRPr="005224E8">
        <w:rPr>
          <w:rFonts w:ascii="Times New Roman" w:hAnsi="Times New Roman" w:cs="Times New Roman"/>
          <w:sz w:val="24"/>
          <w:szCs w:val="24"/>
        </w:rPr>
        <w:t xml:space="preserve">sentiment </w:t>
      </w:r>
      <w:r>
        <w:rPr>
          <w:rFonts w:ascii="Times New Roman" w:hAnsi="Times New Roman" w:cs="Times New Roman"/>
          <w:sz w:val="24"/>
          <w:szCs w:val="24"/>
        </w:rPr>
        <w:t>are related</w:t>
      </w:r>
      <w:r w:rsidRPr="005224E8">
        <w:rPr>
          <w:rFonts w:ascii="Times New Roman" w:hAnsi="Times New Roman" w:cs="Times New Roman"/>
          <w:sz w:val="24"/>
          <w:szCs w:val="24"/>
        </w:rPr>
        <w:t xml:space="preserve"> to the post earnings announcement drift suggesting that investors only return to reconsider their initial reaction to an announcement when there is a change in the conditions that influenced their reaction in the first place. We find that </w:t>
      </w:r>
      <w:r>
        <w:rPr>
          <w:rFonts w:ascii="Times New Roman" w:hAnsi="Times New Roman" w:cs="Times New Roman"/>
          <w:sz w:val="24"/>
          <w:szCs w:val="24"/>
        </w:rPr>
        <w:t xml:space="preserve">the major channel through which </w:t>
      </w:r>
      <w:r w:rsidRPr="005224E8">
        <w:rPr>
          <w:rFonts w:ascii="Times New Roman" w:hAnsi="Times New Roman" w:cs="Times New Roman"/>
          <w:sz w:val="24"/>
          <w:szCs w:val="24"/>
        </w:rPr>
        <w:t xml:space="preserve">greater corporate governance </w:t>
      </w:r>
      <w:r>
        <w:rPr>
          <w:rFonts w:ascii="Times New Roman" w:hAnsi="Times New Roman" w:cs="Times New Roman"/>
          <w:sz w:val="24"/>
          <w:szCs w:val="24"/>
        </w:rPr>
        <w:t xml:space="preserve">influences the market response to unexpected earnings news is via lowering </w:t>
      </w:r>
      <w:r w:rsidRPr="005224E8">
        <w:rPr>
          <w:rFonts w:ascii="Times New Roman" w:hAnsi="Times New Roman" w:cs="Times New Roman"/>
          <w:sz w:val="24"/>
          <w:szCs w:val="24"/>
        </w:rPr>
        <w:t xml:space="preserve">information uncertainty </w:t>
      </w:r>
      <w:r>
        <w:rPr>
          <w:rFonts w:ascii="Times New Roman" w:hAnsi="Times New Roman" w:cs="Times New Roman"/>
          <w:sz w:val="24"/>
          <w:szCs w:val="24"/>
        </w:rPr>
        <w:t xml:space="preserve">and so increasing the credibility of </w:t>
      </w:r>
      <w:r w:rsidRPr="005224E8">
        <w:rPr>
          <w:rFonts w:ascii="Times New Roman" w:hAnsi="Times New Roman" w:cs="Times New Roman"/>
          <w:sz w:val="24"/>
          <w:szCs w:val="24"/>
        </w:rPr>
        <w:t>the information provided</w:t>
      </w:r>
      <w:r>
        <w:rPr>
          <w:rFonts w:ascii="Times New Roman" w:hAnsi="Times New Roman" w:cs="Times New Roman"/>
          <w:sz w:val="24"/>
          <w:szCs w:val="24"/>
        </w:rPr>
        <w:t xml:space="preserve">. Finally, we establish that the two types of uncertainty (market and information) analysed in this paper have very different influence on investor response to information signals.  </w:t>
      </w:r>
    </w:p>
    <w:p w14:paraId="6F664353" w14:textId="4131B0BA" w:rsidR="008F42C0" w:rsidRDefault="008F42C0" w:rsidP="00FD046D">
      <w:pPr>
        <w:tabs>
          <w:tab w:val="left" w:pos="567"/>
        </w:tabs>
        <w:spacing w:after="0" w:line="360" w:lineRule="auto"/>
        <w:jc w:val="both"/>
        <w:rPr>
          <w:rFonts w:ascii="Times New Roman" w:hAnsi="Times New Roman" w:cs="Times New Roman"/>
          <w:sz w:val="24"/>
          <w:szCs w:val="24"/>
        </w:rPr>
      </w:pPr>
    </w:p>
    <w:p w14:paraId="4DB67051" w14:textId="77777777" w:rsidR="00CF6015" w:rsidRDefault="00CF6015" w:rsidP="008F42C0">
      <w:pPr>
        <w:tabs>
          <w:tab w:val="left" w:pos="567"/>
        </w:tabs>
        <w:spacing w:after="0" w:line="288" w:lineRule="auto"/>
        <w:jc w:val="center"/>
        <w:rPr>
          <w:rFonts w:asciiTheme="majorBidi" w:hAnsiTheme="majorBidi" w:cstheme="majorBidi"/>
          <w:b/>
          <w:sz w:val="24"/>
          <w:szCs w:val="24"/>
        </w:rPr>
      </w:pPr>
    </w:p>
    <w:p w14:paraId="6DF477E1" w14:textId="77777777" w:rsidR="00CF6015" w:rsidRDefault="00CF6015" w:rsidP="008F42C0">
      <w:pPr>
        <w:tabs>
          <w:tab w:val="left" w:pos="567"/>
        </w:tabs>
        <w:spacing w:after="0" w:line="288" w:lineRule="auto"/>
        <w:jc w:val="center"/>
        <w:rPr>
          <w:rFonts w:asciiTheme="majorBidi" w:hAnsiTheme="majorBidi" w:cstheme="majorBidi"/>
          <w:b/>
          <w:sz w:val="24"/>
          <w:szCs w:val="24"/>
        </w:rPr>
      </w:pPr>
    </w:p>
    <w:p w14:paraId="32EF3737" w14:textId="1ED28536" w:rsidR="008F42C0" w:rsidRDefault="008F42C0" w:rsidP="008F42C0">
      <w:pPr>
        <w:tabs>
          <w:tab w:val="left" w:pos="567"/>
        </w:tabs>
        <w:spacing w:after="0" w:line="288" w:lineRule="auto"/>
        <w:jc w:val="center"/>
        <w:rPr>
          <w:rFonts w:asciiTheme="majorBidi" w:hAnsiTheme="majorBidi" w:cstheme="majorBidi"/>
          <w:b/>
          <w:sz w:val="24"/>
          <w:szCs w:val="24"/>
        </w:rPr>
      </w:pPr>
      <w:r w:rsidRPr="00911D92">
        <w:rPr>
          <w:rFonts w:asciiTheme="majorBidi" w:hAnsiTheme="majorBidi" w:cstheme="majorBidi"/>
          <w:b/>
          <w:sz w:val="24"/>
          <w:szCs w:val="24"/>
        </w:rPr>
        <w:t xml:space="preserve">JEL </w:t>
      </w:r>
      <w:r>
        <w:rPr>
          <w:rFonts w:asciiTheme="majorBidi" w:hAnsiTheme="majorBidi" w:cstheme="majorBidi"/>
          <w:b/>
          <w:sz w:val="24"/>
          <w:szCs w:val="24"/>
        </w:rPr>
        <w:t>C</w:t>
      </w:r>
      <w:r w:rsidRPr="00911D92">
        <w:rPr>
          <w:rFonts w:asciiTheme="majorBidi" w:hAnsiTheme="majorBidi" w:cstheme="majorBidi"/>
          <w:b/>
          <w:sz w:val="24"/>
          <w:szCs w:val="24"/>
        </w:rPr>
        <w:t>lassification</w:t>
      </w:r>
    </w:p>
    <w:p w14:paraId="0D4D2D2E" w14:textId="77777777" w:rsidR="00FD046D" w:rsidRPr="00FD046D" w:rsidRDefault="00FD046D" w:rsidP="008F42C0">
      <w:pPr>
        <w:tabs>
          <w:tab w:val="left" w:pos="567"/>
        </w:tabs>
        <w:spacing w:after="0" w:line="288" w:lineRule="auto"/>
        <w:jc w:val="center"/>
        <w:rPr>
          <w:rFonts w:asciiTheme="majorBidi" w:hAnsiTheme="majorBidi" w:cstheme="majorBidi"/>
          <w:b/>
          <w:sz w:val="6"/>
          <w:szCs w:val="6"/>
        </w:rPr>
      </w:pPr>
    </w:p>
    <w:p w14:paraId="2A55A6DD" w14:textId="56A7F663" w:rsidR="008F42C0" w:rsidRDefault="008F42C0" w:rsidP="008F42C0">
      <w:pPr>
        <w:tabs>
          <w:tab w:val="left" w:pos="567"/>
        </w:tabs>
        <w:spacing w:after="0" w:line="288" w:lineRule="auto"/>
        <w:jc w:val="center"/>
        <w:rPr>
          <w:rFonts w:asciiTheme="majorBidi" w:hAnsiTheme="majorBidi" w:cstheme="majorBidi"/>
          <w:bCs/>
          <w:sz w:val="24"/>
          <w:szCs w:val="24"/>
        </w:rPr>
      </w:pPr>
      <w:r w:rsidRPr="00C8428E">
        <w:rPr>
          <w:rFonts w:asciiTheme="majorBidi" w:hAnsiTheme="majorBidi" w:cstheme="majorBidi"/>
          <w:bCs/>
          <w:sz w:val="24"/>
          <w:szCs w:val="24"/>
        </w:rPr>
        <w:t>D81; G10; G14; G30; G32</w:t>
      </w:r>
    </w:p>
    <w:p w14:paraId="4BE11586" w14:textId="15039FA2" w:rsidR="00CF6015" w:rsidRDefault="00CF6015" w:rsidP="008F42C0">
      <w:pPr>
        <w:tabs>
          <w:tab w:val="left" w:pos="567"/>
        </w:tabs>
        <w:spacing w:after="0" w:line="288" w:lineRule="auto"/>
        <w:jc w:val="center"/>
        <w:rPr>
          <w:rFonts w:asciiTheme="majorBidi" w:hAnsiTheme="majorBidi" w:cstheme="majorBidi"/>
          <w:bCs/>
          <w:sz w:val="24"/>
          <w:szCs w:val="24"/>
        </w:rPr>
      </w:pPr>
    </w:p>
    <w:p w14:paraId="470FB72F" w14:textId="77777777" w:rsidR="00CF6015" w:rsidRDefault="00CF6015" w:rsidP="008F42C0">
      <w:pPr>
        <w:tabs>
          <w:tab w:val="left" w:pos="567"/>
        </w:tabs>
        <w:spacing w:after="0" w:line="288" w:lineRule="auto"/>
        <w:jc w:val="center"/>
        <w:rPr>
          <w:rFonts w:ascii="Times New Roman" w:hAnsi="Times New Roman" w:cs="Times New Roman"/>
          <w:sz w:val="24"/>
          <w:szCs w:val="24"/>
        </w:rPr>
      </w:pPr>
    </w:p>
    <w:p w14:paraId="470D519A" w14:textId="77777777" w:rsidR="00D61CA5" w:rsidRPr="00E770DE" w:rsidRDefault="00D61CA5" w:rsidP="008F42C0">
      <w:pPr>
        <w:tabs>
          <w:tab w:val="left" w:pos="567"/>
        </w:tabs>
        <w:spacing w:after="0" w:line="288" w:lineRule="auto"/>
        <w:jc w:val="both"/>
        <w:rPr>
          <w:rFonts w:ascii="Times New Roman" w:hAnsi="Times New Roman" w:cs="Times New Roman"/>
          <w:sz w:val="8"/>
          <w:szCs w:val="8"/>
        </w:rPr>
      </w:pPr>
    </w:p>
    <w:p w14:paraId="0AD9434C" w14:textId="79C42DE3" w:rsidR="00C8428E" w:rsidRDefault="00D61CA5" w:rsidP="008F42C0">
      <w:pPr>
        <w:tabs>
          <w:tab w:val="left" w:pos="567"/>
        </w:tabs>
        <w:spacing w:after="0" w:line="288" w:lineRule="auto"/>
        <w:jc w:val="center"/>
        <w:rPr>
          <w:rFonts w:asciiTheme="majorBidi" w:hAnsiTheme="majorBidi" w:cstheme="majorBidi"/>
          <w:b/>
          <w:sz w:val="24"/>
          <w:szCs w:val="24"/>
        </w:rPr>
      </w:pPr>
      <w:r w:rsidRPr="00B251A3">
        <w:rPr>
          <w:rFonts w:asciiTheme="majorBidi" w:hAnsiTheme="majorBidi" w:cstheme="majorBidi"/>
          <w:b/>
          <w:sz w:val="24"/>
          <w:szCs w:val="24"/>
        </w:rPr>
        <w:t>Key Words</w:t>
      </w:r>
    </w:p>
    <w:p w14:paraId="762169CD" w14:textId="77777777" w:rsidR="00FD046D" w:rsidRPr="00FD046D" w:rsidRDefault="00FD046D" w:rsidP="008F42C0">
      <w:pPr>
        <w:tabs>
          <w:tab w:val="left" w:pos="567"/>
        </w:tabs>
        <w:spacing w:after="0" w:line="288" w:lineRule="auto"/>
        <w:jc w:val="center"/>
        <w:rPr>
          <w:rFonts w:asciiTheme="majorBidi" w:hAnsiTheme="majorBidi" w:cstheme="majorBidi"/>
          <w:b/>
          <w:sz w:val="6"/>
          <w:szCs w:val="6"/>
        </w:rPr>
      </w:pPr>
    </w:p>
    <w:p w14:paraId="2A9A3CC8" w14:textId="73E853E2"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c</w:t>
      </w:r>
      <w:r w:rsidR="00D61CA5" w:rsidRPr="00D61CA5">
        <w:rPr>
          <w:rFonts w:asciiTheme="majorBidi" w:hAnsiTheme="majorBidi" w:cstheme="majorBidi"/>
          <w:bCs/>
          <w:sz w:val="24"/>
          <w:szCs w:val="24"/>
        </w:rPr>
        <w:t>orporate governance</w:t>
      </w:r>
    </w:p>
    <w:p w14:paraId="605AE062" w14:textId="77777777"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 xml:space="preserve"> u</w:t>
      </w:r>
      <w:r w:rsidR="00D61CA5" w:rsidRPr="00D61CA5">
        <w:rPr>
          <w:rFonts w:asciiTheme="majorBidi" w:hAnsiTheme="majorBidi" w:cstheme="majorBidi"/>
          <w:bCs/>
          <w:sz w:val="24"/>
          <w:szCs w:val="24"/>
        </w:rPr>
        <w:t xml:space="preserve">ncertainty </w:t>
      </w:r>
    </w:p>
    <w:p w14:paraId="6A6D3DBD" w14:textId="09E08256"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s</w:t>
      </w:r>
      <w:r w:rsidR="00D61CA5" w:rsidRPr="00D61CA5">
        <w:rPr>
          <w:rFonts w:asciiTheme="majorBidi" w:hAnsiTheme="majorBidi" w:cstheme="majorBidi"/>
          <w:bCs/>
          <w:sz w:val="24"/>
          <w:szCs w:val="24"/>
        </w:rPr>
        <w:t xml:space="preserve">entiment </w:t>
      </w:r>
    </w:p>
    <w:p w14:paraId="4FFD4F11" w14:textId="04F4C6D5"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i</w:t>
      </w:r>
      <w:r w:rsidR="00D61CA5" w:rsidRPr="00D61CA5">
        <w:rPr>
          <w:rFonts w:asciiTheme="majorBidi" w:hAnsiTheme="majorBidi" w:cstheme="majorBidi"/>
          <w:bCs/>
          <w:sz w:val="24"/>
          <w:szCs w:val="24"/>
        </w:rPr>
        <w:t xml:space="preserve">nformation uncertainty </w:t>
      </w:r>
    </w:p>
    <w:p w14:paraId="7ABA833A" w14:textId="3D7C8596"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p</w:t>
      </w:r>
      <w:r w:rsidR="00D61CA5" w:rsidRPr="00D61CA5">
        <w:rPr>
          <w:rFonts w:asciiTheme="majorBidi" w:hAnsiTheme="majorBidi" w:cstheme="majorBidi"/>
          <w:bCs/>
          <w:sz w:val="24"/>
          <w:szCs w:val="24"/>
        </w:rPr>
        <w:t xml:space="preserve">ost-earnings-announcement-drift </w:t>
      </w:r>
    </w:p>
    <w:p w14:paraId="650059E2" w14:textId="743DB035" w:rsidR="008F42C0" w:rsidRDefault="008F42C0" w:rsidP="008F42C0">
      <w:pPr>
        <w:tabs>
          <w:tab w:val="left" w:pos="567"/>
        </w:tabs>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i</w:t>
      </w:r>
      <w:r w:rsidR="00D61CA5" w:rsidRPr="00D61CA5">
        <w:rPr>
          <w:rFonts w:asciiTheme="majorBidi" w:hAnsiTheme="majorBidi" w:cstheme="majorBidi"/>
          <w:bCs/>
          <w:sz w:val="24"/>
          <w:szCs w:val="24"/>
        </w:rPr>
        <w:t>nformation signals</w:t>
      </w:r>
    </w:p>
    <w:p w14:paraId="7D9DCFB2" w14:textId="77777777" w:rsidR="008F42C0" w:rsidRDefault="008F42C0" w:rsidP="008F42C0">
      <w:pPr>
        <w:tabs>
          <w:tab w:val="left" w:pos="567"/>
        </w:tabs>
        <w:rPr>
          <w:rFonts w:asciiTheme="majorBidi" w:hAnsiTheme="majorBidi" w:cstheme="majorBidi"/>
          <w:bCs/>
          <w:sz w:val="24"/>
          <w:szCs w:val="24"/>
        </w:rPr>
      </w:pPr>
      <w:r>
        <w:rPr>
          <w:rFonts w:asciiTheme="majorBidi" w:hAnsiTheme="majorBidi" w:cstheme="majorBidi"/>
          <w:bCs/>
          <w:sz w:val="24"/>
          <w:szCs w:val="24"/>
        </w:rPr>
        <w:br w:type="page"/>
      </w:r>
    </w:p>
    <w:p w14:paraId="1CB9C9E4" w14:textId="24572407" w:rsidR="007F3D8B" w:rsidRPr="007F3D8B" w:rsidRDefault="00C42888" w:rsidP="006D1807">
      <w:pPr>
        <w:pStyle w:val="ListParagraph"/>
        <w:keepNext/>
        <w:numPr>
          <w:ilvl w:val="0"/>
          <w:numId w:val="1"/>
        </w:numPr>
        <w:tabs>
          <w:tab w:val="left" w:pos="567"/>
        </w:tabs>
        <w:spacing w:after="0" w:line="288" w:lineRule="auto"/>
        <w:ind w:left="0" w:firstLine="0"/>
        <w:jc w:val="both"/>
        <w:rPr>
          <w:rFonts w:asciiTheme="majorBidi" w:hAnsiTheme="majorBidi" w:cstheme="majorBidi"/>
          <w:b/>
          <w:bCs/>
          <w:sz w:val="24"/>
          <w:szCs w:val="24"/>
        </w:rPr>
      </w:pPr>
      <w:r w:rsidRPr="00703E8D">
        <w:rPr>
          <w:rFonts w:asciiTheme="majorBidi" w:hAnsiTheme="majorBidi" w:cstheme="majorBidi"/>
          <w:b/>
          <w:bCs/>
          <w:sz w:val="24"/>
          <w:szCs w:val="24"/>
        </w:rPr>
        <w:lastRenderedPageBreak/>
        <w:t>Introduction</w:t>
      </w:r>
    </w:p>
    <w:p w14:paraId="6E5EAA77" w14:textId="77777777" w:rsidR="008F42C0" w:rsidRPr="008F42C0" w:rsidRDefault="008F42C0" w:rsidP="008F42C0">
      <w:pPr>
        <w:tabs>
          <w:tab w:val="left" w:pos="567"/>
        </w:tabs>
        <w:spacing w:after="0" w:line="288" w:lineRule="auto"/>
        <w:jc w:val="both"/>
        <w:rPr>
          <w:rFonts w:ascii="Times New Roman" w:hAnsi="Times New Roman" w:cs="Times New Roman"/>
          <w:sz w:val="12"/>
          <w:szCs w:val="12"/>
        </w:rPr>
      </w:pPr>
    </w:p>
    <w:p w14:paraId="3C1243CF" w14:textId="41A419E2" w:rsidR="005224E8" w:rsidRDefault="005224E8" w:rsidP="008F42C0">
      <w:pPr>
        <w:tabs>
          <w:tab w:val="left" w:pos="567"/>
        </w:tabs>
        <w:spacing w:after="0" w:line="288" w:lineRule="auto"/>
        <w:jc w:val="both"/>
        <w:rPr>
          <w:rFonts w:ascii="Times New Roman" w:hAnsi="Times New Roman" w:cs="Times New Roman"/>
          <w:sz w:val="24"/>
          <w:szCs w:val="24"/>
        </w:rPr>
      </w:pPr>
      <w:r w:rsidRPr="005224E8">
        <w:rPr>
          <w:rFonts w:ascii="Times New Roman" w:hAnsi="Times New Roman" w:cs="Times New Roman"/>
          <w:sz w:val="24"/>
          <w:szCs w:val="24"/>
        </w:rPr>
        <w:t>Every day, investors process vast amounts of data and information signals in their attempt to find the true value of</w:t>
      </w:r>
      <w:r w:rsidR="00B418D1">
        <w:rPr>
          <w:rFonts w:ascii="Times New Roman" w:hAnsi="Times New Roman" w:cs="Times New Roman"/>
          <w:sz w:val="24"/>
          <w:szCs w:val="24"/>
        </w:rPr>
        <w:t xml:space="preserve"> particular</w:t>
      </w:r>
      <w:r w:rsidRPr="005224E8">
        <w:rPr>
          <w:rFonts w:ascii="Times New Roman" w:hAnsi="Times New Roman" w:cs="Times New Roman"/>
          <w:sz w:val="24"/>
          <w:szCs w:val="24"/>
        </w:rPr>
        <w:t xml:space="preserve"> stocks. Whenever a new piece of information is released, investors try to predict the potential implications of such information for the value of the company. However, the process of interpreting information signals is not straightforward </w:t>
      </w:r>
      <w:r w:rsidR="004C31C1">
        <w:rPr>
          <w:rFonts w:ascii="Times New Roman" w:hAnsi="Times New Roman" w:cs="Times New Roman"/>
          <w:sz w:val="24"/>
          <w:szCs w:val="24"/>
        </w:rPr>
        <w:t>but rather</w:t>
      </w:r>
      <w:r w:rsidRPr="005224E8">
        <w:rPr>
          <w:rFonts w:ascii="Times New Roman" w:hAnsi="Times New Roman" w:cs="Times New Roman"/>
          <w:sz w:val="24"/>
          <w:szCs w:val="24"/>
        </w:rPr>
        <w:t xml:space="preserve"> susceptible to factors such as the prevailing market sentiment and uncertainty as well as the perceived quality of the information signal itself. Put differently</w:t>
      </w:r>
      <w:r w:rsidR="00A56FAA">
        <w:rPr>
          <w:rFonts w:ascii="Times New Roman" w:hAnsi="Times New Roman" w:cs="Times New Roman"/>
          <w:sz w:val="24"/>
          <w:szCs w:val="24"/>
        </w:rPr>
        <w:t>,</w:t>
      </w:r>
      <w:r w:rsidRPr="005224E8">
        <w:rPr>
          <w:rFonts w:ascii="Times New Roman" w:hAnsi="Times New Roman" w:cs="Times New Roman"/>
          <w:sz w:val="24"/>
          <w:szCs w:val="24"/>
        </w:rPr>
        <w:t xml:space="preserve"> upon receiving a new piece of information, investors do not always update their beliefs and expectations about the value of a stock in a fully rational or a standard Bayesian fashion but rather get influenced by several market-wide and firm-specific factors that introduce some bias into the process (Brav and Heaton 2002</w:t>
      </w:r>
      <w:r w:rsidR="006D1807">
        <w:rPr>
          <w:rFonts w:ascii="Times New Roman" w:hAnsi="Times New Roman" w:cs="Times New Roman"/>
          <w:sz w:val="24"/>
          <w:szCs w:val="24"/>
        </w:rPr>
        <w:t>,</w:t>
      </w:r>
      <w:r w:rsidRPr="005224E8">
        <w:rPr>
          <w:rFonts w:ascii="Times New Roman" w:hAnsi="Times New Roman" w:cs="Times New Roman"/>
          <w:sz w:val="24"/>
          <w:szCs w:val="24"/>
        </w:rPr>
        <w:t xml:space="preserve"> Epstein and Schneider 2008). </w:t>
      </w:r>
    </w:p>
    <w:p w14:paraId="73E92B81" w14:textId="77777777" w:rsidR="00C8428E" w:rsidRPr="005224E8" w:rsidRDefault="00C8428E" w:rsidP="008F42C0">
      <w:pPr>
        <w:tabs>
          <w:tab w:val="left" w:pos="567"/>
        </w:tabs>
        <w:spacing w:after="0" w:line="288" w:lineRule="auto"/>
        <w:jc w:val="both"/>
        <w:rPr>
          <w:rFonts w:ascii="Times New Roman" w:hAnsi="Times New Roman" w:cs="Times New Roman"/>
          <w:sz w:val="24"/>
          <w:szCs w:val="24"/>
        </w:rPr>
      </w:pPr>
    </w:p>
    <w:p w14:paraId="23C01E10" w14:textId="62FE15A6" w:rsidR="005224E8" w:rsidRDefault="00C8428E"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F42C0">
        <w:rPr>
          <w:rFonts w:ascii="Times New Roman" w:hAnsi="Times New Roman" w:cs="Times New Roman"/>
          <w:sz w:val="24"/>
          <w:szCs w:val="24"/>
        </w:rPr>
        <w:t xml:space="preserve"> </w:t>
      </w:r>
      <w:r w:rsidR="005224E8" w:rsidRPr="005224E8">
        <w:rPr>
          <w:rFonts w:ascii="Times New Roman" w:hAnsi="Times New Roman" w:cs="Times New Roman"/>
          <w:sz w:val="24"/>
          <w:szCs w:val="24"/>
        </w:rPr>
        <w:t xml:space="preserve">Prior evidence in the literature suggests that factors such as: market-wide uncertainty (Williams 2015), firm-specific uncertainty (Francis </w:t>
      </w:r>
      <w:r w:rsidR="006D1807">
        <w:rPr>
          <w:rFonts w:ascii="Times New Roman" w:hAnsi="Times New Roman" w:cs="Times New Roman"/>
          <w:i/>
          <w:iCs/>
          <w:sz w:val="24"/>
          <w:szCs w:val="24"/>
        </w:rPr>
        <w:t>et al.</w:t>
      </w:r>
      <w:r w:rsidR="00E3290D">
        <w:rPr>
          <w:rFonts w:ascii="Times New Roman" w:hAnsi="Times New Roman" w:cs="Times New Roman"/>
          <w:sz w:val="24"/>
          <w:szCs w:val="24"/>
        </w:rPr>
        <w:t xml:space="preserve"> </w:t>
      </w:r>
      <w:r w:rsidR="005224E8" w:rsidRPr="005224E8">
        <w:rPr>
          <w:rFonts w:ascii="Times New Roman" w:hAnsi="Times New Roman" w:cs="Times New Roman"/>
          <w:sz w:val="24"/>
          <w:szCs w:val="24"/>
        </w:rPr>
        <w:t>2007), and investors’ beliefs and sentiment (Bird and Yeung 2012</w:t>
      </w:r>
      <w:r w:rsidR="00247C6E">
        <w:rPr>
          <w:rFonts w:ascii="Times New Roman" w:hAnsi="Times New Roman" w:cs="Times New Roman"/>
          <w:sz w:val="24"/>
          <w:szCs w:val="24"/>
        </w:rPr>
        <w:t>,</w:t>
      </w:r>
      <w:r w:rsidR="005224E8" w:rsidRPr="005224E8">
        <w:rPr>
          <w:rFonts w:ascii="Times New Roman" w:hAnsi="Times New Roman" w:cs="Times New Roman"/>
          <w:sz w:val="24"/>
          <w:szCs w:val="24"/>
        </w:rPr>
        <w:t xml:space="preserve"> Kumar 2009</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Pevzner </w:t>
      </w:r>
      <w:r w:rsidR="006D1807" w:rsidRPr="00255004">
        <w:rPr>
          <w:rFonts w:ascii="Times New Roman" w:hAnsi="Times New Roman" w:cs="Times New Roman"/>
          <w:i/>
          <w:iCs/>
          <w:sz w:val="24"/>
          <w:szCs w:val="24"/>
        </w:rPr>
        <w:t>et al.</w:t>
      </w:r>
      <w:r w:rsidR="00E3290D">
        <w:rPr>
          <w:rFonts w:ascii="Times New Roman" w:hAnsi="Times New Roman" w:cs="Times New Roman"/>
          <w:sz w:val="24"/>
          <w:szCs w:val="24"/>
        </w:rPr>
        <w:t xml:space="preserve"> </w:t>
      </w:r>
      <w:r w:rsidR="005224E8" w:rsidRPr="005224E8">
        <w:rPr>
          <w:rFonts w:ascii="Times New Roman" w:hAnsi="Times New Roman" w:cs="Times New Roman"/>
          <w:sz w:val="24"/>
          <w:szCs w:val="24"/>
        </w:rPr>
        <w:t>2015), impact investors’ response to new information. For instance, investors tend to underreact initially to imprecise or uncertain information signals, although this underreaction may be corrected if the uncertainty is subsequently resolved (Brav and Heaton</w:t>
      </w:r>
      <w:r w:rsidR="00EF7037">
        <w:rPr>
          <w:rFonts w:ascii="Times New Roman" w:hAnsi="Times New Roman" w:cs="Times New Roman"/>
          <w:sz w:val="24"/>
          <w:szCs w:val="24"/>
        </w:rPr>
        <w:t xml:space="preserve"> </w:t>
      </w:r>
      <w:r w:rsidR="005224E8" w:rsidRPr="005224E8">
        <w:rPr>
          <w:rFonts w:ascii="Times New Roman" w:hAnsi="Times New Roman" w:cs="Times New Roman"/>
          <w:sz w:val="24"/>
          <w:szCs w:val="24"/>
        </w:rPr>
        <w:t xml:space="preserve">2002 Francis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Zhang</w:t>
      </w:r>
      <w:r w:rsidR="005224E8" w:rsidRPr="00255004">
        <w:rPr>
          <w:rFonts w:ascii="Times New Roman" w:hAnsi="Times New Roman" w:cs="Times New Roman"/>
          <w:sz w:val="24"/>
          <w:szCs w:val="24"/>
        </w:rPr>
        <w:t xml:space="preserve"> </w:t>
      </w:r>
      <w:r w:rsidR="005224E8" w:rsidRPr="005224E8">
        <w:rPr>
          <w:rFonts w:ascii="Times New Roman" w:hAnsi="Times New Roman" w:cs="Times New Roman"/>
          <w:sz w:val="24"/>
          <w:szCs w:val="24"/>
        </w:rPr>
        <w:t>2006). Empirical findings with regards to the effect of market-wide (or macro) uncertainty (Bird and Yeung, 2012</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Williams 2015) and firm-specific (or micro) uncertainty (Francis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Zhang 2006) on processing information signals support this proposition. Prior findings in the literature have also linked investors’ reactions under uncertainty to their sentiment and beliefs about the market. For instance, Kumar (2009) </w:t>
      </w:r>
      <w:r w:rsidR="007F289B">
        <w:rPr>
          <w:rFonts w:ascii="Times New Roman" w:hAnsi="Times New Roman" w:cs="Times New Roman"/>
          <w:sz w:val="24"/>
          <w:szCs w:val="24"/>
        </w:rPr>
        <w:t>finds</w:t>
      </w:r>
      <w:r w:rsidR="005224E8" w:rsidRPr="005224E8">
        <w:rPr>
          <w:rFonts w:ascii="Times New Roman" w:hAnsi="Times New Roman" w:cs="Times New Roman"/>
          <w:sz w:val="24"/>
          <w:szCs w:val="24"/>
        </w:rPr>
        <w:t xml:space="preserve"> that individual investors display stronger </w:t>
      </w:r>
      <w:r w:rsidR="00D97F41" w:rsidRPr="005224E8">
        <w:rPr>
          <w:rFonts w:ascii="Times New Roman" w:hAnsi="Times New Roman" w:cs="Times New Roman"/>
          <w:sz w:val="24"/>
          <w:szCs w:val="24"/>
        </w:rPr>
        <w:t>behavioural</w:t>
      </w:r>
      <w:r w:rsidR="005224E8" w:rsidRPr="005224E8">
        <w:rPr>
          <w:rFonts w:ascii="Times New Roman" w:hAnsi="Times New Roman" w:cs="Times New Roman"/>
          <w:sz w:val="24"/>
          <w:szCs w:val="24"/>
        </w:rPr>
        <w:t xml:space="preserve"> biases such as overconfidence about stock values when uncertainty at </w:t>
      </w:r>
      <w:r w:rsidR="00AF7C0B">
        <w:rPr>
          <w:rFonts w:ascii="Times New Roman" w:hAnsi="Times New Roman" w:cs="Times New Roman"/>
          <w:sz w:val="24"/>
          <w:szCs w:val="24"/>
        </w:rPr>
        <w:t xml:space="preserve">the </w:t>
      </w:r>
      <w:r w:rsidR="005224E8" w:rsidRPr="005224E8">
        <w:rPr>
          <w:rFonts w:ascii="Times New Roman" w:hAnsi="Times New Roman" w:cs="Times New Roman"/>
          <w:sz w:val="24"/>
          <w:szCs w:val="24"/>
        </w:rPr>
        <w:t>firm</w:t>
      </w:r>
      <w:r w:rsidR="00AF7C0B">
        <w:rPr>
          <w:rFonts w:ascii="Times New Roman" w:hAnsi="Times New Roman" w:cs="Times New Roman"/>
          <w:sz w:val="24"/>
          <w:szCs w:val="24"/>
        </w:rPr>
        <w:t xml:space="preserve"> and/</w:t>
      </w:r>
      <w:r w:rsidR="005224E8" w:rsidRPr="005224E8">
        <w:rPr>
          <w:rFonts w:ascii="Times New Roman" w:hAnsi="Times New Roman" w:cs="Times New Roman"/>
          <w:sz w:val="24"/>
          <w:szCs w:val="24"/>
        </w:rPr>
        <w:t>or market</w:t>
      </w:r>
      <w:r w:rsidR="00AF7C0B">
        <w:rPr>
          <w:rFonts w:ascii="Times New Roman" w:hAnsi="Times New Roman" w:cs="Times New Roman"/>
          <w:sz w:val="24"/>
          <w:szCs w:val="24"/>
        </w:rPr>
        <w:t xml:space="preserve"> </w:t>
      </w:r>
      <w:r w:rsidR="005224E8" w:rsidRPr="005224E8">
        <w:rPr>
          <w:rFonts w:ascii="Times New Roman" w:hAnsi="Times New Roman" w:cs="Times New Roman"/>
          <w:sz w:val="24"/>
          <w:szCs w:val="24"/>
        </w:rPr>
        <w:t xml:space="preserve">level is high. Furthermore, Bird and Yeung (2012) and Bird </w:t>
      </w:r>
      <w:r w:rsidR="005224E8"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(2014) show that positive market sentiment mitigates the effect of high uncertainty on investors’ reactions to earnings announcements. </w:t>
      </w:r>
    </w:p>
    <w:p w14:paraId="7E60805E" w14:textId="77777777" w:rsidR="00C8428E" w:rsidRPr="005224E8" w:rsidRDefault="00C8428E" w:rsidP="008F42C0">
      <w:pPr>
        <w:tabs>
          <w:tab w:val="left" w:pos="567"/>
        </w:tabs>
        <w:spacing w:after="0" w:line="288" w:lineRule="auto"/>
        <w:jc w:val="both"/>
        <w:rPr>
          <w:rFonts w:ascii="Times New Roman" w:hAnsi="Times New Roman" w:cs="Times New Roman"/>
          <w:sz w:val="24"/>
          <w:szCs w:val="24"/>
        </w:rPr>
      </w:pPr>
    </w:p>
    <w:p w14:paraId="1C4E18B1" w14:textId="0B999057" w:rsidR="005224E8" w:rsidRDefault="00C8428E"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A relatively recent stream of research has focused on examining the relationship between the firm’s corporate governance characteristics and market participants’ reaction to the different events and news. Findings from past studies suggest that governance mechanisms help reduce information uncertainty through different means, such as: increasing voluntary disclosures (Beekes and Brown 2006</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Beekes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2016), enhancing the quality of information (Bhat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2006</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Cai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2006), and </w:t>
      </w:r>
      <w:r w:rsidR="006577DF">
        <w:rPr>
          <w:rFonts w:ascii="Times New Roman" w:hAnsi="Times New Roman" w:cs="Times New Roman"/>
          <w:sz w:val="24"/>
          <w:szCs w:val="24"/>
        </w:rPr>
        <w:t xml:space="preserve">reducing information asymmetry </w:t>
      </w:r>
      <w:r w:rsidR="005224E8" w:rsidRPr="005224E8">
        <w:rPr>
          <w:rFonts w:ascii="Times New Roman" w:hAnsi="Times New Roman" w:cs="Times New Roman"/>
          <w:sz w:val="24"/>
          <w:szCs w:val="24"/>
        </w:rPr>
        <w:t xml:space="preserve">(Kanagaretnam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p>
    <w:p w14:paraId="3F66804E" w14:textId="77777777" w:rsidR="00212EE5" w:rsidRPr="005224E8" w:rsidRDefault="00212EE5" w:rsidP="008F42C0">
      <w:pPr>
        <w:tabs>
          <w:tab w:val="left" w:pos="567"/>
        </w:tabs>
        <w:spacing w:after="0" w:line="288" w:lineRule="auto"/>
        <w:jc w:val="both"/>
        <w:rPr>
          <w:rFonts w:ascii="Times New Roman" w:hAnsi="Times New Roman" w:cs="Times New Roman"/>
          <w:sz w:val="24"/>
          <w:szCs w:val="24"/>
        </w:rPr>
      </w:pPr>
    </w:p>
    <w:p w14:paraId="7B15FFB6" w14:textId="39337A42" w:rsidR="005224E8" w:rsidRDefault="00212EE5"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968E6">
        <w:rPr>
          <w:rFonts w:ascii="Times New Roman" w:hAnsi="Times New Roman" w:cs="Times New Roman"/>
          <w:sz w:val="24"/>
          <w:szCs w:val="24"/>
        </w:rPr>
        <w:t>The</w:t>
      </w:r>
      <w:r w:rsidR="008049E3">
        <w:rPr>
          <w:rFonts w:ascii="Times New Roman" w:hAnsi="Times New Roman" w:cs="Times New Roman"/>
          <w:sz w:val="24"/>
          <w:szCs w:val="24"/>
        </w:rPr>
        <w:t xml:space="preserve"> important contribution of this study is to extend the previous literature </w:t>
      </w:r>
      <w:r w:rsidR="005224E8" w:rsidRPr="005224E8">
        <w:rPr>
          <w:rFonts w:ascii="Times New Roman" w:hAnsi="Times New Roman" w:cs="Times New Roman"/>
          <w:sz w:val="24"/>
          <w:szCs w:val="24"/>
        </w:rPr>
        <w:t>by examining the role of corporate governance mechanisms in influencing investors’ initial and subsequent reactions to earnings announcements</w:t>
      </w:r>
      <w:r w:rsidR="008049E3">
        <w:rPr>
          <w:rFonts w:ascii="Times New Roman" w:hAnsi="Times New Roman" w:cs="Times New Roman"/>
          <w:sz w:val="24"/>
          <w:szCs w:val="24"/>
        </w:rPr>
        <w:t>,</w:t>
      </w:r>
      <w:r w:rsidR="005224E8" w:rsidRPr="005224E8">
        <w:rPr>
          <w:rFonts w:ascii="Times New Roman" w:hAnsi="Times New Roman" w:cs="Times New Roman"/>
          <w:sz w:val="24"/>
          <w:szCs w:val="24"/>
        </w:rPr>
        <w:t xml:space="preserve"> with special attention to one of the most persistent market anomalies, namely the post-earnings announcement drift (PEAD). W</w:t>
      </w:r>
      <w:r w:rsidR="00264C13">
        <w:rPr>
          <w:rFonts w:ascii="Times New Roman" w:hAnsi="Times New Roman" w:cs="Times New Roman"/>
          <w:sz w:val="24"/>
          <w:szCs w:val="24"/>
        </w:rPr>
        <w:t xml:space="preserve">hen investigating the relationship between corporate governance and investor response to earnings announcements, we </w:t>
      </w:r>
      <w:r w:rsidR="00264C13">
        <w:rPr>
          <w:rFonts w:ascii="Times New Roman" w:hAnsi="Times New Roman" w:cs="Times New Roman"/>
          <w:sz w:val="24"/>
          <w:szCs w:val="24"/>
        </w:rPr>
        <w:lastRenderedPageBreak/>
        <w:t xml:space="preserve">control for </w:t>
      </w:r>
      <w:r w:rsidR="00B31AA6">
        <w:rPr>
          <w:rFonts w:ascii="Times New Roman" w:hAnsi="Times New Roman" w:cs="Times New Roman"/>
          <w:sz w:val="24"/>
          <w:szCs w:val="24"/>
        </w:rPr>
        <w:t>market conditions</w:t>
      </w:r>
      <w:r w:rsidR="00264C13">
        <w:rPr>
          <w:rFonts w:ascii="Times New Roman" w:hAnsi="Times New Roman" w:cs="Times New Roman"/>
          <w:sz w:val="24"/>
          <w:szCs w:val="24"/>
        </w:rPr>
        <w:t xml:space="preserve"> that have been found to impact on this response with a particular focus on market </w:t>
      </w:r>
      <w:r w:rsidR="005224E8" w:rsidRPr="005224E8">
        <w:rPr>
          <w:rFonts w:ascii="Times New Roman" w:hAnsi="Times New Roman" w:cs="Times New Roman"/>
          <w:sz w:val="24"/>
          <w:szCs w:val="24"/>
        </w:rPr>
        <w:t>uncertainty</w:t>
      </w:r>
      <w:r w:rsidR="00264C13">
        <w:rPr>
          <w:rFonts w:ascii="Times New Roman" w:hAnsi="Times New Roman" w:cs="Times New Roman"/>
          <w:sz w:val="24"/>
          <w:szCs w:val="24"/>
        </w:rPr>
        <w:t xml:space="preserve"> and investor </w:t>
      </w:r>
      <w:r w:rsidR="00C968E6">
        <w:rPr>
          <w:rFonts w:ascii="Times New Roman" w:hAnsi="Times New Roman" w:cs="Times New Roman"/>
          <w:sz w:val="24"/>
          <w:szCs w:val="24"/>
        </w:rPr>
        <w:t>sentiment.</w:t>
      </w:r>
      <w:r w:rsidR="005224E8" w:rsidRPr="005224E8">
        <w:rPr>
          <w:rFonts w:ascii="Times New Roman" w:hAnsi="Times New Roman" w:cs="Times New Roman"/>
          <w:sz w:val="24"/>
          <w:szCs w:val="24"/>
        </w:rPr>
        <w:t xml:space="preserve"> While several explanations for the PEAD based on the rational expectations model or some </w:t>
      </w:r>
      <w:r w:rsidR="00D97F41" w:rsidRPr="005224E8">
        <w:rPr>
          <w:rFonts w:ascii="Times New Roman" w:hAnsi="Times New Roman" w:cs="Times New Roman"/>
          <w:sz w:val="24"/>
          <w:szCs w:val="24"/>
        </w:rPr>
        <w:t>behavioural</w:t>
      </w:r>
      <w:r w:rsidR="005224E8" w:rsidRPr="005224E8">
        <w:rPr>
          <w:rFonts w:ascii="Times New Roman" w:hAnsi="Times New Roman" w:cs="Times New Roman"/>
          <w:sz w:val="24"/>
          <w:szCs w:val="24"/>
        </w:rPr>
        <w:t xml:space="preserve"> observations are provided in the literature (see Bartov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2000</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Mendenhall 2004, Sadka 2006), </w:t>
      </w:r>
      <w:r w:rsidR="00593E82">
        <w:rPr>
          <w:rFonts w:ascii="Times New Roman" w:hAnsi="Times New Roman" w:cs="Times New Roman"/>
          <w:sz w:val="24"/>
          <w:szCs w:val="24"/>
        </w:rPr>
        <w:t xml:space="preserve">the prevailing market conditions such as </w:t>
      </w:r>
      <w:r w:rsidR="005224E8" w:rsidRPr="005224E8">
        <w:rPr>
          <w:rFonts w:ascii="Times New Roman" w:hAnsi="Times New Roman" w:cs="Times New Roman"/>
          <w:sz w:val="24"/>
          <w:szCs w:val="24"/>
        </w:rPr>
        <w:t xml:space="preserve">market uncertainty and investor sentiment have received increasing attention in recent years as possible contributing factors to the PEAD  (Bird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2014</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Bird and Yeung</w:t>
      </w:r>
      <w:r>
        <w:rPr>
          <w:rFonts w:ascii="Times New Roman" w:hAnsi="Times New Roman" w:cs="Times New Roman"/>
          <w:sz w:val="24"/>
          <w:szCs w:val="24"/>
        </w:rPr>
        <w:t xml:space="preserve"> </w:t>
      </w:r>
      <w:r w:rsidR="005224E8" w:rsidRPr="005224E8">
        <w:rPr>
          <w:rFonts w:ascii="Times New Roman" w:hAnsi="Times New Roman" w:cs="Times New Roman"/>
          <w:sz w:val="24"/>
          <w:szCs w:val="24"/>
        </w:rPr>
        <w:t>2012</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Francis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Ozoguz 2009</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Williams 2015). This study is the first to look at the nexus between corporate governance, </w:t>
      </w:r>
      <w:r w:rsidR="00C968E6">
        <w:rPr>
          <w:rFonts w:ascii="Times New Roman" w:hAnsi="Times New Roman" w:cs="Times New Roman"/>
          <w:sz w:val="24"/>
          <w:szCs w:val="24"/>
        </w:rPr>
        <w:t xml:space="preserve">market </w:t>
      </w:r>
      <w:r w:rsidR="005224E8" w:rsidRPr="005224E8">
        <w:rPr>
          <w:rFonts w:ascii="Times New Roman" w:hAnsi="Times New Roman" w:cs="Times New Roman"/>
          <w:sz w:val="24"/>
          <w:szCs w:val="24"/>
        </w:rPr>
        <w:t xml:space="preserve">uncertainty, </w:t>
      </w:r>
      <w:r w:rsidR="00C968E6">
        <w:rPr>
          <w:rFonts w:ascii="Times New Roman" w:hAnsi="Times New Roman" w:cs="Times New Roman"/>
          <w:sz w:val="24"/>
          <w:szCs w:val="24"/>
        </w:rPr>
        <w:t xml:space="preserve">investor </w:t>
      </w:r>
      <w:r w:rsidR="005224E8" w:rsidRPr="005224E8">
        <w:rPr>
          <w:rFonts w:ascii="Times New Roman" w:hAnsi="Times New Roman" w:cs="Times New Roman"/>
          <w:sz w:val="24"/>
          <w:szCs w:val="24"/>
        </w:rPr>
        <w:t xml:space="preserve">sentiment, and the PEAD, and adds to a growing stream of research focusing on increasing our understanding of the response of market participants to different types of news and events. The study also supplements previous attempts to understand the initial and subsequent market response to earnings releases by providing evidence on the contributing role played by corporate governance </w:t>
      </w:r>
      <w:r w:rsidR="008071B8">
        <w:rPr>
          <w:rFonts w:ascii="Times New Roman" w:hAnsi="Times New Roman" w:cs="Times New Roman"/>
          <w:sz w:val="24"/>
          <w:szCs w:val="24"/>
        </w:rPr>
        <w:t>through the effect that it has</w:t>
      </w:r>
      <w:r w:rsidR="005224E8" w:rsidRPr="005224E8">
        <w:rPr>
          <w:rFonts w:ascii="Times New Roman" w:hAnsi="Times New Roman" w:cs="Times New Roman"/>
          <w:sz w:val="24"/>
          <w:szCs w:val="24"/>
        </w:rPr>
        <w:t xml:space="preserve"> on information uncertainty. </w:t>
      </w:r>
    </w:p>
    <w:p w14:paraId="5751940D" w14:textId="77777777" w:rsidR="00C8428E" w:rsidRPr="005224E8" w:rsidRDefault="00C8428E" w:rsidP="008F42C0">
      <w:pPr>
        <w:tabs>
          <w:tab w:val="left" w:pos="567"/>
        </w:tabs>
        <w:spacing w:after="0" w:line="288" w:lineRule="auto"/>
        <w:jc w:val="both"/>
        <w:rPr>
          <w:rFonts w:ascii="Times New Roman" w:hAnsi="Times New Roman" w:cs="Times New Roman"/>
          <w:sz w:val="24"/>
          <w:szCs w:val="24"/>
        </w:rPr>
      </w:pPr>
    </w:p>
    <w:p w14:paraId="2315A9CC" w14:textId="77777777" w:rsidR="00AB5C3C" w:rsidRDefault="00C8428E"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17342">
        <w:rPr>
          <w:rFonts w:ascii="Times New Roman" w:hAnsi="Times New Roman" w:cs="Times New Roman"/>
          <w:sz w:val="24"/>
          <w:szCs w:val="24"/>
        </w:rPr>
        <w:t xml:space="preserve">In a sample of </w:t>
      </w:r>
      <w:r w:rsidR="00217342" w:rsidRPr="00451CF3">
        <w:rPr>
          <w:rFonts w:ascii="Times New Roman" w:hAnsi="Times New Roman" w:cs="Times New Roman"/>
          <w:sz w:val="24"/>
          <w:szCs w:val="24"/>
        </w:rPr>
        <w:t>quarterly announcements made by US public firms between January 2006 and December 2016</w:t>
      </w:r>
      <w:r w:rsidR="00217342">
        <w:rPr>
          <w:rFonts w:ascii="Times New Roman" w:hAnsi="Times New Roman" w:cs="Times New Roman"/>
          <w:sz w:val="24"/>
          <w:szCs w:val="24"/>
        </w:rPr>
        <w:t>, w</w:t>
      </w:r>
      <w:r w:rsidR="00217342" w:rsidRPr="005224E8">
        <w:rPr>
          <w:rFonts w:ascii="Times New Roman" w:hAnsi="Times New Roman" w:cs="Times New Roman"/>
          <w:sz w:val="24"/>
          <w:szCs w:val="24"/>
        </w:rPr>
        <w:t xml:space="preserve">e </w:t>
      </w:r>
      <w:r w:rsidR="00217342">
        <w:rPr>
          <w:rFonts w:ascii="Times New Roman" w:hAnsi="Times New Roman" w:cs="Times New Roman"/>
          <w:sz w:val="24"/>
          <w:szCs w:val="24"/>
        </w:rPr>
        <w:t xml:space="preserve">find </w:t>
      </w:r>
      <w:r w:rsidR="005224E8" w:rsidRPr="005224E8">
        <w:rPr>
          <w:rFonts w:ascii="Times New Roman" w:hAnsi="Times New Roman" w:cs="Times New Roman"/>
          <w:sz w:val="24"/>
          <w:szCs w:val="24"/>
        </w:rPr>
        <w:t xml:space="preserve">that better governance significantly strengthens the magnitude of the initial </w:t>
      </w:r>
      <w:r w:rsidR="008071B8">
        <w:rPr>
          <w:rFonts w:ascii="Times New Roman" w:hAnsi="Times New Roman" w:cs="Times New Roman"/>
          <w:sz w:val="24"/>
          <w:szCs w:val="24"/>
        </w:rPr>
        <w:t xml:space="preserve">market </w:t>
      </w:r>
      <w:r w:rsidR="005224E8" w:rsidRPr="005224E8">
        <w:rPr>
          <w:rFonts w:ascii="Times New Roman" w:hAnsi="Times New Roman" w:cs="Times New Roman"/>
          <w:sz w:val="24"/>
          <w:szCs w:val="24"/>
        </w:rPr>
        <w:t>reaction to both positive and negative earnings announcement</w:t>
      </w:r>
      <w:r w:rsidR="008B7C6D">
        <w:rPr>
          <w:rFonts w:ascii="Times New Roman" w:hAnsi="Times New Roman" w:cs="Times New Roman"/>
          <w:sz w:val="24"/>
          <w:szCs w:val="24"/>
        </w:rPr>
        <w:t>s</w:t>
      </w:r>
      <w:r w:rsidR="005224E8" w:rsidRPr="005224E8">
        <w:rPr>
          <w:rFonts w:ascii="Times New Roman" w:hAnsi="Times New Roman" w:cs="Times New Roman"/>
          <w:sz w:val="24"/>
          <w:szCs w:val="24"/>
        </w:rPr>
        <w:t xml:space="preserve">. </w:t>
      </w:r>
      <w:r w:rsidR="008071B8">
        <w:rPr>
          <w:rFonts w:ascii="Times New Roman" w:hAnsi="Times New Roman" w:cs="Times New Roman"/>
          <w:sz w:val="24"/>
          <w:szCs w:val="24"/>
        </w:rPr>
        <w:t>This contrasts with the impact of either market uncertainty o</w:t>
      </w:r>
      <w:r w:rsidR="003D0030">
        <w:rPr>
          <w:rFonts w:ascii="Times New Roman" w:hAnsi="Times New Roman" w:cs="Times New Roman"/>
          <w:sz w:val="24"/>
          <w:szCs w:val="24"/>
        </w:rPr>
        <w:t>r</w:t>
      </w:r>
      <w:r w:rsidR="008071B8">
        <w:rPr>
          <w:rFonts w:ascii="Times New Roman" w:hAnsi="Times New Roman" w:cs="Times New Roman"/>
          <w:sz w:val="24"/>
          <w:szCs w:val="24"/>
        </w:rPr>
        <w:t xml:space="preserve"> investor sentiment which </w:t>
      </w:r>
      <w:r w:rsidR="00D01477">
        <w:rPr>
          <w:rFonts w:ascii="Times New Roman" w:hAnsi="Times New Roman" w:cs="Times New Roman"/>
          <w:sz w:val="24"/>
          <w:szCs w:val="24"/>
        </w:rPr>
        <w:t xml:space="preserve">will have a different effect depending on whether the response is to good news or bad news. </w:t>
      </w:r>
      <w:r w:rsidR="005224E8" w:rsidRPr="005224E8">
        <w:rPr>
          <w:rFonts w:ascii="Times New Roman" w:hAnsi="Times New Roman" w:cs="Times New Roman"/>
          <w:sz w:val="24"/>
          <w:szCs w:val="24"/>
        </w:rPr>
        <w:t xml:space="preserve">For example, higher uncertainty will cause </w:t>
      </w:r>
      <w:r w:rsidR="00617805">
        <w:rPr>
          <w:rFonts w:ascii="Times New Roman" w:hAnsi="Times New Roman" w:cs="Times New Roman"/>
          <w:sz w:val="24"/>
          <w:szCs w:val="24"/>
        </w:rPr>
        <w:t>pessimism in the minds of investors which result in a greater response to bad news but a</w:t>
      </w:r>
      <w:r w:rsidR="003C2F8A">
        <w:rPr>
          <w:rFonts w:ascii="Times New Roman" w:hAnsi="Times New Roman" w:cs="Times New Roman"/>
          <w:sz w:val="24"/>
          <w:szCs w:val="24"/>
        </w:rPr>
        <w:t xml:space="preserve"> weaker</w:t>
      </w:r>
      <w:r w:rsidR="00617805">
        <w:rPr>
          <w:rFonts w:ascii="Times New Roman" w:hAnsi="Times New Roman" w:cs="Times New Roman"/>
          <w:sz w:val="24"/>
          <w:szCs w:val="24"/>
        </w:rPr>
        <w:t xml:space="preserve"> response to good news. </w:t>
      </w:r>
      <w:r w:rsidR="003C2F8A">
        <w:rPr>
          <w:rFonts w:ascii="Times New Roman" w:hAnsi="Times New Roman" w:cs="Times New Roman"/>
          <w:sz w:val="24"/>
          <w:szCs w:val="24"/>
        </w:rPr>
        <w:t xml:space="preserve">An important </w:t>
      </w:r>
      <w:r w:rsidR="00617805">
        <w:rPr>
          <w:rFonts w:ascii="Times New Roman" w:hAnsi="Times New Roman" w:cs="Times New Roman"/>
          <w:sz w:val="24"/>
          <w:szCs w:val="24"/>
        </w:rPr>
        <w:t>finding is th</w:t>
      </w:r>
      <w:r w:rsidR="003C2F8A">
        <w:rPr>
          <w:rFonts w:ascii="Times New Roman" w:hAnsi="Times New Roman" w:cs="Times New Roman"/>
          <w:sz w:val="24"/>
          <w:szCs w:val="24"/>
        </w:rPr>
        <w:t>at</w:t>
      </w:r>
      <w:r w:rsidR="00617805">
        <w:rPr>
          <w:rFonts w:ascii="Times New Roman" w:hAnsi="Times New Roman" w:cs="Times New Roman"/>
          <w:sz w:val="24"/>
          <w:szCs w:val="24"/>
        </w:rPr>
        <w:t xml:space="preserve"> the level of </w:t>
      </w:r>
      <w:r w:rsidR="003C2F8A">
        <w:rPr>
          <w:rFonts w:ascii="Times New Roman" w:hAnsi="Times New Roman" w:cs="Times New Roman"/>
          <w:sz w:val="24"/>
          <w:szCs w:val="24"/>
        </w:rPr>
        <w:t>governance plays no</w:t>
      </w:r>
      <w:r w:rsidR="00617805">
        <w:rPr>
          <w:rFonts w:ascii="Times New Roman" w:hAnsi="Times New Roman" w:cs="Times New Roman"/>
          <w:sz w:val="24"/>
          <w:szCs w:val="24"/>
        </w:rPr>
        <w:t xml:space="preserve"> </w:t>
      </w:r>
      <w:r w:rsidR="005224E8" w:rsidRPr="005224E8">
        <w:rPr>
          <w:rFonts w:ascii="Times New Roman" w:hAnsi="Times New Roman" w:cs="Times New Roman"/>
          <w:sz w:val="24"/>
          <w:szCs w:val="24"/>
        </w:rPr>
        <w:t xml:space="preserve">role in explaining movements in share prices </w:t>
      </w:r>
      <w:r w:rsidR="008B7C6D">
        <w:rPr>
          <w:rFonts w:ascii="Times New Roman" w:hAnsi="Times New Roman" w:cs="Times New Roman"/>
          <w:sz w:val="24"/>
          <w:szCs w:val="24"/>
        </w:rPr>
        <w:t>during</w:t>
      </w:r>
      <w:r w:rsidR="005224E8" w:rsidRPr="005224E8">
        <w:rPr>
          <w:rFonts w:ascii="Times New Roman" w:hAnsi="Times New Roman" w:cs="Times New Roman"/>
          <w:sz w:val="24"/>
          <w:szCs w:val="24"/>
        </w:rPr>
        <w:t xml:space="preserve"> the post-announcement period </w:t>
      </w:r>
      <w:r w:rsidR="006A33AD">
        <w:rPr>
          <w:rFonts w:ascii="Times New Roman" w:hAnsi="Times New Roman" w:cs="Times New Roman"/>
          <w:sz w:val="24"/>
          <w:szCs w:val="24"/>
        </w:rPr>
        <w:t xml:space="preserve">that are </w:t>
      </w:r>
      <w:r w:rsidR="00507CA3">
        <w:rPr>
          <w:rFonts w:ascii="Times New Roman" w:hAnsi="Times New Roman" w:cs="Times New Roman"/>
          <w:sz w:val="24"/>
          <w:szCs w:val="24"/>
        </w:rPr>
        <w:t xml:space="preserve">attributable </w:t>
      </w:r>
      <w:r w:rsidR="00CF27E9">
        <w:rPr>
          <w:rFonts w:ascii="Times New Roman" w:hAnsi="Times New Roman" w:cs="Times New Roman"/>
          <w:sz w:val="24"/>
          <w:szCs w:val="24"/>
        </w:rPr>
        <w:t>to any reassessment of</w:t>
      </w:r>
      <w:r w:rsidR="005224E8" w:rsidRPr="005224E8">
        <w:rPr>
          <w:rFonts w:ascii="Times New Roman" w:hAnsi="Times New Roman" w:cs="Times New Roman"/>
          <w:sz w:val="24"/>
          <w:szCs w:val="24"/>
        </w:rPr>
        <w:t xml:space="preserve"> the initial announcement. This contrasts with the findings for uncertainty and sentiment which both are found to have an on-going influence on the market response to an earnings announcement during the post-announcement period. Significantly, it is changes in either the level of uncertainty and sentiment, and not the level itself, that explain the post-announcement drift. The implication </w:t>
      </w:r>
      <w:r w:rsidR="009C6258">
        <w:rPr>
          <w:rFonts w:ascii="Times New Roman" w:hAnsi="Times New Roman" w:cs="Times New Roman"/>
          <w:sz w:val="24"/>
          <w:szCs w:val="24"/>
        </w:rPr>
        <w:t>is</w:t>
      </w:r>
      <w:r w:rsidR="005224E8" w:rsidRPr="005224E8">
        <w:rPr>
          <w:rFonts w:ascii="Times New Roman" w:hAnsi="Times New Roman" w:cs="Times New Roman"/>
          <w:sz w:val="24"/>
          <w:szCs w:val="24"/>
        </w:rPr>
        <w:t xml:space="preserve"> that corporate governance plays no role in explaining the PEAD </w:t>
      </w:r>
      <w:r w:rsidR="00CF27E9">
        <w:rPr>
          <w:rFonts w:ascii="Times New Roman" w:hAnsi="Times New Roman" w:cs="Times New Roman"/>
          <w:sz w:val="24"/>
          <w:szCs w:val="24"/>
        </w:rPr>
        <w:t>because</w:t>
      </w:r>
      <w:r w:rsidR="005224E8" w:rsidRPr="005224E8">
        <w:rPr>
          <w:rFonts w:ascii="Times New Roman" w:hAnsi="Times New Roman" w:cs="Times New Roman"/>
          <w:sz w:val="24"/>
          <w:szCs w:val="24"/>
        </w:rPr>
        <w:t xml:space="preserve"> it</w:t>
      </w:r>
      <w:r w:rsidR="00612F89">
        <w:rPr>
          <w:rFonts w:ascii="Times New Roman" w:hAnsi="Times New Roman" w:cs="Times New Roman"/>
          <w:sz w:val="24"/>
          <w:szCs w:val="24"/>
        </w:rPr>
        <w:t xml:space="preserve"> r</w:t>
      </w:r>
      <w:r w:rsidR="005224E8" w:rsidRPr="005224E8">
        <w:rPr>
          <w:rFonts w:ascii="Times New Roman" w:hAnsi="Times New Roman" w:cs="Times New Roman"/>
          <w:sz w:val="24"/>
          <w:szCs w:val="24"/>
        </w:rPr>
        <w:t xml:space="preserve">emains relatively stable over the post-announcement period. </w:t>
      </w:r>
    </w:p>
    <w:p w14:paraId="0B0D5E0F" w14:textId="77777777" w:rsidR="00AB5C3C" w:rsidRDefault="00AB5C3C" w:rsidP="008F42C0">
      <w:pPr>
        <w:tabs>
          <w:tab w:val="left" w:pos="567"/>
        </w:tabs>
        <w:spacing w:after="0" w:line="288" w:lineRule="auto"/>
        <w:jc w:val="both"/>
        <w:rPr>
          <w:rFonts w:ascii="Times New Roman" w:hAnsi="Times New Roman" w:cs="Times New Roman"/>
          <w:sz w:val="24"/>
          <w:szCs w:val="24"/>
        </w:rPr>
      </w:pPr>
    </w:p>
    <w:p w14:paraId="15FFD8EA" w14:textId="4E9323F8" w:rsidR="005224E8" w:rsidRDefault="00AB5C3C" w:rsidP="000E3F6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Our findings suggest that the immediate impact of an earnings announcement on investor expectations is </w:t>
      </w:r>
      <w:r w:rsidR="00C8319C">
        <w:rPr>
          <w:rFonts w:ascii="Times New Roman" w:hAnsi="Times New Roman" w:cs="Times New Roman"/>
          <w:sz w:val="24"/>
          <w:szCs w:val="24"/>
        </w:rPr>
        <w:t xml:space="preserve">conditioned by the environment existing at the time of the announcements which is defined </w:t>
      </w:r>
      <w:r w:rsidR="005224E8" w:rsidRPr="005224E8">
        <w:rPr>
          <w:rFonts w:ascii="Times New Roman" w:hAnsi="Times New Roman" w:cs="Times New Roman"/>
          <w:sz w:val="24"/>
          <w:szCs w:val="24"/>
        </w:rPr>
        <w:t>by</w:t>
      </w:r>
      <w:r w:rsidR="000E70E2">
        <w:rPr>
          <w:rFonts w:ascii="Times New Roman" w:hAnsi="Times New Roman" w:cs="Times New Roman"/>
          <w:sz w:val="24"/>
          <w:szCs w:val="24"/>
        </w:rPr>
        <w:t xml:space="preserve"> a number of factors including the </w:t>
      </w:r>
      <w:r w:rsidR="005224E8" w:rsidRPr="005224E8">
        <w:rPr>
          <w:rFonts w:ascii="Times New Roman" w:hAnsi="Times New Roman" w:cs="Times New Roman"/>
          <w:sz w:val="24"/>
          <w:szCs w:val="24"/>
        </w:rPr>
        <w:t xml:space="preserve">level of corporate governance, </w:t>
      </w:r>
      <w:r w:rsidR="00C8319C">
        <w:rPr>
          <w:rFonts w:ascii="Times New Roman" w:hAnsi="Times New Roman" w:cs="Times New Roman"/>
          <w:sz w:val="24"/>
          <w:szCs w:val="24"/>
        </w:rPr>
        <w:t>market uncertainty</w:t>
      </w:r>
      <w:r w:rsidR="005224E8" w:rsidRPr="005224E8">
        <w:rPr>
          <w:rFonts w:ascii="Times New Roman" w:hAnsi="Times New Roman" w:cs="Times New Roman"/>
          <w:sz w:val="24"/>
          <w:szCs w:val="24"/>
        </w:rPr>
        <w:t xml:space="preserve"> and </w:t>
      </w:r>
      <w:r w:rsidR="00C8319C">
        <w:rPr>
          <w:rFonts w:ascii="Times New Roman" w:hAnsi="Times New Roman" w:cs="Times New Roman"/>
          <w:sz w:val="24"/>
          <w:szCs w:val="24"/>
        </w:rPr>
        <w:t xml:space="preserve">investor </w:t>
      </w:r>
      <w:r w:rsidR="007D676B">
        <w:rPr>
          <w:rFonts w:ascii="Times New Roman" w:hAnsi="Times New Roman" w:cs="Times New Roman"/>
          <w:sz w:val="24"/>
          <w:szCs w:val="24"/>
        </w:rPr>
        <w:t>sentiment</w:t>
      </w:r>
      <w:r w:rsidR="005224E8" w:rsidRPr="005224E8">
        <w:rPr>
          <w:rFonts w:ascii="Times New Roman" w:hAnsi="Times New Roman" w:cs="Times New Roman"/>
          <w:sz w:val="24"/>
          <w:szCs w:val="24"/>
        </w:rPr>
        <w:t xml:space="preserve">. One of our more important findings is that investors only revisit their initial response to an earnings announcement if there is a change in </w:t>
      </w:r>
      <w:r w:rsidR="00C8319C">
        <w:rPr>
          <w:rFonts w:ascii="Times New Roman" w:hAnsi="Times New Roman" w:cs="Times New Roman"/>
          <w:sz w:val="24"/>
          <w:szCs w:val="24"/>
        </w:rPr>
        <w:t>this environment</w:t>
      </w:r>
      <w:r w:rsidR="005224E8" w:rsidRPr="005224E8">
        <w:rPr>
          <w:rFonts w:ascii="Times New Roman" w:hAnsi="Times New Roman" w:cs="Times New Roman"/>
          <w:sz w:val="24"/>
          <w:szCs w:val="24"/>
        </w:rPr>
        <w:t>. This brings into question an interpretation that the PEAD is an inevitable correction to an initial underreaction to earnings news</w:t>
      </w:r>
      <w:r w:rsidR="00612F89">
        <w:rPr>
          <w:rFonts w:ascii="Times New Roman" w:hAnsi="Times New Roman" w:cs="Times New Roman"/>
          <w:sz w:val="24"/>
          <w:szCs w:val="24"/>
        </w:rPr>
        <w:t xml:space="preserve"> (</w:t>
      </w:r>
      <w:r w:rsidR="00212EE5">
        <w:rPr>
          <w:rFonts w:ascii="Times New Roman" w:hAnsi="Times New Roman" w:cs="Times New Roman"/>
          <w:sz w:val="24"/>
          <w:szCs w:val="24"/>
        </w:rPr>
        <w:t xml:space="preserve">for example, </w:t>
      </w:r>
      <w:r w:rsidR="00612F89">
        <w:rPr>
          <w:rFonts w:ascii="Times New Roman" w:hAnsi="Times New Roman" w:cs="Times New Roman"/>
          <w:sz w:val="24"/>
          <w:szCs w:val="24"/>
        </w:rPr>
        <w:t>Zhang 2006)</w:t>
      </w:r>
      <w:r w:rsidR="005224E8" w:rsidRPr="005224E8">
        <w:rPr>
          <w:rFonts w:ascii="Times New Roman" w:hAnsi="Times New Roman" w:cs="Times New Roman"/>
          <w:sz w:val="24"/>
          <w:szCs w:val="24"/>
        </w:rPr>
        <w:t xml:space="preserve">. Our findings suggest that any such </w:t>
      </w:r>
      <w:r w:rsidR="00C8319C">
        <w:rPr>
          <w:rFonts w:ascii="Times New Roman" w:hAnsi="Times New Roman" w:cs="Times New Roman"/>
          <w:sz w:val="24"/>
          <w:szCs w:val="24"/>
        </w:rPr>
        <w:t xml:space="preserve">a </w:t>
      </w:r>
      <w:r w:rsidR="005224E8" w:rsidRPr="005224E8">
        <w:rPr>
          <w:rFonts w:ascii="Times New Roman" w:hAnsi="Times New Roman" w:cs="Times New Roman"/>
          <w:sz w:val="24"/>
          <w:szCs w:val="24"/>
        </w:rPr>
        <w:t xml:space="preserve">correction is not inevitable but rather </w:t>
      </w:r>
      <w:r w:rsidR="0046175E">
        <w:rPr>
          <w:rFonts w:ascii="Times New Roman" w:hAnsi="Times New Roman" w:cs="Times New Roman"/>
          <w:sz w:val="24"/>
          <w:szCs w:val="24"/>
        </w:rPr>
        <w:t xml:space="preserve">is a response to post-announcement movements in factors such as </w:t>
      </w:r>
      <w:r w:rsidR="005224E8" w:rsidRPr="005224E8">
        <w:rPr>
          <w:rFonts w:ascii="Times New Roman" w:hAnsi="Times New Roman" w:cs="Times New Roman"/>
          <w:sz w:val="24"/>
          <w:szCs w:val="24"/>
        </w:rPr>
        <w:t xml:space="preserve">market uncertainty and sentiment. </w:t>
      </w:r>
      <w:r w:rsidR="000E70E2">
        <w:rPr>
          <w:rFonts w:ascii="Times New Roman" w:hAnsi="Times New Roman" w:cs="Times New Roman"/>
          <w:sz w:val="24"/>
          <w:szCs w:val="24"/>
        </w:rPr>
        <w:t xml:space="preserve">The wider implication being that </w:t>
      </w:r>
      <w:r w:rsidR="00521F0B">
        <w:rPr>
          <w:rFonts w:ascii="Times New Roman" w:hAnsi="Times New Roman" w:cs="Times New Roman"/>
          <w:sz w:val="24"/>
          <w:szCs w:val="24"/>
        </w:rPr>
        <w:t xml:space="preserve">the process by which </w:t>
      </w:r>
      <w:r w:rsidR="00521F0B">
        <w:rPr>
          <w:rFonts w:ascii="Times New Roman" w:hAnsi="Times New Roman" w:cs="Times New Roman"/>
          <w:sz w:val="24"/>
          <w:szCs w:val="24"/>
        </w:rPr>
        <w:lastRenderedPageBreak/>
        <w:t xml:space="preserve">securities are driven towards efficient pricing is continually being bombarded by distorting factors </w:t>
      </w:r>
      <w:r w:rsidR="00CB6409">
        <w:rPr>
          <w:rFonts w:ascii="Times New Roman" w:hAnsi="Times New Roman" w:cs="Times New Roman"/>
          <w:sz w:val="24"/>
          <w:szCs w:val="24"/>
        </w:rPr>
        <w:t xml:space="preserve">that may well result in extended periods of mispricing. </w:t>
      </w:r>
    </w:p>
    <w:p w14:paraId="2849E26D" w14:textId="77777777" w:rsidR="00AB5C3C" w:rsidRPr="005224E8" w:rsidRDefault="00AB5C3C" w:rsidP="008F42C0">
      <w:pPr>
        <w:tabs>
          <w:tab w:val="left" w:pos="567"/>
        </w:tabs>
        <w:spacing w:after="0" w:line="288" w:lineRule="auto"/>
        <w:jc w:val="both"/>
        <w:rPr>
          <w:rFonts w:ascii="Times New Roman" w:hAnsi="Times New Roman" w:cs="Times New Roman"/>
          <w:sz w:val="24"/>
          <w:szCs w:val="24"/>
        </w:rPr>
      </w:pPr>
    </w:p>
    <w:p w14:paraId="13313CC9" w14:textId="06D3D911" w:rsidR="005224E8"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A06D3">
        <w:rPr>
          <w:rFonts w:ascii="Times New Roman" w:hAnsi="Times New Roman" w:cs="Times New Roman"/>
          <w:sz w:val="24"/>
          <w:szCs w:val="24"/>
        </w:rPr>
        <w:t xml:space="preserve">There are at least two additional </w:t>
      </w:r>
      <w:r w:rsidR="007E4F30">
        <w:rPr>
          <w:rFonts w:ascii="Times New Roman" w:hAnsi="Times New Roman" w:cs="Times New Roman"/>
          <w:sz w:val="24"/>
          <w:szCs w:val="24"/>
        </w:rPr>
        <w:t xml:space="preserve">important </w:t>
      </w:r>
      <w:r w:rsidR="00C8319C">
        <w:rPr>
          <w:rFonts w:ascii="Times New Roman" w:hAnsi="Times New Roman" w:cs="Times New Roman"/>
          <w:sz w:val="24"/>
          <w:szCs w:val="24"/>
        </w:rPr>
        <w:t>insights</w:t>
      </w:r>
      <w:r w:rsidR="00AA06D3">
        <w:rPr>
          <w:rFonts w:ascii="Times New Roman" w:hAnsi="Times New Roman" w:cs="Times New Roman"/>
          <w:sz w:val="24"/>
          <w:szCs w:val="24"/>
        </w:rPr>
        <w:t xml:space="preserve"> that stem from our analysis</w:t>
      </w:r>
      <w:r w:rsidR="007E4F30">
        <w:rPr>
          <w:rFonts w:ascii="Times New Roman" w:hAnsi="Times New Roman" w:cs="Times New Roman"/>
          <w:sz w:val="24"/>
          <w:szCs w:val="24"/>
        </w:rPr>
        <w:t xml:space="preserve">. First, we identify </w:t>
      </w:r>
      <w:r w:rsidR="005224E8" w:rsidRPr="005224E8">
        <w:rPr>
          <w:rFonts w:ascii="Times New Roman" w:hAnsi="Times New Roman" w:cs="Times New Roman"/>
          <w:sz w:val="24"/>
          <w:szCs w:val="24"/>
        </w:rPr>
        <w:t xml:space="preserve">the </w:t>
      </w:r>
      <w:r w:rsidR="00FF748E">
        <w:rPr>
          <w:rFonts w:ascii="Times New Roman" w:hAnsi="Times New Roman" w:cs="Times New Roman"/>
          <w:sz w:val="24"/>
          <w:szCs w:val="24"/>
        </w:rPr>
        <w:t>major</w:t>
      </w:r>
      <w:r w:rsidR="005224E8" w:rsidRPr="005224E8">
        <w:rPr>
          <w:rFonts w:ascii="Times New Roman" w:hAnsi="Times New Roman" w:cs="Times New Roman"/>
          <w:sz w:val="24"/>
          <w:szCs w:val="24"/>
        </w:rPr>
        <w:t xml:space="preserve"> channel through which </w:t>
      </w:r>
      <w:r w:rsidR="00A91AF5">
        <w:rPr>
          <w:rFonts w:ascii="Times New Roman" w:hAnsi="Times New Roman" w:cs="Times New Roman"/>
          <w:sz w:val="24"/>
          <w:szCs w:val="24"/>
        </w:rPr>
        <w:t xml:space="preserve">the level of </w:t>
      </w:r>
      <w:r w:rsidR="005224E8" w:rsidRPr="005224E8">
        <w:rPr>
          <w:rFonts w:ascii="Times New Roman" w:hAnsi="Times New Roman" w:cs="Times New Roman"/>
          <w:sz w:val="24"/>
          <w:szCs w:val="24"/>
        </w:rPr>
        <w:t>corporate governance impact</w:t>
      </w:r>
      <w:r w:rsidR="00577186">
        <w:rPr>
          <w:rFonts w:ascii="Times New Roman" w:hAnsi="Times New Roman" w:cs="Times New Roman"/>
          <w:sz w:val="24"/>
          <w:szCs w:val="24"/>
        </w:rPr>
        <w:t>s</w:t>
      </w:r>
      <w:r w:rsidR="005224E8" w:rsidRPr="005224E8">
        <w:rPr>
          <w:rFonts w:ascii="Times New Roman" w:hAnsi="Times New Roman" w:cs="Times New Roman"/>
          <w:sz w:val="24"/>
          <w:szCs w:val="24"/>
        </w:rPr>
        <w:t xml:space="preserve"> on the extent of the market’s response to earnings announcements. </w:t>
      </w:r>
      <w:r w:rsidR="00FF4BA8">
        <w:rPr>
          <w:rFonts w:ascii="Times New Roman" w:hAnsi="Times New Roman" w:cs="Times New Roman"/>
          <w:sz w:val="24"/>
          <w:szCs w:val="24"/>
        </w:rPr>
        <w:t xml:space="preserve">Consistent with previous findings that </w:t>
      </w:r>
      <w:r w:rsidR="00FF748E">
        <w:rPr>
          <w:rFonts w:ascii="Times New Roman" w:hAnsi="Times New Roman" w:cs="Times New Roman"/>
          <w:sz w:val="24"/>
          <w:szCs w:val="24"/>
        </w:rPr>
        <w:t>(i)</w:t>
      </w:r>
      <w:r w:rsidR="003C787F">
        <w:rPr>
          <w:rFonts w:ascii="Times New Roman" w:hAnsi="Times New Roman" w:cs="Times New Roman"/>
          <w:sz w:val="24"/>
          <w:szCs w:val="24"/>
        </w:rPr>
        <w:t xml:space="preserve"> </w:t>
      </w:r>
      <w:r w:rsidR="00FF748E" w:rsidRPr="00FF748E">
        <w:rPr>
          <w:rFonts w:ascii="Times New Roman" w:hAnsi="Times New Roman" w:cs="Times New Roman"/>
          <w:sz w:val="24"/>
          <w:szCs w:val="24"/>
        </w:rPr>
        <w:t xml:space="preserve">better corporate governance reduces </w:t>
      </w:r>
      <w:r w:rsidR="005224E8" w:rsidRPr="005224E8">
        <w:rPr>
          <w:rFonts w:ascii="Times New Roman" w:hAnsi="Times New Roman" w:cs="Times New Roman"/>
          <w:sz w:val="24"/>
          <w:szCs w:val="24"/>
        </w:rPr>
        <w:t>information</w:t>
      </w:r>
      <w:r w:rsidR="00FF748E">
        <w:rPr>
          <w:rFonts w:ascii="Times New Roman" w:hAnsi="Times New Roman" w:cs="Times New Roman"/>
          <w:sz w:val="24"/>
          <w:szCs w:val="24"/>
        </w:rPr>
        <w:t xml:space="preserve"> uncertainly and (ii) a reduction in information </w:t>
      </w:r>
      <w:r w:rsidR="005224E8" w:rsidRPr="005224E8">
        <w:rPr>
          <w:rFonts w:ascii="Times New Roman" w:hAnsi="Times New Roman" w:cs="Times New Roman"/>
          <w:sz w:val="24"/>
          <w:szCs w:val="24"/>
        </w:rPr>
        <w:t xml:space="preserve">uncertainty </w:t>
      </w:r>
      <w:r w:rsidR="00FF748E">
        <w:rPr>
          <w:rFonts w:ascii="Times New Roman" w:hAnsi="Times New Roman" w:cs="Times New Roman"/>
          <w:sz w:val="24"/>
          <w:szCs w:val="24"/>
        </w:rPr>
        <w:t xml:space="preserve">increases </w:t>
      </w:r>
      <w:r w:rsidR="005224E8" w:rsidRPr="005224E8">
        <w:rPr>
          <w:rFonts w:ascii="Times New Roman" w:hAnsi="Times New Roman" w:cs="Times New Roman"/>
          <w:sz w:val="24"/>
          <w:szCs w:val="24"/>
        </w:rPr>
        <w:t>investors’ initial response to earnings announcements</w:t>
      </w:r>
      <w:r w:rsidR="00FF748E">
        <w:rPr>
          <w:rFonts w:ascii="Times New Roman" w:hAnsi="Times New Roman" w:cs="Times New Roman"/>
          <w:sz w:val="24"/>
          <w:szCs w:val="24"/>
        </w:rPr>
        <w:t>,</w:t>
      </w:r>
      <w:r w:rsidR="005224E8" w:rsidRPr="005224E8">
        <w:rPr>
          <w:rFonts w:ascii="Times New Roman" w:hAnsi="Times New Roman" w:cs="Times New Roman"/>
          <w:sz w:val="24"/>
          <w:szCs w:val="24"/>
        </w:rPr>
        <w:t xml:space="preserve"> we find </w:t>
      </w:r>
      <w:r w:rsidR="00FF4BA8">
        <w:rPr>
          <w:rFonts w:ascii="Times New Roman" w:hAnsi="Times New Roman" w:cs="Times New Roman"/>
          <w:sz w:val="24"/>
          <w:szCs w:val="24"/>
        </w:rPr>
        <w:t xml:space="preserve">that information uncertainty is the major channel through which corporate governance operates to increase the markets </w:t>
      </w:r>
      <w:r w:rsidR="005224E8" w:rsidRPr="005224E8">
        <w:rPr>
          <w:rFonts w:ascii="Times New Roman" w:hAnsi="Times New Roman" w:cs="Times New Roman"/>
          <w:sz w:val="24"/>
          <w:szCs w:val="24"/>
        </w:rPr>
        <w:t xml:space="preserve">initial reaction to earnings announcements. Overall, </w:t>
      </w:r>
      <w:r w:rsidR="00577186">
        <w:rPr>
          <w:rFonts w:ascii="Times New Roman" w:hAnsi="Times New Roman" w:cs="Times New Roman"/>
          <w:sz w:val="24"/>
          <w:szCs w:val="24"/>
        </w:rPr>
        <w:t xml:space="preserve">this result suggests that better corporate governance increases </w:t>
      </w:r>
      <w:r w:rsidR="00FF4BA8">
        <w:rPr>
          <w:rFonts w:ascii="Times New Roman" w:hAnsi="Times New Roman" w:cs="Times New Roman"/>
          <w:sz w:val="24"/>
          <w:szCs w:val="24"/>
        </w:rPr>
        <w:t>the credibility of the information</w:t>
      </w:r>
      <w:r w:rsidR="00577186">
        <w:rPr>
          <w:rFonts w:ascii="Times New Roman" w:hAnsi="Times New Roman" w:cs="Times New Roman"/>
          <w:sz w:val="24"/>
          <w:szCs w:val="24"/>
        </w:rPr>
        <w:t xml:space="preserve"> which translates into </w:t>
      </w:r>
      <w:r w:rsidR="00C8319C">
        <w:rPr>
          <w:rFonts w:ascii="Times New Roman" w:hAnsi="Times New Roman" w:cs="Times New Roman"/>
          <w:sz w:val="24"/>
          <w:szCs w:val="24"/>
        </w:rPr>
        <w:t xml:space="preserve">a greater </w:t>
      </w:r>
      <w:r w:rsidR="00DC7409">
        <w:rPr>
          <w:rFonts w:ascii="Times New Roman" w:hAnsi="Times New Roman" w:cs="Times New Roman"/>
          <w:sz w:val="24"/>
          <w:szCs w:val="24"/>
        </w:rPr>
        <w:t>acceptance of</w:t>
      </w:r>
      <w:r w:rsidR="001C2B02">
        <w:rPr>
          <w:rFonts w:ascii="Times New Roman" w:hAnsi="Times New Roman" w:cs="Times New Roman"/>
          <w:sz w:val="24"/>
          <w:szCs w:val="24"/>
        </w:rPr>
        <w:t xml:space="preserve">, and so a response to, </w:t>
      </w:r>
      <w:r w:rsidR="00DC7409">
        <w:rPr>
          <w:rFonts w:ascii="Times New Roman" w:hAnsi="Times New Roman" w:cs="Times New Roman"/>
          <w:sz w:val="24"/>
          <w:szCs w:val="24"/>
        </w:rPr>
        <w:t xml:space="preserve">the information by investors </w:t>
      </w:r>
      <w:r w:rsidR="005224E8" w:rsidRPr="005224E8">
        <w:rPr>
          <w:rFonts w:ascii="Times New Roman" w:hAnsi="Times New Roman" w:cs="Times New Roman"/>
          <w:sz w:val="24"/>
          <w:szCs w:val="24"/>
        </w:rPr>
        <w:t xml:space="preserve">(Francis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Kanagaretnam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Zhang 2006).</w:t>
      </w:r>
    </w:p>
    <w:p w14:paraId="6AF4BD1A" w14:textId="77777777" w:rsidR="00AB5C3C" w:rsidRDefault="00AB5C3C" w:rsidP="008F42C0">
      <w:pPr>
        <w:tabs>
          <w:tab w:val="left" w:pos="567"/>
        </w:tabs>
        <w:spacing w:after="0" w:line="288" w:lineRule="auto"/>
        <w:jc w:val="both"/>
        <w:rPr>
          <w:rFonts w:ascii="Times New Roman" w:hAnsi="Times New Roman" w:cs="Times New Roman"/>
          <w:sz w:val="24"/>
          <w:szCs w:val="24"/>
        </w:rPr>
      </w:pPr>
    </w:p>
    <w:p w14:paraId="75D68840" w14:textId="1337A969" w:rsidR="002F5B26"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C2B02">
        <w:rPr>
          <w:rFonts w:ascii="Times New Roman" w:hAnsi="Times New Roman" w:cs="Times New Roman"/>
          <w:sz w:val="24"/>
          <w:szCs w:val="24"/>
        </w:rPr>
        <w:t>Second</w:t>
      </w:r>
      <w:r>
        <w:rPr>
          <w:rFonts w:ascii="Times New Roman" w:hAnsi="Times New Roman" w:cs="Times New Roman"/>
          <w:sz w:val="24"/>
          <w:szCs w:val="24"/>
        </w:rPr>
        <w:t>ly,</w:t>
      </w:r>
      <w:r w:rsidR="001C2B02">
        <w:rPr>
          <w:rFonts w:ascii="Times New Roman" w:hAnsi="Times New Roman" w:cs="Times New Roman"/>
          <w:sz w:val="24"/>
          <w:szCs w:val="24"/>
        </w:rPr>
        <w:t xml:space="preserve"> as a by-product of our research, we are the first study </w:t>
      </w:r>
      <w:r w:rsidR="006C70B4" w:rsidRPr="006C70B4">
        <w:rPr>
          <w:rFonts w:ascii="Times New Roman" w:hAnsi="Times New Roman" w:cs="Times New Roman"/>
          <w:sz w:val="24"/>
          <w:szCs w:val="24"/>
        </w:rPr>
        <w:t xml:space="preserve">to show that investors exhibit </w:t>
      </w:r>
      <w:r w:rsidR="001C2B02">
        <w:rPr>
          <w:rFonts w:ascii="Times New Roman" w:hAnsi="Times New Roman" w:cs="Times New Roman"/>
          <w:sz w:val="24"/>
          <w:szCs w:val="24"/>
        </w:rPr>
        <w:t>a</w:t>
      </w:r>
      <w:r w:rsidR="00575A04">
        <w:rPr>
          <w:rFonts w:ascii="Times New Roman" w:hAnsi="Times New Roman" w:cs="Times New Roman"/>
          <w:sz w:val="24"/>
          <w:szCs w:val="24"/>
        </w:rPr>
        <w:t xml:space="preserve"> </w:t>
      </w:r>
      <w:r w:rsidR="006C70B4" w:rsidRPr="006C70B4">
        <w:rPr>
          <w:rFonts w:ascii="Times New Roman" w:hAnsi="Times New Roman" w:cs="Times New Roman"/>
          <w:sz w:val="24"/>
          <w:szCs w:val="24"/>
        </w:rPr>
        <w:t xml:space="preserve">very different reaction to market uncertainty </w:t>
      </w:r>
      <w:r w:rsidR="001C2B02">
        <w:rPr>
          <w:rFonts w:ascii="Times New Roman" w:hAnsi="Times New Roman" w:cs="Times New Roman"/>
          <w:sz w:val="24"/>
          <w:szCs w:val="24"/>
        </w:rPr>
        <w:t>than they do to</w:t>
      </w:r>
      <w:r w:rsidR="006C70B4" w:rsidRPr="006C70B4">
        <w:rPr>
          <w:rFonts w:ascii="Times New Roman" w:hAnsi="Times New Roman" w:cs="Times New Roman"/>
          <w:sz w:val="24"/>
          <w:szCs w:val="24"/>
        </w:rPr>
        <w:t xml:space="preserve"> firm level </w:t>
      </w:r>
      <w:r w:rsidR="00575A04">
        <w:rPr>
          <w:rFonts w:ascii="Times New Roman" w:hAnsi="Times New Roman" w:cs="Times New Roman"/>
          <w:sz w:val="24"/>
          <w:szCs w:val="24"/>
        </w:rPr>
        <w:t xml:space="preserve">information </w:t>
      </w:r>
      <w:r w:rsidR="006C70B4" w:rsidRPr="006C70B4">
        <w:rPr>
          <w:rFonts w:ascii="Times New Roman" w:hAnsi="Times New Roman" w:cs="Times New Roman"/>
          <w:sz w:val="24"/>
          <w:szCs w:val="24"/>
        </w:rPr>
        <w:t>uncertainty.</w:t>
      </w:r>
      <w:r w:rsidR="006C70B4">
        <w:rPr>
          <w:rFonts w:ascii="Times New Roman" w:hAnsi="Times New Roman" w:cs="Times New Roman"/>
          <w:sz w:val="24"/>
          <w:szCs w:val="24"/>
        </w:rPr>
        <w:t xml:space="preserve"> </w:t>
      </w:r>
      <w:r w:rsidR="006C70B4" w:rsidRPr="006C70B4">
        <w:rPr>
          <w:rFonts w:ascii="Times New Roman" w:hAnsi="Times New Roman" w:cs="Times New Roman"/>
          <w:sz w:val="24"/>
          <w:szCs w:val="24"/>
        </w:rPr>
        <w:t xml:space="preserve">Consistent with previous studies on macro level uncertainty, we show that </w:t>
      </w:r>
      <w:r w:rsidR="001C2B02">
        <w:rPr>
          <w:rFonts w:ascii="Times New Roman" w:hAnsi="Times New Roman" w:cs="Times New Roman"/>
          <w:sz w:val="24"/>
          <w:szCs w:val="24"/>
        </w:rPr>
        <w:t xml:space="preserve">a </w:t>
      </w:r>
      <w:r w:rsidR="006C70B4" w:rsidRPr="006C70B4">
        <w:rPr>
          <w:rFonts w:ascii="Times New Roman" w:hAnsi="Times New Roman" w:cs="Times New Roman"/>
          <w:sz w:val="24"/>
          <w:szCs w:val="24"/>
        </w:rPr>
        <w:t>high level of ma</w:t>
      </w:r>
      <w:r w:rsidR="001C2B02">
        <w:rPr>
          <w:rFonts w:ascii="Times New Roman" w:hAnsi="Times New Roman" w:cs="Times New Roman"/>
          <w:sz w:val="24"/>
          <w:szCs w:val="24"/>
        </w:rPr>
        <w:t xml:space="preserve">rket </w:t>
      </w:r>
      <w:r w:rsidR="006C70B4" w:rsidRPr="006C70B4">
        <w:rPr>
          <w:rFonts w:ascii="Times New Roman" w:hAnsi="Times New Roman" w:cs="Times New Roman"/>
          <w:sz w:val="24"/>
          <w:szCs w:val="24"/>
        </w:rPr>
        <w:t xml:space="preserve">uncertainty can assert an asymmetric effect on </w:t>
      </w:r>
      <w:r w:rsidR="005F20D9">
        <w:rPr>
          <w:rFonts w:ascii="Times New Roman" w:hAnsi="Times New Roman" w:cs="Times New Roman"/>
          <w:sz w:val="24"/>
          <w:szCs w:val="24"/>
        </w:rPr>
        <w:t xml:space="preserve">the investors’ </w:t>
      </w:r>
      <w:r w:rsidR="006C70B4" w:rsidRPr="006C70B4">
        <w:rPr>
          <w:rFonts w:ascii="Times New Roman" w:hAnsi="Times New Roman" w:cs="Times New Roman"/>
          <w:sz w:val="24"/>
          <w:szCs w:val="24"/>
        </w:rPr>
        <w:t xml:space="preserve">reaction to earnings news, reducing reaction to good news </w:t>
      </w:r>
      <w:r w:rsidR="001C2B02">
        <w:rPr>
          <w:rFonts w:ascii="Times New Roman" w:hAnsi="Times New Roman" w:cs="Times New Roman"/>
          <w:sz w:val="24"/>
          <w:szCs w:val="24"/>
        </w:rPr>
        <w:t>but</w:t>
      </w:r>
      <w:r w:rsidR="006C70B4" w:rsidRPr="006C70B4">
        <w:rPr>
          <w:rFonts w:ascii="Times New Roman" w:hAnsi="Times New Roman" w:cs="Times New Roman"/>
          <w:sz w:val="24"/>
          <w:szCs w:val="24"/>
        </w:rPr>
        <w:t xml:space="preserve"> exacerbating reaction to bad new</w:t>
      </w:r>
      <w:r w:rsidR="006C70B4">
        <w:rPr>
          <w:rFonts w:ascii="Times New Roman" w:hAnsi="Times New Roman" w:cs="Times New Roman"/>
          <w:sz w:val="24"/>
          <w:szCs w:val="24"/>
        </w:rPr>
        <w:t>s.</w:t>
      </w:r>
      <w:r w:rsidR="006C70B4" w:rsidRPr="006C70B4">
        <w:rPr>
          <w:rFonts w:ascii="Times New Roman" w:hAnsi="Times New Roman" w:cs="Times New Roman"/>
          <w:sz w:val="24"/>
          <w:szCs w:val="24"/>
        </w:rPr>
        <w:t xml:space="preserve"> For firm level information uncertainty, however, our results show that </w:t>
      </w:r>
      <w:r w:rsidR="006C70B4">
        <w:rPr>
          <w:rFonts w:ascii="Times New Roman" w:hAnsi="Times New Roman" w:cs="Times New Roman"/>
          <w:sz w:val="24"/>
          <w:szCs w:val="24"/>
        </w:rPr>
        <w:t xml:space="preserve">a </w:t>
      </w:r>
      <w:r w:rsidR="006C70B4" w:rsidRPr="006C70B4">
        <w:rPr>
          <w:rFonts w:ascii="Times New Roman" w:hAnsi="Times New Roman" w:cs="Times New Roman"/>
          <w:sz w:val="24"/>
          <w:szCs w:val="24"/>
        </w:rPr>
        <w:t>high level of information uncertainty diminishes investor reaction to both good and bad news.</w:t>
      </w:r>
      <w:r w:rsidR="008E54EF">
        <w:rPr>
          <w:rFonts w:ascii="Times New Roman" w:hAnsi="Times New Roman" w:cs="Times New Roman"/>
          <w:sz w:val="24"/>
          <w:szCs w:val="24"/>
        </w:rPr>
        <w:t xml:space="preserve"> </w:t>
      </w:r>
      <w:r w:rsidR="006C70B4" w:rsidRPr="006C70B4">
        <w:rPr>
          <w:rFonts w:ascii="Times New Roman" w:hAnsi="Times New Roman" w:cs="Times New Roman"/>
          <w:sz w:val="24"/>
          <w:szCs w:val="24"/>
        </w:rPr>
        <w:t>Further</w:t>
      </w:r>
      <w:r w:rsidR="008E54EF">
        <w:rPr>
          <w:rFonts w:ascii="Times New Roman" w:hAnsi="Times New Roman" w:cs="Times New Roman"/>
          <w:sz w:val="24"/>
          <w:szCs w:val="24"/>
        </w:rPr>
        <w:t>,</w:t>
      </w:r>
      <w:r w:rsidR="006C70B4" w:rsidRPr="006C70B4">
        <w:rPr>
          <w:rFonts w:ascii="Times New Roman" w:hAnsi="Times New Roman" w:cs="Times New Roman"/>
          <w:sz w:val="24"/>
          <w:szCs w:val="24"/>
        </w:rPr>
        <w:t xml:space="preserve"> this apparent reluctance to act on information continues in the post earnings</w:t>
      </w:r>
      <w:r w:rsidR="00575A04">
        <w:rPr>
          <w:rFonts w:ascii="Times New Roman" w:hAnsi="Times New Roman" w:cs="Times New Roman"/>
          <w:sz w:val="24"/>
          <w:szCs w:val="24"/>
        </w:rPr>
        <w:t xml:space="preserve"> </w:t>
      </w:r>
      <w:r w:rsidR="006C70B4" w:rsidRPr="006C70B4">
        <w:rPr>
          <w:rFonts w:ascii="Times New Roman" w:hAnsi="Times New Roman" w:cs="Times New Roman"/>
          <w:sz w:val="24"/>
          <w:szCs w:val="24"/>
        </w:rPr>
        <w:t xml:space="preserve">period with high level of information uncertainty significantly reducing the PEAD. </w:t>
      </w:r>
      <w:r w:rsidR="002F5B26">
        <w:rPr>
          <w:rFonts w:ascii="Times New Roman" w:hAnsi="Times New Roman" w:cs="Times New Roman"/>
          <w:sz w:val="24"/>
          <w:szCs w:val="24"/>
        </w:rPr>
        <w:t>The implication being that</w:t>
      </w:r>
      <w:r w:rsidR="006C70B4" w:rsidRPr="006C70B4">
        <w:rPr>
          <w:rFonts w:ascii="Times New Roman" w:hAnsi="Times New Roman" w:cs="Times New Roman"/>
          <w:sz w:val="24"/>
          <w:szCs w:val="24"/>
        </w:rPr>
        <w:t xml:space="preserve"> </w:t>
      </w:r>
      <w:r w:rsidR="00575A04">
        <w:rPr>
          <w:rFonts w:ascii="Times New Roman" w:hAnsi="Times New Roman" w:cs="Times New Roman"/>
          <w:sz w:val="24"/>
          <w:szCs w:val="24"/>
        </w:rPr>
        <w:t xml:space="preserve">a </w:t>
      </w:r>
      <w:r w:rsidR="002F5B26" w:rsidRPr="002F5B26">
        <w:rPr>
          <w:rFonts w:ascii="Times New Roman" w:hAnsi="Times New Roman" w:cs="Times New Roman"/>
          <w:sz w:val="24"/>
          <w:szCs w:val="24"/>
        </w:rPr>
        <w:t xml:space="preserve">firm </w:t>
      </w:r>
      <w:r w:rsidR="00252819">
        <w:rPr>
          <w:rFonts w:ascii="Times New Roman" w:hAnsi="Times New Roman" w:cs="Times New Roman"/>
          <w:sz w:val="24"/>
          <w:szCs w:val="24"/>
        </w:rPr>
        <w:t>that has</w:t>
      </w:r>
      <w:r w:rsidR="002F5B26" w:rsidRPr="002F5B26">
        <w:rPr>
          <w:rFonts w:ascii="Times New Roman" w:hAnsi="Times New Roman" w:cs="Times New Roman"/>
          <w:sz w:val="24"/>
          <w:szCs w:val="24"/>
        </w:rPr>
        <w:t xml:space="preserve"> </w:t>
      </w:r>
      <w:r w:rsidR="00575A04">
        <w:rPr>
          <w:rFonts w:ascii="Times New Roman" w:hAnsi="Times New Roman" w:cs="Times New Roman"/>
          <w:sz w:val="24"/>
          <w:szCs w:val="24"/>
        </w:rPr>
        <w:t xml:space="preserve">a </w:t>
      </w:r>
      <w:r w:rsidR="002F5B26" w:rsidRPr="002F5B26">
        <w:rPr>
          <w:rFonts w:ascii="Times New Roman" w:hAnsi="Times New Roman" w:cs="Times New Roman"/>
          <w:sz w:val="24"/>
          <w:szCs w:val="24"/>
        </w:rPr>
        <w:t xml:space="preserve">high level of information uncertainty can be mispriced </w:t>
      </w:r>
      <w:r w:rsidR="002F5B26">
        <w:rPr>
          <w:rFonts w:ascii="Times New Roman" w:hAnsi="Times New Roman" w:cs="Times New Roman"/>
          <w:sz w:val="24"/>
          <w:szCs w:val="24"/>
        </w:rPr>
        <w:t xml:space="preserve">for an extended period of time which has obvious implications for </w:t>
      </w:r>
      <w:r w:rsidR="002F5B26" w:rsidRPr="002F5B26">
        <w:rPr>
          <w:rFonts w:ascii="Times New Roman" w:hAnsi="Times New Roman" w:cs="Times New Roman"/>
          <w:sz w:val="24"/>
          <w:szCs w:val="24"/>
        </w:rPr>
        <w:t xml:space="preserve">the efficiency of the market. </w:t>
      </w:r>
    </w:p>
    <w:p w14:paraId="596ADE49" w14:textId="77777777" w:rsidR="00AB5C3C" w:rsidRPr="002F5B26" w:rsidRDefault="00AB5C3C" w:rsidP="008F42C0">
      <w:pPr>
        <w:tabs>
          <w:tab w:val="left" w:pos="567"/>
        </w:tabs>
        <w:spacing w:after="0" w:line="288" w:lineRule="auto"/>
        <w:jc w:val="both"/>
        <w:rPr>
          <w:rFonts w:ascii="Times New Roman" w:hAnsi="Times New Roman" w:cs="Times New Roman"/>
          <w:sz w:val="24"/>
          <w:szCs w:val="24"/>
        </w:rPr>
      </w:pPr>
    </w:p>
    <w:p w14:paraId="1BC10A57" w14:textId="73DE78BF" w:rsidR="00424FD5" w:rsidRDefault="005224E8" w:rsidP="008F42C0">
      <w:pPr>
        <w:tabs>
          <w:tab w:val="left" w:pos="567"/>
        </w:tabs>
        <w:spacing w:after="0" w:line="288" w:lineRule="auto"/>
        <w:jc w:val="both"/>
        <w:rPr>
          <w:rFonts w:ascii="Times New Roman" w:hAnsi="Times New Roman" w:cs="Times New Roman"/>
          <w:sz w:val="24"/>
          <w:szCs w:val="24"/>
        </w:rPr>
      </w:pPr>
      <w:r w:rsidRPr="005224E8">
        <w:rPr>
          <w:rFonts w:ascii="Times New Roman" w:hAnsi="Times New Roman" w:cs="Times New Roman"/>
          <w:sz w:val="24"/>
          <w:szCs w:val="24"/>
        </w:rPr>
        <w:t>The remainder of this study is organi</w:t>
      </w:r>
      <w:r w:rsidR="00952D55">
        <w:rPr>
          <w:rFonts w:ascii="Times New Roman" w:hAnsi="Times New Roman" w:cs="Times New Roman"/>
          <w:sz w:val="24"/>
          <w:szCs w:val="24"/>
        </w:rPr>
        <w:t>s</w:t>
      </w:r>
      <w:r w:rsidRPr="005224E8">
        <w:rPr>
          <w:rFonts w:ascii="Times New Roman" w:hAnsi="Times New Roman" w:cs="Times New Roman"/>
          <w:sz w:val="24"/>
          <w:szCs w:val="24"/>
        </w:rPr>
        <w:t>ed as follows. Section 2 provides a summary of relevant prior studies and outlines the main research questions. Section 3 describes the sample and methodology used. Section 4 presents the results of our analysis and a battery of robustness tests while section 5 concludes</w:t>
      </w:r>
      <w:r w:rsidR="00A77A23">
        <w:rPr>
          <w:rFonts w:ascii="Times New Roman" w:hAnsi="Times New Roman" w:cs="Times New Roman"/>
          <w:sz w:val="24"/>
          <w:szCs w:val="24"/>
        </w:rPr>
        <w:t>.</w:t>
      </w:r>
    </w:p>
    <w:p w14:paraId="38CB3C9C" w14:textId="77777777" w:rsidR="00AB5C3C" w:rsidRDefault="00AB5C3C" w:rsidP="008F42C0">
      <w:pPr>
        <w:tabs>
          <w:tab w:val="left" w:pos="567"/>
        </w:tabs>
        <w:spacing w:after="0" w:line="288" w:lineRule="auto"/>
        <w:jc w:val="both"/>
        <w:rPr>
          <w:rFonts w:ascii="Times New Roman" w:hAnsi="Times New Roman" w:cs="Times New Roman"/>
          <w:sz w:val="24"/>
          <w:szCs w:val="24"/>
        </w:rPr>
      </w:pPr>
    </w:p>
    <w:p w14:paraId="57B65E1B" w14:textId="77777777" w:rsidR="00C42888" w:rsidRPr="00703E8D" w:rsidRDefault="00C42888" w:rsidP="00212EE5">
      <w:pPr>
        <w:pStyle w:val="ListParagraph"/>
        <w:keepNext/>
        <w:numPr>
          <w:ilvl w:val="0"/>
          <w:numId w:val="1"/>
        </w:numPr>
        <w:tabs>
          <w:tab w:val="left" w:pos="284"/>
        </w:tabs>
        <w:spacing w:after="0" w:line="288"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Literature Review and Research Questions</w:t>
      </w:r>
    </w:p>
    <w:p w14:paraId="3CDD7E9A" w14:textId="77777777" w:rsidR="00212EE5" w:rsidRPr="0044765D" w:rsidRDefault="00212EE5" w:rsidP="00212EE5">
      <w:pPr>
        <w:pStyle w:val="ListParagraph"/>
        <w:tabs>
          <w:tab w:val="left" w:pos="426"/>
        </w:tabs>
        <w:spacing w:after="0" w:line="288" w:lineRule="auto"/>
        <w:ind w:left="0"/>
        <w:jc w:val="both"/>
        <w:rPr>
          <w:rFonts w:ascii="Times New Roman" w:hAnsi="Times New Roman" w:cs="Times New Roman"/>
          <w:b/>
          <w:bCs/>
          <w:sz w:val="6"/>
          <w:szCs w:val="6"/>
        </w:rPr>
      </w:pPr>
    </w:p>
    <w:p w14:paraId="40A82CF2" w14:textId="07BB70A7" w:rsidR="005224E8" w:rsidRPr="00906B05" w:rsidRDefault="005224E8" w:rsidP="00212EE5">
      <w:pPr>
        <w:pStyle w:val="ListParagraph"/>
        <w:numPr>
          <w:ilvl w:val="1"/>
          <w:numId w:val="1"/>
        </w:numPr>
        <w:tabs>
          <w:tab w:val="left" w:pos="426"/>
        </w:tabs>
        <w:spacing w:after="0" w:line="288" w:lineRule="auto"/>
        <w:ind w:left="0" w:firstLine="0"/>
        <w:jc w:val="both"/>
        <w:rPr>
          <w:rFonts w:ascii="Times New Roman" w:hAnsi="Times New Roman" w:cs="Times New Roman"/>
          <w:b/>
          <w:bCs/>
          <w:sz w:val="24"/>
          <w:szCs w:val="24"/>
        </w:rPr>
      </w:pPr>
      <w:r w:rsidRPr="00906B05">
        <w:rPr>
          <w:rFonts w:ascii="Times New Roman" w:hAnsi="Times New Roman" w:cs="Times New Roman"/>
          <w:b/>
          <w:bCs/>
          <w:sz w:val="24"/>
          <w:szCs w:val="24"/>
        </w:rPr>
        <w:t>Literature Review</w:t>
      </w:r>
    </w:p>
    <w:p w14:paraId="1ABC2114" w14:textId="77777777" w:rsidR="00212EE5" w:rsidRPr="00212EE5" w:rsidRDefault="00212EE5" w:rsidP="008F42C0">
      <w:pPr>
        <w:tabs>
          <w:tab w:val="left" w:pos="567"/>
        </w:tabs>
        <w:spacing w:after="0" w:line="288" w:lineRule="auto"/>
        <w:jc w:val="both"/>
        <w:rPr>
          <w:rFonts w:ascii="Times New Roman" w:hAnsi="Times New Roman" w:cs="Times New Roman"/>
          <w:sz w:val="4"/>
          <w:szCs w:val="4"/>
        </w:rPr>
      </w:pPr>
    </w:p>
    <w:p w14:paraId="690A4A6C" w14:textId="4308B4DA" w:rsidR="005224E8" w:rsidRDefault="005224E8" w:rsidP="008F42C0">
      <w:pPr>
        <w:tabs>
          <w:tab w:val="left" w:pos="567"/>
        </w:tabs>
        <w:spacing w:after="0" w:line="288" w:lineRule="auto"/>
        <w:jc w:val="both"/>
        <w:rPr>
          <w:rFonts w:ascii="Times New Roman" w:hAnsi="Times New Roman" w:cs="Times New Roman"/>
          <w:sz w:val="24"/>
          <w:szCs w:val="24"/>
        </w:rPr>
      </w:pPr>
      <w:r w:rsidRPr="005224E8">
        <w:rPr>
          <w:rFonts w:ascii="Times New Roman" w:hAnsi="Times New Roman" w:cs="Times New Roman"/>
          <w:sz w:val="24"/>
          <w:szCs w:val="24"/>
        </w:rPr>
        <w:t xml:space="preserve">Findings in the literature suggest that </w:t>
      </w:r>
      <w:r w:rsidR="00252819">
        <w:rPr>
          <w:rFonts w:ascii="Times New Roman" w:hAnsi="Times New Roman" w:cs="Times New Roman"/>
          <w:sz w:val="24"/>
          <w:szCs w:val="24"/>
        </w:rPr>
        <w:t>market conditions</w:t>
      </w:r>
      <w:r w:rsidR="00252819" w:rsidRPr="005224E8">
        <w:rPr>
          <w:rFonts w:ascii="Times New Roman" w:hAnsi="Times New Roman" w:cs="Times New Roman"/>
          <w:sz w:val="24"/>
          <w:szCs w:val="24"/>
        </w:rPr>
        <w:t xml:space="preserve"> </w:t>
      </w:r>
      <w:r w:rsidRPr="005224E8">
        <w:rPr>
          <w:rFonts w:ascii="Times New Roman" w:hAnsi="Times New Roman" w:cs="Times New Roman"/>
          <w:sz w:val="24"/>
          <w:szCs w:val="24"/>
        </w:rPr>
        <w:t xml:space="preserve">such as the prevailing level of </w:t>
      </w:r>
      <w:r w:rsidR="00050A96">
        <w:rPr>
          <w:rFonts w:ascii="Times New Roman" w:hAnsi="Times New Roman" w:cs="Times New Roman"/>
          <w:sz w:val="24"/>
          <w:szCs w:val="24"/>
        </w:rPr>
        <w:t xml:space="preserve">market </w:t>
      </w:r>
      <w:r w:rsidRPr="005224E8">
        <w:rPr>
          <w:rFonts w:ascii="Times New Roman" w:hAnsi="Times New Roman" w:cs="Times New Roman"/>
          <w:sz w:val="24"/>
          <w:szCs w:val="24"/>
        </w:rPr>
        <w:t>uncertainty and the overall sentiment of market participants exert a significant influence on how investors interpret and react to the influx of information (</w:t>
      </w:r>
      <w:r w:rsidR="00212EE5">
        <w:rPr>
          <w:rFonts w:ascii="Times New Roman" w:hAnsi="Times New Roman" w:cs="Times New Roman"/>
          <w:sz w:val="24"/>
          <w:szCs w:val="24"/>
        </w:rPr>
        <w:t>for example,</w:t>
      </w:r>
      <w:r w:rsidRPr="005224E8">
        <w:rPr>
          <w:rFonts w:ascii="Times New Roman" w:hAnsi="Times New Roman" w:cs="Times New Roman"/>
          <w:sz w:val="24"/>
          <w:szCs w:val="24"/>
        </w:rPr>
        <w:t xml:space="preserve"> Anderson </w:t>
      </w:r>
      <w:r w:rsidR="006D1807" w:rsidRPr="006D1807">
        <w:rPr>
          <w:rFonts w:ascii="Times New Roman" w:hAnsi="Times New Roman" w:cs="Times New Roman"/>
          <w:i/>
          <w:iCs/>
          <w:sz w:val="24"/>
          <w:szCs w:val="24"/>
        </w:rPr>
        <w:t>et al.</w:t>
      </w:r>
      <w:r w:rsidRPr="005224E8">
        <w:rPr>
          <w:rFonts w:ascii="Times New Roman" w:hAnsi="Times New Roman" w:cs="Times New Roman"/>
          <w:sz w:val="24"/>
          <w:szCs w:val="24"/>
        </w:rPr>
        <w:t xml:space="preserve"> 2009</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Bird and Yeung 2012</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Epstein and Schneider</w:t>
      </w:r>
      <w:r w:rsidR="00212EE5">
        <w:rPr>
          <w:rFonts w:ascii="Times New Roman" w:hAnsi="Times New Roman" w:cs="Times New Roman"/>
          <w:sz w:val="24"/>
          <w:szCs w:val="24"/>
        </w:rPr>
        <w:t xml:space="preserve"> </w:t>
      </w:r>
      <w:r w:rsidRPr="005224E8">
        <w:rPr>
          <w:rFonts w:ascii="Times New Roman" w:hAnsi="Times New Roman" w:cs="Times New Roman"/>
          <w:sz w:val="24"/>
          <w:szCs w:val="24"/>
        </w:rPr>
        <w:t>2008</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Ozoguz 2009). The separation between the concepts of risk and </w:t>
      </w:r>
      <w:r w:rsidRPr="005224E8">
        <w:rPr>
          <w:rFonts w:ascii="Times New Roman" w:hAnsi="Times New Roman" w:cs="Times New Roman"/>
          <w:i/>
          <w:iCs/>
          <w:sz w:val="24"/>
          <w:szCs w:val="24"/>
        </w:rPr>
        <w:t>uncertainty</w:t>
      </w:r>
      <w:r w:rsidRPr="005224E8">
        <w:rPr>
          <w:rFonts w:ascii="Times New Roman" w:hAnsi="Times New Roman" w:cs="Times New Roman"/>
          <w:sz w:val="24"/>
          <w:szCs w:val="24"/>
        </w:rPr>
        <w:t xml:space="preserve"> first discussed in the work of Knight (1921) and then Keynes (1937), laid down the foundation for a stream of research that looks at how uncertainty affects </w:t>
      </w:r>
      <w:r w:rsidRPr="005224E8">
        <w:rPr>
          <w:rFonts w:ascii="Times New Roman" w:hAnsi="Times New Roman" w:cs="Times New Roman"/>
          <w:sz w:val="24"/>
          <w:szCs w:val="24"/>
        </w:rPr>
        <w:lastRenderedPageBreak/>
        <w:t xml:space="preserve">asset prices outside the framework of traditional asset pricing models. For example, the theoretical work of Chen and Epstein (2002) shows that excess returns for a security are made of a risk premium and an ambiguity or uncertainty premium. The empirical results of Anderson et al. (2009), Connolly </w:t>
      </w:r>
      <w:r w:rsidRPr="002A6532">
        <w:rPr>
          <w:rFonts w:ascii="Times New Roman" w:hAnsi="Times New Roman" w:cs="Times New Roman"/>
          <w:i/>
          <w:iCs/>
          <w:sz w:val="24"/>
          <w:szCs w:val="24"/>
        </w:rPr>
        <w:t>et al.</w:t>
      </w:r>
      <w:r w:rsidRPr="005224E8">
        <w:rPr>
          <w:rFonts w:ascii="Times New Roman" w:hAnsi="Times New Roman" w:cs="Times New Roman"/>
          <w:sz w:val="24"/>
          <w:szCs w:val="24"/>
        </w:rPr>
        <w:t xml:space="preserve"> (2005), Epstein and Schneider (2008), and Ozoguz (2009), among others, document the presence of a strong relation between uncertainty and return, confirming the existence of an uncertainty premium. </w:t>
      </w:r>
      <w:r w:rsidR="00050A96">
        <w:rPr>
          <w:rFonts w:ascii="Times New Roman" w:hAnsi="Times New Roman" w:cs="Times New Roman"/>
          <w:sz w:val="24"/>
          <w:szCs w:val="24"/>
        </w:rPr>
        <w:t>S</w:t>
      </w:r>
      <w:r w:rsidR="00D97F41" w:rsidRPr="005224E8">
        <w:rPr>
          <w:rFonts w:ascii="Times New Roman" w:hAnsi="Times New Roman" w:cs="Times New Roman"/>
          <w:sz w:val="24"/>
          <w:szCs w:val="24"/>
        </w:rPr>
        <w:t>everal</w:t>
      </w:r>
      <w:r w:rsidRPr="005224E8">
        <w:rPr>
          <w:rFonts w:ascii="Times New Roman" w:hAnsi="Times New Roman" w:cs="Times New Roman"/>
          <w:sz w:val="24"/>
          <w:szCs w:val="24"/>
        </w:rPr>
        <w:t xml:space="preserve"> empirical studies found that the asymmetric response to earnings surprise is primarily caused by uncertainty</w:t>
      </w:r>
      <w:r w:rsidR="000E1CA5">
        <w:rPr>
          <w:rFonts w:ascii="Times New Roman" w:hAnsi="Times New Roman" w:cs="Times New Roman"/>
          <w:sz w:val="24"/>
          <w:szCs w:val="24"/>
        </w:rPr>
        <w:t>,</w:t>
      </w:r>
      <w:r w:rsidRPr="005224E8">
        <w:rPr>
          <w:rFonts w:ascii="Times New Roman" w:hAnsi="Times New Roman" w:cs="Times New Roman"/>
          <w:sz w:val="24"/>
          <w:szCs w:val="24"/>
        </w:rPr>
        <w:t xml:space="preserve"> whether economy-wide or firm-specific (Bird and Yeung 2012</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Choi 2014</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Jiang </w:t>
      </w:r>
      <w:r w:rsidR="006D1807" w:rsidRPr="006D1807">
        <w:rPr>
          <w:rFonts w:ascii="Times New Roman" w:hAnsi="Times New Roman" w:cs="Times New Roman"/>
          <w:i/>
          <w:iCs/>
          <w:sz w:val="24"/>
          <w:szCs w:val="24"/>
        </w:rPr>
        <w:t>et al.</w:t>
      </w:r>
      <w:r w:rsidRPr="005224E8">
        <w:rPr>
          <w:rFonts w:ascii="Times New Roman" w:hAnsi="Times New Roman" w:cs="Times New Roman"/>
          <w:sz w:val="24"/>
          <w:szCs w:val="24"/>
        </w:rPr>
        <w:t xml:space="preserve"> 2005</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Williams 2015</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Zhang 2006). Further</w:t>
      </w:r>
      <w:r w:rsidR="002A6532">
        <w:rPr>
          <w:rFonts w:ascii="Times New Roman" w:hAnsi="Times New Roman" w:cs="Times New Roman"/>
          <w:sz w:val="24"/>
          <w:szCs w:val="24"/>
        </w:rPr>
        <w:t>more</w:t>
      </w:r>
      <w:r w:rsidRPr="005224E8">
        <w:rPr>
          <w:rFonts w:ascii="Times New Roman" w:hAnsi="Times New Roman" w:cs="Times New Roman"/>
          <w:sz w:val="24"/>
          <w:szCs w:val="24"/>
        </w:rPr>
        <w:t xml:space="preserve">, </w:t>
      </w:r>
      <w:r w:rsidR="000E1CA5">
        <w:rPr>
          <w:rFonts w:ascii="Times New Roman" w:hAnsi="Times New Roman" w:cs="Times New Roman"/>
          <w:sz w:val="24"/>
          <w:szCs w:val="24"/>
        </w:rPr>
        <w:t xml:space="preserve">it has been suggested that </w:t>
      </w:r>
      <w:r w:rsidRPr="005224E8">
        <w:rPr>
          <w:rFonts w:ascii="Times New Roman" w:hAnsi="Times New Roman" w:cs="Times New Roman"/>
          <w:sz w:val="24"/>
          <w:szCs w:val="24"/>
        </w:rPr>
        <w:t xml:space="preserve">uncertainty is </w:t>
      </w:r>
      <w:r w:rsidR="000E1CA5">
        <w:rPr>
          <w:rFonts w:ascii="Times New Roman" w:hAnsi="Times New Roman" w:cs="Times New Roman"/>
          <w:sz w:val="24"/>
          <w:szCs w:val="24"/>
        </w:rPr>
        <w:t xml:space="preserve">a major contributor to the </w:t>
      </w:r>
      <w:r w:rsidRPr="005224E8">
        <w:rPr>
          <w:rFonts w:ascii="Times New Roman" w:hAnsi="Times New Roman" w:cs="Times New Roman"/>
          <w:sz w:val="24"/>
          <w:szCs w:val="24"/>
        </w:rPr>
        <w:t>persistence of the PEAD (</w:t>
      </w:r>
      <w:bookmarkStart w:id="0" w:name="_Hlk35230116"/>
      <w:r w:rsidRPr="005224E8">
        <w:rPr>
          <w:rFonts w:ascii="Times New Roman" w:hAnsi="Times New Roman" w:cs="Times New Roman"/>
          <w:sz w:val="24"/>
          <w:szCs w:val="24"/>
        </w:rPr>
        <w:t xml:space="preserve">Bird </w:t>
      </w:r>
      <w:r w:rsidR="006D1807" w:rsidRPr="006D1807">
        <w:rPr>
          <w:rFonts w:ascii="Times New Roman" w:hAnsi="Times New Roman" w:cs="Times New Roman"/>
          <w:i/>
          <w:iCs/>
          <w:sz w:val="24"/>
          <w:szCs w:val="24"/>
        </w:rPr>
        <w:t>et al.</w:t>
      </w:r>
      <w:r w:rsidRPr="005224E8">
        <w:rPr>
          <w:rFonts w:ascii="Times New Roman" w:hAnsi="Times New Roman" w:cs="Times New Roman"/>
          <w:sz w:val="24"/>
          <w:szCs w:val="24"/>
        </w:rPr>
        <w:t xml:space="preserve"> 2014</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w:t>
      </w:r>
      <w:bookmarkEnd w:id="0"/>
      <w:r w:rsidRPr="005224E8">
        <w:rPr>
          <w:rFonts w:ascii="Times New Roman" w:hAnsi="Times New Roman" w:cs="Times New Roman"/>
          <w:sz w:val="24"/>
          <w:szCs w:val="24"/>
        </w:rPr>
        <w:t>Caskey 2009</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Francis </w:t>
      </w:r>
      <w:r w:rsidR="006D1807" w:rsidRPr="006D1807">
        <w:rPr>
          <w:rFonts w:ascii="Times New Roman" w:hAnsi="Times New Roman" w:cs="Times New Roman"/>
          <w:i/>
          <w:iCs/>
          <w:sz w:val="24"/>
          <w:szCs w:val="24"/>
        </w:rPr>
        <w:t>et al.</w:t>
      </w:r>
      <w:r w:rsidRPr="005224E8">
        <w:rPr>
          <w:rFonts w:ascii="Times New Roman" w:hAnsi="Times New Roman" w:cs="Times New Roman"/>
          <w:sz w:val="24"/>
          <w:szCs w:val="24"/>
        </w:rPr>
        <w:t xml:space="preserve"> 2007</w:t>
      </w:r>
      <w:r w:rsidR="00E77BD7" w:rsidRPr="00E77BD7">
        <w:rPr>
          <w:rFonts w:ascii="Times New Roman" w:hAnsi="Times New Roman" w:cs="Times New Roman"/>
          <w:sz w:val="24"/>
          <w:szCs w:val="24"/>
        </w:rPr>
        <w:t>,</w:t>
      </w:r>
      <w:r w:rsidRPr="005224E8">
        <w:rPr>
          <w:rFonts w:ascii="Times New Roman" w:hAnsi="Times New Roman" w:cs="Times New Roman"/>
          <w:sz w:val="24"/>
          <w:szCs w:val="24"/>
        </w:rPr>
        <w:t xml:space="preserve"> Gerard 2012). </w:t>
      </w:r>
    </w:p>
    <w:p w14:paraId="3E8A23D9" w14:textId="77777777" w:rsidR="00AB5C3C" w:rsidRPr="005224E8" w:rsidRDefault="00AB5C3C" w:rsidP="008F42C0">
      <w:pPr>
        <w:tabs>
          <w:tab w:val="left" w:pos="567"/>
        </w:tabs>
        <w:spacing w:after="0" w:line="288" w:lineRule="auto"/>
        <w:jc w:val="both"/>
        <w:rPr>
          <w:rFonts w:ascii="Times New Roman" w:hAnsi="Times New Roman" w:cs="Times New Roman"/>
          <w:sz w:val="24"/>
          <w:szCs w:val="24"/>
        </w:rPr>
      </w:pPr>
    </w:p>
    <w:p w14:paraId="4AD5F14B" w14:textId="3424781B" w:rsidR="005224E8"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It has been found that the </w:t>
      </w:r>
      <w:r w:rsidR="005224E8" w:rsidRPr="005224E8">
        <w:rPr>
          <w:rFonts w:ascii="Times New Roman" w:hAnsi="Times New Roman" w:cs="Times New Roman"/>
          <w:i/>
          <w:iCs/>
          <w:sz w:val="24"/>
          <w:szCs w:val="24"/>
        </w:rPr>
        <w:t xml:space="preserve">sentiment </w:t>
      </w:r>
      <w:r w:rsidR="005224E8" w:rsidRPr="005224E8">
        <w:rPr>
          <w:rFonts w:ascii="Times New Roman" w:hAnsi="Times New Roman" w:cs="Times New Roman"/>
          <w:sz w:val="24"/>
          <w:szCs w:val="24"/>
        </w:rPr>
        <w:t xml:space="preserve">of market participants also plays an important role in determining the direction and extent of their reaction to new information (De Long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1990). For instance, </w:t>
      </w:r>
      <w:r w:rsidR="008E4511" w:rsidRPr="005224E8">
        <w:rPr>
          <w:rFonts w:ascii="Times New Roman" w:hAnsi="Times New Roman" w:cs="Times New Roman"/>
          <w:sz w:val="24"/>
          <w:szCs w:val="24"/>
        </w:rPr>
        <w:t>Mian and Sankaraguruswamy</w:t>
      </w:r>
      <w:r w:rsidR="008E4511">
        <w:rPr>
          <w:rFonts w:ascii="Times New Roman" w:hAnsi="Times New Roman" w:cs="Times New Roman"/>
          <w:sz w:val="24"/>
          <w:szCs w:val="24"/>
        </w:rPr>
        <w:t xml:space="preserve"> (</w:t>
      </w:r>
      <w:r w:rsidR="008E4511" w:rsidRPr="005224E8">
        <w:rPr>
          <w:rFonts w:ascii="Times New Roman" w:hAnsi="Times New Roman" w:cs="Times New Roman"/>
          <w:sz w:val="24"/>
          <w:szCs w:val="24"/>
        </w:rPr>
        <w:t>2012</w:t>
      </w:r>
      <w:r w:rsidR="008E4511">
        <w:rPr>
          <w:rFonts w:ascii="Times New Roman" w:hAnsi="Times New Roman" w:cs="Times New Roman"/>
          <w:sz w:val="24"/>
          <w:szCs w:val="24"/>
        </w:rPr>
        <w:t xml:space="preserve">) find that markets are more responsive to good news released during periods of high sentiment </w:t>
      </w:r>
      <w:r w:rsidR="00933F4D">
        <w:rPr>
          <w:rFonts w:ascii="Times New Roman" w:hAnsi="Times New Roman" w:cs="Times New Roman"/>
          <w:sz w:val="24"/>
          <w:szCs w:val="24"/>
        </w:rPr>
        <w:t>as well as</w:t>
      </w:r>
      <w:r w:rsidR="008E4511">
        <w:rPr>
          <w:rFonts w:ascii="Times New Roman" w:hAnsi="Times New Roman" w:cs="Times New Roman"/>
          <w:sz w:val="24"/>
          <w:szCs w:val="24"/>
        </w:rPr>
        <w:t xml:space="preserve"> bad news released during periods of low sentiment. </w:t>
      </w:r>
      <w:r w:rsidR="00F56660" w:rsidRPr="00F56660">
        <w:rPr>
          <w:rFonts w:ascii="Times New Roman" w:hAnsi="Times New Roman" w:cs="Times New Roman"/>
          <w:sz w:val="24"/>
          <w:szCs w:val="24"/>
        </w:rPr>
        <w:t xml:space="preserve">Moreover, Chung </w:t>
      </w:r>
      <w:r w:rsidR="00F56660" w:rsidRPr="005D2DE5">
        <w:rPr>
          <w:rFonts w:ascii="Times New Roman" w:hAnsi="Times New Roman" w:cs="Times New Roman"/>
          <w:i/>
          <w:iCs/>
          <w:sz w:val="24"/>
          <w:szCs w:val="24"/>
        </w:rPr>
        <w:t>et al.</w:t>
      </w:r>
      <w:r w:rsidR="00F56660" w:rsidRPr="00F56660">
        <w:rPr>
          <w:rFonts w:ascii="Times New Roman" w:hAnsi="Times New Roman" w:cs="Times New Roman"/>
          <w:sz w:val="24"/>
          <w:szCs w:val="24"/>
        </w:rPr>
        <w:t xml:space="preserve"> (2012) find that market sentiment helps predict the returns on all portfolios during </w:t>
      </w:r>
      <w:r w:rsidR="008E54EF">
        <w:rPr>
          <w:rFonts w:ascii="Times New Roman" w:hAnsi="Times New Roman" w:cs="Times New Roman"/>
          <w:sz w:val="24"/>
          <w:szCs w:val="24"/>
        </w:rPr>
        <w:t>an economic expansion</w:t>
      </w:r>
      <w:r w:rsidR="00F56660" w:rsidRPr="00F56660">
        <w:rPr>
          <w:rFonts w:ascii="Times New Roman" w:hAnsi="Times New Roman" w:cs="Times New Roman"/>
          <w:sz w:val="24"/>
          <w:szCs w:val="24"/>
        </w:rPr>
        <w:t xml:space="preserve"> state when investors’ optimism increases. Likewise, Baker and Wurgler (2006) report that market sentiment at the beginning of the period impact the expected returns at the end of it for a large subset of US stocks. Additionally, the findings of Baker and Wurgler (2007), Conrad </w:t>
      </w:r>
      <w:r w:rsidR="00F56660" w:rsidRPr="005D2DE5">
        <w:rPr>
          <w:rFonts w:ascii="Times New Roman" w:hAnsi="Times New Roman" w:cs="Times New Roman"/>
          <w:i/>
          <w:iCs/>
          <w:sz w:val="24"/>
          <w:szCs w:val="24"/>
        </w:rPr>
        <w:t>et al.</w:t>
      </w:r>
      <w:r w:rsidR="00F56660" w:rsidRPr="00F56660">
        <w:rPr>
          <w:rFonts w:ascii="Times New Roman" w:hAnsi="Times New Roman" w:cs="Times New Roman"/>
          <w:sz w:val="24"/>
          <w:szCs w:val="24"/>
        </w:rPr>
        <w:t xml:space="preserve"> (2002), Lemmon and Portniaguina (2006), and Zouaoui </w:t>
      </w:r>
      <w:r w:rsidR="00F56660" w:rsidRPr="005D2DE5">
        <w:rPr>
          <w:rFonts w:ascii="Times New Roman" w:hAnsi="Times New Roman" w:cs="Times New Roman"/>
          <w:i/>
          <w:iCs/>
          <w:sz w:val="24"/>
          <w:szCs w:val="24"/>
        </w:rPr>
        <w:t>et al.</w:t>
      </w:r>
      <w:r w:rsidR="00F56660" w:rsidRPr="00F56660">
        <w:rPr>
          <w:rFonts w:ascii="Times New Roman" w:hAnsi="Times New Roman" w:cs="Times New Roman"/>
          <w:sz w:val="24"/>
          <w:szCs w:val="24"/>
        </w:rPr>
        <w:t xml:space="preserve"> (2011), among others, suggest a significant role for market sentiment in predicting stock returns and explaining some market anomalies such as pricing bubbles. </w:t>
      </w:r>
      <w:r w:rsidR="00933F4D" w:rsidRPr="00933F4D">
        <w:rPr>
          <w:rFonts w:ascii="Times New Roman" w:hAnsi="Times New Roman" w:cs="Times New Roman"/>
          <w:sz w:val="24"/>
          <w:szCs w:val="24"/>
        </w:rPr>
        <w:t>Bird and Yeung</w:t>
      </w:r>
      <w:r w:rsidR="00933F4D">
        <w:rPr>
          <w:rFonts w:ascii="Times New Roman" w:hAnsi="Times New Roman" w:cs="Times New Roman"/>
          <w:sz w:val="24"/>
          <w:szCs w:val="24"/>
        </w:rPr>
        <w:t xml:space="preserve"> (</w:t>
      </w:r>
      <w:r w:rsidR="00933F4D" w:rsidRPr="00933F4D">
        <w:rPr>
          <w:rFonts w:ascii="Times New Roman" w:hAnsi="Times New Roman" w:cs="Times New Roman"/>
          <w:sz w:val="24"/>
          <w:szCs w:val="24"/>
        </w:rPr>
        <w:t>2012</w:t>
      </w:r>
      <w:r w:rsidR="00933F4D">
        <w:rPr>
          <w:rFonts w:ascii="Times New Roman" w:hAnsi="Times New Roman" w:cs="Times New Roman"/>
          <w:sz w:val="24"/>
          <w:szCs w:val="24"/>
        </w:rPr>
        <w:t xml:space="preserve">) </w:t>
      </w:r>
      <w:r w:rsidR="00ED12C7">
        <w:rPr>
          <w:rFonts w:ascii="Times New Roman" w:hAnsi="Times New Roman" w:cs="Times New Roman"/>
          <w:sz w:val="24"/>
          <w:szCs w:val="24"/>
        </w:rPr>
        <w:t>find</w:t>
      </w:r>
      <w:r w:rsidR="00933F4D">
        <w:rPr>
          <w:rFonts w:ascii="Times New Roman" w:hAnsi="Times New Roman" w:cs="Times New Roman"/>
          <w:sz w:val="24"/>
          <w:szCs w:val="24"/>
        </w:rPr>
        <w:t xml:space="preserve"> that investor</w:t>
      </w:r>
      <w:r w:rsidR="00AC3D84">
        <w:rPr>
          <w:rFonts w:ascii="Times New Roman" w:hAnsi="Times New Roman" w:cs="Times New Roman"/>
          <w:sz w:val="24"/>
          <w:szCs w:val="24"/>
        </w:rPr>
        <w:t xml:space="preserve"> sentiment interreacts with market uncertainty in influencing how investors respond to earnings announcements to the extent they can override the signal with investors often reacting negatively to good news released at a time </w:t>
      </w:r>
      <w:r w:rsidR="00D52710">
        <w:rPr>
          <w:rFonts w:ascii="Times New Roman" w:hAnsi="Times New Roman" w:cs="Times New Roman"/>
          <w:sz w:val="24"/>
          <w:szCs w:val="24"/>
        </w:rPr>
        <w:t xml:space="preserve">of </w:t>
      </w:r>
      <w:r w:rsidR="00ED12C7">
        <w:rPr>
          <w:rFonts w:ascii="Times New Roman" w:hAnsi="Times New Roman" w:cs="Times New Roman"/>
          <w:sz w:val="24"/>
          <w:szCs w:val="24"/>
        </w:rPr>
        <w:t xml:space="preserve">high </w:t>
      </w:r>
      <w:r w:rsidR="00D52710">
        <w:rPr>
          <w:rFonts w:ascii="Times New Roman" w:hAnsi="Times New Roman" w:cs="Times New Roman"/>
          <w:sz w:val="24"/>
          <w:szCs w:val="24"/>
        </w:rPr>
        <w:t xml:space="preserve">market </w:t>
      </w:r>
      <w:r w:rsidR="00ED12C7">
        <w:rPr>
          <w:rFonts w:ascii="Times New Roman" w:hAnsi="Times New Roman" w:cs="Times New Roman"/>
          <w:sz w:val="24"/>
          <w:szCs w:val="24"/>
        </w:rPr>
        <w:t xml:space="preserve">uncertainty and low </w:t>
      </w:r>
      <w:r w:rsidR="00D52710">
        <w:rPr>
          <w:rFonts w:ascii="Times New Roman" w:hAnsi="Times New Roman" w:cs="Times New Roman"/>
          <w:sz w:val="24"/>
          <w:szCs w:val="24"/>
        </w:rPr>
        <w:t xml:space="preserve">market </w:t>
      </w:r>
      <w:r w:rsidR="00ED12C7">
        <w:rPr>
          <w:rFonts w:ascii="Times New Roman" w:hAnsi="Times New Roman" w:cs="Times New Roman"/>
          <w:sz w:val="24"/>
          <w:szCs w:val="24"/>
        </w:rPr>
        <w:t xml:space="preserve">sentiment. </w:t>
      </w:r>
      <w:r w:rsidR="00ED12C7" w:rsidRPr="00ED12C7">
        <w:rPr>
          <w:rFonts w:ascii="Times New Roman" w:hAnsi="Times New Roman" w:cs="Times New Roman"/>
          <w:sz w:val="24"/>
          <w:szCs w:val="24"/>
        </w:rPr>
        <w:t xml:space="preserve">Bird </w:t>
      </w:r>
      <w:r w:rsidR="00ED12C7" w:rsidRPr="005D2DE5">
        <w:rPr>
          <w:rFonts w:ascii="Times New Roman" w:hAnsi="Times New Roman" w:cs="Times New Roman"/>
          <w:i/>
          <w:iCs/>
          <w:sz w:val="24"/>
          <w:szCs w:val="24"/>
        </w:rPr>
        <w:t>et al.</w:t>
      </w:r>
      <w:r w:rsidR="00ED12C7" w:rsidRPr="00ED12C7">
        <w:rPr>
          <w:rFonts w:ascii="Times New Roman" w:hAnsi="Times New Roman" w:cs="Times New Roman"/>
          <w:sz w:val="24"/>
          <w:szCs w:val="24"/>
        </w:rPr>
        <w:t xml:space="preserve"> </w:t>
      </w:r>
      <w:r w:rsidR="00ED12C7">
        <w:rPr>
          <w:rFonts w:ascii="Times New Roman" w:hAnsi="Times New Roman" w:cs="Times New Roman"/>
          <w:sz w:val="24"/>
          <w:szCs w:val="24"/>
        </w:rPr>
        <w:t>(</w:t>
      </w:r>
      <w:r w:rsidR="00ED12C7" w:rsidRPr="00ED12C7">
        <w:rPr>
          <w:rFonts w:ascii="Times New Roman" w:hAnsi="Times New Roman" w:cs="Times New Roman"/>
          <w:sz w:val="24"/>
          <w:szCs w:val="24"/>
        </w:rPr>
        <w:t>2014</w:t>
      </w:r>
      <w:r w:rsidR="00ED12C7">
        <w:rPr>
          <w:rFonts w:ascii="Times New Roman" w:hAnsi="Times New Roman" w:cs="Times New Roman"/>
          <w:sz w:val="24"/>
          <w:szCs w:val="24"/>
        </w:rPr>
        <w:t xml:space="preserve">) </w:t>
      </w:r>
      <w:r w:rsidR="006359ED">
        <w:rPr>
          <w:rFonts w:ascii="Times New Roman" w:hAnsi="Times New Roman" w:cs="Times New Roman"/>
          <w:sz w:val="24"/>
          <w:szCs w:val="24"/>
        </w:rPr>
        <w:t>also found that investor sentiment an</w:t>
      </w:r>
      <w:r w:rsidR="00A12D1B">
        <w:rPr>
          <w:rFonts w:ascii="Times New Roman" w:hAnsi="Times New Roman" w:cs="Times New Roman"/>
          <w:sz w:val="24"/>
          <w:szCs w:val="24"/>
        </w:rPr>
        <w:t>d</w:t>
      </w:r>
      <w:r w:rsidR="006359ED">
        <w:rPr>
          <w:rFonts w:ascii="Times New Roman" w:hAnsi="Times New Roman" w:cs="Times New Roman"/>
          <w:sz w:val="24"/>
          <w:szCs w:val="24"/>
        </w:rPr>
        <w:t xml:space="preserve"> market uncertainty combine to impact </w:t>
      </w:r>
      <w:r w:rsidR="00F56660">
        <w:rPr>
          <w:rFonts w:ascii="Times New Roman" w:hAnsi="Times New Roman" w:cs="Times New Roman"/>
          <w:sz w:val="24"/>
          <w:szCs w:val="24"/>
        </w:rPr>
        <w:t xml:space="preserve">on any market response to the information in the post-announcement period. </w:t>
      </w:r>
    </w:p>
    <w:p w14:paraId="4DF88144" w14:textId="77777777" w:rsidR="00AB5C3C" w:rsidRPr="005224E8" w:rsidRDefault="00AB5C3C" w:rsidP="008F42C0">
      <w:pPr>
        <w:tabs>
          <w:tab w:val="left" w:pos="567"/>
        </w:tabs>
        <w:spacing w:after="0" w:line="288" w:lineRule="auto"/>
        <w:jc w:val="both"/>
        <w:rPr>
          <w:rFonts w:ascii="Times New Roman" w:hAnsi="Times New Roman" w:cs="Times New Roman"/>
          <w:sz w:val="24"/>
          <w:szCs w:val="24"/>
        </w:rPr>
      </w:pPr>
    </w:p>
    <w:p w14:paraId="0C969ED8" w14:textId="4E8717F3" w:rsidR="005224E8"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An important factor that can influence investors’ reaction to new information, but which has received limited attention in the literature, is </w:t>
      </w:r>
      <w:r w:rsidR="005224E8" w:rsidRPr="00347120">
        <w:rPr>
          <w:rFonts w:ascii="Times New Roman" w:hAnsi="Times New Roman" w:cs="Times New Roman"/>
          <w:i/>
          <w:iCs/>
          <w:sz w:val="24"/>
          <w:szCs w:val="24"/>
        </w:rPr>
        <w:t>corporate governance</w:t>
      </w:r>
      <w:r w:rsidR="005224E8" w:rsidRPr="005224E8">
        <w:rPr>
          <w:rFonts w:ascii="Times New Roman" w:hAnsi="Times New Roman" w:cs="Times New Roman"/>
          <w:sz w:val="24"/>
          <w:szCs w:val="24"/>
        </w:rPr>
        <w:t>. The strength of the firm’s corporate governance framework influences the firm’s information environment through several channels such as improving the quality as well as the quantity and frequency of its disclosures. In a recent study, Beekes</w:t>
      </w:r>
      <w:r w:rsidR="005224E8" w:rsidRPr="005D2DE5">
        <w:rPr>
          <w:rFonts w:ascii="Times New Roman" w:hAnsi="Times New Roman" w:cs="Times New Roman"/>
          <w:i/>
          <w:iCs/>
          <w:sz w:val="24"/>
          <w:szCs w:val="24"/>
        </w:rPr>
        <w:t xml:space="preserve"> et al.</w:t>
      </w:r>
      <w:r w:rsidR="005224E8" w:rsidRPr="005224E8">
        <w:rPr>
          <w:rFonts w:ascii="Times New Roman" w:hAnsi="Times New Roman" w:cs="Times New Roman"/>
          <w:sz w:val="24"/>
          <w:szCs w:val="24"/>
        </w:rPr>
        <w:t xml:space="preserve"> (2016) </w:t>
      </w:r>
      <w:r w:rsidR="00E45FCA">
        <w:rPr>
          <w:rFonts w:ascii="Times New Roman" w:hAnsi="Times New Roman" w:cs="Times New Roman"/>
          <w:sz w:val="24"/>
          <w:szCs w:val="24"/>
        </w:rPr>
        <w:t>study</w:t>
      </w:r>
      <w:r w:rsidR="005224E8" w:rsidRPr="005224E8">
        <w:rPr>
          <w:rFonts w:ascii="Times New Roman" w:hAnsi="Times New Roman" w:cs="Times New Roman"/>
          <w:sz w:val="24"/>
          <w:szCs w:val="24"/>
        </w:rPr>
        <w:t xml:space="preserve"> a sample of more than 5,000 firms from 23 countries in the period between 2003 and 2008 and </w:t>
      </w:r>
      <w:r w:rsidR="00676ACD">
        <w:rPr>
          <w:rFonts w:ascii="Times New Roman" w:hAnsi="Times New Roman" w:cs="Times New Roman"/>
          <w:sz w:val="24"/>
          <w:szCs w:val="24"/>
        </w:rPr>
        <w:t>find</w:t>
      </w:r>
      <w:r w:rsidR="005224E8" w:rsidRPr="005224E8">
        <w:rPr>
          <w:rFonts w:ascii="Times New Roman" w:hAnsi="Times New Roman" w:cs="Times New Roman"/>
          <w:sz w:val="24"/>
          <w:szCs w:val="24"/>
        </w:rPr>
        <w:t xml:space="preserve"> that better governed firms </w:t>
      </w:r>
      <w:r w:rsidR="00347120">
        <w:rPr>
          <w:rFonts w:ascii="Times New Roman" w:hAnsi="Times New Roman" w:cs="Times New Roman"/>
          <w:sz w:val="24"/>
          <w:szCs w:val="24"/>
        </w:rPr>
        <w:t>made</w:t>
      </w:r>
      <w:r w:rsidR="005224E8" w:rsidRPr="005224E8">
        <w:rPr>
          <w:rFonts w:ascii="Times New Roman" w:hAnsi="Times New Roman" w:cs="Times New Roman"/>
          <w:sz w:val="24"/>
          <w:szCs w:val="24"/>
        </w:rPr>
        <w:t xml:space="preserve"> a greater number of disclosures to the market. Their results also show that better governed firms tended to release documents to the market in a timelier fashion, especially when these documents related to bad news. The results of Beekes</w:t>
      </w:r>
      <w:r w:rsidR="005224E8" w:rsidRPr="005D2DE5">
        <w:rPr>
          <w:rFonts w:ascii="Times New Roman" w:hAnsi="Times New Roman" w:cs="Times New Roman"/>
          <w:i/>
          <w:iCs/>
          <w:sz w:val="24"/>
          <w:szCs w:val="24"/>
        </w:rPr>
        <w:t xml:space="preserve"> et al.</w:t>
      </w:r>
      <w:r w:rsidR="005224E8" w:rsidRPr="005224E8">
        <w:rPr>
          <w:rFonts w:ascii="Times New Roman" w:hAnsi="Times New Roman" w:cs="Times New Roman"/>
          <w:sz w:val="24"/>
          <w:szCs w:val="24"/>
        </w:rPr>
        <w:t xml:space="preserve"> (2016) </w:t>
      </w:r>
      <w:r w:rsidR="00676ACD">
        <w:rPr>
          <w:rFonts w:ascii="Times New Roman" w:hAnsi="Times New Roman" w:cs="Times New Roman"/>
          <w:sz w:val="24"/>
          <w:szCs w:val="24"/>
        </w:rPr>
        <w:t>are</w:t>
      </w:r>
      <w:r w:rsidR="005224E8" w:rsidRPr="005224E8">
        <w:rPr>
          <w:rFonts w:ascii="Times New Roman" w:hAnsi="Times New Roman" w:cs="Times New Roman"/>
          <w:sz w:val="24"/>
          <w:szCs w:val="24"/>
        </w:rPr>
        <w:t xml:space="preserve"> similar to those reported in Beekes and Brown (2006) in the Australian market where they </w:t>
      </w:r>
      <w:r w:rsidR="00676ACD">
        <w:rPr>
          <w:rFonts w:ascii="Times New Roman" w:hAnsi="Times New Roman" w:cs="Times New Roman"/>
          <w:sz w:val="24"/>
          <w:szCs w:val="24"/>
        </w:rPr>
        <w:t>find</w:t>
      </w:r>
      <w:r w:rsidR="005224E8" w:rsidRPr="005224E8">
        <w:rPr>
          <w:rFonts w:ascii="Times New Roman" w:hAnsi="Times New Roman" w:cs="Times New Roman"/>
          <w:sz w:val="24"/>
          <w:szCs w:val="24"/>
        </w:rPr>
        <w:t xml:space="preserve"> that better governed firms make </w:t>
      </w:r>
      <w:r w:rsidR="005224E8" w:rsidRPr="005224E8">
        <w:rPr>
          <w:rFonts w:ascii="Times New Roman" w:hAnsi="Times New Roman" w:cs="Times New Roman"/>
          <w:sz w:val="24"/>
          <w:szCs w:val="24"/>
        </w:rPr>
        <w:lastRenderedPageBreak/>
        <w:t xml:space="preserve">more informative disclosures which in turn improves the accuracy of analysts’ forecasts. Beekes and Brown (2006) also report that better governance is associated with timelier price discovery. </w:t>
      </w:r>
    </w:p>
    <w:p w14:paraId="2FAEA0B1" w14:textId="77777777" w:rsidR="00AB5C3C" w:rsidRPr="005224E8" w:rsidRDefault="00AB5C3C" w:rsidP="008F42C0">
      <w:pPr>
        <w:tabs>
          <w:tab w:val="left" w:pos="567"/>
        </w:tabs>
        <w:spacing w:after="0" w:line="288" w:lineRule="auto"/>
        <w:jc w:val="both"/>
        <w:rPr>
          <w:rFonts w:ascii="Times New Roman" w:hAnsi="Times New Roman" w:cs="Times New Roman"/>
          <w:sz w:val="24"/>
          <w:szCs w:val="24"/>
        </w:rPr>
      </w:pPr>
    </w:p>
    <w:p w14:paraId="5F3B207D" w14:textId="77777777" w:rsidR="00AB5C3C"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With regards to governance’s effect on information quality, Byard </w:t>
      </w:r>
      <w:r w:rsidR="005224E8" w:rsidRPr="005D2DE5">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(2006) report the presence of a strong positive association between the quality of analysts’ forecast about a firm’s upcoming earnings and the quality of its corporate governance practices. They also report that corporate governance’s strength affects the quality of mandatory and voluntary disclosures made by a firm, confirming the fact that better quality disclosures may reduce information uncertainty and improve analysts’ ability to predict the firm’s future performance. Similarly, Cai et al. (2006) report that governance characteristics such as the number of founding family members on the board and the number of female directors influence the level of information uncertainty in the market. Specifically, the more founding family members and the less female directors the board has the greater the information uncertainty. Hass </w:t>
      </w:r>
      <w:r w:rsidR="005224E8" w:rsidRPr="00577C94">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(2014) report similar results using a sample of Chinese listed firms in which better governed firms were found to have more informative earnings forecasts as measured by the accuracy of analysts’ forecasts and price timeliness. </w:t>
      </w:r>
    </w:p>
    <w:p w14:paraId="74E16594" w14:textId="77777777" w:rsidR="00AB5C3C" w:rsidRDefault="00AB5C3C" w:rsidP="008F42C0">
      <w:pPr>
        <w:tabs>
          <w:tab w:val="left" w:pos="567"/>
        </w:tabs>
        <w:spacing w:after="0" w:line="288" w:lineRule="auto"/>
        <w:jc w:val="both"/>
        <w:rPr>
          <w:rFonts w:ascii="Times New Roman" w:hAnsi="Times New Roman" w:cs="Times New Roman"/>
          <w:sz w:val="24"/>
          <w:szCs w:val="24"/>
        </w:rPr>
      </w:pPr>
    </w:p>
    <w:p w14:paraId="4BBE9F4A" w14:textId="0602D77B" w:rsidR="00AC3CCC" w:rsidRDefault="00AB5C3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512F9">
        <w:rPr>
          <w:rFonts w:ascii="Times New Roman" w:hAnsi="Times New Roman" w:cs="Times New Roman"/>
          <w:sz w:val="24"/>
          <w:szCs w:val="24"/>
        </w:rPr>
        <w:t xml:space="preserve">Furthermore, in a large sample of European firms, </w:t>
      </w:r>
      <w:r w:rsidR="003512F9" w:rsidRPr="003512F9">
        <w:rPr>
          <w:rFonts w:ascii="Times New Roman" w:hAnsi="Times New Roman" w:cs="Times New Roman"/>
          <w:sz w:val="24"/>
          <w:szCs w:val="24"/>
        </w:rPr>
        <w:t xml:space="preserve">Bonetti et al. (2016) find that firms with strong board-level governance tend to have a significantly higher financial reporting quality and more informative earnings announcements compared to firms with weak board-level governance. Dargenidou </w:t>
      </w:r>
      <w:r w:rsidR="003512F9" w:rsidRPr="00577C94">
        <w:rPr>
          <w:rFonts w:ascii="Times New Roman" w:hAnsi="Times New Roman" w:cs="Times New Roman"/>
          <w:i/>
          <w:iCs/>
          <w:sz w:val="24"/>
          <w:szCs w:val="24"/>
        </w:rPr>
        <w:t>et al.</w:t>
      </w:r>
      <w:r w:rsidR="003512F9" w:rsidRPr="003512F9">
        <w:rPr>
          <w:rFonts w:ascii="Times New Roman" w:hAnsi="Times New Roman" w:cs="Times New Roman"/>
          <w:sz w:val="24"/>
          <w:szCs w:val="24"/>
        </w:rPr>
        <w:t xml:space="preserve"> (2007) also document that firms with better governance are more likely to accurately incorporate bad news in reported and forecasted earnings thus improving the reliability of earnings announcements. </w:t>
      </w:r>
      <w:r w:rsidR="005224E8" w:rsidRPr="005224E8">
        <w:rPr>
          <w:rFonts w:ascii="Times New Roman" w:hAnsi="Times New Roman" w:cs="Times New Roman"/>
          <w:sz w:val="24"/>
          <w:szCs w:val="24"/>
        </w:rPr>
        <w:t xml:space="preserve">On the whole, while a number of studies have focused on examining the relationship between corporate governance quality and the initial response to earnings announcements, there appears to </w:t>
      </w:r>
      <w:r w:rsidR="00347120">
        <w:rPr>
          <w:rFonts w:ascii="Times New Roman" w:hAnsi="Times New Roman" w:cs="Times New Roman"/>
          <w:sz w:val="24"/>
          <w:szCs w:val="24"/>
        </w:rPr>
        <w:t>have been</w:t>
      </w:r>
      <w:r w:rsidR="005224E8" w:rsidRPr="005224E8">
        <w:rPr>
          <w:rFonts w:ascii="Times New Roman" w:hAnsi="Times New Roman" w:cs="Times New Roman"/>
          <w:sz w:val="24"/>
          <w:szCs w:val="24"/>
        </w:rPr>
        <w:t xml:space="preserve"> no prior attempt at studying the relationship between corporate governance and the well-documented drift during the post announcement period</w:t>
      </w:r>
      <w:r w:rsidR="00061294">
        <w:rPr>
          <w:rFonts w:ascii="Times New Roman" w:hAnsi="Times New Roman" w:cs="Times New Roman"/>
          <w:sz w:val="24"/>
          <w:szCs w:val="24"/>
        </w:rPr>
        <w:t>.</w:t>
      </w:r>
    </w:p>
    <w:p w14:paraId="03E25B73" w14:textId="77777777" w:rsidR="00AB5C3C" w:rsidRDefault="00AB5C3C" w:rsidP="008F42C0">
      <w:pPr>
        <w:tabs>
          <w:tab w:val="left" w:pos="567"/>
        </w:tabs>
        <w:spacing w:after="0" w:line="288" w:lineRule="auto"/>
        <w:jc w:val="both"/>
        <w:rPr>
          <w:rFonts w:ascii="Times New Roman" w:hAnsi="Times New Roman" w:cs="Times New Roman"/>
          <w:sz w:val="24"/>
          <w:szCs w:val="24"/>
        </w:rPr>
      </w:pPr>
    </w:p>
    <w:p w14:paraId="70E57DA4" w14:textId="18B91111" w:rsidR="00AB5C3C" w:rsidRDefault="00AB5C3C" w:rsidP="008F42C0">
      <w:pPr>
        <w:tabs>
          <w:tab w:val="left" w:pos="567"/>
        </w:tabs>
        <w:spacing w:after="0" w:line="288" w:lineRule="auto"/>
        <w:jc w:val="both"/>
        <w:rPr>
          <w:rFonts w:ascii="Times New Roman" w:hAnsi="Times New Roman" w:cs="Times New Roman"/>
          <w:sz w:val="24"/>
          <w:szCs w:val="24"/>
        </w:rPr>
      </w:pPr>
      <w:bookmarkStart w:id="1" w:name="_Hlk39823096"/>
      <w:r>
        <w:rPr>
          <w:rFonts w:ascii="Times New Roman" w:hAnsi="Times New Roman" w:cs="Times New Roman"/>
          <w:sz w:val="24"/>
          <w:szCs w:val="24"/>
        </w:rPr>
        <w:tab/>
      </w:r>
      <w:r w:rsidR="00E35FFC" w:rsidRPr="00F43136">
        <w:rPr>
          <w:rFonts w:ascii="Times New Roman" w:hAnsi="Times New Roman" w:cs="Times New Roman"/>
          <w:sz w:val="24"/>
          <w:szCs w:val="24"/>
        </w:rPr>
        <w:t>Finally</w:t>
      </w:r>
      <w:r>
        <w:rPr>
          <w:rFonts w:ascii="Times New Roman" w:hAnsi="Times New Roman" w:cs="Times New Roman"/>
          <w:sz w:val="24"/>
          <w:szCs w:val="24"/>
        </w:rPr>
        <w:t>,</w:t>
      </w:r>
      <w:r w:rsidR="00E35FFC" w:rsidRPr="00F43136">
        <w:rPr>
          <w:rFonts w:ascii="Times New Roman" w:hAnsi="Times New Roman" w:cs="Times New Roman"/>
          <w:sz w:val="24"/>
          <w:szCs w:val="24"/>
        </w:rPr>
        <w:t xml:space="preserve"> this study also</w:t>
      </w:r>
      <w:r w:rsidR="00E35FFC" w:rsidRPr="00AD3BCF">
        <w:rPr>
          <w:rFonts w:ascii="Times New Roman" w:hAnsi="Times New Roman" w:cs="Times New Roman"/>
          <w:sz w:val="24"/>
          <w:szCs w:val="24"/>
        </w:rPr>
        <w:t xml:space="preserve"> relates to the literature that takes into </w:t>
      </w:r>
      <w:r w:rsidR="00E35FFC" w:rsidRPr="00F43136">
        <w:rPr>
          <w:rFonts w:ascii="Times New Roman" w:hAnsi="Times New Roman" w:cs="Times New Roman"/>
          <w:sz w:val="24"/>
          <w:szCs w:val="24"/>
        </w:rPr>
        <w:t xml:space="preserve">account </w:t>
      </w:r>
      <w:r w:rsidR="0062758D" w:rsidRPr="00F43136">
        <w:rPr>
          <w:rFonts w:ascii="Times New Roman" w:hAnsi="Times New Roman" w:cs="Times New Roman"/>
          <w:sz w:val="24"/>
          <w:szCs w:val="24"/>
        </w:rPr>
        <w:t xml:space="preserve">of </w:t>
      </w:r>
      <w:r w:rsidR="00E35FFC" w:rsidRPr="00F43136">
        <w:rPr>
          <w:rFonts w:ascii="Times New Roman" w:hAnsi="Times New Roman" w:cs="Times New Roman"/>
          <w:sz w:val="24"/>
          <w:szCs w:val="24"/>
        </w:rPr>
        <w:t xml:space="preserve">the </w:t>
      </w:r>
      <w:r w:rsidR="00E276F1" w:rsidRPr="00F43136">
        <w:rPr>
          <w:rFonts w:ascii="Times New Roman" w:hAnsi="Times New Roman" w:cs="Times New Roman"/>
          <w:sz w:val="24"/>
          <w:szCs w:val="24"/>
        </w:rPr>
        <w:t xml:space="preserve">joint </w:t>
      </w:r>
      <w:r w:rsidR="00E35FFC" w:rsidRPr="00F43136">
        <w:rPr>
          <w:rFonts w:ascii="Times New Roman" w:hAnsi="Times New Roman" w:cs="Times New Roman"/>
          <w:sz w:val="24"/>
          <w:szCs w:val="24"/>
        </w:rPr>
        <w:t xml:space="preserve">impact of several sources of uncertainty. </w:t>
      </w:r>
      <w:r w:rsidR="0062758D" w:rsidRPr="00F43136">
        <w:rPr>
          <w:rFonts w:ascii="Times New Roman" w:hAnsi="Times New Roman" w:cs="Times New Roman"/>
          <w:sz w:val="24"/>
          <w:szCs w:val="24"/>
        </w:rPr>
        <w:t xml:space="preserve">Much of the research </w:t>
      </w:r>
      <w:r w:rsidR="00E276F1" w:rsidRPr="00F43136">
        <w:rPr>
          <w:rFonts w:ascii="Times New Roman" w:hAnsi="Times New Roman" w:cs="Times New Roman"/>
          <w:sz w:val="24"/>
          <w:szCs w:val="24"/>
        </w:rPr>
        <w:t xml:space="preserve">in this area </w:t>
      </w:r>
      <w:r w:rsidR="000E5A8A" w:rsidRPr="00F43136">
        <w:rPr>
          <w:rFonts w:ascii="Times New Roman" w:hAnsi="Times New Roman" w:cs="Times New Roman"/>
          <w:sz w:val="24"/>
          <w:szCs w:val="24"/>
        </w:rPr>
        <w:t>tackles the problem from a</w:t>
      </w:r>
      <w:r w:rsidR="0062758D" w:rsidRPr="00F43136">
        <w:rPr>
          <w:rFonts w:ascii="Times New Roman" w:hAnsi="Times New Roman" w:cs="Times New Roman"/>
          <w:sz w:val="24"/>
          <w:szCs w:val="24"/>
        </w:rPr>
        <w:t xml:space="preserve"> </w:t>
      </w:r>
      <w:r w:rsidR="00A80156" w:rsidRPr="00F43136">
        <w:rPr>
          <w:rFonts w:ascii="Times New Roman" w:hAnsi="Times New Roman" w:cs="Times New Roman"/>
          <w:sz w:val="24"/>
          <w:szCs w:val="24"/>
        </w:rPr>
        <w:t>firm</w:t>
      </w:r>
      <w:r w:rsidR="000E5A8A" w:rsidRPr="00F43136">
        <w:rPr>
          <w:rFonts w:ascii="Times New Roman" w:hAnsi="Times New Roman" w:cs="Times New Roman"/>
          <w:sz w:val="24"/>
          <w:szCs w:val="24"/>
        </w:rPr>
        <w:t>’s</w:t>
      </w:r>
      <w:r w:rsidR="00A80156" w:rsidRPr="00F43136">
        <w:rPr>
          <w:rFonts w:ascii="Times New Roman" w:hAnsi="Times New Roman" w:cs="Times New Roman"/>
          <w:sz w:val="24"/>
          <w:szCs w:val="24"/>
        </w:rPr>
        <w:t xml:space="preserve"> production</w:t>
      </w:r>
      <w:r w:rsidR="009E2052">
        <w:rPr>
          <w:rFonts w:ascii="Times New Roman" w:hAnsi="Times New Roman" w:cs="Times New Roman"/>
          <w:sz w:val="24"/>
          <w:szCs w:val="24"/>
        </w:rPr>
        <w:t xml:space="preserve"> and/or investment</w:t>
      </w:r>
      <w:r w:rsidR="00E276F1" w:rsidRPr="00F43136">
        <w:rPr>
          <w:rFonts w:ascii="Times New Roman" w:hAnsi="Times New Roman" w:cs="Times New Roman"/>
          <w:sz w:val="24"/>
          <w:szCs w:val="24"/>
        </w:rPr>
        <w:t xml:space="preserve"> perspective, examining how macro economic uncertainty arising from policy uncertainty (</w:t>
      </w:r>
      <w:r w:rsidR="00A65CC5">
        <w:rPr>
          <w:rFonts w:ascii="Times New Roman" w:hAnsi="Times New Roman" w:cs="Times New Roman"/>
          <w:sz w:val="24"/>
          <w:szCs w:val="24"/>
        </w:rPr>
        <w:t>Rodrik 1991</w:t>
      </w:r>
      <w:r w:rsidR="00E77BD7" w:rsidRPr="00E77BD7">
        <w:rPr>
          <w:rFonts w:ascii="Times New Roman" w:hAnsi="Times New Roman" w:cs="Times New Roman"/>
          <w:sz w:val="24"/>
          <w:szCs w:val="24"/>
        </w:rPr>
        <w:t>,</w:t>
      </w:r>
      <w:r w:rsidR="00A65CC5">
        <w:rPr>
          <w:rFonts w:ascii="Times New Roman" w:hAnsi="Times New Roman" w:cs="Times New Roman"/>
          <w:sz w:val="24"/>
          <w:szCs w:val="24"/>
        </w:rPr>
        <w:t xml:space="preserve"> </w:t>
      </w:r>
      <w:r w:rsidR="000E5A8A" w:rsidRPr="00F43136">
        <w:rPr>
          <w:rFonts w:ascii="Times New Roman" w:hAnsi="Times New Roman" w:cs="Times New Roman"/>
          <w:sz w:val="24"/>
          <w:szCs w:val="24"/>
        </w:rPr>
        <w:t xml:space="preserve">Kang </w:t>
      </w:r>
      <w:r w:rsidR="000E5A8A" w:rsidRPr="00577C94">
        <w:rPr>
          <w:rFonts w:ascii="Times New Roman" w:hAnsi="Times New Roman" w:cs="Times New Roman"/>
          <w:i/>
          <w:iCs/>
          <w:sz w:val="24"/>
          <w:szCs w:val="24"/>
        </w:rPr>
        <w:t>et. al.</w:t>
      </w:r>
      <w:r w:rsidR="000E5A8A" w:rsidRPr="00F43136">
        <w:rPr>
          <w:rFonts w:ascii="Times New Roman" w:hAnsi="Times New Roman" w:cs="Times New Roman"/>
          <w:sz w:val="24"/>
          <w:szCs w:val="24"/>
        </w:rPr>
        <w:t xml:space="preserve"> 2014</w:t>
      </w:r>
      <w:r w:rsidR="00E276F1" w:rsidRPr="00F43136">
        <w:rPr>
          <w:rFonts w:ascii="Times New Roman" w:hAnsi="Times New Roman" w:cs="Times New Roman"/>
          <w:sz w:val="24"/>
          <w:szCs w:val="24"/>
        </w:rPr>
        <w:t>) or political uncertainty (</w:t>
      </w:r>
      <w:r w:rsidR="00505B1E" w:rsidRPr="00BD1873">
        <w:rPr>
          <w:rFonts w:ascii="Times New Roman" w:hAnsi="Times New Roman" w:cs="Times New Roman"/>
          <w:sz w:val="24"/>
          <w:szCs w:val="24"/>
        </w:rPr>
        <w:t xml:space="preserve">Dixit </w:t>
      </w:r>
      <w:r w:rsidR="008E54EF">
        <w:rPr>
          <w:rFonts w:ascii="Times New Roman" w:hAnsi="Times New Roman" w:cs="Times New Roman"/>
          <w:sz w:val="24"/>
          <w:szCs w:val="24"/>
        </w:rPr>
        <w:t>and</w:t>
      </w:r>
      <w:r w:rsidR="00505B1E" w:rsidRPr="00BD1873">
        <w:rPr>
          <w:rFonts w:ascii="Times New Roman" w:hAnsi="Times New Roman" w:cs="Times New Roman"/>
          <w:sz w:val="24"/>
          <w:szCs w:val="24"/>
        </w:rPr>
        <w:t xml:space="preserve"> Pindyck</w:t>
      </w:r>
      <w:r w:rsidR="00577C94">
        <w:rPr>
          <w:rFonts w:ascii="Times New Roman" w:hAnsi="Times New Roman" w:cs="Times New Roman"/>
          <w:sz w:val="24"/>
          <w:szCs w:val="24"/>
        </w:rPr>
        <w:t xml:space="preserve"> </w:t>
      </w:r>
      <w:r w:rsidR="00505B1E" w:rsidRPr="00BD1873">
        <w:rPr>
          <w:rFonts w:ascii="Times New Roman" w:hAnsi="Times New Roman" w:cs="Times New Roman"/>
          <w:sz w:val="24"/>
          <w:szCs w:val="24"/>
        </w:rPr>
        <w:t>1994</w:t>
      </w:r>
      <w:r w:rsidR="00E77BD7" w:rsidRPr="00E77BD7">
        <w:rPr>
          <w:rFonts w:ascii="Times New Roman" w:hAnsi="Times New Roman" w:cs="Times New Roman"/>
          <w:sz w:val="24"/>
          <w:szCs w:val="24"/>
        </w:rPr>
        <w:t>,</w:t>
      </w:r>
      <w:r w:rsidR="00505B1E" w:rsidRPr="00BD1873">
        <w:rPr>
          <w:rFonts w:ascii="Times New Roman" w:hAnsi="Times New Roman" w:cs="Times New Roman"/>
          <w:sz w:val="24"/>
          <w:szCs w:val="24"/>
        </w:rPr>
        <w:t xml:space="preserve"> McDonald and Seigel 1986</w:t>
      </w:r>
      <w:r w:rsidR="00E276F1" w:rsidRPr="00F43136">
        <w:rPr>
          <w:rFonts w:ascii="Times New Roman" w:hAnsi="Times New Roman" w:cs="Times New Roman"/>
          <w:sz w:val="24"/>
          <w:szCs w:val="24"/>
        </w:rPr>
        <w:t xml:space="preserve">) lead to uncertainty in the firm’s utilisation of </w:t>
      </w:r>
      <w:r w:rsidR="00E276F1" w:rsidRPr="00AD3BCF">
        <w:rPr>
          <w:rFonts w:ascii="Times New Roman" w:hAnsi="Times New Roman" w:cs="Times New Roman"/>
          <w:sz w:val="24"/>
          <w:szCs w:val="24"/>
        </w:rPr>
        <w:t xml:space="preserve">resources or </w:t>
      </w:r>
      <w:r w:rsidR="00901C1B">
        <w:rPr>
          <w:rFonts w:ascii="Times New Roman" w:hAnsi="Times New Roman" w:cs="Times New Roman"/>
          <w:sz w:val="24"/>
          <w:szCs w:val="24"/>
        </w:rPr>
        <w:t xml:space="preserve">reduce firm </w:t>
      </w:r>
      <w:r w:rsidR="00E276F1" w:rsidRPr="00F43136">
        <w:rPr>
          <w:rFonts w:ascii="Times New Roman" w:hAnsi="Times New Roman" w:cs="Times New Roman"/>
          <w:sz w:val="24"/>
          <w:szCs w:val="24"/>
        </w:rPr>
        <w:t xml:space="preserve">investment. </w:t>
      </w:r>
      <w:r w:rsidR="00901C1B">
        <w:rPr>
          <w:rFonts w:ascii="Times New Roman" w:hAnsi="Times New Roman" w:cs="Times New Roman"/>
          <w:sz w:val="24"/>
          <w:szCs w:val="24"/>
        </w:rPr>
        <w:t xml:space="preserve">Indeed macro economic uncertainty can induce </w:t>
      </w:r>
      <w:r w:rsidR="00173A0A">
        <w:rPr>
          <w:rFonts w:ascii="Times New Roman" w:hAnsi="Times New Roman" w:cs="Times New Roman"/>
          <w:sz w:val="24"/>
          <w:szCs w:val="24"/>
        </w:rPr>
        <w:t>firm level uncertainty</w:t>
      </w:r>
      <w:r w:rsidR="00BC4974">
        <w:rPr>
          <w:rFonts w:ascii="Times New Roman" w:hAnsi="Times New Roman" w:cs="Times New Roman"/>
          <w:sz w:val="24"/>
          <w:szCs w:val="24"/>
        </w:rPr>
        <w:t xml:space="preserve">, </w:t>
      </w:r>
      <w:r w:rsidR="00901C1B">
        <w:rPr>
          <w:rFonts w:ascii="Times New Roman" w:hAnsi="Times New Roman" w:cs="Times New Roman"/>
          <w:sz w:val="24"/>
          <w:szCs w:val="24"/>
        </w:rPr>
        <w:t xml:space="preserve">Chen </w:t>
      </w:r>
      <w:r w:rsidR="00901C1B" w:rsidRPr="00577C94">
        <w:rPr>
          <w:rFonts w:ascii="Times New Roman" w:hAnsi="Times New Roman" w:cs="Times New Roman"/>
          <w:i/>
          <w:iCs/>
          <w:sz w:val="24"/>
          <w:szCs w:val="24"/>
        </w:rPr>
        <w:t>et. al.</w:t>
      </w:r>
      <w:r w:rsidR="00901C1B">
        <w:rPr>
          <w:rFonts w:ascii="Times New Roman" w:hAnsi="Times New Roman" w:cs="Times New Roman"/>
          <w:sz w:val="24"/>
          <w:szCs w:val="24"/>
        </w:rPr>
        <w:t xml:space="preserve"> (2018) </w:t>
      </w:r>
      <w:r w:rsidR="00173A0A">
        <w:rPr>
          <w:rFonts w:ascii="Times New Roman" w:hAnsi="Times New Roman" w:cs="Times New Roman"/>
          <w:sz w:val="24"/>
          <w:szCs w:val="24"/>
        </w:rPr>
        <w:t xml:space="preserve">shows that political uncertainty can </w:t>
      </w:r>
      <w:r w:rsidR="0089285A" w:rsidRPr="00AD3BCF">
        <w:rPr>
          <w:rFonts w:ascii="Times New Roman" w:hAnsi="Times New Roman" w:cs="Times New Roman"/>
          <w:sz w:val="24"/>
          <w:szCs w:val="24"/>
        </w:rPr>
        <w:t xml:space="preserve">diminish a firm’s </w:t>
      </w:r>
      <w:r w:rsidR="0089285A" w:rsidRPr="00C47677">
        <w:rPr>
          <w:rFonts w:ascii="Times New Roman" w:hAnsi="Times New Roman" w:cs="Times New Roman"/>
          <w:sz w:val="24"/>
          <w:szCs w:val="24"/>
        </w:rPr>
        <w:t xml:space="preserve">information flow and quality </w:t>
      </w:r>
      <w:r w:rsidR="0089285A" w:rsidRPr="005C1EFE">
        <w:rPr>
          <w:rFonts w:ascii="Times New Roman" w:hAnsi="Times New Roman" w:cs="Times New Roman"/>
          <w:sz w:val="24"/>
          <w:szCs w:val="24"/>
        </w:rPr>
        <w:t xml:space="preserve">of </w:t>
      </w:r>
      <w:r w:rsidR="00F034B3" w:rsidRPr="00F43136">
        <w:rPr>
          <w:rFonts w:ascii="Times New Roman" w:hAnsi="Times New Roman" w:cs="Times New Roman"/>
          <w:sz w:val="24"/>
          <w:szCs w:val="24"/>
        </w:rPr>
        <w:t xml:space="preserve">information </w:t>
      </w:r>
      <w:r w:rsidR="0089285A" w:rsidRPr="00F43136">
        <w:rPr>
          <w:rFonts w:ascii="Times New Roman" w:hAnsi="Times New Roman" w:cs="Times New Roman"/>
          <w:sz w:val="24"/>
          <w:szCs w:val="24"/>
        </w:rPr>
        <w:t xml:space="preserve">(Chen </w:t>
      </w:r>
      <w:r w:rsidR="0089285A" w:rsidRPr="00577C94">
        <w:rPr>
          <w:rFonts w:ascii="Times New Roman" w:hAnsi="Times New Roman" w:cs="Times New Roman"/>
          <w:i/>
          <w:iCs/>
          <w:sz w:val="24"/>
          <w:szCs w:val="24"/>
        </w:rPr>
        <w:t>et al</w:t>
      </w:r>
      <w:r w:rsidR="00577C94">
        <w:rPr>
          <w:rFonts w:ascii="Times New Roman" w:hAnsi="Times New Roman" w:cs="Times New Roman"/>
          <w:i/>
          <w:iCs/>
          <w:sz w:val="24"/>
          <w:szCs w:val="24"/>
        </w:rPr>
        <w:t>.</w:t>
      </w:r>
      <w:r w:rsidR="0089285A" w:rsidRPr="00F43136">
        <w:rPr>
          <w:rFonts w:ascii="Times New Roman" w:hAnsi="Times New Roman" w:cs="Times New Roman"/>
          <w:sz w:val="24"/>
          <w:szCs w:val="24"/>
        </w:rPr>
        <w:t xml:space="preserve"> 2018). </w:t>
      </w:r>
      <w:r w:rsidR="00BA6F8C" w:rsidRPr="00F43136">
        <w:rPr>
          <w:rFonts w:ascii="Times New Roman" w:hAnsi="Times New Roman" w:cs="Times New Roman"/>
          <w:sz w:val="24"/>
          <w:szCs w:val="24"/>
        </w:rPr>
        <w:t>Similar to these studies, this paper also examine</w:t>
      </w:r>
      <w:r w:rsidR="00346EFF">
        <w:rPr>
          <w:rFonts w:ascii="Times New Roman" w:hAnsi="Times New Roman" w:cs="Times New Roman"/>
          <w:sz w:val="24"/>
          <w:szCs w:val="24"/>
        </w:rPr>
        <w:t>s</w:t>
      </w:r>
      <w:r w:rsidR="00BA6F8C" w:rsidRPr="00F43136">
        <w:rPr>
          <w:rFonts w:ascii="Times New Roman" w:hAnsi="Times New Roman" w:cs="Times New Roman"/>
          <w:sz w:val="24"/>
          <w:szCs w:val="24"/>
        </w:rPr>
        <w:t xml:space="preserve"> the impact of </w:t>
      </w:r>
      <w:r w:rsidR="00173A0A">
        <w:rPr>
          <w:rFonts w:ascii="Times New Roman" w:hAnsi="Times New Roman" w:cs="Times New Roman"/>
          <w:sz w:val="24"/>
          <w:szCs w:val="24"/>
        </w:rPr>
        <w:t>several</w:t>
      </w:r>
      <w:r w:rsidR="00173A0A" w:rsidRPr="00F43136">
        <w:rPr>
          <w:rFonts w:ascii="Times New Roman" w:hAnsi="Times New Roman" w:cs="Times New Roman"/>
          <w:sz w:val="24"/>
          <w:szCs w:val="24"/>
        </w:rPr>
        <w:t xml:space="preserve"> </w:t>
      </w:r>
      <w:r w:rsidR="00BA6F8C" w:rsidRPr="00F43136">
        <w:rPr>
          <w:rFonts w:ascii="Times New Roman" w:hAnsi="Times New Roman" w:cs="Times New Roman"/>
          <w:sz w:val="24"/>
          <w:szCs w:val="24"/>
        </w:rPr>
        <w:t>sources of uncertainty</w:t>
      </w:r>
      <w:r w:rsidR="00346EFF">
        <w:rPr>
          <w:rFonts w:ascii="Times New Roman" w:hAnsi="Times New Roman" w:cs="Times New Roman"/>
          <w:sz w:val="24"/>
          <w:szCs w:val="24"/>
        </w:rPr>
        <w:t>,</w:t>
      </w:r>
      <w:r w:rsidR="00F034B3" w:rsidRPr="00F43136">
        <w:rPr>
          <w:rFonts w:ascii="Times New Roman" w:hAnsi="Times New Roman" w:cs="Times New Roman"/>
          <w:sz w:val="24"/>
          <w:szCs w:val="24"/>
        </w:rPr>
        <w:t xml:space="preserve"> market wide and firm specific information uncertainty</w:t>
      </w:r>
      <w:r w:rsidR="00BA6F8C" w:rsidRPr="00F43136">
        <w:rPr>
          <w:rFonts w:ascii="Times New Roman" w:hAnsi="Times New Roman" w:cs="Times New Roman"/>
          <w:sz w:val="24"/>
          <w:szCs w:val="24"/>
        </w:rPr>
        <w:t>, however our interest lie</w:t>
      </w:r>
      <w:r w:rsidR="00346EFF">
        <w:rPr>
          <w:rFonts w:ascii="Times New Roman" w:hAnsi="Times New Roman" w:cs="Times New Roman"/>
          <w:sz w:val="24"/>
          <w:szCs w:val="24"/>
        </w:rPr>
        <w:t>s</w:t>
      </w:r>
      <w:r w:rsidR="00BA6F8C" w:rsidRPr="00F43136">
        <w:rPr>
          <w:rFonts w:ascii="Times New Roman" w:hAnsi="Times New Roman" w:cs="Times New Roman"/>
          <w:sz w:val="24"/>
          <w:szCs w:val="24"/>
        </w:rPr>
        <w:t xml:space="preserve"> in investors</w:t>
      </w:r>
      <w:r w:rsidR="00346EFF">
        <w:rPr>
          <w:rFonts w:ascii="Times New Roman" w:hAnsi="Times New Roman" w:cs="Times New Roman"/>
          <w:sz w:val="24"/>
          <w:szCs w:val="24"/>
        </w:rPr>
        <w:t>’</w:t>
      </w:r>
      <w:r w:rsidR="00BA6F8C" w:rsidRPr="00F43136">
        <w:rPr>
          <w:rFonts w:ascii="Times New Roman" w:hAnsi="Times New Roman" w:cs="Times New Roman"/>
          <w:sz w:val="24"/>
          <w:szCs w:val="24"/>
        </w:rPr>
        <w:t xml:space="preserve"> reaction in the presence of uncertainty and ultimately the asset pricing implication of the </w:t>
      </w:r>
      <w:r w:rsidR="009E2052">
        <w:rPr>
          <w:rFonts w:ascii="Times New Roman" w:hAnsi="Times New Roman" w:cs="Times New Roman"/>
          <w:sz w:val="24"/>
          <w:szCs w:val="24"/>
        </w:rPr>
        <w:t xml:space="preserve">these </w:t>
      </w:r>
      <w:r w:rsidR="00BA6F8C" w:rsidRPr="00F43136">
        <w:rPr>
          <w:rFonts w:ascii="Times New Roman" w:hAnsi="Times New Roman" w:cs="Times New Roman"/>
          <w:sz w:val="24"/>
          <w:szCs w:val="24"/>
        </w:rPr>
        <w:t>uncertaint</w:t>
      </w:r>
      <w:r w:rsidR="00346EFF">
        <w:rPr>
          <w:rFonts w:ascii="Times New Roman" w:hAnsi="Times New Roman" w:cs="Times New Roman"/>
          <w:sz w:val="24"/>
          <w:szCs w:val="24"/>
        </w:rPr>
        <w:t>ies</w:t>
      </w:r>
      <w:r w:rsidR="00BA6F8C" w:rsidRPr="00F43136">
        <w:rPr>
          <w:rFonts w:ascii="Times New Roman" w:hAnsi="Times New Roman" w:cs="Times New Roman"/>
          <w:sz w:val="24"/>
          <w:szCs w:val="24"/>
        </w:rPr>
        <w:t xml:space="preserve">. </w:t>
      </w:r>
    </w:p>
    <w:p w14:paraId="6AF1AD20" w14:textId="7DD7B6BC" w:rsidR="00C752D5" w:rsidRPr="00BA14B0" w:rsidRDefault="000E3F60">
      <w:pPr>
        <w:tabs>
          <w:tab w:val="left" w:pos="567"/>
        </w:tabs>
        <w:spacing w:after="0" w:line="288" w:lineRule="auto"/>
        <w:jc w:val="both"/>
        <w:rPr>
          <w:rFonts w:ascii="Times New Roman" w:hAnsi="Times New Roman" w:cs="Times New Roman"/>
          <w:b/>
          <w:bCs/>
          <w:sz w:val="24"/>
          <w:szCs w:val="24"/>
        </w:rPr>
      </w:pPr>
      <w:r w:rsidRPr="00BA14B0">
        <w:rPr>
          <w:rFonts w:ascii="Times New Roman" w:hAnsi="Times New Roman" w:cs="Times New Roman"/>
          <w:b/>
          <w:bCs/>
          <w:sz w:val="24"/>
          <w:szCs w:val="24"/>
        </w:rPr>
        <w:lastRenderedPageBreak/>
        <w:t>2.2.</w:t>
      </w:r>
      <w:r>
        <w:rPr>
          <w:rFonts w:ascii="Times New Roman" w:hAnsi="Times New Roman" w:cs="Times New Roman"/>
          <w:sz w:val="24"/>
          <w:szCs w:val="24"/>
        </w:rPr>
        <w:t xml:space="preserve"> </w:t>
      </w:r>
      <w:bookmarkStart w:id="2" w:name="_Hlk482510290"/>
      <w:bookmarkEnd w:id="1"/>
      <w:r w:rsidR="00C752D5" w:rsidRPr="00BA14B0">
        <w:rPr>
          <w:rFonts w:ascii="Times New Roman" w:hAnsi="Times New Roman" w:cs="Times New Roman"/>
          <w:b/>
          <w:bCs/>
          <w:sz w:val="24"/>
          <w:szCs w:val="24"/>
        </w:rPr>
        <w:t>Research Questions</w:t>
      </w:r>
    </w:p>
    <w:bookmarkEnd w:id="2"/>
    <w:p w14:paraId="25825942" w14:textId="77777777" w:rsidR="004E7A2C" w:rsidRPr="004E7A2C" w:rsidRDefault="004E7A2C" w:rsidP="008F42C0">
      <w:pPr>
        <w:tabs>
          <w:tab w:val="left" w:pos="567"/>
        </w:tabs>
        <w:spacing w:after="0" w:line="288" w:lineRule="auto"/>
        <w:jc w:val="both"/>
        <w:rPr>
          <w:rFonts w:ascii="Times New Roman" w:hAnsi="Times New Roman" w:cs="Times New Roman"/>
          <w:sz w:val="12"/>
          <w:szCs w:val="12"/>
        </w:rPr>
      </w:pPr>
    </w:p>
    <w:p w14:paraId="44D75326" w14:textId="784260A4" w:rsidR="005224E8" w:rsidRDefault="005224E8" w:rsidP="008F42C0">
      <w:pPr>
        <w:tabs>
          <w:tab w:val="left" w:pos="567"/>
        </w:tabs>
        <w:spacing w:after="0" w:line="288" w:lineRule="auto"/>
        <w:jc w:val="both"/>
        <w:rPr>
          <w:rFonts w:ascii="Times New Roman" w:hAnsi="Times New Roman" w:cs="Times New Roman"/>
          <w:sz w:val="24"/>
          <w:szCs w:val="24"/>
        </w:rPr>
      </w:pPr>
      <w:r w:rsidRPr="005224E8">
        <w:rPr>
          <w:rFonts w:ascii="Times New Roman" w:hAnsi="Times New Roman" w:cs="Times New Roman"/>
          <w:sz w:val="24"/>
          <w:szCs w:val="24"/>
        </w:rPr>
        <w:t>This study first addresses two related questions:</w:t>
      </w:r>
    </w:p>
    <w:p w14:paraId="022F4C2E" w14:textId="77777777" w:rsidR="00BA28CF" w:rsidRPr="00577C94" w:rsidRDefault="00BA28CF" w:rsidP="008F42C0">
      <w:pPr>
        <w:tabs>
          <w:tab w:val="left" w:pos="567"/>
        </w:tabs>
        <w:spacing w:after="0" w:line="288" w:lineRule="auto"/>
        <w:jc w:val="both"/>
        <w:rPr>
          <w:rFonts w:ascii="Times New Roman" w:hAnsi="Times New Roman" w:cs="Times New Roman"/>
          <w:sz w:val="8"/>
          <w:szCs w:val="8"/>
        </w:rPr>
      </w:pPr>
    </w:p>
    <w:p w14:paraId="139DA815" w14:textId="775398BB" w:rsidR="005224E8" w:rsidRPr="00C65C30" w:rsidRDefault="005224E8" w:rsidP="00577C94">
      <w:pPr>
        <w:pStyle w:val="ListParagraph"/>
        <w:numPr>
          <w:ilvl w:val="1"/>
          <w:numId w:val="15"/>
        </w:numPr>
        <w:spacing w:after="0" w:line="240" w:lineRule="auto"/>
        <w:ind w:left="284" w:hanging="284"/>
        <w:jc w:val="both"/>
        <w:rPr>
          <w:rFonts w:ascii="Times New Roman" w:hAnsi="Times New Roman" w:cs="Times New Roman"/>
          <w:i/>
          <w:iCs/>
          <w:sz w:val="24"/>
          <w:szCs w:val="24"/>
        </w:rPr>
      </w:pPr>
      <w:r w:rsidRPr="00C65C30">
        <w:rPr>
          <w:rFonts w:ascii="Times New Roman" w:hAnsi="Times New Roman" w:cs="Times New Roman"/>
          <w:i/>
          <w:iCs/>
          <w:sz w:val="24"/>
          <w:szCs w:val="24"/>
        </w:rPr>
        <w:t xml:space="preserve">Is the market’s immediate response to a firm’s earnings announcements </w:t>
      </w:r>
      <w:r w:rsidR="00D97F41" w:rsidRPr="00C65C30">
        <w:rPr>
          <w:rFonts w:ascii="Times New Roman" w:hAnsi="Times New Roman" w:cs="Times New Roman"/>
          <w:i/>
          <w:iCs/>
          <w:sz w:val="24"/>
          <w:szCs w:val="24"/>
        </w:rPr>
        <w:t>affected by</w:t>
      </w:r>
      <w:r w:rsidRPr="00C65C30">
        <w:rPr>
          <w:rFonts w:ascii="Times New Roman" w:hAnsi="Times New Roman" w:cs="Times New Roman"/>
          <w:i/>
          <w:iCs/>
          <w:sz w:val="24"/>
          <w:szCs w:val="24"/>
        </w:rPr>
        <w:t xml:space="preserve"> its corporate governance characteristics?</w:t>
      </w:r>
    </w:p>
    <w:p w14:paraId="5D17463A" w14:textId="3FF207EB" w:rsidR="00577C94" w:rsidRDefault="00577C94" w:rsidP="00577C94">
      <w:pPr>
        <w:pStyle w:val="ListParagraph"/>
        <w:spacing w:after="0" w:line="240" w:lineRule="auto"/>
        <w:ind w:left="284"/>
        <w:jc w:val="both"/>
        <w:rPr>
          <w:rFonts w:ascii="Times New Roman" w:hAnsi="Times New Roman" w:cs="Times New Roman"/>
          <w:i/>
          <w:iCs/>
          <w:sz w:val="8"/>
          <w:szCs w:val="8"/>
        </w:rPr>
      </w:pPr>
    </w:p>
    <w:p w14:paraId="432697CB" w14:textId="77777777" w:rsidR="0044765D" w:rsidRPr="00C65C30" w:rsidRDefault="0044765D" w:rsidP="00577C94">
      <w:pPr>
        <w:pStyle w:val="ListParagraph"/>
        <w:spacing w:after="0" w:line="240" w:lineRule="auto"/>
        <w:ind w:left="284"/>
        <w:jc w:val="both"/>
        <w:rPr>
          <w:rFonts w:ascii="Times New Roman" w:hAnsi="Times New Roman" w:cs="Times New Roman"/>
          <w:i/>
          <w:iCs/>
          <w:sz w:val="8"/>
          <w:szCs w:val="8"/>
        </w:rPr>
      </w:pPr>
    </w:p>
    <w:p w14:paraId="55908A3F" w14:textId="77777777" w:rsidR="00D271CB" w:rsidRPr="00577C94" w:rsidRDefault="00D271CB" w:rsidP="00577C94">
      <w:pPr>
        <w:pStyle w:val="ListParagraph"/>
        <w:spacing w:after="0" w:line="240" w:lineRule="auto"/>
        <w:ind w:left="284" w:hanging="284"/>
        <w:jc w:val="both"/>
        <w:rPr>
          <w:rFonts w:ascii="Times New Roman" w:hAnsi="Times New Roman" w:cs="Times New Roman"/>
          <w:sz w:val="6"/>
          <w:szCs w:val="6"/>
        </w:rPr>
      </w:pPr>
    </w:p>
    <w:p w14:paraId="2245E7DA" w14:textId="075A800B" w:rsidR="005224E8" w:rsidRPr="00C65C30" w:rsidRDefault="005224E8" w:rsidP="00577C94">
      <w:pPr>
        <w:pStyle w:val="ListParagraph"/>
        <w:numPr>
          <w:ilvl w:val="1"/>
          <w:numId w:val="15"/>
        </w:numPr>
        <w:spacing w:after="0" w:line="240" w:lineRule="auto"/>
        <w:ind w:left="284" w:hanging="284"/>
        <w:jc w:val="both"/>
        <w:rPr>
          <w:rFonts w:ascii="Times New Roman" w:hAnsi="Times New Roman" w:cs="Times New Roman"/>
          <w:i/>
          <w:iCs/>
          <w:sz w:val="24"/>
          <w:szCs w:val="24"/>
        </w:rPr>
      </w:pPr>
      <w:r w:rsidRPr="00C65C30">
        <w:rPr>
          <w:rFonts w:ascii="Times New Roman" w:hAnsi="Times New Roman" w:cs="Times New Roman"/>
          <w:i/>
          <w:iCs/>
          <w:sz w:val="24"/>
          <w:szCs w:val="24"/>
        </w:rPr>
        <w:t xml:space="preserve">Is the market’s response during the post-announcement period affected by its corporate governance characteristics? </w:t>
      </w:r>
    </w:p>
    <w:p w14:paraId="69CAFBE6" w14:textId="77777777" w:rsidR="005E5667" w:rsidRDefault="005E5667" w:rsidP="008F42C0">
      <w:pPr>
        <w:tabs>
          <w:tab w:val="left" w:pos="567"/>
        </w:tabs>
        <w:spacing w:after="0" w:line="288" w:lineRule="auto"/>
        <w:jc w:val="both"/>
        <w:rPr>
          <w:rFonts w:ascii="Times New Roman" w:hAnsi="Times New Roman" w:cs="Times New Roman"/>
          <w:sz w:val="24"/>
          <w:szCs w:val="24"/>
        </w:rPr>
      </w:pPr>
    </w:p>
    <w:p w14:paraId="6EDC4ED7" w14:textId="3B54B3F6" w:rsidR="005224E8"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In undertaking this analysis, we control for the level and/or movement in both </w:t>
      </w:r>
      <w:r w:rsidR="00FC13D1">
        <w:rPr>
          <w:rFonts w:ascii="Times New Roman" w:hAnsi="Times New Roman" w:cs="Times New Roman"/>
          <w:sz w:val="24"/>
          <w:szCs w:val="24"/>
        </w:rPr>
        <w:t xml:space="preserve">market </w:t>
      </w:r>
      <w:r w:rsidR="005224E8" w:rsidRPr="005224E8">
        <w:rPr>
          <w:rFonts w:ascii="Times New Roman" w:hAnsi="Times New Roman" w:cs="Times New Roman"/>
          <w:sz w:val="24"/>
          <w:szCs w:val="24"/>
        </w:rPr>
        <w:t xml:space="preserve">uncertainty and </w:t>
      </w:r>
      <w:r w:rsidR="00FC13D1">
        <w:rPr>
          <w:rFonts w:ascii="Times New Roman" w:hAnsi="Times New Roman" w:cs="Times New Roman"/>
          <w:sz w:val="24"/>
          <w:szCs w:val="24"/>
        </w:rPr>
        <w:t xml:space="preserve">investor </w:t>
      </w:r>
      <w:r w:rsidR="005224E8" w:rsidRPr="005224E8">
        <w:rPr>
          <w:rFonts w:ascii="Times New Roman" w:hAnsi="Times New Roman" w:cs="Times New Roman"/>
          <w:sz w:val="24"/>
          <w:szCs w:val="24"/>
        </w:rPr>
        <w:t>sentiment which the literature suggests are factors that exert a significant influence on how investors interpret and react to the flow of information (</w:t>
      </w:r>
      <w:r w:rsidR="000A3757">
        <w:rPr>
          <w:rFonts w:ascii="Times New Roman" w:hAnsi="Times New Roman" w:cs="Times New Roman"/>
          <w:sz w:val="24"/>
          <w:szCs w:val="24"/>
        </w:rPr>
        <w:t>for example,</w:t>
      </w:r>
      <w:r w:rsidR="005224E8" w:rsidRPr="005224E8">
        <w:rPr>
          <w:rFonts w:ascii="Times New Roman" w:hAnsi="Times New Roman" w:cs="Times New Roman"/>
          <w:sz w:val="24"/>
          <w:szCs w:val="24"/>
        </w:rPr>
        <w:t xml:space="preserve"> Anderson </w:t>
      </w:r>
      <w:r w:rsidR="005224E8" w:rsidRPr="000A375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2009</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Baker and Wurgler 2007</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Conrad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2002</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Epstein and Schneider</w:t>
      </w:r>
      <w:r w:rsidR="000A3757">
        <w:rPr>
          <w:rFonts w:ascii="Times New Roman" w:hAnsi="Times New Roman" w:cs="Times New Roman"/>
          <w:sz w:val="24"/>
          <w:szCs w:val="24"/>
        </w:rPr>
        <w:t xml:space="preserve"> </w:t>
      </w:r>
      <w:r w:rsidR="005224E8" w:rsidRPr="005224E8">
        <w:rPr>
          <w:rFonts w:ascii="Times New Roman" w:hAnsi="Times New Roman" w:cs="Times New Roman"/>
          <w:sz w:val="24"/>
          <w:szCs w:val="24"/>
        </w:rPr>
        <w:t>2008</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Lemmon and Portniaguina</w:t>
      </w:r>
      <w:r w:rsidR="000A3757">
        <w:rPr>
          <w:rFonts w:ascii="Times New Roman" w:hAnsi="Times New Roman" w:cs="Times New Roman"/>
          <w:sz w:val="24"/>
          <w:szCs w:val="24"/>
        </w:rPr>
        <w:t xml:space="preserve"> </w:t>
      </w:r>
      <w:r w:rsidR="005224E8" w:rsidRPr="005224E8">
        <w:rPr>
          <w:rFonts w:ascii="Times New Roman" w:hAnsi="Times New Roman" w:cs="Times New Roman"/>
          <w:sz w:val="24"/>
          <w:szCs w:val="24"/>
        </w:rPr>
        <w:t>2006</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Ozoguz 2009</w:t>
      </w:r>
      <w:r w:rsidR="00E77BD7" w:rsidRPr="00E77BD7">
        <w:rPr>
          <w:rFonts w:ascii="Times New Roman" w:hAnsi="Times New Roman" w:cs="Times New Roman"/>
          <w:sz w:val="24"/>
          <w:szCs w:val="24"/>
        </w:rPr>
        <w:t>,</w:t>
      </w:r>
      <w:r w:rsidR="005224E8" w:rsidRPr="005224E8">
        <w:rPr>
          <w:rFonts w:ascii="Times New Roman" w:hAnsi="Times New Roman" w:cs="Times New Roman"/>
          <w:sz w:val="24"/>
          <w:szCs w:val="24"/>
        </w:rPr>
        <w:t xml:space="preserve"> Wurgler 2007). Furthermore, prior </w:t>
      </w:r>
      <w:r w:rsidR="0073506B">
        <w:rPr>
          <w:rFonts w:ascii="Times New Roman" w:hAnsi="Times New Roman" w:cs="Times New Roman"/>
          <w:sz w:val="24"/>
          <w:szCs w:val="24"/>
        </w:rPr>
        <w:t xml:space="preserve">evidence in the literature suggests that stronger </w:t>
      </w:r>
      <w:r w:rsidR="005224E8" w:rsidRPr="005224E8">
        <w:rPr>
          <w:rFonts w:ascii="Times New Roman" w:hAnsi="Times New Roman" w:cs="Times New Roman"/>
          <w:sz w:val="24"/>
          <w:szCs w:val="24"/>
        </w:rPr>
        <w:t xml:space="preserve">governance mechanisms </w:t>
      </w:r>
      <w:r w:rsidR="0073506B">
        <w:rPr>
          <w:rFonts w:ascii="Times New Roman" w:hAnsi="Times New Roman" w:cs="Times New Roman"/>
          <w:sz w:val="24"/>
          <w:szCs w:val="24"/>
        </w:rPr>
        <w:t xml:space="preserve">are likely to enhance </w:t>
      </w:r>
      <w:r w:rsidR="007045C9">
        <w:rPr>
          <w:rFonts w:ascii="Times New Roman" w:hAnsi="Times New Roman" w:cs="Times New Roman"/>
          <w:sz w:val="24"/>
          <w:szCs w:val="24"/>
        </w:rPr>
        <w:t xml:space="preserve">investors’ </w:t>
      </w:r>
      <w:r w:rsidR="001F5391">
        <w:rPr>
          <w:rFonts w:ascii="Times New Roman" w:hAnsi="Times New Roman" w:cs="Times New Roman"/>
          <w:sz w:val="24"/>
          <w:szCs w:val="24"/>
        </w:rPr>
        <w:t xml:space="preserve">immediate </w:t>
      </w:r>
      <w:r w:rsidR="0073506B">
        <w:rPr>
          <w:rFonts w:ascii="Times New Roman" w:hAnsi="Times New Roman" w:cs="Times New Roman"/>
          <w:sz w:val="24"/>
          <w:szCs w:val="24"/>
        </w:rPr>
        <w:t xml:space="preserve">reaction to information signals </w:t>
      </w:r>
      <w:r w:rsidR="007045C9">
        <w:rPr>
          <w:rFonts w:ascii="Times New Roman" w:hAnsi="Times New Roman" w:cs="Times New Roman"/>
          <w:sz w:val="24"/>
          <w:szCs w:val="24"/>
        </w:rPr>
        <w:t>through</w:t>
      </w:r>
      <w:r w:rsidR="0073506B">
        <w:rPr>
          <w:rFonts w:ascii="Times New Roman" w:hAnsi="Times New Roman" w:cs="Times New Roman"/>
          <w:sz w:val="24"/>
          <w:szCs w:val="24"/>
        </w:rPr>
        <w:t xml:space="preserve"> </w:t>
      </w:r>
      <w:r w:rsidR="0073506B" w:rsidRPr="0073506B">
        <w:rPr>
          <w:rFonts w:ascii="Times New Roman" w:hAnsi="Times New Roman" w:cs="Times New Roman"/>
          <w:sz w:val="24"/>
          <w:szCs w:val="24"/>
        </w:rPr>
        <w:t>reduc</w:t>
      </w:r>
      <w:r w:rsidR="007045C9">
        <w:rPr>
          <w:rFonts w:ascii="Times New Roman" w:hAnsi="Times New Roman" w:cs="Times New Roman"/>
          <w:sz w:val="24"/>
          <w:szCs w:val="24"/>
        </w:rPr>
        <w:t>ing</w:t>
      </w:r>
      <w:r w:rsidR="0073506B" w:rsidRPr="0073506B">
        <w:rPr>
          <w:rFonts w:ascii="Times New Roman" w:hAnsi="Times New Roman" w:cs="Times New Roman"/>
          <w:sz w:val="24"/>
          <w:szCs w:val="24"/>
        </w:rPr>
        <w:t xml:space="preserve"> firm-specific uncertainty</w:t>
      </w:r>
      <w:r w:rsidR="0073506B">
        <w:rPr>
          <w:rFonts w:ascii="Times New Roman" w:hAnsi="Times New Roman" w:cs="Times New Roman"/>
          <w:sz w:val="24"/>
          <w:szCs w:val="24"/>
        </w:rPr>
        <w:t xml:space="preserve"> and improv</w:t>
      </w:r>
      <w:r w:rsidR="007045C9">
        <w:rPr>
          <w:rFonts w:ascii="Times New Roman" w:hAnsi="Times New Roman" w:cs="Times New Roman"/>
          <w:sz w:val="24"/>
          <w:szCs w:val="24"/>
        </w:rPr>
        <w:t>ing</w:t>
      </w:r>
      <w:r w:rsidR="0073506B">
        <w:rPr>
          <w:rFonts w:ascii="Times New Roman" w:hAnsi="Times New Roman" w:cs="Times New Roman"/>
          <w:sz w:val="24"/>
          <w:szCs w:val="24"/>
        </w:rPr>
        <w:t xml:space="preserve"> the perception of the quality of the firm’s announcements </w:t>
      </w:r>
      <w:r w:rsidR="005224E8" w:rsidRPr="005224E8">
        <w:rPr>
          <w:rFonts w:ascii="Times New Roman" w:hAnsi="Times New Roman" w:cs="Times New Roman"/>
          <w:sz w:val="24"/>
          <w:szCs w:val="24"/>
        </w:rPr>
        <w:t xml:space="preserve">(Cai </w:t>
      </w:r>
      <w:r w:rsidR="006D1807" w:rsidRPr="006D180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2006</w:t>
      </w:r>
      <w:r w:rsidR="00E77BD7" w:rsidRPr="00E77BD7">
        <w:rPr>
          <w:rFonts w:ascii="Times New Roman" w:hAnsi="Times New Roman" w:cs="Times New Roman"/>
          <w:sz w:val="24"/>
          <w:szCs w:val="24"/>
        </w:rPr>
        <w:t>,</w:t>
      </w:r>
      <w:r w:rsidR="0073506B">
        <w:rPr>
          <w:rFonts w:ascii="Times New Roman" w:hAnsi="Times New Roman" w:cs="Times New Roman"/>
          <w:sz w:val="24"/>
          <w:szCs w:val="24"/>
        </w:rPr>
        <w:t xml:space="preserve"> </w:t>
      </w:r>
      <w:r w:rsidR="0073506B" w:rsidRPr="005224E8">
        <w:rPr>
          <w:rFonts w:ascii="Times New Roman" w:hAnsi="Times New Roman" w:cs="Times New Roman"/>
          <w:sz w:val="24"/>
          <w:szCs w:val="24"/>
        </w:rPr>
        <w:t xml:space="preserve">Hass </w:t>
      </w:r>
      <w:r w:rsidR="006D1807" w:rsidRPr="006D1807">
        <w:rPr>
          <w:rFonts w:ascii="Times New Roman" w:hAnsi="Times New Roman" w:cs="Times New Roman"/>
          <w:i/>
          <w:iCs/>
          <w:sz w:val="24"/>
          <w:szCs w:val="24"/>
        </w:rPr>
        <w:t>et al.</w:t>
      </w:r>
      <w:r w:rsidR="0073506B">
        <w:rPr>
          <w:rFonts w:ascii="Times New Roman" w:hAnsi="Times New Roman" w:cs="Times New Roman"/>
          <w:sz w:val="24"/>
          <w:szCs w:val="24"/>
        </w:rPr>
        <w:t xml:space="preserve"> </w:t>
      </w:r>
      <w:r w:rsidR="0073506B" w:rsidRPr="005224E8">
        <w:rPr>
          <w:rFonts w:ascii="Times New Roman" w:hAnsi="Times New Roman" w:cs="Times New Roman"/>
          <w:sz w:val="24"/>
          <w:szCs w:val="24"/>
        </w:rPr>
        <w:t>2014</w:t>
      </w:r>
      <w:r w:rsidR="00E77BD7" w:rsidRPr="00E77BD7">
        <w:rPr>
          <w:rFonts w:ascii="Times New Roman" w:hAnsi="Times New Roman" w:cs="Times New Roman"/>
          <w:sz w:val="24"/>
          <w:szCs w:val="24"/>
        </w:rPr>
        <w:t>,</w:t>
      </w:r>
      <w:r w:rsidR="0073506B">
        <w:rPr>
          <w:rFonts w:ascii="Times New Roman" w:hAnsi="Times New Roman" w:cs="Times New Roman"/>
          <w:sz w:val="24"/>
          <w:szCs w:val="24"/>
        </w:rPr>
        <w:t xml:space="preserve"> </w:t>
      </w:r>
      <w:r w:rsidR="0073506B" w:rsidRPr="005224E8">
        <w:rPr>
          <w:rFonts w:ascii="Times New Roman" w:hAnsi="Times New Roman" w:cs="Times New Roman"/>
          <w:sz w:val="24"/>
          <w:szCs w:val="24"/>
        </w:rPr>
        <w:t xml:space="preserve">Kanagaretnam </w:t>
      </w:r>
      <w:r w:rsidR="006D1807" w:rsidRPr="006D1807">
        <w:rPr>
          <w:rFonts w:ascii="Times New Roman" w:hAnsi="Times New Roman" w:cs="Times New Roman"/>
          <w:i/>
          <w:iCs/>
          <w:sz w:val="24"/>
          <w:szCs w:val="24"/>
        </w:rPr>
        <w:t>et al.</w:t>
      </w:r>
      <w:r w:rsidR="0073506B" w:rsidRPr="005224E8">
        <w:rPr>
          <w:rFonts w:ascii="Times New Roman" w:hAnsi="Times New Roman" w:cs="Times New Roman"/>
          <w:sz w:val="24"/>
          <w:szCs w:val="24"/>
        </w:rPr>
        <w:t xml:space="preserve"> 2007</w:t>
      </w:r>
      <w:r w:rsidR="005224E8" w:rsidRPr="005224E8">
        <w:rPr>
          <w:rFonts w:ascii="Times New Roman" w:hAnsi="Times New Roman" w:cs="Times New Roman"/>
          <w:sz w:val="24"/>
          <w:szCs w:val="24"/>
        </w:rPr>
        <w:t>)</w:t>
      </w:r>
      <w:r w:rsidR="0073506B">
        <w:rPr>
          <w:rFonts w:ascii="Times New Roman" w:hAnsi="Times New Roman" w:cs="Times New Roman"/>
          <w:sz w:val="24"/>
          <w:szCs w:val="24"/>
        </w:rPr>
        <w:t xml:space="preserve">. </w:t>
      </w:r>
    </w:p>
    <w:p w14:paraId="1E8F7B09" w14:textId="77777777" w:rsidR="005E5667" w:rsidRPr="005224E8" w:rsidRDefault="005E5667" w:rsidP="008F42C0">
      <w:pPr>
        <w:tabs>
          <w:tab w:val="left" w:pos="567"/>
        </w:tabs>
        <w:spacing w:after="0" w:line="288" w:lineRule="auto"/>
        <w:jc w:val="both"/>
        <w:rPr>
          <w:rFonts w:ascii="Times New Roman" w:hAnsi="Times New Roman" w:cs="Times New Roman"/>
          <w:sz w:val="24"/>
          <w:szCs w:val="24"/>
        </w:rPr>
      </w:pPr>
    </w:p>
    <w:p w14:paraId="14C9743C" w14:textId="69F485F4" w:rsidR="005224E8" w:rsidRDefault="005224E8" w:rsidP="008F42C0">
      <w:pPr>
        <w:tabs>
          <w:tab w:val="left" w:pos="567"/>
        </w:tabs>
        <w:spacing w:after="0" w:line="288" w:lineRule="auto"/>
        <w:jc w:val="both"/>
        <w:rPr>
          <w:rFonts w:ascii="Times New Roman" w:hAnsi="Times New Roman" w:cs="Times New Roman"/>
          <w:sz w:val="24"/>
          <w:szCs w:val="24"/>
        </w:rPr>
      </w:pPr>
      <w:r w:rsidRPr="005224E8">
        <w:rPr>
          <w:rFonts w:ascii="Times New Roman" w:hAnsi="Times New Roman" w:cs="Times New Roman"/>
          <w:sz w:val="24"/>
          <w:szCs w:val="24"/>
        </w:rPr>
        <w:t>We then address a third question that relates to the channel through which a firm’s corporate governance environment might influence the market’s immediate and subsequent response to earnings announcements:</w:t>
      </w:r>
    </w:p>
    <w:p w14:paraId="64C3DC39" w14:textId="77777777" w:rsidR="00267991" w:rsidRDefault="00267991" w:rsidP="008F42C0">
      <w:pPr>
        <w:tabs>
          <w:tab w:val="left" w:pos="567"/>
        </w:tabs>
        <w:spacing w:after="0" w:line="288" w:lineRule="auto"/>
        <w:jc w:val="both"/>
        <w:rPr>
          <w:rFonts w:ascii="Times New Roman" w:hAnsi="Times New Roman" w:cs="Times New Roman"/>
          <w:sz w:val="24"/>
          <w:szCs w:val="24"/>
        </w:rPr>
      </w:pPr>
    </w:p>
    <w:p w14:paraId="405D6EC1" w14:textId="77777777" w:rsidR="005E5667" w:rsidRPr="000A3757" w:rsidRDefault="005E5667" w:rsidP="00D271CB">
      <w:pPr>
        <w:spacing w:after="0" w:line="288" w:lineRule="auto"/>
        <w:ind w:left="284" w:hanging="284"/>
        <w:jc w:val="both"/>
        <w:rPr>
          <w:rFonts w:ascii="Times New Roman" w:hAnsi="Times New Roman" w:cs="Times New Roman"/>
          <w:sz w:val="8"/>
          <w:szCs w:val="8"/>
        </w:rPr>
      </w:pPr>
    </w:p>
    <w:p w14:paraId="0F7CEB74" w14:textId="3F13ABCA" w:rsidR="005224E8" w:rsidRPr="00C65C30" w:rsidRDefault="00D52710" w:rsidP="00C65C30">
      <w:pPr>
        <w:pStyle w:val="ListParagraph"/>
        <w:numPr>
          <w:ilvl w:val="1"/>
          <w:numId w:val="15"/>
        </w:numPr>
        <w:spacing w:after="0" w:line="240" w:lineRule="auto"/>
        <w:ind w:left="284" w:hanging="284"/>
        <w:jc w:val="both"/>
        <w:rPr>
          <w:rFonts w:ascii="Times New Roman" w:hAnsi="Times New Roman" w:cs="Times New Roman"/>
          <w:i/>
          <w:iCs/>
          <w:sz w:val="24"/>
          <w:szCs w:val="24"/>
        </w:rPr>
      </w:pPr>
      <w:r w:rsidRPr="00C65C30">
        <w:rPr>
          <w:rFonts w:ascii="Times New Roman" w:hAnsi="Times New Roman" w:cs="Times New Roman"/>
          <w:i/>
          <w:iCs/>
          <w:sz w:val="24"/>
          <w:szCs w:val="24"/>
        </w:rPr>
        <w:t xml:space="preserve">Is the influence of </w:t>
      </w:r>
      <w:r w:rsidR="005224E8" w:rsidRPr="00C65C30">
        <w:rPr>
          <w:rFonts w:ascii="Times New Roman" w:hAnsi="Times New Roman" w:cs="Times New Roman"/>
          <w:i/>
          <w:iCs/>
          <w:sz w:val="24"/>
          <w:szCs w:val="24"/>
        </w:rPr>
        <w:t xml:space="preserve">corporate governance </w:t>
      </w:r>
      <w:r w:rsidRPr="00C65C30">
        <w:rPr>
          <w:rFonts w:ascii="Times New Roman" w:hAnsi="Times New Roman" w:cs="Times New Roman"/>
          <w:i/>
          <w:iCs/>
          <w:sz w:val="24"/>
          <w:szCs w:val="24"/>
        </w:rPr>
        <w:t>on</w:t>
      </w:r>
      <w:r w:rsidR="005224E8" w:rsidRPr="00C65C30">
        <w:rPr>
          <w:rFonts w:ascii="Times New Roman" w:hAnsi="Times New Roman" w:cs="Times New Roman"/>
          <w:i/>
          <w:iCs/>
          <w:sz w:val="24"/>
          <w:szCs w:val="24"/>
        </w:rPr>
        <w:t xml:space="preserve"> the market’s response to earnings announcements </w:t>
      </w:r>
      <w:r w:rsidRPr="00C65C30">
        <w:rPr>
          <w:rFonts w:ascii="Times New Roman" w:hAnsi="Times New Roman" w:cs="Times New Roman"/>
          <w:i/>
          <w:iCs/>
          <w:sz w:val="24"/>
          <w:szCs w:val="24"/>
        </w:rPr>
        <w:t xml:space="preserve">attributable to a significant extent </w:t>
      </w:r>
      <w:r w:rsidR="003746BD" w:rsidRPr="00C65C30">
        <w:rPr>
          <w:rFonts w:ascii="Times New Roman" w:hAnsi="Times New Roman" w:cs="Times New Roman"/>
          <w:i/>
          <w:iCs/>
          <w:sz w:val="24"/>
          <w:szCs w:val="24"/>
        </w:rPr>
        <w:t xml:space="preserve">to the favourable impact that </w:t>
      </w:r>
      <w:r w:rsidR="005224E8" w:rsidRPr="00C65C30">
        <w:rPr>
          <w:rFonts w:ascii="Times New Roman" w:hAnsi="Times New Roman" w:cs="Times New Roman"/>
          <w:i/>
          <w:iCs/>
          <w:sz w:val="24"/>
          <w:szCs w:val="24"/>
        </w:rPr>
        <w:t xml:space="preserve">it has on improving a firm’s earnings quality? </w:t>
      </w:r>
    </w:p>
    <w:p w14:paraId="70B23B72" w14:textId="06D0588A" w:rsidR="001464AB" w:rsidRDefault="001464AB" w:rsidP="00C65C30">
      <w:pPr>
        <w:pStyle w:val="ListParagraph"/>
        <w:spacing w:after="0" w:line="240" w:lineRule="auto"/>
        <w:ind w:left="284" w:hanging="284"/>
        <w:jc w:val="both"/>
        <w:rPr>
          <w:rFonts w:ascii="Times New Roman" w:hAnsi="Times New Roman" w:cs="Times New Roman"/>
          <w:i/>
          <w:iCs/>
          <w:sz w:val="16"/>
          <w:szCs w:val="16"/>
        </w:rPr>
      </w:pPr>
    </w:p>
    <w:p w14:paraId="01E16BD2" w14:textId="77777777" w:rsidR="0044765D" w:rsidRPr="00C65C30" w:rsidRDefault="0044765D" w:rsidP="00C65C30">
      <w:pPr>
        <w:pStyle w:val="ListParagraph"/>
        <w:spacing w:after="0" w:line="240" w:lineRule="auto"/>
        <w:ind w:left="284" w:hanging="284"/>
        <w:jc w:val="both"/>
        <w:rPr>
          <w:rFonts w:ascii="Times New Roman" w:hAnsi="Times New Roman" w:cs="Times New Roman"/>
          <w:i/>
          <w:iCs/>
          <w:sz w:val="16"/>
          <w:szCs w:val="16"/>
        </w:rPr>
      </w:pPr>
    </w:p>
    <w:p w14:paraId="41F3D3E6" w14:textId="6309776D" w:rsidR="005E5667" w:rsidRPr="00C65C30" w:rsidRDefault="001464AB" w:rsidP="00C65C30">
      <w:pPr>
        <w:spacing w:after="0" w:line="240" w:lineRule="auto"/>
        <w:ind w:left="284" w:hanging="284"/>
        <w:jc w:val="both"/>
        <w:rPr>
          <w:i/>
          <w:iCs/>
          <w:lang w:val="en-NZ"/>
        </w:rPr>
      </w:pPr>
      <w:r w:rsidRPr="00C65C30">
        <w:rPr>
          <w:rFonts w:ascii="Times New Roman" w:hAnsi="Times New Roman" w:cs="Times New Roman"/>
          <w:sz w:val="24"/>
          <w:szCs w:val="24"/>
        </w:rPr>
        <w:t>4.</w:t>
      </w:r>
      <w:r w:rsidR="00724C79" w:rsidRPr="00C65C30">
        <w:rPr>
          <w:rFonts w:ascii="Times New Roman" w:hAnsi="Times New Roman" w:cs="Times New Roman"/>
          <w:i/>
          <w:iCs/>
          <w:sz w:val="24"/>
          <w:szCs w:val="24"/>
        </w:rPr>
        <w:tab/>
      </w:r>
      <w:r w:rsidRPr="00C65C30">
        <w:rPr>
          <w:rFonts w:ascii="Times New Roman" w:hAnsi="Times New Roman" w:cs="Times New Roman"/>
          <w:i/>
          <w:iCs/>
          <w:sz w:val="24"/>
          <w:szCs w:val="24"/>
        </w:rPr>
        <w:t>What is the relative impact of corporate governance relative to market uncertainty and investor sentiment in explaining the extent of the initial and subsequent market response to earnings announcements? </w:t>
      </w:r>
    </w:p>
    <w:p w14:paraId="597AA7E5" w14:textId="77777777" w:rsidR="00D271CB"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415A110F" w14:textId="082B537F" w:rsidR="00AD3BCF" w:rsidRDefault="00B70E0E"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224E8" w:rsidRPr="005224E8">
        <w:rPr>
          <w:rFonts w:ascii="Times New Roman" w:hAnsi="Times New Roman" w:cs="Times New Roman"/>
          <w:sz w:val="24"/>
          <w:szCs w:val="24"/>
        </w:rPr>
        <w:t xml:space="preserve">Francis </w:t>
      </w:r>
      <w:r w:rsidR="005224E8" w:rsidRPr="00724C79">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 and Zhang (2006), among others, associate any delayed response to an earnings announcement with the perceived quality of a firm’s information signal. Francis </w:t>
      </w:r>
      <w:r w:rsidR="005224E8" w:rsidRPr="000A3757">
        <w:rPr>
          <w:rFonts w:ascii="Times New Roman" w:hAnsi="Times New Roman" w:cs="Times New Roman"/>
          <w:i/>
          <w:iCs/>
          <w:sz w:val="24"/>
          <w:szCs w:val="24"/>
        </w:rPr>
        <w:t>et al.</w:t>
      </w:r>
      <w:r w:rsidR="005224E8" w:rsidRPr="005224E8">
        <w:rPr>
          <w:rFonts w:ascii="Times New Roman" w:hAnsi="Times New Roman" w:cs="Times New Roman"/>
          <w:sz w:val="24"/>
          <w:szCs w:val="24"/>
        </w:rPr>
        <w:t xml:space="preserve"> (2007) </w:t>
      </w:r>
      <w:r w:rsidR="00BA5A03">
        <w:rPr>
          <w:rFonts w:ascii="Times New Roman" w:hAnsi="Times New Roman" w:cs="Times New Roman"/>
          <w:sz w:val="24"/>
          <w:szCs w:val="24"/>
        </w:rPr>
        <w:t>find</w:t>
      </w:r>
      <w:r w:rsidR="005224E8" w:rsidRPr="005224E8">
        <w:rPr>
          <w:rFonts w:ascii="Times New Roman" w:hAnsi="Times New Roman" w:cs="Times New Roman"/>
          <w:sz w:val="24"/>
          <w:szCs w:val="24"/>
        </w:rPr>
        <w:t xml:space="preserve"> that announcements by firms with higher information uncertainty (IU) tend to experience a more muted initial market reaction. Zhang (2006) </w:t>
      </w:r>
      <w:r w:rsidR="00BA5A03">
        <w:rPr>
          <w:rFonts w:ascii="Times New Roman" w:hAnsi="Times New Roman" w:cs="Times New Roman"/>
          <w:sz w:val="24"/>
          <w:szCs w:val="24"/>
        </w:rPr>
        <w:t>finds</w:t>
      </w:r>
      <w:r w:rsidR="005224E8" w:rsidRPr="005224E8">
        <w:rPr>
          <w:rFonts w:ascii="Times New Roman" w:hAnsi="Times New Roman" w:cs="Times New Roman"/>
          <w:sz w:val="24"/>
          <w:szCs w:val="24"/>
        </w:rPr>
        <w:t xml:space="preserve"> evidence that greater IU is associated with a greater price drift. Based on this evidence as well as the earlier discussion regarding the role of good corporate governance in reducing the effect of IU, firms with stronger governance are expected to have a greater initial reaction to earnings surprises and as a result a potentially smaller or an insignificant drift during the post-announcement period</w:t>
      </w:r>
      <w:r w:rsidR="005224E8">
        <w:rPr>
          <w:rFonts w:ascii="Times New Roman" w:hAnsi="Times New Roman" w:cs="Times New Roman"/>
          <w:sz w:val="24"/>
          <w:szCs w:val="24"/>
        </w:rPr>
        <w:t>.</w:t>
      </w:r>
      <w:r w:rsidR="00F43136">
        <w:rPr>
          <w:rFonts w:ascii="Times New Roman" w:hAnsi="Times New Roman" w:cs="Times New Roman"/>
          <w:sz w:val="24"/>
          <w:szCs w:val="24"/>
        </w:rPr>
        <w:t xml:space="preserve"> </w:t>
      </w:r>
    </w:p>
    <w:p w14:paraId="012EE40A" w14:textId="77777777" w:rsidR="00BA14B0" w:rsidRDefault="00BA14B0" w:rsidP="008F42C0">
      <w:pPr>
        <w:tabs>
          <w:tab w:val="left" w:pos="567"/>
        </w:tabs>
        <w:spacing w:after="0" w:line="288" w:lineRule="auto"/>
        <w:jc w:val="both"/>
        <w:rPr>
          <w:rFonts w:ascii="Times New Roman" w:hAnsi="Times New Roman" w:cs="Times New Roman"/>
          <w:sz w:val="24"/>
          <w:szCs w:val="24"/>
        </w:rPr>
      </w:pPr>
    </w:p>
    <w:p w14:paraId="3FB2FCB3" w14:textId="77777777" w:rsidR="0044765D"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4D52F829" w14:textId="509532F2" w:rsidR="00575A04" w:rsidRDefault="0044765D"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D1873">
        <w:rPr>
          <w:rFonts w:ascii="Times New Roman" w:hAnsi="Times New Roman" w:cs="Times New Roman"/>
          <w:sz w:val="24"/>
          <w:szCs w:val="24"/>
        </w:rPr>
        <w:t>W</w:t>
      </w:r>
      <w:r w:rsidR="00AD3BCF" w:rsidRPr="00BD1873">
        <w:rPr>
          <w:rFonts w:ascii="Times New Roman" w:hAnsi="Times New Roman" w:cs="Times New Roman"/>
          <w:sz w:val="24"/>
          <w:szCs w:val="24"/>
        </w:rPr>
        <w:t>e examine investors</w:t>
      </w:r>
      <w:r w:rsidR="00C47677" w:rsidRPr="00BD1873">
        <w:rPr>
          <w:rFonts w:ascii="Times New Roman" w:hAnsi="Times New Roman" w:cs="Times New Roman"/>
          <w:sz w:val="24"/>
          <w:szCs w:val="24"/>
        </w:rPr>
        <w:t>’</w:t>
      </w:r>
      <w:r w:rsidR="00AD3BCF" w:rsidRPr="00BD1873">
        <w:rPr>
          <w:rFonts w:ascii="Times New Roman" w:hAnsi="Times New Roman" w:cs="Times New Roman"/>
          <w:sz w:val="24"/>
          <w:szCs w:val="24"/>
        </w:rPr>
        <w:t xml:space="preserve"> reaction under different market condition</w:t>
      </w:r>
      <w:r w:rsidR="00C47677" w:rsidRPr="00BD1873">
        <w:rPr>
          <w:rFonts w:ascii="Times New Roman" w:hAnsi="Times New Roman" w:cs="Times New Roman"/>
          <w:sz w:val="24"/>
          <w:szCs w:val="24"/>
        </w:rPr>
        <w:t>s</w:t>
      </w:r>
      <w:r w:rsidR="00AD3BCF" w:rsidRPr="00BD1873">
        <w:rPr>
          <w:rFonts w:ascii="Times New Roman" w:hAnsi="Times New Roman" w:cs="Times New Roman"/>
          <w:sz w:val="24"/>
          <w:szCs w:val="24"/>
        </w:rPr>
        <w:t xml:space="preserve"> where we consider the </w:t>
      </w:r>
      <w:r w:rsidR="00C47677" w:rsidRPr="00BD1873">
        <w:rPr>
          <w:rFonts w:ascii="Times New Roman" w:hAnsi="Times New Roman" w:cs="Times New Roman"/>
          <w:sz w:val="24"/>
          <w:szCs w:val="24"/>
        </w:rPr>
        <w:t>interplay</w:t>
      </w:r>
      <w:r w:rsidR="00AD3BCF" w:rsidRPr="00BD1873">
        <w:rPr>
          <w:rFonts w:ascii="Times New Roman" w:hAnsi="Times New Roman" w:cs="Times New Roman"/>
          <w:sz w:val="24"/>
          <w:szCs w:val="24"/>
        </w:rPr>
        <w:t xml:space="preserve"> between </w:t>
      </w:r>
      <w:r w:rsidR="00670DE7">
        <w:rPr>
          <w:rFonts w:ascii="Times New Roman" w:hAnsi="Times New Roman" w:cs="Times New Roman"/>
          <w:sz w:val="24"/>
          <w:szCs w:val="24"/>
        </w:rPr>
        <w:t xml:space="preserve">corporate governance, </w:t>
      </w:r>
      <w:r w:rsidR="00AD3BCF" w:rsidRPr="00BD1873">
        <w:rPr>
          <w:rFonts w:ascii="Times New Roman" w:hAnsi="Times New Roman" w:cs="Times New Roman"/>
          <w:sz w:val="24"/>
          <w:szCs w:val="24"/>
        </w:rPr>
        <w:t xml:space="preserve">market uncertainty, </w:t>
      </w:r>
      <w:r w:rsidR="00670DE7">
        <w:rPr>
          <w:rFonts w:ascii="Times New Roman" w:hAnsi="Times New Roman" w:cs="Times New Roman"/>
          <w:sz w:val="24"/>
          <w:szCs w:val="24"/>
        </w:rPr>
        <w:t xml:space="preserve">and investor </w:t>
      </w:r>
      <w:r w:rsidR="00CF1C3B" w:rsidRPr="00BD1873">
        <w:rPr>
          <w:rFonts w:ascii="Times New Roman" w:hAnsi="Times New Roman" w:cs="Times New Roman"/>
          <w:sz w:val="24"/>
          <w:szCs w:val="24"/>
        </w:rPr>
        <w:t>sentiment</w:t>
      </w:r>
      <w:r w:rsidR="00CF1C3B">
        <w:rPr>
          <w:rFonts w:ascii="Times New Roman" w:hAnsi="Times New Roman" w:cs="Times New Roman"/>
          <w:sz w:val="24"/>
          <w:szCs w:val="24"/>
        </w:rPr>
        <w:t>.</w:t>
      </w:r>
      <w:r w:rsidR="00AD3BCF" w:rsidRPr="00BD1873">
        <w:rPr>
          <w:rFonts w:ascii="Times New Roman" w:hAnsi="Times New Roman" w:cs="Times New Roman"/>
          <w:sz w:val="24"/>
          <w:szCs w:val="24"/>
        </w:rPr>
        <w:t xml:space="preserve"> </w:t>
      </w:r>
      <w:r w:rsidR="00C47677" w:rsidRPr="00BD1873">
        <w:rPr>
          <w:rFonts w:ascii="Times New Roman" w:hAnsi="Times New Roman" w:cs="Times New Roman"/>
          <w:sz w:val="24"/>
          <w:szCs w:val="24"/>
        </w:rPr>
        <w:t xml:space="preserve">Bird and Yeung (2012) show that strong market sentiment can mitigate the negative impact of market level uncertainty in investors’ response to unexpected earnings news. </w:t>
      </w:r>
      <w:r w:rsidR="00670DE7">
        <w:rPr>
          <w:rFonts w:ascii="Times New Roman" w:hAnsi="Times New Roman" w:cs="Times New Roman"/>
          <w:sz w:val="24"/>
          <w:szCs w:val="24"/>
        </w:rPr>
        <w:t>In this study with the introduction of corporate governance, we can gauge the relative impact of each of these three components of the information environment in terms of their influence on how investors react to information signal</w:t>
      </w:r>
      <w:r w:rsidR="00575A04">
        <w:rPr>
          <w:rFonts w:ascii="Times New Roman" w:hAnsi="Times New Roman" w:cs="Times New Roman"/>
          <w:sz w:val="24"/>
          <w:szCs w:val="24"/>
        </w:rPr>
        <w:t xml:space="preserve">s. </w:t>
      </w:r>
    </w:p>
    <w:p w14:paraId="6EBFC02C" w14:textId="77777777" w:rsidR="002C688A" w:rsidRDefault="002C688A" w:rsidP="008F42C0">
      <w:pPr>
        <w:tabs>
          <w:tab w:val="left" w:pos="567"/>
        </w:tabs>
        <w:spacing w:after="0" w:line="288" w:lineRule="auto"/>
        <w:jc w:val="both"/>
        <w:rPr>
          <w:rFonts w:ascii="Times New Roman" w:hAnsi="Times New Roman" w:cs="Times New Roman"/>
          <w:sz w:val="24"/>
          <w:szCs w:val="24"/>
        </w:rPr>
      </w:pPr>
    </w:p>
    <w:p w14:paraId="2419014F" w14:textId="77777777" w:rsidR="005E5667" w:rsidRPr="000A3757" w:rsidRDefault="005E5667" w:rsidP="008F42C0">
      <w:pPr>
        <w:tabs>
          <w:tab w:val="left" w:pos="567"/>
        </w:tabs>
        <w:spacing w:after="0" w:line="288" w:lineRule="auto"/>
        <w:jc w:val="both"/>
        <w:rPr>
          <w:rFonts w:ascii="Times New Roman" w:hAnsi="Times New Roman" w:cs="Times New Roman"/>
          <w:sz w:val="8"/>
          <w:szCs w:val="8"/>
        </w:rPr>
      </w:pPr>
    </w:p>
    <w:p w14:paraId="58EDF1A0" w14:textId="5D03A870" w:rsidR="00575A04" w:rsidRPr="00C65C30" w:rsidRDefault="00C65C30" w:rsidP="00C65C30">
      <w:pPr>
        <w:spacing w:after="0" w:line="240" w:lineRule="auto"/>
        <w:ind w:left="284" w:hanging="284"/>
        <w:jc w:val="both"/>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575A04" w:rsidRPr="00C65C30">
        <w:rPr>
          <w:rFonts w:ascii="Times New Roman" w:hAnsi="Times New Roman" w:cs="Times New Roman"/>
          <w:i/>
          <w:iCs/>
          <w:sz w:val="24"/>
          <w:szCs w:val="24"/>
        </w:rPr>
        <w:t>Do the two types of uncertainty (market uncertainty and firm-specific information uncertainty) analysed in our study impact on the market response to information signals in a similar way?</w:t>
      </w:r>
    </w:p>
    <w:p w14:paraId="29087F46" w14:textId="3ECD565D" w:rsidR="005E5667" w:rsidRDefault="005E5667" w:rsidP="008F42C0">
      <w:pPr>
        <w:tabs>
          <w:tab w:val="left" w:pos="567"/>
        </w:tabs>
        <w:spacing w:after="0" w:line="288" w:lineRule="auto"/>
        <w:jc w:val="both"/>
        <w:rPr>
          <w:rFonts w:ascii="Times New Roman" w:hAnsi="Times New Roman" w:cs="Times New Roman"/>
          <w:sz w:val="16"/>
          <w:szCs w:val="16"/>
        </w:rPr>
      </w:pPr>
    </w:p>
    <w:p w14:paraId="6677036D" w14:textId="77777777" w:rsidR="002C688A" w:rsidRPr="00C65C30" w:rsidRDefault="002C688A" w:rsidP="008F42C0">
      <w:pPr>
        <w:tabs>
          <w:tab w:val="left" w:pos="567"/>
        </w:tabs>
        <w:spacing w:after="0" w:line="288" w:lineRule="auto"/>
        <w:jc w:val="both"/>
        <w:rPr>
          <w:rFonts w:ascii="Times New Roman" w:hAnsi="Times New Roman" w:cs="Times New Roman"/>
          <w:sz w:val="16"/>
          <w:szCs w:val="16"/>
        </w:rPr>
      </w:pPr>
    </w:p>
    <w:p w14:paraId="7ABA8680" w14:textId="243BA529" w:rsidR="00C40020"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F20120">
        <w:rPr>
          <w:rFonts w:ascii="Times New Roman" w:hAnsi="Times New Roman" w:cs="Times New Roman"/>
          <w:sz w:val="24"/>
          <w:szCs w:val="24"/>
        </w:rPr>
        <w:t>In this study we follow in the footsteps of prior studies and include market uncertainty as part of the environment that influences the market response to information. We also include firm-level information uncertainty as one channel through which corporate governance influences the market response. This affords us the opportunity to compare the impact that each of the sources of uncertainty has</w:t>
      </w:r>
      <w:r w:rsidR="00346EFF">
        <w:rPr>
          <w:rFonts w:ascii="Times New Roman" w:hAnsi="Times New Roman" w:cs="Times New Roman"/>
          <w:sz w:val="24"/>
          <w:szCs w:val="24"/>
        </w:rPr>
        <w:t xml:space="preserve"> on</w:t>
      </w:r>
      <w:r w:rsidR="00F20120">
        <w:rPr>
          <w:rFonts w:ascii="Times New Roman" w:hAnsi="Times New Roman" w:cs="Times New Roman"/>
          <w:sz w:val="24"/>
          <w:szCs w:val="24"/>
        </w:rPr>
        <w:t xml:space="preserve"> </w:t>
      </w:r>
      <w:r w:rsidR="001E15A7">
        <w:rPr>
          <w:rFonts w:ascii="Times New Roman" w:hAnsi="Times New Roman" w:cs="Times New Roman"/>
          <w:sz w:val="24"/>
          <w:szCs w:val="24"/>
        </w:rPr>
        <w:t>the pricing process at the time of, and subsequent to, the release of earnings news.</w:t>
      </w:r>
    </w:p>
    <w:p w14:paraId="1F3BD1EA" w14:textId="7ECB5E09" w:rsidR="005E5667" w:rsidRDefault="005E5667" w:rsidP="008F42C0">
      <w:pPr>
        <w:tabs>
          <w:tab w:val="left" w:pos="567"/>
        </w:tabs>
        <w:spacing w:after="0" w:line="288" w:lineRule="auto"/>
        <w:jc w:val="both"/>
        <w:rPr>
          <w:rFonts w:ascii="Times New Roman" w:hAnsi="Times New Roman" w:cs="Times New Roman"/>
          <w:sz w:val="24"/>
          <w:szCs w:val="24"/>
        </w:rPr>
      </w:pPr>
    </w:p>
    <w:p w14:paraId="5AE37F9F" w14:textId="77777777" w:rsidR="002C688A" w:rsidRPr="00BD1873" w:rsidRDefault="002C688A" w:rsidP="008F42C0">
      <w:pPr>
        <w:tabs>
          <w:tab w:val="left" w:pos="567"/>
        </w:tabs>
        <w:spacing w:after="0" w:line="288" w:lineRule="auto"/>
        <w:jc w:val="both"/>
        <w:rPr>
          <w:rFonts w:ascii="Times New Roman" w:hAnsi="Times New Roman" w:cs="Times New Roman"/>
          <w:sz w:val="24"/>
          <w:szCs w:val="24"/>
        </w:rPr>
      </w:pPr>
    </w:p>
    <w:p w14:paraId="568FE798" w14:textId="4F8016D6" w:rsidR="00724C79" w:rsidRDefault="00002EAB" w:rsidP="00724C79">
      <w:pPr>
        <w:pStyle w:val="ListParagraph"/>
        <w:keepNext/>
        <w:numPr>
          <w:ilvl w:val="0"/>
          <w:numId w:val="1"/>
        </w:numPr>
        <w:tabs>
          <w:tab w:val="left" w:pos="567"/>
        </w:tabs>
        <w:spacing w:after="200" w:line="240" w:lineRule="auto"/>
        <w:ind w:left="360"/>
        <w:jc w:val="both"/>
        <w:rPr>
          <w:rFonts w:asciiTheme="majorBidi" w:hAnsiTheme="majorBidi" w:cstheme="majorBidi"/>
          <w:b/>
          <w:bCs/>
          <w:sz w:val="24"/>
          <w:szCs w:val="24"/>
        </w:rPr>
      </w:pPr>
      <w:r w:rsidRPr="00703E8D">
        <w:rPr>
          <w:rFonts w:asciiTheme="majorBidi" w:hAnsiTheme="majorBidi" w:cstheme="majorBidi"/>
          <w:b/>
          <w:bCs/>
          <w:sz w:val="24"/>
          <w:szCs w:val="24"/>
        </w:rPr>
        <w:t>Data and Methodology</w:t>
      </w:r>
    </w:p>
    <w:p w14:paraId="7FF8E2AF" w14:textId="77777777" w:rsidR="00724C79" w:rsidRPr="00724C79" w:rsidRDefault="00724C79" w:rsidP="00724C79">
      <w:pPr>
        <w:pStyle w:val="ListParagraph"/>
        <w:keepNext/>
        <w:tabs>
          <w:tab w:val="left" w:pos="567"/>
        </w:tabs>
        <w:spacing w:after="200" w:line="240" w:lineRule="auto"/>
        <w:ind w:left="360"/>
        <w:jc w:val="both"/>
        <w:rPr>
          <w:rFonts w:asciiTheme="majorBidi" w:hAnsiTheme="majorBidi" w:cstheme="majorBidi"/>
          <w:b/>
          <w:bCs/>
          <w:sz w:val="12"/>
          <w:szCs w:val="12"/>
        </w:rPr>
      </w:pPr>
    </w:p>
    <w:p w14:paraId="09CF1FF8" w14:textId="131C9709" w:rsidR="0094575E" w:rsidRPr="00906B05" w:rsidRDefault="0094575E" w:rsidP="00724C79">
      <w:pPr>
        <w:pStyle w:val="ListParagraph"/>
        <w:numPr>
          <w:ilvl w:val="1"/>
          <w:numId w:val="1"/>
        </w:numPr>
        <w:tabs>
          <w:tab w:val="left" w:pos="567"/>
        </w:tabs>
        <w:spacing w:after="200" w:line="240" w:lineRule="auto"/>
        <w:ind w:left="0" w:firstLine="0"/>
        <w:jc w:val="both"/>
        <w:rPr>
          <w:rFonts w:ascii="Times New Roman" w:hAnsi="Times New Roman" w:cs="Times New Roman"/>
          <w:b/>
          <w:bCs/>
          <w:sz w:val="24"/>
          <w:szCs w:val="24"/>
        </w:rPr>
      </w:pPr>
      <w:r w:rsidRPr="00906B05">
        <w:rPr>
          <w:rFonts w:ascii="Times New Roman" w:hAnsi="Times New Roman" w:cs="Times New Roman"/>
          <w:b/>
          <w:bCs/>
          <w:sz w:val="24"/>
          <w:szCs w:val="24"/>
        </w:rPr>
        <w:t>Sample Description</w:t>
      </w:r>
    </w:p>
    <w:p w14:paraId="461A789A" w14:textId="77777777" w:rsidR="00DF6C6A" w:rsidRDefault="00E57E12"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The sample of our study covers the quarterly announcements made by US public firms between January 2006 and December 2016</w:t>
      </w:r>
      <w:r w:rsidR="000B7071">
        <w:rPr>
          <w:rStyle w:val="EndnoteReference"/>
          <w:rFonts w:ascii="Times New Roman" w:hAnsi="Times New Roman" w:cs="Times New Roman"/>
          <w:sz w:val="24"/>
          <w:szCs w:val="24"/>
        </w:rPr>
        <w:endnoteReference w:id="1"/>
      </w:r>
      <w:r w:rsidR="000B7071">
        <w:rPr>
          <w:rFonts w:ascii="Times New Roman" w:hAnsi="Times New Roman" w:cs="Times New Roman"/>
          <w:sz w:val="24"/>
          <w:szCs w:val="24"/>
        </w:rPr>
        <w:t>.</w:t>
      </w:r>
      <w:r>
        <w:rPr>
          <w:rFonts w:ascii="Times New Roman" w:hAnsi="Times New Roman" w:cs="Times New Roman"/>
          <w:sz w:val="24"/>
          <w:szCs w:val="24"/>
        </w:rPr>
        <w:t xml:space="preserve"> We source our accounting and market data from the CRSP/COMPUSTAT database for all firms that are part of t</w:t>
      </w:r>
      <w:r w:rsidRPr="008B6046">
        <w:rPr>
          <w:rFonts w:ascii="Times New Roman" w:hAnsi="Times New Roman" w:cs="Times New Roman"/>
          <w:sz w:val="24"/>
          <w:szCs w:val="24"/>
        </w:rPr>
        <w:t xml:space="preserve">he </w:t>
      </w:r>
      <w:r>
        <w:rPr>
          <w:rFonts w:ascii="Times New Roman" w:hAnsi="Times New Roman" w:cs="Times New Roman"/>
          <w:sz w:val="24"/>
          <w:szCs w:val="24"/>
        </w:rPr>
        <w:t>S&amp;P 1500</w:t>
      </w:r>
      <w:r w:rsidRPr="008B6046">
        <w:rPr>
          <w:rFonts w:ascii="Times New Roman" w:hAnsi="Times New Roman" w:cs="Times New Roman"/>
          <w:sz w:val="24"/>
          <w:szCs w:val="24"/>
        </w:rPr>
        <w:t xml:space="preserve"> Index</w:t>
      </w:r>
      <w:r w:rsidR="000B7071">
        <w:rPr>
          <w:rStyle w:val="EndnoteReference"/>
          <w:rFonts w:ascii="Times New Roman" w:hAnsi="Times New Roman" w:cs="Times New Roman"/>
          <w:sz w:val="24"/>
          <w:szCs w:val="24"/>
        </w:rPr>
        <w:endnoteReference w:id="2"/>
      </w:r>
      <w:r w:rsidR="000B7071">
        <w:rPr>
          <w:rFonts w:ascii="Times New Roman" w:hAnsi="Times New Roman" w:cs="Times New Roman"/>
          <w:sz w:val="24"/>
          <w:szCs w:val="24"/>
        </w:rPr>
        <w:t>.</w:t>
      </w:r>
      <w:r>
        <w:rPr>
          <w:rFonts w:ascii="Times New Roman" w:hAnsi="Times New Roman" w:cs="Times New Roman"/>
          <w:sz w:val="24"/>
          <w:szCs w:val="24"/>
        </w:rPr>
        <w:t xml:space="preserve"> We extract corporate governance for the same sample from the </w:t>
      </w:r>
      <w:r w:rsidRPr="00E3051D">
        <w:rPr>
          <w:rFonts w:ascii="Times New Roman" w:hAnsi="Times New Roman" w:cs="Times New Roman"/>
          <w:sz w:val="24"/>
          <w:szCs w:val="24"/>
        </w:rPr>
        <w:t>ISS (formerly RiskMetrics)</w:t>
      </w:r>
      <w:r>
        <w:rPr>
          <w:rFonts w:ascii="Times New Roman" w:hAnsi="Times New Roman" w:cs="Times New Roman"/>
          <w:sz w:val="24"/>
          <w:szCs w:val="24"/>
        </w:rPr>
        <w:t xml:space="preserve"> database and we construct our own corporate governance index following the approach outlined in the methodology section. </w:t>
      </w:r>
    </w:p>
    <w:p w14:paraId="6C97C13A" w14:textId="77777777" w:rsidR="00DF6C6A" w:rsidRDefault="00DF6C6A" w:rsidP="008F42C0">
      <w:pPr>
        <w:keepNext/>
        <w:tabs>
          <w:tab w:val="left" w:pos="567"/>
        </w:tabs>
        <w:spacing w:after="0" w:line="288" w:lineRule="auto"/>
        <w:jc w:val="both"/>
        <w:rPr>
          <w:rFonts w:ascii="Times New Roman" w:hAnsi="Times New Roman" w:cs="Times New Roman"/>
          <w:sz w:val="24"/>
          <w:szCs w:val="24"/>
        </w:rPr>
      </w:pPr>
    </w:p>
    <w:p w14:paraId="33ACF300" w14:textId="14DCCF40" w:rsidR="005E5667" w:rsidRDefault="00DF6C6A"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57E12">
        <w:rPr>
          <w:rFonts w:ascii="Times New Roman" w:hAnsi="Times New Roman" w:cs="Times New Roman"/>
          <w:sz w:val="24"/>
          <w:szCs w:val="24"/>
        </w:rPr>
        <w:t xml:space="preserve">To calculate our measure of unexpected earnings we base our expectations </w:t>
      </w:r>
      <w:r w:rsidR="00D97F41">
        <w:rPr>
          <w:rFonts w:ascii="Times New Roman" w:hAnsi="Times New Roman" w:cs="Times New Roman"/>
          <w:sz w:val="24"/>
          <w:szCs w:val="24"/>
        </w:rPr>
        <w:t>on analysts</w:t>
      </w:r>
      <w:r w:rsidR="00E57E12">
        <w:rPr>
          <w:rFonts w:ascii="Times New Roman" w:hAnsi="Times New Roman" w:cs="Times New Roman"/>
          <w:sz w:val="24"/>
          <w:szCs w:val="24"/>
        </w:rPr>
        <w:t xml:space="preserve">’ earnings forecasts obtained from I/B/E/S with the requirement that at least two analyst forecasts are available for a data point to be included in our final sample. Our final sample consists of all quarterly observations with sufficient governance and accounting/market data from the different databases. We </w:t>
      </w:r>
      <w:r w:rsidR="001F5391" w:rsidRPr="0032081B">
        <w:rPr>
          <w:rFonts w:ascii="Times New Roman" w:hAnsi="Times New Roman" w:cs="Times New Roman"/>
          <w:sz w:val="24"/>
          <w:szCs w:val="24"/>
        </w:rPr>
        <w:t>winsoris</w:t>
      </w:r>
      <w:r w:rsidR="001F5391">
        <w:rPr>
          <w:rFonts w:ascii="Times New Roman" w:hAnsi="Times New Roman" w:cs="Times New Roman"/>
          <w:sz w:val="24"/>
          <w:szCs w:val="24"/>
        </w:rPr>
        <w:t>e</w:t>
      </w:r>
      <w:r w:rsidR="00E57E12">
        <w:rPr>
          <w:rFonts w:ascii="Times New Roman" w:hAnsi="Times New Roman" w:cs="Times New Roman"/>
          <w:sz w:val="24"/>
          <w:szCs w:val="24"/>
        </w:rPr>
        <w:t xml:space="preserve"> all continuous variables </w:t>
      </w:r>
      <w:r w:rsidR="00E57E12" w:rsidRPr="0032081B">
        <w:rPr>
          <w:rFonts w:ascii="Times New Roman" w:hAnsi="Times New Roman" w:cs="Times New Roman"/>
          <w:sz w:val="24"/>
          <w:szCs w:val="24"/>
        </w:rPr>
        <w:t xml:space="preserve">at </w:t>
      </w:r>
      <w:r w:rsidR="000A3757">
        <w:rPr>
          <w:rFonts w:ascii="Times New Roman" w:hAnsi="Times New Roman" w:cs="Times New Roman"/>
          <w:sz w:val="24"/>
          <w:szCs w:val="24"/>
        </w:rPr>
        <w:t>one percent</w:t>
      </w:r>
      <w:r w:rsidR="00E57E12" w:rsidRPr="0032081B">
        <w:rPr>
          <w:rFonts w:ascii="Times New Roman" w:hAnsi="Times New Roman" w:cs="Times New Roman"/>
          <w:sz w:val="24"/>
          <w:szCs w:val="24"/>
        </w:rPr>
        <w:t xml:space="preserve"> and 99</w:t>
      </w:r>
      <w:r w:rsidR="000A3757">
        <w:rPr>
          <w:rFonts w:ascii="Times New Roman" w:hAnsi="Times New Roman" w:cs="Times New Roman"/>
          <w:sz w:val="24"/>
          <w:szCs w:val="24"/>
        </w:rPr>
        <w:t xml:space="preserve"> percent</w:t>
      </w:r>
      <w:r w:rsidR="00D27A75">
        <w:rPr>
          <w:rFonts w:ascii="Times New Roman" w:hAnsi="Times New Roman" w:cs="Times New Roman"/>
          <w:sz w:val="24"/>
          <w:szCs w:val="24"/>
        </w:rPr>
        <w:t xml:space="preserve">. </w:t>
      </w:r>
      <w:r w:rsidR="00347120">
        <w:rPr>
          <w:rFonts w:ascii="Times New Roman" w:hAnsi="Times New Roman" w:cs="Times New Roman"/>
          <w:sz w:val="24"/>
          <w:szCs w:val="24"/>
        </w:rPr>
        <w:t xml:space="preserve"> </w:t>
      </w:r>
      <w:r w:rsidR="00D27A75">
        <w:rPr>
          <w:rFonts w:ascii="Times New Roman" w:hAnsi="Times New Roman" w:cs="Times New Roman"/>
          <w:sz w:val="24"/>
          <w:szCs w:val="24"/>
        </w:rPr>
        <w:t>This</w:t>
      </w:r>
      <w:r w:rsidR="00347120">
        <w:rPr>
          <w:rFonts w:ascii="Times New Roman" w:hAnsi="Times New Roman" w:cs="Times New Roman"/>
          <w:sz w:val="24"/>
          <w:szCs w:val="24"/>
        </w:rPr>
        <w:t xml:space="preserve"> results in us having </w:t>
      </w:r>
      <w:r w:rsidR="00E57E12">
        <w:rPr>
          <w:rFonts w:ascii="Times New Roman" w:hAnsi="Times New Roman" w:cs="Times New Roman"/>
          <w:sz w:val="24"/>
          <w:szCs w:val="24"/>
        </w:rPr>
        <w:t xml:space="preserve">21,692 observations in our final sample, consisting of 14,672 positive surprises and </w:t>
      </w:r>
      <w:r w:rsidR="00313385">
        <w:rPr>
          <w:rFonts w:ascii="Times New Roman" w:hAnsi="Times New Roman" w:cs="Times New Roman"/>
          <w:sz w:val="24"/>
          <w:szCs w:val="24"/>
        </w:rPr>
        <w:t>7</w:t>
      </w:r>
      <w:r w:rsidR="00E57E12">
        <w:rPr>
          <w:rFonts w:ascii="Times New Roman" w:hAnsi="Times New Roman" w:cs="Times New Roman"/>
          <w:sz w:val="24"/>
          <w:szCs w:val="24"/>
        </w:rPr>
        <w:t>,</w:t>
      </w:r>
      <w:r w:rsidR="00313385">
        <w:rPr>
          <w:rFonts w:ascii="Times New Roman" w:hAnsi="Times New Roman" w:cs="Times New Roman"/>
          <w:sz w:val="24"/>
          <w:szCs w:val="24"/>
        </w:rPr>
        <w:t>020</w:t>
      </w:r>
      <w:r w:rsidR="00E57E12">
        <w:rPr>
          <w:rFonts w:ascii="Times New Roman" w:hAnsi="Times New Roman" w:cs="Times New Roman"/>
          <w:sz w:val="24"/>
          <w:szCs w:val="24"/>
        </w:rPr>
        <w:t xml:space="preserve"> negative surprises</w:t>
      </w:r>
      <w:r w:rsidR="000B7071">
        <w:rPr>
          <w:rStyle w:val="EndnoteReference"/>
          <w:rFonts w:ascii="Times New Roman" w:hAnsi="Times New Roman" w:cs="Times New Roman"/>
          <w:sz w:val="24"/>
          <w:szCs w:val="24"/>
        </w:rPr>
        <w:endnoteReference w:id="3"/>
      </w:r>
      <w:r w:rsidR="000B7071">
        <w:rPr>
          <w:rFonts w:ascii="Times New Roman" w:hAnsi="Times New Roman" w:cs="Times New Roman"/>
          <w:sz w:val="24"/>
          <w:szCs w:val="24"/>
        </w:rPr>
        <w:t>.</w:t>
      </w:r>
    </w:p>
    <w:p w14:paraId="6D788589" w14:textId="77777777" w:rsidR="000F0095" w:rsidRDefault="000F0095">
      <w:pPr>
        <w:rPr>
          <w:rFonts w:ascii="Times New Roman" w:hAnsi="Times New Roman" w:cs="Times New Roman"/>
          <w:b/>
          <w:bCs/>
          <w:sz w:val="24"/>
          <w:szCs w:val="24"/>
        </w:rPr>
      </w:pPr>
      <w:r>
        <w:rPr>
          <w:rFonts w:ascii="Times New Roman" w:hAnsi="Times New Roman" w:cs="Times New Roman"/>
          <w:b/>
          <w:bCs/>
          <w:sz w:val="24"/>
          <w:szCs w:val="24"/>
        </w:rPr>
        <w:br w:type="page"/>
      </w:r>
    </w:p>
    <w:p w14:paraId="2250EA0C" w14:textId="09AFC56B" w:rsidR="0094575E" w:rsidRDefault="00465EFE" w:rsidP="008F42C0">
      <w:pPr>
        <w:pStyle w:val="ListParagraph"/>
        <w:numPr>
          <w:ilvl w:val="1"/>
          <w:numId w:val="1"/>
        </w:numPr>
        <w:tabs>
          <w:tab w:val="left" w:pos="567"/>
        </w:tabs>
        <w:spacing w:after="0" w:line="288"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Variable Construction</w:t>
      </w:r>
    </w:p>
    <w:p w14:paraId="37355DD5" w14:textId="77777777" w:rsidR="0044765D" w:rsidRPr="0044765D" w:rsidRDefault="0044765D" w:rsidP="0044765D">
      <w:pPr>
        <w:pStyle w:val="ListParagraph"/>
        <w:tabs>
          <w:tab w:val="left" w:pos="567"/>
        </w:tabs>
        <w:spacing w:after="0" w:line="288" w:lineRule="auto"/>
        <w:ind w:left="0"/>
        <w:jc w:val="both"/>
        <w:rPr>
          <w:rFonts w:ascii="Times New Roman" w:hAnsi="Times New Roman" w:cs="Times New Roman"/>
          <w:b/>
          <w:bCs/>
          <w:sz w:val="6"/>
          <w:szCs w:val="6"/>
        </w:rPr>
      </w:pPr>
    </w:p>
    <w:p w14:paraId="152FA02F" w14:textId="03C3FB6B" w:rsidR="00AE2400" w:rsidRPr="0044765D" w:rsidRDefault="00AE2400" w:rsidP="0044765D">
      <w:pPr>
        <w:pStyle w:val="ListParagraph"/>
        <w:numPr>
          <w:ilvl w:val="2"/>
          <w:numId w:val="1"/>
        </w:numPr>
        <w:tabs>
          <w:tab w:val="left" w:pos="567"/>
        </w:tabs>
        <w:spacing w:after="0" w:line="288" w:lineRule="auto"/>
        <w:ind w:left="0" w:firstLine="0"/>
        <w:jc w:val="both"/>
        <w:rPr>
          <w:rFonts w:ascii="Times New Roman" w:hAnsi="Times New Roman" w:cs="Times New Roman"/>
          <w:b/>
          <w:bCs/>
          <w:sz w:val="24"/>
          <w:szCs w:val="24"/>
        </w:rPr>
      </w:pPr>
      <w:r w:rsidRPr="0044765D">
        <w:rPr>
          <w:rFonts w:ascii="Times New Roman" w:hAnsi="Times New Roman" w:cs="Times New Roman"/>
          <w:b/>
          <w:bCs/>
          <w:sz w:val="24"/>
          <w:szCs w:val="24"/>
        </w:rPr>
        <w:t xml:space="preserve">Uncertainty and </w:t>
      </w:r>
      <w:r w:rsidR="00CC0697" w:rsidRPr="0044765D">
        <w:rPr>
          <w:rFonts w:ascii="Times New Roman" w:hAnsi="Times New Roman" w:cs="Times New Roman"/>
          <w:b/>
          <w:bCs/>
          <w:sz w:val="24"/>
          <w:szCs w:val="24"/>
        </w:rPr>
        <w:t>S</w:t>
      </w:r>
      <w:r w:rsidRPr="0044765D">
        <w:rPr>
          <w:rFonts w:ascii="Times New Roman" w:hAnsi="Times New Roman" w:cs="Times New Roman"/>
          <w:b/>
          <w:bCs/>
          <w:sz w:val="24"/>
          <w:szCs w:val="24"/>
        </w:rPr>
        <w:t xml:space="preserve">entiment </w:t>
      </w:r>
      <w:r w:rsidR="00BA14B0" w:rsidRPr="0044765D">
        <w:rPr>
          <w:rFonts w:ascii="Times New Roman" w:hAnsi="Times New Roman" w:cs="Times New Roman"/>
          <w:b/>
          <w:bCs/>
          <w:sz w:val="24"/>
          <w:szCs w:val="24"/>
        </w:rPr>
        <w:t>M</w:t>
      </w:r>
      <w:r w:rsidRPr="0044765D">
        <w:rPr>
          <w:rFonts w:ascii="Times New Roman" w:hAnsi="Times New Roman" w:cs="Times New Roman"/>
          <w:b/>
          <w:bCs/>
          <w:sz w:val="24"/>
          <w:szCs w:val="24"/>
        </w:rPr>
        <w:t>easures</w:t>
      </w:r>
    </w:p>
    <w:p w14:paraId="1A678ECC" w14:textId="77777777" w:rsidR="00724C79" w:rsidRPr="00724C79" w:rsidRDefault="00724C79" w:rsidP="008F42C0">
      <w:pPr>
        <w:tabs>
          <w:tab w:val="left" w:pos="567"/>
        </w:tabs>
        <w:spacing w:after="0" w:line="288" w:lineRule="auto"/>
        <w:jc w:val="both"/>
        <w:rPr>
          <w:rFonts w:ascii="Times New Roman" w:hAnsi="Times New Roman" w:cs="Times New Roman"/>
          <w:sz w:val="8"/>
          <w:szCs w:val="8"/>
        </w:rPr>
      </w:pPr>
    </w:p>
    <w:p w14:paraId="032D26B2" w14:textId="11DDE16F" w:rsidR="00E57E12" w:rsidRDefault="00E57E12"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Finding an accurate and a reflective measure of </w:t>
      </w:r>
      <w:r w:rsidRPr="00984522">
        <w:rPr>
          <w:rFonts w:ascii="Times New Roman" w:hAnsi="Times New Roman" w:cs="Times New Roman"/>
          <w:i/>
          <w:iCs/>
          <w:sz w:val="24"/>
          <w:szCs w:val="24"/>
        </w:rPr>
        <w:t>uncertainty</w:t>
      </w:r>
      <w:r>
        <w:rPr>
          <w:rFonts w:ascii="Times New Roman" w:hAnsi="Times New Roman" w:cs="Times New Roman"/>
          <w:sz w:val="24"/>
          <w:szCs w:val="24"/>
        </w:rPr>
        <w:t xml:space="preserve"> has been a challenging task </w:t>
      </w:r>
      <w:r w:rsidR="00347120">
        <w:rPr>
          <w:rFonts w:ascii="Times New Roman" w:hAnsi="Times New Roman" w:cs="Times New Roman"/>
          <w:sz w:val="24"/>
          <w:szCs w:val="24"/>
        </w:rPr>
        <w:t>for</w:t>
      </w:r>
      <w:r>
        <w:rPr>
          <w:rFonts w:ascii="Times New Roman" w:hAnsi="Times New Roman" w:cs="Times New Roman"/>
          <w:sz w:val="24"/>
          <w:szCs w:val="24"/>
        </w:rPr>
        <w:t xml:space="preserve"> many researchers in the field (</w:t>
      </w:r>
      <w:r w:rsidRPr="00AC159C">
        <w:rPr>
          <w:rFonts w:ascii="Times New Roman" w:hAnsi="Times New Roman" w:cs="Times New Roman"/>
          <w:sz w:val="24"/>
          <w:szCs w:val="24"/>
        </w:rPr>
        <w:t>Connolly</w:t>
      </w:r>
      <w:r>
        <w:rPr>
          <w:rFonts w:ascii="Times New Roman" w:hAnsi="Times New Roman" w:cs="Times New Roman"/>
          <w:sz w:val="24"/>
          <w:szCs w:val="24"/>
        </w:rPr>
        <w:t xml:space="preserve"> </w:t>
      </w:r>
      <w:r w:rsidRPr="00E558A3">
        <w:rPr>
          <w:rFonts w:ascii="Times New Roman" w:hAnsi="Times New Roman" w:cs="Times New Roman"/>
          <w:i/>
          <w:iCs/>
          <w:sz w:val="24"/>
          <w:szCs w:val="24"/>
        </w:rPr>
        <w:t>et al.</w:t>
      </w:r>
      <w:r>
        <w:rPr>
          <w:rFonts w:ascii="Times New Roman" w:hAnsi="Times New Roman" w:cs="Times New Roman"/>
          <w:sz w:val="24"/>
          <w:szCs w:val="24"/>
        </w:rPr>
        <w:t xml:space="preserve"> 2005). We follow Connolly </w:t>
      </w:r>
      <w:r w:rsidRPr="00660AB3">
        <w:rPr>
          <w:rFonts w:ascii="Times New Roman" w:hAnsi="Times New Roman" w:cs="Times New Roman"/>
          <w:i/>
          <w:iCs/>
          <w:sz w:val="24"/>
          <w:szCs w:val="24"/>
        </w:rPr>
        <w:t>et al.</w:t>
      </w:r>
      <w:r w:rsidRPr="00AC159C">
        <w:rPr>
          <w:rFonts w:ascii="Times New Roman" w:hAnsi="Times New Roman" w:cs="Times New Roman"/>
          <w:sz w:val="24"/>
          <w:szCs w:val="24"/>
        </w:rPr>
        <w:t xml:space="preserve"> </w:t>
      </w:r>
      <w:r>
        <w:rPr>
          <w:rFonts w:ascii="Times New Roman" w:hAnsi="Times New Roman" w:cs="Times New Roman"/>
          <w:sz w:val="24"/>
          <w:szCs w:val="24"/>
        </w:rPr>
        <w:t>(</w:t>
      </w:r>
      <w:r w:rsidRPr="00AC159C">
        <w:rPr>
          <w:rFonts w:ascii="Times New Roman" w:hAnsi="Times New Roman" w:cs="Times New Roman"/>
          <w:sz w:val="24"/>
          <w:szCs w:val="24"/>
        </w:rPr>
        <w:t>2005</w:t>
      </w:r>
      <w:r>
        <w:rPr>
          <w:rFonts w:ascii="Times New Roman" w:hAnsi="Times New Roman" w:cs="Times New Roman"/>
          <w:sz w:val="24"/>
          <w:szCs w:val="24"/>
        </w:rPr>
        <w:t xml:space="preserve">), Williams (2015) and others in using the implied volatility from the options market, namely the market volatility index (VIX), to measure market uncertainty. </w:t>
      </w:r>
      <w:r w:rsidRPr="007278DB">
        <w:rPr>
          <w:rFonts w:ascii="Times New Roman" w:hAnsi="Times New Roman" w:cs="Times New Roman"/>
          <w:sz w:val="24"/>
          <w:szCs w:val="24"/>
        </w:rPr>
        <w:t>An alternative proxy for uncertainty used in the literature has been disagreement among expert</w:t>
      </w:r>
      <w:r w:rsidR="00504652">
        <w:rPr>
          <w:rFonts w:ascii="Times New Roman" w:hAnsi="Times New Roman" w:cs="Times New Roman"/>
          <w:sz w:val="24"/>
          <w:szCs w:val="24"/>
        </w:rPr>
        <w:t>s</w:t>
      </w:r>
      <w:r w:rsidRPr="007278DB">
        <w:rPr>
          <w:rFonts w:ascii="Times New Roman" w:hAnsi="Times New Roman" w:cs="Times New Roman"/>
          <w:sz w:val="24"/>
          <w:szCs w:val="24"/>
        </w:rPr>
        <w:t xml:space="preserve">, such as a measure of </w:t>
      </w:r>
      <w:r w:rsidR="00D97F41" w:rsidRPr="007278DB">
        <w:rPr>
          <w:rFonts w:ascii="Times New Roman" w:hAnsi="Times New Roman" w:cs="Times New Roman"/>
          <w:sz w:val="24"/>
          <w:szCs w:val="24"/>
        </w:rPr>
        <w:t>the dispersion</w:t>
      </w:r>
      <w:r w:rsidRPr="007278DB">
        <w:rPr>
          <w:rFonts w:ascii="Times New Roman" w:hAnsi="Times New Roman" w:cs="Times New Roman"/>
          <w:sz w:val="24"/>
          <w:szCs w:val="24"/>
        </w:rPr>
        <w:t xml:space="preserve"> of analysts’ economic forecasts (Anderson </w:t>
      </w:r>
      <w:r w:rsidR="00E558A3" w:rsidRPr="00E558A3">
        <w:rPr>
          <w:rFonts w:ascii="Times New Roman" w:hAnsi="Times New Roman" w:cs="Times New Roman"/>
          <w:i/>
          <w:iCs/>
          <w:sz w:val="24"/>
          <w:szCs w:val="24"/>
        </w:rPr>
        <w:t>et al.</w:t>
      </w:r>
      <w:r w:rsidR="00E558A3">
        <w:rPr>
          <w:rFonts w:ascii="Times New Roman" w:hAnsi="Times New Roman" w:cs="Times New Roman"/>
          <w:sz w:val="24"/>
          <w:szCs w:val="24"/>
        </w:rPr>
        <w:t xml:space="preserve"> </w:t>
      </w:r>
      <w:r w:rsidRPr="007278DB">
        <w:rPr>
          <w:rFonts w:ascii="Times New Roman" w:hAnsi="Times New Roman" w:cs="Times New Roman"/>
          <w:sz w:val="24"/>
          <w:szCs w:val="24"/>
        </w:rPr>
        <w:t xml:space="preserve"> 2009). </w:t>
      </w:r>
      <w:r>
        <w:rPr>
          <w:rFonts w:ascii="Times New Roman" w:hAnsi="Times New Roman" w:cs="Times New Roman"/>
          <w:sz w:val="24"/>
          <w:szCs w:val="24"/>
        </w:rPr>
        <w:t xml:space="preserve">We find strong support in the literature for using VIX as a measure of market uncertainty, </w:t>
      </w:r>
      <w:r w:rsidR="003746BD">
        <w:rPr>
          <w:rFonts w:ascii="Times New Roman" w:hAnsi="Times New Roman" w:cs="Times New Roman"/>
          <w:sz w:val="24"/>
          <w:szCs w:val="24"/>
        </w:rPr>
        <w:t xml:space="preserve">and it has the advantage of </w:t>
      </w:r>
      <w:r w:rsidR="00714E18">
        <w:rPr>
          <w:rFonts w:ascii="Times New Roman" w:hAnsi="Times New Roman" w:cs="Times New Roman"/>
          <w:sz w:val="24"/>
          <w:szCs w:val="24"/>
        </w:rPr>
        <w:t xml:space="preserve">being </w:t>
      </w:r>
      <w:r>
        <w:rPr>
          <w:rFonts w:ascii="Times New Roman" w:hAnsi="Times New Roman" w:cs="Times New Roman"/>
          <w:sz w:val="24"/>
          <w:szCs w:val="24"/>
        </w:rPr>
        <w:t xml:space="preserve">forward looking and calculated on a continuing basis. Bloom (2009) shows that volatility in the stock market as measured by VIX is highly correlated with periods of high economy-wide uncertainty. Furthermore, David and Veronesi (2002) develop an option pricing model that uses economic state uncertainty which identified a positive association between implied volatility in options and investors’ uncertainty about fundamentals. </w:t>
      </w:r>
      <w:r w:rsidRPr="00D729B6">
        <w:rPr>
          <w:rFonts w:ascii="Times New Roman" w:hAnsi="Times New Roman" w:cs="Times New Roman"/>
          <w:sz w:val="24"/>
          <w:szCs w:val="24"/>
        </w:rPr>
        <w:t>Drechsler (20</w:t>
      </w:r>
      <w:r>
        <w:rPr>
          <w:rFonts w:ascii="Times New Roman" w:hAnsi="Times New Roman" w:cs="Times New Roman"/>
          <w:sz w:val="24"/>
          <w:szCs w:val="24"/>
        </w:rPr>
        <w:t xml:space="preserve">13) also shows that the large variance premium in options’ prices can be explained by an equilibrium model that incorporates </w:t>
      </w:r>
      <w:r w:rsidRPr="00F760FC">
        <w:rPr>
          <w:rFonts w:ascii="Times New Roman" w:hAnsi="Times New Roman" w:cs="Times New Roman"/>
          <w:sz w:val="24"/>
          <w:szCs w:val="24"/>
        </w:rPr>
        <w:t>time varying Knightian uncertainty</w:t>
      </w:r>
      <w:r>
        <w:rPr>
          <w:rFonts w:ascii="Times New Roman" w:hAnsi="Times New Roman" w:cs="Times New Roman"/>
          <w:sz w:val="24"/>
          <w:szCs w:val="24"/>
        </w:rPr>
        <w:t xml:space="preserve">. </w:t>
      </w:r>
      <w:r w:rsidRPr="00D729B6">
        <w:rPr>
          <w:rFonts w:ascii="Times New Roman" w:hAnsi="Times New Roman" w:cs="Times New Roman"/>
          <w:sz w:val="24"/>
          <w:szCs w:val="24"/>
        </w:rPr>
        <w:t>Drechsler</w:t>
      </w:r>
      <w:r>
        <w:rPr>
          <w:rFonts w:ascii="Times New Roman" w:hAnsi="Times New Roman" w:cs="Times New Roman"/>
          <w:sz w:val="24"/>
          <w:szCs w:val="24"/>
        </w:rPr>
        <w:t xml:space="preserve"> claims that the variance premium is the result of using options to hedge uncertainty. His results further demonstrate that changes in the levels of uncertainty</w:t>
      </w:r>
      <w:r w:rsidRPr="007B3438">
        <w:rPr>
          <w:rFonts w:ascii="Times New Roman" w:hAnsi="Times New Roman" w:cs="Times New Roman"/>
          <w:sz w:val="24"/>
          <w:szCs w:val="24"/>
        </w:rPr>
        <w:t xml:space="preserve"> </w:t>
      </w:r>
      <w:r>
        <w:rPr>
          <w:rFonts w:ascii="Times New Roman" w:hAnsi="Times New Roman" w:cs="Times New Roman"/>
          <w:sz w:val="24"/>
          <w:szCs w:val="24"/>
        </w:rPr>
        <w:t xml:space="preserve">cause fluctuations in the variance premium (see also Connolly </w:t>
      </w:r>
      <w:r w:rsidRPr="00724C79">
        <w:rPr>
          <w:rFonts w:ascii="Times New Roman" w:hAnsi="Times New Roman" w:cs="Times New Roman"/>
          <w:i/>
          <w:iCs/>
          <w:sz w:val="24"/>
          <w:szCs w:val="24"/>
        </w:rPr>
        <w:t>et al.</w:t>
      </w:r>
      <w:r>
        <w:rPr>
          <w:rFonts w:ascii="Times New Roman" w:hAnsi="Times New Roman" w:cs="Times New Roman"/>
          <w:sz w:val="24"/>
          <w:szCs w:val="24"/>
        </w:rPr>
        <w:t xml:space="preserve"> </w:t>
      </w:r>
      <w:r w:rsidRPr="00AC159C">
        <w:rPr>
          <w:rFonts w:ascii="Times New Roman" w:hAnsi="Times New Roman" w:cs="Times New Roman"/>
          <w:sz w:val="24"/>
          <w:szCs w:val="24"/>
        </w:rPr>
        <w:t>2005</w:t>
      </w:r>
      <w:r>
        <w:rPr>
          <w:rFonts w:ascii="Times New Roman" w:hAnsi="Times New Roman" w:cs="Times New Roman"/>
          <w:sz w:val="24"/>
          <w:szCs w:val="24"/>
        </w:rPr>
        <w:t xml:space="preserve">). </w:t>
      </w:r>
    </w:p>
    <w:p w14:paraId="6528D652" w14:textId="77777777" w:rsidR="005E5667" w:rsidRDefault="005E5667" w:rsidP="008F42C0">
      <w:pPr>
        <w:tabs>
          <w:tab w:val="left" w:pos="567"/>
        </w:tabs>
        <w:spacing w:after="0" w:line="288" w:lineRule="auto"/>
        <w:jc w:val="both"/>
        <w:rPr>
          <w:rFonts w:ascii="Times New Roman" w:hAnsi="Times New Roman" w:cs="Times New Roman"/>
          <w:sz w:val="24"/>
          <w:szCs w:val="24"/>
        </w:rPr>
      </w:pPr>
    </w:p>
    <w:p w14:paraId="20A6D6E7" w14:textId="4C6FD105" w:rsidR="00AE2400"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57E12">
        <w:rPr>
          <w:rFonts w:ascii="Times New Roman" w:hAnsi="Times New Roman" w:cs="Times New Roman"/>
          <w:sz w:val="24"/>
          <w:szCs w:val="24"/>
        </w:rPr>
        <w:t>We</w:t>
      </w:r>
      <w:r w:rsidR="00E57E12" w:rsidRPr="001B5E5E">
        <w:rPr>
          <w:rFonts w:ascii="Times New Roman" w:hAnsi="Times New Roman" w:cs="Times New Roman"/>
          <w:sz w:val="24"/>
          <w:szCs w:val="24"/>
        </w:rPr>
        <w:t xml:space="preserve"> use the </w:t>
      </w:r>
      <w:r w:rsidR="00E57E12">
        <w:rPr>
          <w:rFonts w:ascii="Times New Roman" w:hAnsi="Times New Roman" w:cs="Times New Roman"/>
          <w:sz w:val="24"/>
          <w:szCs w:val="24"/>
        </w:rPr>
        <w:t xml:space="preserve">cumulative </w:t>
      </w:r>
      <w:r w:rsidR="00E57E12" w:rsidRPr="001B5E5E">
        <w:rPr>
          <w:rFonts w:ascii="Times New Roman" w:hAnsi="Times New Roman" w:cs="Times New Roman"/>
          <w:sz w:val="24"/>
          <w:szCs w:val="24"/>
        </w:rPr>
        <w:t>daily returns of a major market index (S&amp;P</w:t>
      </w:r>
      <w:r w:rsidR="00E57E12">
        <w:rPr>
          <w:rFonts w:ascii="Times New Roman" w:hAnsi="Times New Roman" w:cs="Times New Roman"/>
          <w:sz w:val="24"/>
          <w:szCs w:val="24"/>
        </w:rPr>
        <w:t xml:space="preserve"> 1</w:t>
      </w:r>
      <w:r w:rsidR="00E57E12" w:rsidRPr="001B5E5E">
        <w:rPr>
          <w:rFonts w:ascii="Times New Roman" w:hAnsi="Times New Roman" w:cs="Times New Roman"/>
          <w:sz w:val="24"/>
          <w:szCs w:val="24"/>
        </w:rPr>
        <w:t>500)</w:t>
      </w:r>
      <w:r w:rsidR="00E57E12">
        <w:rPr>
          <w:rFonts w:ascii="Times New Roman" w:hAnsi="Times New Roman" w:cs="Times New Roman"/>
          <w:sz w:val="24"/>
          <w:szCs w:val="24"/>
        </w:rPr>
        <w:t xml:space="preserve"> over the five-days prior to the announcement</w:t>
      </w:r>
      <w:r w:rsidR="00E57E12" w:rsidRPr="001B5E5E">
        <w:rPr>
          <w:rFonts w:ascii="Times New Roman" w:hAnsi="Times New Roman" w:cs="Times New Roman"/>
          <w:sz w:val="24"/>
          <w:szCs w:val="24"/>
        </w:rPr>
        <w:t xml:space="preserve"> </w:t>
      </w:r>
      <w:r w:rsidR="00E57E12">
        <w:rPr>
          <w:rFonts w:ascii="Times New Roman" w:hAnsi="Times New Roman" w:cs="Times New Roman"/>
          <w:sz w:val="24"/>
          <w:szCs w:val="24"/>
        </w:rPr>
        <w:t xml:space="preserve">to capture market </w:t>
      </w:r>
      <w:r w:rsidR="00E57E12" w:rsidRPr="009238E5">
        <w:rPr>
          <w:rFonts w:ascii="Times New Roman" w:hAnsi="Times New Roman" w:cs="Times New Roman"/>
          <w:i/>
          <w:iCs/>
          <w:sz w:val="24"/>
          <w:szCs w:val="24"/>
        </w:rPr>
        <w:t>sentiment</w:t>
      </w:r>
      <w:r w:rsidR="00E57E12">
        <w:rPr>
          <w:rFonts w:ascii="Times New Roman" w:hAnsi="Times New Roman" w:cs="Times New Roman"/>
          <w:sz w:val="24"/>
          <w:szCs w:val="24"/>
        </w:rPr>
        <w:t xml:space="preserve"> at the time of the announcement (SMI) and thus avoid the day of the week effect (Brown and Cliff 2004). We also capture the change in market sentiment over the post announcement period (T+2 to T+60) by summing daily returns over the period. Various studies in the literature employ the </w:t>
      </w:r>
      <w:r w:rsidR="004073BD">
        <w:rPr>
          <w:rFonts w:ascii="Times New Roman" w:hAnsi="Times New Roman" w:cs="Times New Roman"/>
          <w:sz w:val="24"/>
          <w:szCs w:val="24"/>
        </w:rPr>
        <w:t>s</w:t>
      </w:r>
      <w:r w:rsidR="00E57E12" w:rsidRPr="00E645A5">
        <w:rPr>
          <w:rFonts w:ascii="Times New Roman" w:hAnsi="Times New Roman" w:cs="Times New Roman"/>
          <w:sz w:val="24"/>
          <w:szCs w:val="24"/>
        </w:rPr>
        <w:t xml:space="preserve">entiment </w:t>
      </w:r>
      <w:r w:rsidR="004073BD">
        <w:rPr>
          <w:rFonts w:ascii="Times New Roman" w:hAnsi="Times New Roman" w:cs="Times New Roman"/>
          <w:sz w:val="24"/>
          <w:szCs w:val="24"/>
        </w:rPr>
        <w:t>i</w:t>
      </w:r>
      <w:r w:rsidR="00E57E12" w:rsidRPr="00E645A5">
        <w:rPr>
          <w:rFonts w:ascii="Times New Roman" w:hAnsi="Times New Roman" w:cs="Times New Roman"/>
          <w:sz w:val="24"/>
          <w:szCs w:val="24"/>
        </w:rPr>
        <w:t>ndex introduced in Baker and Wurgler (2006)</w:t>
      </w:r>
      <w:r w:rsidR="00E57E12">
        <w:rPr>
          <w:rFonts w:ascii="Times New Roman" w:hAnsi="Times New Roman" w:cs="Times New Roman"/>
          <w:sz w:val="24"/>
          <w:szCs w:val="24"/>
        </w:rPr>
        <w:t xml:space="preserve"> to measure market sentiment, however the index is only available on a monthly basis which reduces its usefulness for our purposes as earnings announcements can be released at any time during a month. We use the </w:t>
      </w:r>
      <w:r w:rsidR="00E57E12" w:rsidRPr="00E24985">
        <w:rPr>
          <w:rFonts w:ascii="Times New Roman" w:hAnsi="Times New Roman" w:cs="Times New Roman"/>
          <w:sz w:val="24"/>
          <w:szCs w:val="24"/>
        </w:rPr>
        <w:t>Baker and Wurgler</w:t>
      </w:r>
      <w:r w:rsidR="00E57E12">
        <w:rPr>
          <w:rFonts w:ascii="Times New Roman" w:hAnsi="Times New Roman" w:cs="Times New Roman"/>
          <w:sz w:val="24"/>
          <w:szCs w:val="24"/>
        </w:rPr>
        <w:t xml:space="preserve"> index in a later section to test the sensitivity of our results to </w:t>
      </w:r>
      <w:r w:rsidR="00E57E12" w:rsidRPr="00DB26EB">
        <w:rPr>
          <w:rFonts w:ascii="Times New Roman" w:hAnsi="Times New Roman" w:cs="Times New Roman"/>
          <w:sz w:val="24"/>
          <w:szCs w:val="24"/>
        </w:rPr>
        <w:t>the choice of the sentiment measure</w:t>
      </w:r>
      <w:r w:rsidR="00E57E12">
        <w:rPr>
          <w:rFonts w:ascii="Times New Roman" w:hAnsi="Times New Roman" w:cs="Times New Roman"/>
          <w:sz w:val="24"/>
          <w:szCs w:val="24"/>
        </w:rPr>
        <w:t>.</w:t>
      </w:r>
    </w:p>
    <w:p w14:paraId="3077046F" w14:textId="77777777" w:rsidR="005E5667" w:rsidRPr="00DB26EB" w:rsidRDefault="005E5667" w:rsidP="008F42C0">
      <w:pPr>
        <w:tabs>
          <w:tab w:val="left" w:pos="567"/>
        </w:tabs>
        <w:spacing w:after="0" w:line="288" w:lineRule="auto"/>
        <w:jc w:val="both"/>
        <w:rPr>
          <w:rFonts w:ascii="Times New Roman" w:hAnsi="Times New Roman" w:cs="Times New Roman"/>
          <w:sz w:val="24"/>
          <w:szCs w:val="24"/>
        </w:rPr>
      </w:pPr>
    </w:p>
    <w:p w14:paraId="3B8F20DA" w14:textId="1BFAE8DC" w:rsidR="00AE2400" w:rsidRPr="00AA7F33" w:rsidRDefault="0044765D" w:rsidP="008F42C0">
      <w:pPr>
        <w:pStyle w:val="ListParagraph"/>
        <w:numPr>
          <w:ilvl w:val="2"/>
          <w:numId w:val="1"/>
        </w:numPr>
        <w:tabs>
          <w:tab w:val="left" w:pos="567"/>
        </w:tabs>
        <w:spacing w:after="0" w:line="288" w:lineRule="auto"/>
        <w:ind w:left="0" w:firstLine="0"/>
        <w:jc w:val="both"/>
        <w:rPr>
          <w:rFonts w:ascii="Times New Roman" w:hAnsi="Times New Roman" w:cs="Times New Roman"/>
          <w:b/>
          <w:bCs/>
          <w:sz w:val="24"/>
          <w:szCs w:val="24"/>
        </w:rPr>
      </w:pPr>
      <w:bookmarkStart w:id="3" w:name="_Toc475170434"/>
      <w:r>
        <w:rPr>
          <w:rFonts w:ascii="Times New Roman" w:hAnsi="Times New Roman" w:cs="Times New Roman"/>
          <w:b/>
          <w:bCs/>
          <w:sz w:val="24"/>
          <w:szCs w:val="24"/>
        </w:rPr>
        <w:t xml:space="preserve"> </w:t>
      </w:r>
      <w:r w:rsidR="00AE2400" w:rsidRPr="00AA7F33">
        <w:rPr>
          <w:rFonts w:ascii="Times New Roman" w:hAnsi="Times New Roman" w:cs="Times New Roman"/>
          <w:b/>
          <w:bCs/>
          <w:sz w:val="24"/>
          <w:szCs w:val="24"/>
        </w:rPr>
        <w:t>Standar</w:t>
      </w:r>
      <w:r w:rsidR="00DF6C6A">
        <w:rPr>
          <w:rFonts w:ascii="Times New Roman" w:hAnsi="Times New Roman" w:cs="Times New Roman"/>
          <w:b/>
          <w:bCs/>
          <w:sz w:val="24"/>
          <w:szCs w:val="24"/>
        </w:rPr>
        <w:t>d</w:t>
      </w:r>
      <w:r w:rsidR="00AE2400" w:rsidRPr="00AA7F33">
        <w:rPr>
          <w:rFonts w:ascii="Times New Roman" w:hAnsi="Times New Roman" w:cs="Times New Roman"/>
          <w:b/>
          <w:bCs/>
          <w:sz w:val="24"/>
          <w:szCs w:val="24"/>
        </w:rPr>
        <w:t>i</w:t>
      </w:r>
      <w:r w:rsidR="00DF6C6A">
        <w:rPr>
          <w:rFonts w:ascii="Times New Roman" w:hAnsi="Times New Roman" w:cs="Times New Roman"/>
          <w:b/>
          <w:bCs/>
          <w:sz w:val="24"/>
          <w:szCs w:val="24"/>
        </w:rPr>
        <w:t>s</w:t>
      </w:r>
      <w:r w:rsidR="00AE2400" w:rsidRPr="00AA7F33">
        <w:rPr>
          <w:rFonts w:ascii="Times New Roman" w:hAnsi="Times New Roman" w:cs="Times New Roman"/>
          <w:b/>
          <w:bCs/>
          <w:sz w:val="24"/>
          <w:szCs w:val="24"/>
        </w:rPr>
        <w:t xml:space="preserve">ed </w:t>
      </w:r>
      <w:r w:rsidR="00A7765B" w:rsidRPr="00AA7F33">
        <w:rPr>
          <w:rFonts w:ascii="Times New Roman" w:hAnsi="Times New Roman" w:cs="Times New Roman"/>
          <w:b/>
          <w:bCs/>
          <w:sz w:val="24"/>
          <w:szCs w:val="24"/>
        </w:rPr>
        <w:t>U</w:t>
      </w:r>
      <w:r w:rsidR="00AE2400" w:rsidRPr="00AA7F33">
        <w:rPr>
          <w:rFonts w:ascii="Times New Roman" w:hAnsi="Times New Roman" w:cs="Times New Roman"/>
          <w:b/>
          <w:bCs/>
          <w:sz w:val="24"/>
          <w:szCs w:val="24"/>
        </w:rPr>
        <w:t xml:space="preserve">nexpected </w:t>
      </w:r>
      <w:r w:rsidR="00A7765B" w:rsidRPr="00AA7F33">
        <w:rPr>
          <w:rFonts w:ascii="Times New Roman" w:hAnsi="Times New Roman" w:cs="Times New Roman"/>
          <w:b/>
          <w:bCs/>
          <w:sz w:val="24"/>
          <w:szCs w:val="24"/>
        </w:rPr>
        <w:t>E</w:t>
      </w:r>
      <w:r w:rsidR="00AE2400" w:rsidRPr="00AA7F33">
        <w:rPr>
          <w:rFonts w:ascii="Times New Roman" w:hAnsi="Times New Roman" w:cs="Times New Roman"/>
          <w:b/>
          <w:bCs/>
          <w:sz w:val="24"/>
          <w:szCs w:val="24"/>
        </w:rPr>
        <w:t>arnings (SUE)</w:t>
      </w:r>
      <w:bookmarkEnd w:id="3"/>
    </w:p>
    <w:p w14:paraId="7DF86B66" w14:textId="77777777" w:rsidR="00660AB3" w:rsidRPr="00660AB3" w:rsidRDefault="00660AB3" w:rsidP="008F42C0">
      <w:pPr>
        <w:tabs>
          <w:tab w:val="left" w:pos="567"/>
        </w:tabs>
        <w:spacing w:after="0" w:line="288" w:lineRule="auto"/>
        <w:jc w:val="both"/>
        <w:rPr>
          <w:rFonts w:ascii="Times New Roman" w:hAnsi="Times New Roman" w:cs="Times New Roman"/>
          <w:sz w:val="6"/>
          <w:szCs w:val="6"/>
        </w:rPr>
      </w:pPr>
    </w:p>
    <w:p w14:paraId="21A95824" w14:textId="59E6F376" w:rsidR="00E57E12" w:rsidRDefault="00E57E12"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Different measures of unexpected earnings (UE) which are based on either historical earnings or </w:t>
      </w:r>
      <w:r w:rsidR="001A70C9">
        <w:rPr>
          <w:rFonts w:ascii="Times New Roman" w:hAnsi="Times New Roman" w:cs="Times New Roman"/>
          <w:sz w:val="24"/>
          <w:szCs w:val="24"/>
        </w:rPr>
        <w:t>analysts’ forecasts</w:t>
      </w:r>
      <w:r>
        <w:rPr>
          <w:rFonts w:ascii="Times New Roman" w:hAnsi="Times New Roman" w:cs="Times New Roman"/>
          <w:sz w:val="24"/>
          <w:szCs w:val="24"/>
        </w:rPr>
        <w:t xml:space="preserve"> have been used in the literature. Since analysts’ forecasts are a better reflection of market participants’ expectations of a firm’s earnings than historical earnings (see Livnat and Mendenhall</w:t>
      </w:r>
      <w:r w:rsidR="00660AB3">
        <w:rPr>
          <w:rFonts w:ascii="Times New Roman" w:hAnsi="Times New Roman" w:cs="Times New Roman"/>
          <w:sz w:val="24"/>
          <w:szCs w:val="24"/>
        </w:rPr>
        <w:t xml:space="preserve"> </w:t>
      </w:r>
      <w:r w:rsidRPr="003F787D">
        <w:rPr>
          <w:rFonts w:ascii="Times New Roman" w:hAnsi="Times New Roman" w:cs="Times New Roman"/>
          <w:sz w:val="24"/>
          <w:szCs w:val="24"/>
        </w:rPr>
        <w:t>2006</w:t>
      </w:r>
      <w:r>
        <w:rPr>
          <w:rFonts w:ascii="Times New Roman" w:hAnsi="Times New Roman" w:cs="Times New Roman"/>
          <w:sz w:val="24"/>
          <w:szCs w:val="24"/>
        </w:rPr>
        <w:t>), we follow Liu</w:t>
      </w:r>
      <w:r w:rsidRPr="00660AB3">
        <w:rPr>
          <w:rFonts w:ascii="Times New Roman" w:hAnsi="Times New Roman" w:cs="Times New Roman"/>
          <w:i/>
          <w:iCs/>
          <w:sz w:val="24"/>
          <w:szCs w:val="24"/>
        </w:rPr>
        <w:t xml:space="preserve"> et al.</w:t>
      </w:r>
      <w:r>
        <w:rPr>
          <w:rFonts w:ascii="Times New Roman" w:hAnsi="Times New Roman" w:cs="Times New Roman"/>
          <w:sz w:val="24"/>
          <w:szCs w:val="24"/>
        </w:rPr>
        <w:t xml:space="preserve"> (2003), Livnat and Mendenhall (</w:t>
      </w:r>
      <w:r w:rsidRPr="003F787D">
        <w:rPr>
          <w:rFonts w:ascii="Times New Roman" w:hAnsi="Times New Roman" w:cs="Times New Roman"/>
          <w:sz w:val="24"/>
          <w:szCs w:val="24"/>
        </w:rPr>
        <w:t>2006</w:t>
      </w:r>
      <w:r>
        <w:rPr>
          <w:rFonts w:ascii="Times New Roman" w:hAnsi="Times New Roman" w:cs="Times New Roman"/>
          <w:sz w:val="24"/>
          <w:szCs w:val="24"/>
        </w:rPr>
        <w:t>) and others by estimating SUE using analysts’ forecasts. We calculate our SUE measure as:</w:t>
      </w:r>
    </w:p>
    <w:p w14:paraId="0C16DA6D" w14:textId="77777777" w:rsidR="00660AB3" w:rsidRPr="00660AB3" w:rsidRDefault="00660AB3" w:rsidP="008F42C0">
      <w:pPr>
        <w:tabs>
          <w:tab w:val="left" w:pos="567"/>
        </w:tabs>
        <w:spacing w:after="0" w:line="288" w:lineRule="auto"/>
        <w:jc w:val="both"/>
        <w:rPr>
          <w:rFonts w:ascii="Times New Roman" w:hAnsi="Times New Roman" w:cs="Times New Roman"/>
          <w:sz w:val="12"/>
          <w:szCs w:val="12"/>
        </w:rPr>
      </w:pPr>
    </w:p>
    <w:p w14:paraId="78A72575" w14:textId="77777777" w:rsidR="00E57E12" w:rsidRDefault="005C3591" w:rsidP="008F42C0">
      <w:pPr>
        <w:tabs>
          <w:tab w:val="left" w:pos="567"/>
        </w:tabs>
        <w:spacing w:after="0" w:line="288"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SUE</m:t>
              </m:r>
            </m:e>
            <m:sub>
              <m:r>
                <w:rPr>
                  <w:rFonts w:ascii="Cambria Math" w:hAnsi="Cambria Math" w:cs="Times New Roman"/>
                  <w:sz w:val="24"/>
                  <w:szCs w:val="24"/>
                </w:rPr>
                <m:t>i,t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e>
                  </m:acc>
                </m:e>
              </m:acc>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den>
          </m:f>
        </m:oMath>
      </m:oMathPara>
    </w:p>
    <w:p w14:paraId="30B36FF8" w14:textId="4576695A" w:rsidR="00AE2400" w:rsidRDefault="00660AB3"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E57E12">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sidR="00E57E12">
        <w:rPr>
          <w:rFonts w:ascii="Times New Roman" w:hAnsi="Times New Roman" w:cs="Times New Roman"/>
          <w:sz w:val="24"/>
          <w:szCs w:val="24"/>
        </w:rPr>
        <w:t xml:space="preserve"> is actual quarterly earnings per share for firm </w:t>
      </w:r>
      <w:r w:rsidR="00E57E12" w:rsidRPr="00913B2B">
        <w:rPr>
          <w:rFonts w:ascii="Times New Roman" w:hAnsi="Times New Roman" w:cs="Times New Roman"/>
          <w:i/>
          <w:iCs/>
          <w:sz w:val="24"/>
          <w:szCs w:val="24"/>
        </w:rPr>
        <w:t>i</w:t>
      </w:r>
      <w:r w:rsidR="00E57E12">
        <w:rPr>
          <w:rFonts w:ascii="Times New Roman" w:hAnsi="Times New Roman" w:cs="Times New Roman"/>
          <w:sz w:val="24"/>
          <w:szCs w:val="24"/>
        </w:rPr>
        <w:t xml:space="preserve"> in quarter </w:t>
      </w:r>
      <w:r w:rsidR="00E57E12" w:rsidRPr="00913B2B">
        <w:rPr>
          <w:rFonts w:ascii="Times New Roman" w:hAnsi="Times New Roman" w:cs="Times New Roman"/>
          <w:i/>
          <w:iCs/>
          <w:sz w:val="24"/>
          <w:szCs w:val="24"/>
        </w:rPr>
        <w:t>t</w:t>
      </w:r>
      <w:r w:rsidR="00E57E12">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e>
            </m:acc>
          </m:e>
        </m:acc>
      </m:oMath>
      <w:r w:rsidR="00E57E12">
        <w:rPr>
          <w:rFonts w:ascii="Times New Roman" w:hAnsi="Times New Roman" w:cs="Times New Roman"/>
          <w:sz w:val="24"/>
          <w:szCs w:val="24"/>
        </w:rPr>
        <w:t xml:space="preserve"> is the most recent consensus analysts’ forecast available prior to the announcement of the quarterly earnings per share for firm </w:t>
      </w:r>
      <w:r w:rsidR="00E57E12" w:rsidRPr="00913B2B">
        <w:rPr>
          <w:rFonts w:ascii="Times New Roman" w:hAnsi="Times New Roman" w:cs="Times New Roman"/>
          <w:i/>
          <w:iCs/>
          <w:sz w:val="24"/>
          <w:szCs w:val="24"/>
        </w:rPr>
        <w:t>i</w:t>
      </w:r>
      <w:r w:rsidR="00E57E12">
        <w:rPr>
          <w:rFonts w:ascii="Times New Roman" w:hAnsi="Times New Roman" w:cs="Times New Roman"/>
          <w:sz w:val="24"/>
          <w:szCs w:val="24"/>
        </w:rPr>
        <w:t xml:space="preserve"> in quarter </w:t>
      </w:r>
      <w:r w:rsidR="00E57E12" w:rsidRPr="00913B2B">
        <w:rPr>
          <w:rFonts w:ascii="Times New Roman" w:hAnsi="Times New Roman" w:cs="Times New Roman"/>
          <w:i/>
          <w:iCs/>
          <w:sz w:val="24"/>
          <w:szCs w:val="24"/>
        </w:rPr>
        <w:t>t</w:t>
      </w:r>
      <w:r w:rsidR="00E57E1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r w:rsidR="00E57E12">
        <w:rPr>
          <w:rFonts w:ascii="Times New Roman" w:hAnsi="Times New Roman" w:cs="Times New Roman"/>
          <w:sz w:val="24"/>
          <w:szCs w:val="24"/>
        </w:rPr>
        <w:t xml:space="preserve"> is the price for firm </w:t>
      </w:r>
      <w:r w:rsidR="00E57E12" w:rsidRPr="00913B2B">
        <w:rPr>
          <w:rFonts w:ascii="Times New Roman" w:hAnsi="Times New Roman" w:cs="Times New Roman"/>
          <w:i/>
          <w:iCs/>
          <w:sz w:val="24"/>
          <w:szCs w:val="24"/>
        </w:rPr>
        <w:t>i</w:t>
      </w:r>
      <w:r w:rsidR="00E57E12">
        <w:rPr>
          <w:rFonts w:ascii="Times New Roman" w:hAnsi="Times New Roman" w:cs="Times New Roman"/>
          <w:sz w:val="24"/>
          <w:szCs w:val="24"/>
        </w:rPr>
        <w:t xml:space="preserve"> at the end of the quarter. Following Mendenhall (2004) we only include observations when there are at least two forecasts available</w:t>
      </w:r>
      <w:r w:rsidR="000B7071">
        <w:rPr>
          <w:rStyle w:val="EndnoteReference"/>
          <w:rFonts w:ascii="Times New Roman" w:hAnsi="Times New Roman" w:cs="Times New Roman"/>
          <w:sz w:val="24"/>
          <w:szCs w:val="24"/>
        </w:rPr>
        <w:endnoteReference w:id="4"/>
      </w:r>
      <w:r w:rsidR="000B7071">
        <w:rPr>
          <w:rFonts w:ascii="Times New Roman" w:hAnsi="Times New Roman" w:cs="Times New Roman"/>
          <w:sz w:val="24"/>
          <w:szCs w:val="24"/>
        </w:rPr>
        <w:t>.</w:t>
      </w:r>
    </w:p>
    <w:p w14:paraId="01FE73EE" w14:textId="48E456D7" w:rsidR="005E5667" w:rsidRDefault="005E5667" w:rsidP="008F42C0">
      <w:pPr>
        <w:tabs>
          <w:tab w:val="left" w:pos="567"/>
        </w:tabs>
        <w:spacing w:after="0" w:line="288" w:lineRule="auto"/>
        <w:jc w:val="both"/>
        <w:rPr>
          <w:rFonts w:ascii="Times New Roman" w:hAnsi="Times New Roman" w:cs="Times New Roman"/>
          <w:sz w:val="24"/>
          <w:szCs w:val="24"/>
        </w:rPr>
      </w:pPr>
    </w:p>
    <w:p w14:paraId="7AE451AA" w14:textId="77777777" w:rsidR="00267991" w:rsidRDefault="00267991" w:rsidP="008F42C0">
      <w:pPr>
        <w:tabs>
          <w:tab w:val="left" w:pos="567"/>
        </w:tabs>
        <w:spacing w:after="0" w:line="288" w:lineRule="auto"/>
        <w:jc w:val="both"/>
        <w:rPr>
          <w:rFonts w:ascii="Times New Roman" w:hAnsi="Times New Roman" w:cs="Times New Roman"/>
          <w:sz w:val="24"/>
          <w:szCs w:val="24"/>
        </w:rPr>
      </w:pPr>
    </w:p>
    <w:p w14:paraId="6EDB47DF" w14:textId="10B21C78" w:rsidR="00AE2400" w:rsidRPr="00AA7F33" w:rsidRDefault="0044765D" w:rsidP="008F42C0">
      <w:pPr>
        <w:pStyle w:val="ListParagraph"/>
        <w:numPr>
          <w:ilvl w:val="2"/>
          <w:numId w:val="1"/>
        </w:numPr>
        <w:tabs>
          <w:tab w:val="left" w:pos="567"/>
        </w:tabs>
        <w:spacing w:after="0" w:line="288" w:lineRule="auto"/>
        <w:ind w:left="0" w:firstLine="0"/>
        <w:jc w:val="both"/>
        <w:rPr>
          <w:rFonts w:ascii="Times New Roman" w:hAnsi="Times New Roman" w:cs="Times New Roman"/>
          <w:b/>
          <w:bCs/>
          <w:sz w:val="24"/>
          <w:szCs w:val="24"/>
        </w:rPr>
      </w:pPr>
      <w:bookmarkStart w:id="4" w:name="_Toc475170435"/>
      <w:r>
        <w:rPr>
          <w:rFonts w:ascii="Times New Roman" w:hAnsi="Times New Roman" w:cs="Times New Roman"/>
          <w:b/>
          <w:bCs/>
          <w:sz w:val="24"/>
          <w:szCs w:val="24"/>
        </w:rPr>
        <w:t xml:space="preserve"> </w:t>
      </w:r>
      <w:r w:rsidR="00AE2400" w:rsidRPr="00AA7F33">
        <w:rPr>
          <w:rFonts w:ascii="Times New Roman" w:hAnsi="Times New Roman" w:cs="Times New Roman"/>
          <w:b/>
          <w:bCs/>
          <w:sz w:val="24"/>
          <w:szCs w:val="24"/>
        </w:rPr>
        <w:t xml:space="preserve">Corporate </w:t>
      </w:r>
      <w:r w:rsidR="00DF6C6A">
        <w:rPr>
          <w:rFonts w:ascii="Times New Roman" w:hAnsi="Times New Roman" w:cs="Times New Roman"/>
          <w:b/>
          <w:bCs/>
          <w:sz w:val="24"/>
          <w:szCs w:val="24"/>
        </w:rPr>
        <w:t>G</w:t>
      </w:r>
      <w:r w:rsidR="00AE2400" w:rsidRPr="00AA7F33">
        <w:rPr>
          <w:rFonts w:ascii="Times New Roman" w:hAnsi="Times New Roman" w:cs="Times New Roman"/>
          <w:b/>
          <w:bCs/>
          <w:sz w:val="24"/>
          <w:szCs w:val="24"/>
        </w:rPr>
        <w:t>overnance</w:t>
      </w:r>
      <w:bookmarkEnd w:id="4"/>
      <w:r w:rsidR="00BF09F5" w:rsidRPr="00AA7F33">
        <w:rPr>
          <w:rFonts w:ascii="Times New Roman" w:hAnsi="Times New Roman" w:cs="Times New Roman"/>
          <w:b/>
          <w:bCs/>
          <w:sz w:val="24"/>
          <w:szCs w:val="24"/>
        </w:rPr>
        <w:t xml:space="preserve"> (GOVI)</w:t>
      </w:r>
      <w:r w:rsidR="00AE2400" w:rsidRPr="00AA7F33">
        <w:rPr>
          <w:rFonts w:ascii="Times New Roman" w:hAnsi="Times New Roman" w:cs="Times New Roman"/>
          <w:b/>
          <w:bCs/>
          <w:sz w:val="24"/>
          <w:szCs w:val="24"/>
        </w:rPr>
        <w:t xml:space="preserve"> </w:t>
      </w:r>
      <w:r w:rsidR="00DF6C6A">
        <w:rPr>
          <w:rFonts w:ascii="Times New Roman" w:hAnsi="Times New Roman" w:cs="Times New Roman"/>
          <w:b/>
          <w:bCs/>
          <w:sz w:val="24"/>
          <w:szCs w:val="24"/>
        </w:rPr>
        <w:t>M</w:t>
      </w:r>
      <w:r w:rsidR="00AE2400" w:rsidRPr="00AA7F33">
        <w:rPr>
          <w:rFonts w:ascii="Times New Roman" w:hAnsi="Times New Roman" w:cs="Times New Roman"/>
          <w:b/>
          <w:bCs/>
          <w:sz w:val="24"/>
          <w:szCs w:val="24"/>
        </w:rPr>
        <w:t>easure</w:t>
      </w:r>
    </w:p>
    <w:p w14:paraId="1664DDEB" w14:textId="77777777" w:rsidR="00DF6C6A" w:rsidRPr="00DF6C6A" w:rsidRDefault="00DF6C6A" w:rsidP="008F42C0">
      <w:pPr>
        <w:tabs>
          <w:tab w:val="left" w:pos="567"/>
        </w:tabs>
        <w:spacing w:after="0" w:line="288" w:lineRule="auto"/>
        <w:jc w:val="both"/>
        <w:rPr>
          <w:rFonts w:ascii="Times New Roman" w:hAnsi="Times New Roman" w:cs="Times New Roman"/>
          <w:sz w:val="8"/>
          <w:szCs w:val="8"/>
        </w:rPr>
      </w:pPr>
    </w:p>
    <w:p w14:paraId="36D5F4D5" w14:textId="19F63BE7" w:rsidR="00613A50" w:rsidRDefault="00E57E12"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In line with many previous studies w</w:t>
      </w:r>
      <w:r w:rsidRPr="00FD5EDA">
        <w:rPr>
          <w:rFonts w:ascii="Times New Roman" w:hAnsi="Times New Roman" w:cs="Times New Roman"/>
          <w:sz w:val="24"/>
          <w:szCs w:val="24"/>
        </w:rPr>
        <w:t>e construct a firm-level additive index of govern</w:t>
      </w:r>
      <w:r>
        <w:rPr>
          <w:rFonts w:ascii="Times New Roman" w:hAnsi="Times New Roman" w:cs="Times New Roman"/>
          <w:sz w:val="24"/>
          <w:szCs w:val="24"/>
        </w:rPr>
        <w:t xml:space="preserve">ance (GOVI) using the commonly-used </w:t>
      </w:r>
      <w:r w:rsidRPr="00FD5EDA">
        <w:rPr>
          <w:rFonts w:ascii="Times New Roman" w:hAnsi="Times New Roman" w:cs="Times New Roman"/>
          <w:sz w:val="24"/>
          <w:szCs w:val="24"/>
        </w:rPr>
        <w:t>measures of governance</w:t>
      </w:r>
      <w:r>
        <w:rPr>
          <w:rFonts w:ascii="Times New Roman" w:hAnsi="Times New Roman" w:cs="Times New Roman"/>
          <w:sz w:val="24"/>
          <w:szCs w:val="24"/>
        </w:rPr>
        <w:t xml:space="preserve"> listed in </w:t>
      </w:r>
      <w:r w:rsidRPr="00584DE7">
        <w:rPr>
          <w:rFonts w:ascii="Times New Roman" w:hAnsi="Times New Roman" w:cs="Times New Roman"/>
          <w:i/>
          <w:iCs/>
          <w:sz w:val="24"/>
          <w:szCs w:val="24"/>
        </w:rPr>
        <w:t>Appendix II</w:t>
      </w:r>
      <w:r>
        <w:rPr>
          <w:rFonts w:ascii="Times New Roman" w:hAnsi="Times New Roman" w:cs="Times New Roman"/>
          <w:sz w:val="24"/>
          <w:szCs w:val="24"/>
        </w:rPr>
        <w:t xml:space="preserve"> </w:t>
      </w:r>
      <w:r w:rsidRPr="003E3B45">
        <w:rPr>
          <w:rFonts w:ascii="Times New Roman" w:hAnsi="Times New Roman" w:cs="Times New Roman"/>
          <w:sz w:val="24"/>
          <w:szCs w:val="24"/>
        </w:rPr>
        <w:t>(</w:t>
      </w:r>
      <w:r w:rsidR="00AD288E">
        <w:rPr>
          <w:rFonts w:ascii="Times New Roman" w:hAnsi="Times New Roman" w:cs="Times New Roman"/>
          <w:sz w:val="24"/>
          <w:szCs w:val="24"/>
        </w:rPr>
        <w:t>for example,</w:t>
      </w:r>
      <w:r w:rsidRPr="003E3B45">
        <w:rPr>
          <w:rFonts w:ascii="Times New Roman" w:hAnsi="Times New Roman" w:cs="Times New Roman"/>
          <w:sz w:val="24"/>
          <w:szCs w:val="24"/>
        </w:rPr>
        <w:t xml:space="preserve"> Aggarwal </w:t>
      </w:r>
      <w:r w:rsidR="006D1807" w:rsidRPr="006D1807">
        <w:rPr>
          <w:rFonts w:ascii="Times New Roman" w:hAnsi="Times New Roman" w:cs="Times New Roman"/>
          <w:i/>
          <w:iCs/>
          <w:sz w:val="24"/>
          <w:szCs w:val="24"/>
        </w:rPr>
        <w:t>et al.</w:t>
      </w:r>
      <w:r w:rsidRPr="003E3B45">
        <w:rPr>
          <w:rFonts w:ascii="Times New Roman" w:hAnsi="Times New Roman" w:cs="Times New Roman"/>
          <w:sz w:val="24"/>
          <w:szCs w:val="24"/>
        </w:rPr>
        <w:t xml:space="preserve"> 2010</w:t>
      </w:r>
      <w:r w:rsidR="00E77BD7" w:rsidRPr="00E77BD7">
        <w:rPr>
          <w:rFonts w:ascii="Times New Roman" w:hAnsi="Times New Roman" w:cs="Times New Roman"/>
          <w:sz w:val="24"/>
          <w:szCs w:val="24"/>
        </w:rPr>
        <w:t>,</w:t>
      </w:r>
      <w:r w:rsidRPr="003E3B45">
        <w:rPr>
          <w:rFonts w:ascii="Times New Roman" w:hAnsi="Times New Roman" w:cs="Times New Roman"/>
          <w:sz w:val="24"/>
          <w:szCs w:val="24"/>
        </w:rPr>
        <w:t xml:space="preserve"> Anderson and Gupta 2009</w:t>
      </w:r>
      <w:r w:rsidR="00E77BD7" w:rsidRPr="00E77BD7">
        <w:rPr>
          <w:rFonts w:ascii="Times New Roman" w:hAnsi="Times New Roman" w:cs="Times New Roman"/>
          <w:sz w:val="24"/>
          <w:szCs w:val="24"/>
        </w:rPr>
        <w:t>,</w:t>
      </w:r>
      <w:r w:rsidRPr="003E3B45">
        <w:rPr>
          <w:rFonts w:ascii="Times New Roman" w:hAnsi="Times New Roman" w:cs="Times New Roman"/>
          <w:sz w:val="24"/>
          <w:szCs w:val="24"/>
        </w:rPr>
        <w:t xml:space="preserve"> </w:t>
      </w:r>
      <w:r w:rsidR="007E16C5">
        <w:rPr>
          <w:rFonts w:ascii="Times New Roman" w:hAnsi="Times New Roman" w:cs="Times New Roman"/>
          <w:sz w:val="24"/>
          <w:szCs w:val="24"/>
        </w:rPr>
        <w:t xml:space="preserve">Brown </w:t>
      </w:r>
      <w:r w:rsidR="006D1807" w:rsidRPr="006D1807">
        <w:rPr>
          <w:rFonts w:ascii="Times New Roman" w:hAnsi="Times New Roman" w:cs="Times New Roman"/>
          <w:i/>
          <w:iCs/>
          <w:sz w:val="24"/>
          <w:szCs w:val="24"/>
        </w:rPr>
        <w:t>et al.</w:t>
      </w:r>
      <w:r w:rsidR="007E16C5">
        <w:rPr>
          <w:rFonts w:ascii="Times New Roman" w:hAnsi="Times New Roman" w:cs="Times New Roman"/>
          <w:sz w:val="24"/>
          <w:szCs w:val="24"/>
        </w:rPr>
        <w:t xml:space="preserve"> 2011</w:t>
      </w:r>
      <w:r w:rsidR="00E77BD7" w:rsidRPr="00E77BD7">
        <w:rPr>
          <w:rFonts w:ascii="Times New Roman" w:hAnsi="Times New Roman" w:cs="Times New Roman"/>
          <w:sz w:val="24"/>
          <w:szCs w:val="24"/>
        </w:rPr>
        <w:t>,</w:t>
      </w:r>
      <w:r w:rsidR="007E16C5">
        <w:rPr>
          <w:rFonts w:ascii="Times New Roman" w:hAnsi="Times New Roman" w:cs="Times New Roman"/>
          <w:sz w:val="24"/>
          <w:szCs w:val="24"/>
        </w:rPr>
        <w:t xml:space="preserve"> </w:t>
      </w:r>
      <w:r w:rsidRPr="003E3B45">
        <w:rPr>
          <w:rFonts w:ascii="Times New Roman" w:hAnsi="Times New Roman" w:cs="Times New Roman"/>
          <w:sz w:val="24"/>
          <w:szCs w:val="24"/>
        </w:rPr>
        <w:t>Brown and Caylor</w:t>
      </w:r>
      <w:r w:rsidR="00AD288E">
        <w:rPr>
          <w:rFonts w:ascii="Times New Roman" w:hAnsi="Times New Roman" w:cs="Times New Roman"/>
          <w:sz w:val="24"/>
          <w:szCs w:val="24"/>
        </w:rPr>
        <w:t xml:space="preserve"> </w:t>
      </w:r>
      <w:r w:rsidRPr="003E3B45">
        <w:rPr>
          <w:rFonts w:ascii="Times New Roman" w:hAnsi="Times New Roman" w:cs="Times New Roman"/>
          <w:sz w:val="24"/>
          <w:szCs w:val="24"/>
        </w:rPr>
        <w:t>2006)</w:t>
      </w:r>
      <w:r>
        <w:rPr>
          <w:rFonts w:ascii="Times New Roman" w:hAnsi="Times New Roman" w:cs="Times New Roman"/>
          <w:sz w:val="24"/>
          <w:szCs w:val="24"/>
        </w:rPr>
        <w:t xml:space="preserve">. </w:t>
      </w:r>
      <w:r w:rsidR="006D62A8">
        <w:rPr>
          <w:rFonts w:ascii="Times New Roman" w:hAnsi="Times New Roman" w:cs="Times New Roman"/>
          <w:sz w:val="24"/>
          <w:szCs w:val="24"/>
        </w:rPr>
        <w:t>T</w:t>
      </w:r>
      <w:r>
        <w:rPr>
          <w:rFonts w:ascii="Times New Roman" w:hAnsi="Times New Roman" w:cs="Times New Roman"/>
          <w:sz w:val="24"/>
          <w:szCs w:val="24"/>
        </w:rPr>
        <w:t>hese</w:t>
      </w:r>
      <w:r w:rsidR="006D62A8">
        <w:rPr>
          <w:rFonts w:ascii="Times New Roman" w:hAnsi="Times New Roman" w:cs="Times New Roman"/>
          <w:sz w:val="24"/>
          <w:szCs w:val="24"/>
        </w:rPr>
        <w:t xml:space="preserve"> 29</w:t>
      </w:r>
      <w:r>
        <w:rPr>
          <w:rFonts w:ascii="Times New Roman" w:hAnsi="Times New Roman" w:cs="Times New Roman"/>
          <w:sz w:val="24"/>
          <w:szCs w:val="24"/>
        </w:rPr>
        <w:t xml:space="preserve"> measures </w:t>
      </w:r>
      <w:r w:rsidR="006D62A8">
        <w:rPr>
          <w:rFonts w:ascii="Times New Roman" w:hAnsi="Times New Roman" w:cs="Times New Roman"/>
          <w:sz w:val="24"/>
          <w:szCs w:val="24"/>
        </w:rPr>
        <w:t xml:space="preserve">represent the various governance indicators available from the ISS database and </w:t>
      </w:r>
      <w:r>
        <w:rPr>
          <w:rFonts w:ascii="Times New Roman" w:hAnsi="Times New Roman" w:cs="Times New Roman"/>
          <w:sz w:val="24"/>
          <w:szCs w:val="24"/>
        </w:rPr>
        <w:t xml:space="preserve">capture well the different aspects of the firm’s governance framework including its board and ownership characteristics, compensation structure, and control or anti-takeover provisions. Following Aggarwal </w:t>
      </w:r>
      <w:r w:rsidRPr="00AD288E">
        <w:rPr>
          <w:rFonts w:ascii="Times New Roman" w:hAnsi="Times New Roman" w:cs="Times New Roman"/>
          <w:i/>
          <w:iCs/>
          <w:sz w:val="24"/>
          <w:szCs w:val="24"/>
        </w:rPr>
        <w:t>et al.</w:t>
      </w:r>
      <w:r>
        <w:rPr>
          <w:rFonts w:ascii="Times New Roman" w:hAnsi="Times New Roman" w:cs="Times New Roman"/>
          <w:sz w:val="24"/>
          <w:szCs w:val="24"/>
        </w:rPr>
        <w:t xml:space="preserve"> (2010) and Brown and Caylor</w:t>
      </w:r>
      <w:r w:rsidRPr="00030397">
        <w:rPr>
          <w:rFonts w:ascii="Times New Roman" w:hAnsi="Times New Roman" w:cs="Times New Roman"/>
          <w:sz w:val="24"/>
          <w:szCs w:val="24"/>
        </w:rPr>
        <w:t xml:space="preserve"> </w:t>
      </w:r>
      <w:r>
        <w:rPr>
          <w:rFonts w:ascii="Times New Roman" w:hAnsi="Times New Roman" w:cs="Times New Roman"/>
          <w:sz w:val="24"/>
          <w:szCs w:val="24"/>
        </w:rPr>
        <w:t>(</w:t>
      </w:r>
      <w:r w:rsidRPr="00030397">
        <w:rPr>
          <w:rFonts w:ascii="Times New Roman" w:hAnsi="Times New Roman" w:cs="Times New Roman"/>
          <w:sz w:val="24"/>
          <w:szCs w:val="24"/>
        </w:rPr>
        <w:t>2006</w:t>
      </w:r>
      <w:r>
        <w:rPr>
          <w:rFonts w:ascii="Times New Roman" w:hAnsi="Times New Roman" w:cs="Times New Roman"/>
          <w:sz w:val="24"/>
          <w:szCs w:val="24"/>
        </w:rPr>
        <w:t xml:space="preserve">), we use the most recent governance thresholds provided by the </w:t>
      </w:r>
      <w:r w:rsidRPr="0096633D">
        <w:rPr>
          <w:rFonts w:ascii="Times New Roman" w:hAnsi="Times New Roman" w:cs="Times New Roman"/>
          <w:sz w:val="24"/>
          <w:szCs w:val="24"/>
        </w:rPr>
        <w:t>Institutional Shareholder Services</w:t>
      </w:r>
      <w:r>
        <w:rPr>
          <w:rFonts w:ascii="Times New Roman" w:hAnsi="Times New Roman" w:cs="Times New Roman"/>
          <w:sz w:val="24"/>
          <w:szCs w:val="24"/>
        </w:rPr>
        <w:t xml:space="preserve"> (ISS) </w:t>
      </w:r>
      <w:r w:rsidRPr="007A2E2D">
        <w:rPr>
          <w:rFonts w:ascii="Times New Roman" w:hAnsi="Times New Roman" w:cs="Times New Roman"/>
          <w:sz w:val="24"/>
          <w:szCs w:val="24"/>
        </w:rPr>
        <w:t>Governance QuickScore 3.0</w:t>
      </w:r>
      <w:r>
        <w:rPr>
          <w:rFonts w:ascii="Times New Roman" w:hAnsi="Times New Roman" w:cs="Times New Roman"/>
          <w:sz w:val="24"/>
          <w:szCs w:val="24"/>
        </w:rPr>
        <w:t xml:space="preserve"> to construct our index. A firm gains one point for each of its governance attributes that meets the threshold suggested by ISS’s guideline, or 0 otherwise</w:t>
      </w:r>
      <w:r w:rsidR="000B7071">
        <w:rPr>
          <w:rStyle w:val="EndnoteReference"/>
          <w:rFonts w:ascii="Times New Roman" w:hAnsi="Times New Roman" w:cs="Times New Roman"/>
          <w:sz w:val="24"/>
          <w:szCs w:val="24"/>
        </w:rPr>
        <w:endnoteReference w:id="5"/>
      </w:r>
      <w:r w:rsidR="000B7071">
        <w:rPr>
          <w:rFonts w:ascii="Times New Roman" w:hAnsi="Times New Roman" w:cs="Times New Roman"/>
          <w:sz w:val="24"/>
          <w:szCs w:val="24"/>
        </w:rPr>
        <w:t>.</w:t>
      </w:r>
      <w:r>
        <w:rPr>
          <w:rFonts w:ascii="Times New Roman" w:hAnsi="Times New Roman" w:cs="Times New Roman"/>
          <w:sz w:val="24"/>
          <w:szCs w:val="24"/>
        </w:rPr>
        <w:t xml:space="preserve"> The final value of our index is the total number of points accumulated by a firm divided by the total number of attributes, expressed as a percentage. When an attribute is missing for a particular firm, the score </w:t>
      </w:r>
      <w:r w:rsidR="001F5391">
        <w:rPr>
          <w:rFonts w:ascii="Times New Roman" w:hAnsi="Times New Roman" w:cs="Times New Roman"/>
          <w:sz w:val="24"/>
          <w:szCs w:val="24"/>
        </w:rPr>
        <w:t xml:space="preserve">is </w:t>
      </w:r>
      <w:r>
        <w:rPr>
          <w:rFonts w:ascii="Times New Roman" w:hAnsi="Times New Roman" w:cs="Times New Roman"/>
          <w:sz w:val="24"/>
          <w:szCs w:val="24"/>
        </w:rPr>
        <w:t>based upon the remaining attributes with firms being deleted from the sample if more than one-third of the attributes are missing</w:t>
      </w:r>
      <w:r w:rsidR="000B7071">
        <w:rPr>
          <w:rStyle w:val="EndnoteReference"/>
          <w:rFonts w:ascii="Times New Roman" w:hAnsi="Times New Roman" w:cs="Times New Roman"/>
          <w:sz w:val="24"/>
          <w:szCs w:val="24"/>
        </w:rPr>
        <w:endnoteReference w:id="6"/>
      </w:r>
      <w:r w:rsidR="000B7071">
        <w:rPr>
          <w:rFonts w:ascii="Times New Roman" w:hAnsi="Times New Roman" w:cs="Times New Roman"/>
          <w:sz w:val="24"/>
          <w:szCs w:val="24"/>
        </w:rPr>
        <w:t>.</w:t>
      </w:r>
      <w:r>
        <w:rPr>
          <w:rFonts w:ascii="Times New Roman" w:hAnsi="Times New Roman" w:cs="Times New Roman"/>
          <w:sz w:val="24"/>
          <w:szCs w:val="24"/>
        </w:rPr>
        <w:t xml:space="preserve"> </w:t>
      </w:r>
    </w:p>
    <w:p w14:paraId="11D46788" w14:textId="241DE59D" w:rsidR="005E5667" w:rsidRDefault="005E5667" w:rsidP="008F42C0">
      <w:pPr>
        <w:tabs>
          <w:tab w:val="left" w:pos="567"/>
        </w:tabs>
        <w:spacing w:after="0" w:line="288" w:lineRule="auto"/>
        <w:jc w:val="both"/>
        <w:rPr>
          <w:rFonts w:ascii="Times New Roman" w:hAnsi="Times New Roman" w:cs="Times New Roman"/>
          <w:sz w:val="24"/>
          <w:szCs w:val="24"/>
        </w:rPr>
      </w:pPr>
    </w:p>
    <w:p w14:paraId="29FE7F72" w14:textId="77777777" w:rsidR="00267991" w:rsidRDefault="00267991" w:rsidP="008F42C0">
      <w:pPr>
        <w:tabs>
          <w:tab w:val="left" w:pos="567"/>
        </w:tabs>
        <w:spacing w:after="0" w:line="288" w:lineRule="auto"/>
        <w:jc w:val="both"/>
        <w:rPr>
          <w:rFonts w:ascii="Times New Roman" w:hAnsi="Times New Roman" w:cs="Times New Roman"/>
          <w:sz w:val="24"/>
          <w:szCs w:val="24"/>
        </w:rPr>
      </w:pPr>
    </w:p>
    <w:p w14:paraId="6A2063E1" w14:textId="35C46927" w:rsidR="00BF09F5" w:rsidRPr="00AA7F33" w:rsidRDefault="00AD288E" w:rsidP="008F42C0">
      <w:pPr>
        <w:pStyle w:val="ListParagraph"/>
        <w:numPr>
          <w:ilvl w:val="2"/>
          <w:numId w:val="1"/>
        </w:numPr>
        <w:tabs>
          <w:tab w:val="left" w:pos="567"/>
        </w:tabs>
        <w:spacing w:after="0" w:line="288"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F09F5" w:rsidRPr="00AA7F33">
        <w:rPr>
          <w:rFonts w:ascii="Times New Roman" w:hAnsi="Times New Roman" w:cs="Times New Roman"/>
          <w:b/>
          <w:bCs/>
          <w:sz w:val="24"/>
          <w:szCs w:val="24"/>
        </w:rPr>
        <w:t xml:space="preserve">Information </w:t>
      </w:r>
      <w:r>
        <w:rPr>
          <w:rFonts w:ascii="Times New Roman" w:hAnsi="Times New Roman" w:cs="Times New Roman"/>
          <w:b/>
          <w:bCs/>
          <w:sz w:val="24"/>
          <w:szCs w:val="24"/>
        </w:rPr>
        <w:t>U</w:t>
      </w:r>
      <w:r w:rsidR="00BF09F5" w:rsidRPr="00AA7F33">
        <w:rPr>
          <w:rFonts w:ascii="Times New Roman" w:hAnsi="Times New Roman" w:cs="Times New Roman"/>
          <w:b/>
          <w:bCs/>
          <w:sz w:val="24"/>
          <w:szCs w:val="24"/>
        </w:rPr>
        <w:t xml:space="preserve">ncertainty (IU) </w:t>
      </w:r>
      <w:r>
        <w:rPr>
          <w:rFonts w:ascii="Times New Roman" w:hAnsi="Times New Roman" w:cs="Times New Roman"/>
          <w:b/>
          <w:bCs/>
          <w:sz w:val="24"/>
          <w:szCs w:val="24"/>
        </w:rPr>
        <w:t>M</w:t>
      </w:r>
      <w:r w:rsidR="00BF09F5" w:rsidRPr="00AA7F33">
        <w:rPr>
          <w:rFonts w:ascii="Times New Roman" w:hAnsi="Times New Roman" w:cs="Times New Roman"/>
          <w:b/>
          <w:bCs/>
          <w:sz w:val="24"/>
          <w:szCs w:val="24"/>
        </w:rPr>
        <w:t>easure</w:t>
      </w:r>
    </w:p>
    <w:p w14:paraId="13CBE127" w14:textId="0F89465D" w:rsidR="00AD288E" w:rsidRPr="00AD288E" w:rsidRDefault="00AD288E" w:rsidP="008F42C0">
      <w:pPr>
        <w:tabs>
          <w:tab w:val="left" w:pos="567"/>
        </w:tabs>
        <w:spacing w:after="0" w:line="288" w:lineRule="auto"/>
        <w:jc w:val="both"/>
        <w:rPr>
          <w:rFonts w:ascii="Times New Roman" w:hAnsi="Times New Roman" w:cs="Times New Roman"/>
          <w:sz w:val="6"/>
          <w:szCs w:val="6"/>
        </w:rPr>
      </w:pPr>
      <w:r>
        <w:rPr>
          <w:rFonts w:ascii="Times New Roman" w:hAnsi="Times New Roman" w:cs="Times New Roman"/>
          <w:sz w:val="6"/>
          <w:szCs w:val="6"/>
        </w:rPr>
        <w:t xml:space="preserve"> </w:t>
      </w:r>
    </w:p>
    <w:p w14:paraId="6C6141A6" w14:textId="34469B98" w:rsidR="00BF09F5" w:rsidRDefault="00546136"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We create proxies for information uncertainty in order to address our third question as to whether that it is this channel through which corporate governance works when influencing the market reaction to new information. The three proxies chosen on the basis that they are widely cited in the literature</w:t>
      </w:r>
      <w:r w:rsidR="00976A2C">
        <w:rPr>
          <w:rFonts w:ascii="Times New Roman" w:hAnsi="Times New Roman" w:cs="Times New Roman"/>
          <w:sz w:val="24"/>
          <w:szCs w:val="24"/>
        </w:rPr>
        <w:t xml:space="preserve"> are:</w:t>
      </w:r>
      <w:r>
        <w:rPr>
          <w:rFonts w:ascii="Times New Roman" w:hAnsi="Times New Roman" w:cs="Times New Roman"/>
          <w:sz w:val="24"/>
          <w:szCs w:val="24"/>
        </w:rPr>
        <w:t xml:space="preserve"> return volatility, volume traded, and earnings forecast dispersion (see </w:t>
      </w:r>
      <w:r w:rsidR="00D23615" w:rsidRPr="00724C79">
        <w:rPr>
          <w:rFonts w:ascii="Times New Roman" w:hAnsi="Times New Roman" w:cs="Times New Roman"/>
          <w:sz w:val="24"/>
          <w:szCs w:val="24"/>
        </w:rPr>
        <w:t>T</w:t>
      </w:r>
      <w:r w:rsidRPr="00724C79">
        <w:rPr>
          <w:rFonts w:ascii="Times New Roman" w:hAnsi="Times New Roman" w:cs="Times New Roman"/>
          <w:sz w:val="24"/>
          <w:szCs w:val="24"/>
        </w:rPr>
        <w:t xml:space="preserve">able I </w:t>
      </w:r>
      <w:r>
        <w:rPr>
          <w:rFonts w:ascii="Times New Roman" w:hAnsi="Times New Roman" w:cs="Times New Roman"/>
          <w:sz w:val="24"/>
          <w:szCs w:val="24"/>
        </w:rPr>
        <w:t xml:space="preserve">for more information). </w:t>
      </w:r>
      <w:r w:rsidR="00BF09F5" w:rsidRPr="00BF09F5">
        <w:rPr>
          <w:rFonts w:ascii="Times New Roman" w:hAnsi="Times New Roman" w:cs="Times New Roman"/>
          <w:sz w:val="24"/>
          <w:szCs w:val="24"/>
        </w:rPr>
        <w:t>We create a dummy variable, IFUH, for each of these proxies that takes on a value of 1 if the value of the IU measure for the announcement year is above the median value for all other observations, or 0 otherwise. We construct the different IU measures so that higher values indicate higher IU.</w:t>
      </w:r>
    </w:p>
    <w:p w14:paraId="1C67165A" w14:textId="77777777" w:rsidR="005E5667" w:rsidRDefault="005E5667" w:rsidP="008F42C0">
      <w:pPr>
        <w:tabs>
          <w:tab w:val="left" w:pos="567"/>
        </w:tabs>
        <w:spacing w:after="0" w:line="288"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5093"/>
        <w:gridCol w:w="2012"/>
      </w:tblGrid>
      <w:tr w:rsidR="00BF09F5" w14:paraId="5C1A0801" w14:textId="77777777" w:rsidTr="00B70E0E">
        <w:trPr>
          <w:trHeight w:val="522"/>
        </w:trPr>
        <w:tc>
          <w:tcPr>
            <w:tcW w:w="9350" w:type="dxa"/>
            <w:gridSpan w:val="3"/>
            <w:tcBorders>
              <w:top w:val="nil"/>
              <w:left w:val="nil"/>
              <w:bottom w:val="single" w:sz="4" w:space="0" w:color="auto"/>
              <w:right w:val="nil"/>
            </w:tcBorders>
            <w:vAlign w:val="center"/>
          </w:tcPr>
          <w:p w14:paraId="4814AC12" w14:textId="6E8EFC60" w:rsidR="000B7071" w:rsidRPr="00B70E0E" w:rsidRDefault="00BF09F5" w:rsidP="008F42C0">
            <w:pPr>
              <w:keepNext/>
              <w:tabs>
                <w:tab w:val="left" w:pos="567"/>
              </w:tabs>
              <w:spacing w:line="288" w:lineRule="auto"/>
              <w:jc w:val="center"/>
              <w:rPr>
                <w:rFonts w:ascii="Times New Roman" w:hAnsi="Times New Roman" w:cs="Times New Roman"/>
                <w:b/>
                <w:bCs/>
              </w:rPr>
            </w:pPr>
            <w:r w:rsidRPr="00B70E0E">
              <w:rPr>
                <w:rFonts w:ascii="Times New Roman" w:hAnsi="Times New Roman" w:cs="Times New Roman"/>
                <w:b/>
                <w:bCs/>
              </w:rPr>
              <w:lastRenderedPageBreak/>
              <w:t xml:space="preserve">Table </w:t>
            </w:r>
            <w:r w:rsidR="00D97F41" w:rsidRPr="00B70E0E">
              <w:rPr>
                <w:rFonts w:ascii="Times New Roman" w:hAnsi="Times New Roman" w:cs="Times New Roman"/>
                <w:b/>
                <w:bCs/>
              </w:rPr>
              <w:t>I:</w:t>
            </w:r>
            <w:r w:rsidRPr="00B70E0E">
              <w:rPr>
                <w:rFonts w:ascii="Times New Roman" w:hAnsi="Times New Roman" w:cs="Times New Roman"/>
                <w:b/>
                <w:bCs/>
              </w:rPr>
              <w:t xml:space="preserve"> Measures of </w:t>
            </w:r>
            <w:r w:rsidR="00B70E0E">
              <w:rPr>
                <w:rFonts w:ascii="Times New Roman" w:hAnsi="Times New Roman" w:cs="Times New Roman"/>
                <w:b/>
                <w:bCs/>
              </w:rPr>
              <w:t>I</w:t>
            </w:r>
            <w:r w:rsidRPr="00B70E0E">
              <w:rPr>
                <w:rFonts w:ascii="Times New Roman" w:hAnsi="Times New Roman" w:cs="Times New Roman"/>
                <w:b/>
                <w:bCs/>
              </w:rPr>
              <w:t xml:space="preserve">nformation </w:t>
            </w:r>
            <w:r w:rsidR="00B70E0E">
              <w:rPr>
                <w:rFonts w:ascii="Times New Roman" w:hAnsi="Times New Roman" w:cs="Times New Roman"/>
                <w:b/>
                <w:bCs/>
              </w:rPr>
              <w:t>U</w:t>
            </w:r>
            <w:r w:rsidRPr="00B70E0E">
              <w:rPr>
                <w:rFonts w:ascii="Times New Roman" w:hAnsi="Times New Roman" w:cs="Times New Roman"/>
                <w:b/>
                <w:bCs/>
              </w:rPr>
              <w:t>ncertainty (IU)</w:t>
            </w:r>
            <w:r w:rsidRPr="00B70E0E">
              <w:rPr>
                <w:rStyle w:val="FootnoteReference"/>
                <w:rFonts w:ascii="Times New Roman" w:hAnsi="Times New Roman" w:cs="Times New Roman"/>
              </w:rPr>
              <w:t xml:space="preserve"> </w:t>
            </w:r>
            <w:r w:rsidR="000B7071" w:rsidRPr="00B70E0E">
              <w:rPr>
                <w:rStyle w:val="EndnoteReference"/>
                <w:rFonts w:ascii="Times New Roman" w:hAnsi="Times New Roman" w:cs="Times New Roman"/>
              </w:rPr>
              <w:endnoteReference w:id="7"/>
            </w:r>
          </w:p>
        </w:tc>
      </w:tr>
      <w:tr w:rsidR="00BF09F5" w14:paraId="7E6FF80A" w14:textId="77777777" w:rsidTr="008B0CB4">
        <w:tc>
          <w:tcPr>
            <w:tcW w:w="2245" w:type="dxa"/>
            <w:tcBorders>
              <w:top w:val="single" w:sz="4" w:space="0" w:color="auto"/>
              <w:left w:val="nil"/>
              <w:bottom w:val="single" w:sz="4" w:space="0" w:color="auto"/>
              <w:right w:val="nil"/>
            </w:tcBorders>
            <w:vAlign w:val="bottom"/>
          </w:tcPr>
          <w:p w14:paraId="6DB1E38E" w14:textId="77777777" w:rsidR="00BF09F5" w:rsidRPr="00B70E0E" w:rsidRDefault="00BF09F5" w:rsidP="00B70E0E">
            <w:pPr>
              <w:keepNext/>
              <w:tabs>
                <w:tab w:val="left" w:pos="567"/>
              </w:tabs>
              <w:spacing w:before="60" w:after="60"/>
              <w:jc w:val="center"/>
              <w:rPr>
                <w:rFonts w:ascii="Times New Roman" w:hAnsi="Times New Roman" w:cs="Times New Roman"/>
                <w:b/>
                <w:bCs/>
              </w:rPr>
            </w:pPr>
            <w:r w:rsidRPr="00B70E0E">
              <w:rPr>
                <w:rFonts w:ascii="Times New Roman" w:hAnsi="Times New Roman" w:cs="Times New Roman"/>
                <w:b/>
                <w:bCs/>
              </w:rPr>
              <w:t>Measure</w:t>
            </w:r>
          </w:p>
        </w:tc>
        <w:tc>
          <w:tcPr>
            <w:tcW w:w="5093" w:type="dxa"/>
            <w:tcBorders>
              <w:top w:val="single" w:sz="4" w:space="0" w:color="auto"/>
              <w:left w:val="nil"/>
              <w:bottom w:val="single" w:sz="4" w:space="0" w:color="auto"/>
              <w:right w:val="nil"/>
            </w:tcBorders>
            <w:vAlign w:val="bottom"/>
          </w:tcPr>
          <w:p w14:paraId="5C73AC94" w14:textId="77777777" w:rsidR="00BF09F5" w:rsidRPr="00B70E0E" w:rsidRDefault="00BF09F5" w:rsidP="00B70E0E">
            <w:pPr>
              <w:keepNext/>
              <w:tabs>
                <w:tab w:val="left" w:pos="567"/>
              </w:tabs>
              <w:spacing w:before="60" w:after="60"/>
              <w:jc w:val="center"/>
              <w:rPr>
                <w:rFonts w:ascii="Times New Roman" w:hAnsi="Times New Roman" w:cs="Times New Roman"/>
                <w:b/>
                <w:bCs/>
              </w:rPr>
            </w:pPr>
            <w:r w:rsidRPr="00B70E0E">
              <w:rPr>
                <w:rFonts w:ascii="Times New Roman" w:hAnsi="Times New Roman" w:cs="Times New Roman"/>
                <w:b/>
                <w:bCs/>
              </w:rPr>
              <w:t>Definition</w:t>
            </w:r>
          </w:p>
        </w:tc>
        <w:tc>
          <w:tcPr>
            <w:tcW w:w="2012" w:type="dxa"/>
            <w:tcBorders>
              <w:top w:val="single" w:sz="4" w:space="0" w:color="auto"/>
              <w:left w:val="nil"/>
              <w:bottom w:val="single" w:sz="4" w:space="0" w:color="auto"/>
              <w:right w:val="nil"/>
            </w:tcBorders>
            <w:vAlign w:val="bottom"/>
          </w:tcPr>
          <w:p w14:paraId="5CB09C7B" w14:textId="2859F596" w:rsidR="00BF09F5" w:rsidRPr="00B70E0E" w:rsidRDefault="00BF09F5" w:rsidP="00B70E0E">
            <w:pPr>
              <w:keepNext/>
              <w:tabs>
                <w:tab w:val="left" w:pos="567"/>
              </w:tabs>
              <w:spacing w:before="60" w:after="60"/>
              <w:jc w:val="center"/>
              <w:rPr>
                <w:rFonts w:ascii="Times New Roman" w:hAnsi="Times New Roman" w:cs="Times New Roman"/>
                <w:b/>
                <w:bCs/>
              </w:rPr>
            </w:pPr>
            <w:r w:rsidRPr="00B70E0E">
              <w:rPr>
                <w:rFonts w:ascii="Times New Roman" w:hAnsi="Times New Roman" w:cs="Times New Roman"/>
                <w:b/>
                <w:bCs/>
              </w:rPr>
              <w:t xml:space="preserve">Expected </w:t>
            </w:r>
            <w:r w:rsidR="008B0CB4">
              <w:rPr>
                <w:rFonts w:ascii="Times New Roman" w:hAnsi="Times New Roman" w:cs="Times New Roman"/>
                <w:b/>
                <w:bCs/>
              </w:rPr>
              <w:t>R</w:t>
            </w:r>
            <w:r w:rsidRPr="00B70E0E">
              <w:rPr>
                <w:rFonts w:ascii="Times New Roman" w:hAnsi="Times New Roman" w:cs="Times New Roman"/>
                <w:b/>
                <w:bCs/>
              </w:rPr>
              <w:t>elation</w:t>
            </w:r>
          </w:p>
        </w:tc>
      </w:tr>
      <w:tr w:rsidR="00BF09F5" w14:paraId="6C7CE81C" w14:textId="77777777" w:rsidTr="008B0CB4">
        <w:tc>
          <w:tcPr>
            <w:tcW w:w="2245" w:type="dxa"/>
            <w:tcBorders>
              <w:left w:val="nil"/>
              <w:bottom w:val="nil"/>
              <w:right w:val="nil"/>
            </w:tcBorders>
            <w:vAlign w:val="center"/>
          </w:tcPr>
          <w:p w14:paraId="288BA446"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Return Volatility</w:t>
            </w:r>
          </w:p>
          <w:p w14:paraId="1029E906"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(VOLT)</w:t>
            </w:r>
          </w:p>
        </w:tc>
        <w:tc>
          <w:tcPr>
            <w:tcW w:w="5093" w:type="dxa"/>
            <w:tcBorders>
              <w:left w:val="nil"/>
              <w:bottom w:val="nil"/>
              <w:right w:val="nil"/>
            </w:tcBorders>
            <w:vAlign w:val="center"/>
          </w:tcPr>
          <w:p w14:paraId="5DCD4994" w14:textId="77777777" w:rsid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 xml:space="preserve">The yearly volatility in daily returns </w:t>
            </w:r>
          </w:p>
          <w:p w14:paraId="32DD4B9F" w14:textId="3D8F44BF"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 xml:space="preserve">(Van Ness </w:t>
            </w:r>
            <w:r w:rsidR="006D1807" w:rsidRPr="006D1807">
              <w:rPr>
                <w:rFonts w:ascii="Times New Roman" w:hAnsi="Times New Roman" w:cs="Times New Roman"/>
                <w:i/>
                <w:iCs/>
              </w:rPr>
              <w:t>et al.</w:t>
            </w:r>
            <w:r w:rsidRPr="00B70E0E">
              <w:rPr>
                <w:rFonts w:ascii="Times New Roman" w:hAnsi="Times New Roman" w:cs="Times New Roman"/>
              </w:rPr>
              <w:t xml:space="preserve"> 2001)</w:t>
            </w:r>
          </w:p>
        </w:tc>
        <w:tc>
          <w:tcPr>
            <w:tcW w:w="2012" w:type="dxa"/>
            <w:tcBorders>
              <w:left w:val="nil"/>
              <w:bottom w:val="nil"/>
              <w:right w:val="nil"/>
            </w:tcBorders>
            <w:vAlign w:val="center"/>
          </w:tcPr>
          <w:p w14:paraId="6EAACE54"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High IU</w:t>
            </w:r>
          </w:p>
          <w:p w14:paraId="4F4B5067" w14:textId="77777777" w:rsidR="00BF09F5"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w:t>
            </w:r>
          </w:p>
          <w:p w14:paraId="29BA55DE" w14:textId="5BE730E3" w:rsidR="00B70E0E" w:rsidRPr="00B70E0E" w:rsidRDefault="00B70E0E" w:rsidP="00B70E0E">
            <w:pPr>
              <w:keepNext/>
              <w:tabs>
                <w:tab w:val="left" w:pos="567"/>
              </w:tabs>
              <w:jc w:val="center"/>
              <w:rPr>
                <w:rFonts w:ascii="Times New Roman" w:hAnsi="Times New Roman" w:cs="Times New Roman"/>
              </w:rPr>
            </w:pPr>
          </w:p>
        </w:tc>
      </w:tr>
      <w:tr w:rsidR="00BF09F5" w14:paraId="1412DDC9" w14:textId="77777777" w:rsidTr="008B0CB4">
        <w:tc>
          <w:tcPr>
            <w:tcW w:w="2245" w:type="dxa"/>
            <w:tcBorders>
              <w:top w:val="nil"/>
              <w:left w:val="nil"/>
              <w:bottom w:val="nil"/>
              <w:right w:val="nil"/>
            </w:tcBorders>
            <w:vAlign w:val="center"/>
          </w:tcPr>
          <w:p w14:paraId="0EE1586F"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Volume Traded</w:t>
            </w:r>
          </w:p>
          <w:p w14:paraId="760A6147"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(VOLM)</w:t>
            </w:r>
          </w:p>
        </w:tc>
        <w:tc>
          <w:tcPr>
            <w:tcW w:w="5093" w:type="dxa"/>
            <w:tcBorders>
              <w:top w:val="nil"/>
              <w:left w:val="nil"/>
              <w:bottom w:val="nil"/>
              <w:right w:val="nil"/>
            </w:tcBorders>
            <w:vAlign w:val="center"/>
          </w:tcPr>
          <w:p w14:paraId="585C4C90" w14:textId="77777777" w:rsid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 xml:space="preserve">The total number of shares traded during the year divided by the number of outstanding shares </w:t>
            </w:r>
          </w:p>
          <w:p w14:paraId="0742E186" w14:textId="278C9C7E"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 xml:space="preserve">(Draper and Paudyal, 2008) </w:t>
            </w:r>
          </w:p>
        </w:tc>
        <w:tc>
          <w:tcPr>
            <w:tcW w:w="2012" w:type="dxa"/>
            <w:tcBorders>
              <w:top w:val="nil"/>
              <w:left w:val="nil"/>
              <w:bottom w:val="nil"/>
              <w:right w:val="nil"/>
            </w:tcBorders>
            <w:vAlign w:val="center"/>
          </w:tcPr>
          <w:p w14:paraId="2BD2878E"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Low IU</w:t>
            </w:r>
          </w:p>
          <w:p w14:paraId="333FAA36" w14:textId="77777777" w:rsidR="00BF09F5"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w:t>
            </w:r>
          </w:p>
          <w:p w14:paraId="46A71D11" w14:textId="74065D8C" w:rsidR="00B70E0E" w:rsidRPr="00B70E0E" w:rsidRDefault="00B70E0E" w:rsidP="00B70E0E">
            <w:pPr>
              <w:keepNext/>
              <w:tabs>
                <w:tab w:val="left" w:pos="567"/>
              </w:tabs>
              <w:jc w:val="center"/>
              <w:rPr>
                <w:rFonts w:ascii="Times New Roman" w:hAnsi="Times New Roman" w:cs="Times New Roman"/>
              </w:rPr>
            </w:pPr>
          </w:p>
        </w:tc>
      </w:tr>
      <w:tr w:rsidR="00BF09F5" w14:paraId="4C4EFC1C" w14:textId="77777777" w:rsidTr="008B0CB4">
        <w:tc>
          <w:tcPr>
            <w:tcW w:w="2245" w:type="dxa"/>
            <w:tcBorders>
              <w:top w:val="nil"/>
              <w:left w:val="nil"/>
              <w:right w:val="nil"/>
            </w:tcBorders>
            <w:vAlign w:val="center"/>
          </w:tcPr>
          <w:p w14:paraId="32D31BDF"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Forecast Dispersion</w:t>
            </w:r>
          </w:p>
          <w:p w14:paraId="67E10829"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(FCDP)</w:t>
            </w:r>
          </w:p>
        </w:tc>
        <w:tc>
          <w:tcPr>
            <w:tcW w:w="5093" w:type="dxa"/>
            <w:tcBorders>
              <w:top w:val="nil"/>
              <w:left w:val="nil"/>
              <w:right w:val="nil"/>
            </w:tcBorders>
            <w:vAlign w:val="center"/>
          </w:tcPr>
          <w:p w14:paraId="4A7FBE55" w14:textId="77777777" w:rsidR="00B70E0E" w:rsidRDefault="00B70E0E" w:rsidP="00B70E0E">
            <w:pPr>
              <w:keepNext/>
              <w:tabs>
                <w:tab w:val="left" w:pos="567"/>
              </w:tabs>
              <w:jc w:val="center"/>
              <w:rPr>
                <w:rFonts w:ascii="Times New Roman" w:hAnsi="Times New Roman" w:cs="Times New Roman"/>
              </w:rPr>
            </w:pPr>
          </w:p>
          <w:p w14:paraId="4CB87D9D" w14:textId="71B1BBD5" w:rsid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 xml:space="preserve">The standard deviation of the most recent analyst earnings forecasts for the fiscal year divided by the consensus (median) forecast </w:t>
            </w:r>
          </w:p>
          <w:p w14:paraId="5115FBD3" w14:textId="77777777" w:rsidR="00BF09F5"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(Krishnaswami and Subramaniam, 1999)</w:t>
            </w:r>
          </w:p>
          <w:p w14:paraId="3F02F80B" w14:textId="21B5A8B5" w:rsidR="00B70E0E" w:rsidRPr="00B70E0E" w:rsidRDefault="00B70E0E" w:rsidP="00B70E0E">
            <w:pPr>
              <w:keepNext/>
              <w:tabs>
                <w:tab w:val="left" w:pos="567"/>
              </w:tabs>
              <w:jc w:val="center"/>
              <w:rPr>
                <w:rFonts w:ascii="Times New Roman" w:hAnsi="Times New Roman" w:cs="Times New Roman"/>
                <w:sz w:val="6"/>
                <w:szCs w:val="6"/>
              </w:rPr>
            </w:pPr>
          </w:p>
        </w:tc>
        <w:tc>
          <w:tcPr>
            <w:tcW w:w="2012" w:type="dxa"/>
            <w:tcBorders>
              <w:top w:val="nil"/>
              <w:left w:val="nil"/>
              <w:right w:val="nil"/>
            </w:tcBorders>
            <w:vAlign w:val="center"/>
          </w:tcPr>
          <w:p w14:paraId="6FF28E18"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High IU</w:t>
            </w:r>
          </w:p>
          <w:p w14:paraId="47420F3A" w14:textId="77777777" w:rsidR="00BF09F5" w:rsidRPr="00B70E0E" w:rsidRDefault="00BF09F5" w:rsidP="00B70E0E">
            <w:pPr>
              <w:keepNext/>
              <w:tabs>
                <w:tab w:val="left" w:pos="567"/>
              </w:tabs>
              <w:jc w:val="center"/>
              <w:rPr>
                <w:rFonts w:ascii="Times New Roman" w:hAnsi="Times New Roman" w:cs="Times New Roman"/>
              </w:rPr>
            </w:pPr>
            <w:r w:rsidRPr="00B70E0E">
              <w:rPr>
                <w:rFonts w:ascii="Times New Roman" w:hAnsi="Times New Roman" w:cs="Times New Roman"/>
              </w:rPr>
              <w:t>(+)</w:t>
            </w:r>
          </w:p>
        </w:tc>
      </w:tr>
    </w:tbl>
    <w:p w14:paraId="72CC7C42" w14:textId="77777777" w:rsidR="00BF09F5" w:rsidRDefault="00BF09F5" w:rsidP="008F42C0">
      <w:pPr>
        <w:tabs>
          <w:tab w:val="left" w:pos="567"/>
        </w:tabs>
        <w:spacing w:after="0" w:line="288" w:lineRule="auto"/>
        <w:jc w:val="both"/>
        <w:rPr>
          <w:rFonts w:ascii="Times New Roman" w:hAnsi="Times New Roman" w:cs="Times New Roman"/>
          <w:sz w:val="24"/>
          <w:szCs w:val="24"/>
        </w:rPr>
      </w:pPr>
    </w:p>
    <w:p w14:paraId="491E4DF2" w14:textId="4E6ABDA3" w:rsidR="00AE2400" w:rsidRPr="00BA14B0" w:rsidRDefault="00465EFE" w:rsidP="00BA14B0">
      <w:p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3.3.</w:t>
      </w:r>
      <w:r w:rsidR="00573D1E">
        <w:rPr>
          <w:rFonts w:ascii="Times New Roman" w:hAnsi="Times New Roman" w:cs="Times New Roman"/>
          <w:b/>
          <w:bCs/>
          <w:sz w:val="24"/>
          <w:szCs w:val="24"/>
        </w:rPr>
        <w:t xml:space="preserve"> </w:t>
      </w:r>
      <w:bookmarkStart w:id="5" w:name="_Toc475170436"/>
      <w:r w:rsidR="00AE2400" w:rsidRPr="00BA14B0">
        <w:rPr>
          <w:rFonts w:ascii="Times New Roman" w:hAnsi="Times New Roman" w:cs="Times New Roman"/>
          <w:b/>
          <w:bCs/>
          <w:sz w:val="24"/>
          <w:szCs w:val="24"/>
        </w:rPr>
        <w:t xml:space="preserve">Main </w:t>
      </w:r>
      <w:r w:rsidR="00DF6C6A" w:rsidRPr="00BA14B0">
        <w:rPr>
          <w:rFonts w:ascii="Times New Roman" w:hAnsi="Times New Roman" w:cs="Times New Roman"/>
          <w:b/>
          <w:bCs/>
          <w:sz w:val="24"/>
          <w:szCs w:val="24"/>
        </w:rPr>
        <w:t>M</w:t>
      </w:r>
      <w:r w:rsidR="00AE2400" w:rsidRPr="00BA14B0">
        <w:rPr>
          <w:rFonts w:ascii="Times New Roman" w:hAnsi="Times New Roman" w:cs="Times New Roman"/>
          <w:b/>
          <w:bCs/>
          <w:sz w:val="24"/>
          <w:szCs w:val="24"/>
        </w:rPr>
        <w:t>odels</w:t>
      </w:r>
      <w:bookmarkEnd w:id="5"/>
    </w:p>
    <w:p w14:paraId="5CA97B8A" w14:textId="77777777" w:rsidR="00DF6C6A" w:rsidRPr="00DF6C6A" w:rsidRDefault="00DF6C6A" w:rsidP="008F42C0">
      <w:pPr>
        <w:keepNext/>
        <w:tabs>
          <w:tab w:val="left" w:pos="567"/>
        </w:tabs>
        <w:spacing w:after="0" w:line="288" w:lineRule="auto"/>
        <w:jc w:val="both"/>
        <w:rPr>
          <w:rFonts w:ascii="Times New Roman" w:hAnsi="Times New Roman" w:cs="Times New Roman"/>
          <w:sz w:val="8"/>
          <w:szCs w:val="8"/>
        </w:rPr>
      </w:pPr>
    </w:p>
    <w:p w14:paraId="2AA10A18" w14:textId="5F265576" w:rsidR="008B5BF6" w:rsidRDefault="00626CBF"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We begin our analysis by examining the nature and significance of the</w:t>
      </w:r>
      <w:r w:rsidR="00FD0D23">
        <w:rPr>
          <w:rFonts w:ascii="Times New Roman" w:hAnsi="Times New Roman" w:cs="Times New Roman"/>
          <w:sz w:val="24"/>
          <w:szCs w:val="24"/>
        </w:rPr>
        <w:t xml:space="preserve"> initial</w:t>
      </w:r>
      <w:r>
        <w:rPr>
          <w:rFonts w:ascii="Times New Roman" w:hAnsi="Times New Roman" w:cs="Times New Roman"/>
          <w:sz w:val="24"/>
          <w:szCs w:val="24"/>
        </w:rPr>
        <w:t xml:space="preserve"> reaction to earnings announcements using </w:t>
      </w:r>
      <w:r>
        <w:rPr>
          <w:rFonts w:ascii="Times New Roman" w:hAnsi="Times New Roman" w:cs="Times New Roman"/>
          <w:i/>
          <w:iCs/>
          <w:sz w:val="24"/>
          <w:szCs w:val="24"/>
        </w:rPr>
        <w:t>M</w:t>
      </w:r>
      <w:r w:rsidRPr="00626CBF">
        <w:rPr>
          <w:rFonts w:ascii="Times New Roman" w:hAnsi="Times New Roman" w:cs="Times New Roman"/>
          <w:i/>
          <w:iCs/>
          <w:sz w:val="24"/>
          <w:szCs w:val="24"/>
        </w:rPr>
        <w:t>odel 1</w:t>
      </w:r>
      <w:r w:rsidR="00FD0D23">
        <w:rPr>
          <w:rFonts w:ascii="Times New Roman" w:hAnsi="Times New Roman" w:cs="Times New Roman"/>
          <w:i/>
          <w:iCs/>
          <w:sz w:val="24"/>
          <w:szCs w:val="24"/>
        </w:rPr>
        <w:t>a</w:t>
      </w:r>
      <w:r>
        <w:rPr>
          <w:rFonts w:ascii="Times New Roman" w:hAnsi="Times New Roman" w:cs="Times New Roman"/>
          <w:sz w:val="24"/>
          <w:szCs w:val="24"/>
        </w:rPr>
        <w:t xml:space="preserve">. We also run </w:t>
      </w:r>
      <w:r w:rsidRPr="00626CBF">
        <w:rPr>
          <w:rFonts w:ascii="Times New Roman" w:hAnsi="Times New Roman" w:cs="Times New Roman"/>
          <w:i/>
          <w:iCs/>
          <w:sz w:val="24"/>
          <w:szCs w:val="24"/>
        </w:rPr>
        <w:t xml:space="preserve">Model </w:t>
      </w:r>
      <w:r w:rsidR="00FD0D23">
        <w:rPr>
          <w:rFonts w:ascii="Times New Roman" w:hAnsi="Times New Roman" w:cs="Times New Roman"/>
          <w:i/>
          <w:iCs/>
          <w:sz w:val="24"/>
          <w:szCs w:val="24"/>
        </w:rPr>
        <w:t>1b</w:t>
      </w:r>
      <w:r>
        <w:rPr>
          <w:rFonts w:ascii="Times New Roman" w:hAnsi="Times New Roman" w:cs="Times New Roman"/>
          <w:sz w:val="24"/>
          <w:szCs w:val="24"/>
        </w:rPr>
        <w:t xml:space="preserve"> to test whether </w:t>
      </w:r>
      <w:r w:rsidR="00C07C68">
        <w:rPr>
          <w:rFonts w:ascii="Times New Roman" w:hAnsi="Times New Roman" w:cs="Times New Roman"/>
          <w:sz w:val="24"/>
          <w:szCs w:val="24"/>
        </w:rPr>
        <w:t xml:space="preserve">there </w:t>
      </w:r>
      <w:r w:rsidR="00A217BF">
        <w:rPr>
          <w:rFonts w:ascii="Times New Roman" w:hAnsi="Times New Roman" w:cs="Times New Roman"/>
          <w:sz w:val="24"/>
          <w:szCs w:val="24"/>
        </w:rPr>
        <w:t xml:space="preserve">is </w:t>
      </w:r>
      <w:r>
        <w:rPr>
          <w:rFonts w:ascii="Times New Roman" w:hAnsi="Times New Roman" w:cs="Times New Roman"/>
          <w:sz w:val="24"/>
          <w:szCs w:val="24"/>
        </w:rPr>
        <w:t>a post-earnings announcement drift in our sample.</w:t>
      </w:r>
      <w:r w:rsidR="00217342">
        <w:rPr>
          <w:rFonts w:ascii="Times New Roman" w:hAnsi="Times New Roman" w:cs="Times New Roman"/>
          <w:sz w:val="24"/>
          <w:szCs w:val="24"/>
        </w:rPr>
        <w:t xml:space="preserve"> Following Conrad et al. (2002), Choi (2014), Williams (2015) and others, we specify our models as follows</w:t>
      </w:r>
      <w:r w:rsidR="00FD0D23">
        <w:rPr>
          <w:rFonts w:ascii="Times New Roman" w:hAnsi="Times New Roman" w:cs="Times New Roman"/>
          <w:sz w:val="24"/>
          <w:szCs w:val="24"/>
        </w:rPr>
        <w:t>:</w:t>
      </w:r>
    </w:p>
    <w:p w14:paraId="2D2C4E62" w14:textId="77777777" w:rsidR="005E5667" w:rsidRDefault="005E5667" w:rsidP="008F42C0">
      <w:pPr>
        <w:keepNext/>
        <w:tabs>
          <w:tab w:val="left" w:pos="567"/>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FD0D23" w:rsidRPr="00B70E0E" w14:paraId="2E715BE8" w14:textId="77777777" w:rsidTr="00FD0D23">
        <w:trPr>
          <w:cantSplit/>
          <w:trHeight w:val="440"/>
        </w:trPr>
        <w:tc>
          <w:tcPr>
            <w:tcW w:w="8725" w:type="dxa"/>
            <w:vAlign w:val="center"/>
          </w:tcPr>
          <w:p w14:paraId="2E9EFFE3" w14:textId="029BE81E" w:rsidR="00FD0D23" w:rsidRPr="00B70E0E" w:rsidRDefault="00FD0D23" w:rsidP="008F42C0">
            <w:pPr>
              <w:tabs>
                <w:tab w:val="left" w:pos="567"/>
              </w:tabs>
              <w:spacing w:line="288" w:lineRule="auto"/>
              <w:jc w:val="center"/>
              <w:rPr>
                <w:rFonts w:ascii="Times New Roman" w:hAnsi="Times New Roman" w:cs="Times New Roman"/>
                <w:i/>
                <w:iCs/>
              </w:rPr>
            </w:pPr>
            <w:r w:rsidRPr="00B70E0E">
              <w:rPr>
                <w:rFonts w:ascii="Times New Roman" w:hAnsi="Times New Roman" w:cs="Times New Roman"/>
                <w:i/>
                <w:iCs/>
              </w:rPr>
              <w:t>CAR(0,1)</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0</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1</w:t>
            </w:r>
            <w:r w:rsidRPr="00B70E0E">
              <w:rPr>
                <w:rFonts w:ascii="Times New Roman" w:hAnsi="Times New Roman" w:cs="Times New Roman"/>
                <w:i/>
                <w:iCs/>
              </w:rPr>
              <w:t xml:space="preserve"> NUE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2</w:t>
            </w:r>
            <w:r w:rsidRPr="00B70E0E">
              <w:rPr>
                <w:rFonts w:ascii="Times New Roman" w:hAnsi="Times New Roman" w:cs="Times New Roman"/>
                <w:i/>
                <w:iCs/>
              </w:rPr>
              <w:t xml:space="preserve"> PUE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Control Variables (SIZE</w:t>
            </w:r>
            <w:r w:rsidRPr="00B70E0E">
              <w:rPr>
                <w:rFonts w:ascii="Times New Roman" w:hAnsi="Times New Roman" w:cs="Times New Roman"/>
                <w:i/>
                <w:iCs/>
                <w:vertAlign w:val="subscript"/>
              </w:rPr>
              <w:t>i,t</w:t>
            </w:r>
            <w:r w:rsidR="00FA32E0" w:rsidRPr="00B70E0E">
              <w:rPr>
                <w:rFonts w:ascii="Times New Roman" w:hAnsi="Times New Roman" w:cs="Times New Roman"/>
                <w:i/>
                <w:iCs/>
                <w:vertAlign w:val="subscript"/>
              </w:rPr>
              <w:t xml:space="preserve"> </w:t>
            </w:r>
            <w:r w:rsidRPr="00B70E0E">
              <w:rPr>
                <w:rFonts w:ascii="Times New Roman" w:hAnsi="Times New Roman" w:cs="Times New Roman"/>
                <w:i/>
                <w:iCs/>
              </w:rPr>
              <w:t>/</w:t>
            </w:r>
            <w:r w:rsidR="00FA32E0" w:rsidRPr="00B70E0E">
              <w:rPr>
                <w:rFonts w:ascii="Times New Roman" w:hAnsi="Times New Roman" w:cs="Times New Roman"/>
                <w:i/>
                <w:iCs/>
              </w:rPr>
              <w:t xml:space="preserve"> </w:t>
            </w:r>
            <w:r w:rsidRPr="00B70E0E">
              <w:rPr>
                <w:rFonts w:ascii="Times New Roman" w:hAnsi="Times New Roman" w:cs="Times New Roman"/>
                <w:i/>
                <w:iCs/>
              </w:rPr>
              <w:t>BTMV</w:t>
            </w:r>
            <w:r w:rsidRPr="00B70E0E">
              <w:rPr>
                <w:rFonts w:ascii="Times New Roman" w:hAnsi="Times New Roman" w:cs="Times New Roman"/>
                <w:i/>
                <w:iCs/>
                <w:vertAlign w:val="subscript"/>
              </w:rPr>
              <w:t>i,t</w:t>
            </w:r>
            <w:r w:rsidR="00FA32E0" w:rsidRPr="00B70E0E">
              <w:rPr>
                <w:rFonts w:ascii="Times New Roman" w:hAnsi="Times New Roman" w:cs="Times New Roman"/>
                <w:i/>
                <w:iCs/>
                <w:vertAlign w:val="subscript"/>
              </w:rPr>
              <w:t xml:space="preserve"> </w:t>
            </w:r>
            <w:r w:rsidR="003B67ED" w:rsidRPr="00B70E0E">
              <w:rPr>
                <w:rFonts w:ascii="Times New Roman" w:hAnsi="Times New Roman" w:cs="Times New Roman"/>
                <w:i/>
                <w:iCs/>
              </w:rPr>
              <w:t>/</w:t>
            </w:r>
            <w:r w:rsidR="00FA32E0" w:rsidRPr="00B70E0E">
              <w:rPr>
                <w:rFonts w:ascii="Times New Roman" w:hAnsi="Times New Roman" w:cs="Times New Roman"/>
                <w:i/>
                <w:iCs/>
              </w:rPr>
              <w:t xml:space="preserve"> </w:t>
            </w:r>
            <w:r w:rsidR="00076D71" w:rsidRPr="00B70E0E">
              <w:rPr>
                <w:rFonts w:ascii="Times New Roman" w:hAnsi="Times New Roman" w:cs="Times New Roman"/>
                <w:i/>
                <w:iCs/>
              </w:rPr>
              <w:t>RLAG</w:t>
            </w:r>
            <w:r w:rsidR="003B67ED" w:rsidRPr="00B70E0E">
              <w:rPr>
                <w:rFonts w:ascii="Times New Roman" w:hAnsi="Times New Roman" w:cs="Times New Roman"/>
                <w:i/>
                <w:iCs/>
                <w:vertAlign w:val="subscript"/>
              </w:rPr>
              <w:t>i,t</w:t>
            </w:r>
            <w:r w:rsidR="00FA32E0" w:rsidRPr="00B70E0E">
              <w:rPr>
                <w:rFonts w:ascii="Times New Roman" w:hAnsi="Times New Roman" w:cs="Times New Roman"/>
                <w:i/>
                <w:iCs/>
                <w:vertAlign w:val="subscript"/>
              </w:rPr>
              <w:t xml:space="preserve"> </w:t>
            </w:r>
            <w:r w:rsidR="00FA32E0" w:rsidRPr="00B70E0E">
              <w:rPr>
                <w:rFonts w:ascii="Times New Roman" w:hAnsi="Times New Roman" w:cs="Times New Roman"/>
                <w:i/>
                <w:iCs/>
              </w:rPr>
              <w:t>/ FORC</w:t>
            </w:r>
            <w:r w:rsidR="00FA32E0" w:rsidRPr="00B70E0E">
              <w:rPr>
                <w:rFonts w:ascii="Times New Roman" w:hAnsi="Times New Roman" w:cs="Times New Roman"/>
                <w:i/>
                <w:iCs/>
                <w:vertAlign w:val="subscript"/>
              </w:rPr>
              <w:t>i,t</w:t>
            </w:r>
            <w:r w:rsidR="003B67ED" w:rsidRPr="00B70E0E">
              <w:rPr>
                <w:rFonts w:ascii="Times New Roman" w:hAnsi="Times New Roman" w:cs="Times New Roman"/>
                <w:i/>
                <w:iCs/>
              </w:rPr>
              <w:t>)</w:t>
            </w:r>
            <w:r w:rsidRPr="00B70E0E">
              <w:rPr>
                <w:rFonts w:ascii="Times New Roman" w:hAnsi="Times New Roman" w:cs="Times New Roman"/>
                <w:i/>
                <w:iCs/>
              </w:rPr>
              <w:t xml:space="preserve"> + Year dummies </w:t>
            </w:r>
            <w:r w:rsidRPr="00B70E0E">
              <w:rPr>
                <w:rFonts w:ascii="Times New Roman" w:hAnsi="Times New Roman" w:cs="Times New Roman"/>
              </w:rPr>
              <w:t>+</w:t>
            </w:r>
            <w:r w:rsidRPr="00B70E0E">
              <w:rPr>
                <w:rFonts w:ascii="Times New Roman" w:hAnsi="Times New Roman" w:cs="Times New Roman"/>
                <w:i/>
                <w:iCs/>
              </w:rPr>
              <w:t xml:space="preserve"> Industry Dummies + ε</w:t>
            </w:r>
            <w:r w:rsidRPr="00B70E0E">
              <w:rPr>
                <w:rFonts w:ascii="Times New Roman" w:hAnsi="Times New Roman" w:cs="Times New Roman"/>
                <w:i/>
                <w:iCs/>
                <w:vertAlign w:val="subscript"/>
              </w:rPr>
              <w:t>i</w:t>
            </w:r>
          </w:p>
        </w:tc>
        <w:tc>
          <w:tcPr>
            <w:tcW w:w="625" w:type="dxa"/>
            <w:vAlign w:val="center"/>
          </w:tcPr>
          <w:p w14:paraId="24CB831B" w14:textId="77777777" w:rsidR="00FD0D23" w:rsidRPr="00B70E0E" w:rsidRDefault="00FD0D23" w:rsidP="008F42C0">
            <w:pPr>
              <w:tabs>
                <w:tab w:val="left" w:pos="567"/>
              </w:tabs>
              <w:spacing w:line="288" w:lineRule="auto"/>
              <w:jc w:val="right"/>
              <w:rPr>
                <w:rFonts w:ascii="Times New Roman" w:hAnsi="Times New Roman" w:cs="Times New Roman"/>
              </w:rPr>
            </w:pPr>
            <w:r w:rsidRPr="00B70E0E">
              <w:rPr>
                <w:rFonts w:ascii="Times New Roman" w:hAnsi="Times New Roman" w:cs="Times New Roman"/>
              </w:rPr>
              <w:t>(1a)</w:t>
            </w:r>
          </w:p>
        </w:tc>
      </w:tr>
    </w:tbl>
    <w:p w14:paraId="4DDF967E" w14:textId="77777777" w:rsidR="00FD0D23" w:rsidRPr="008B0CB4" w:rsidRDefault="00FD0D23" w:rsidP="008F42C0">
      <w:pPr>
        <w:tabs>
          <w:tab w:val="left" w:pos="567"/>
        </w:tabs>
        <w:spacing w:after="0" w:line="288" w:lineRule="auto"/>
        <w:jc w:val="both"/>
        <w:rPr>
          <w:rFonts w:ascii="Times New Roman" w:hAnsi="Times New Roman" w:cs="Times New Roman"/>
          <w:sz w:val="10"/>
          <w:szCs w:val="1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FD0D23" w:rsidRPr="00B70E0E" w14:paraId="7C3A0C91" w14:textId="77777777" w:rsidTr="00FD0D23">
        <w:trPr>
          <w:cantSplit/>
          <w:trHeight w:val="1025"/>
        </w:trPr>
        <w:tc>
          <w:tcPr>
            <w:tcW w:w="8725" w:type="dxa"/>
            <w:vAlign w:val="center"/>
          </w:tcPr>
          <w:p w14:paraId="4B53723C" w14:textId="748F7B40" w:rsidR="00FD0D23" w:rsidRPr="00B70E0E" w:rsidRDefault="00FD0D23" w:rsidP="008F42C0">
            <w:pPr>
              <w:tabs>
                <w:tab w:val="left" w:pos="567"/>
              </w:tabs>
              <w:spacing w:line="288" w:lineRule="auto"/>
              <w:jc w:val="center"/>
              <w:rPr>
                <w:rFonts w:ascii="Times New Roman" w:hAnsi="Times New Roman" w:cs="Times New Roman"/>
                <w:i/>
                <w:iCs/>
              </w:rPr>
            </w:pPr>
            <w:proofErr w:type="gramStart"/>
            <w:r w:rsidRPr="00B70E0E">
              <w:rPr>
                <w:rFonts w:ascii="Times New Roman" w:hAnsi="Times New Roman" w:cs="Times New Roman"/>
                <w:i/>
                <w:iCs/>
              </w:rPr>
              <w:t>CAR(</w:t>
            </w:r>
            <w:proofErr w:type="gramEnd"/>
            <w:r w:rsidRPr="00B70E0E">
              <w:rPr>
                <w:rFonts w:ascii="Times New Roman" w:hAnsi="Times New Roman" w:cs="Times New Roman"/>
                <w:i/>
                <w:iCs/>
              </w:rPr>
              <w:t>2,60)</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0</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1</w:t>
            </w:r>
            <w:r w:rsidRPr="00B70E0E">
              <w:rPr>
                <w:rFonts w:ascii="Times New Roman" w:hAnsi="Times New Roman" w:cs="Times New Roman"/>
                <w:i/>
                <w:iCs/>
              </w:rPr>
              <w:t xml:space="preserve"> NUE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2</w:t>
            </w:r>
            <w:r w:rsidRPr="00B70E0E">
              <w:rPr>
                <w:rFonts w:ascii="Times New Roman" w:hAnsi="Times New Roman" w:cs="Times New Roman"/>
                <w:i/>
                <w:iCs/>
              </w:rPr>
              <w:t xml:space="preserve"> PUE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w:t>
            </w:r>
            <w:r w:rsidR="003F2740" w:rsidRPr="00B70E0E">
              <w:rPr>
                <w:rFonts w:ascii="Times New Roman" w:hAnsi="Times New Roman" w:cs="Times New Roman"/>
                <w:i/>
                <w:iCs/>
              </w:rPr>
              <w:t>Control Variables (SIZE</w:t>
            </w:r>
            <w:r w:rsidR="003F2740" w:rsidRPr="00B70E0E">
              <w:rPr>
                <w:rFonts w:ascii="Times New Roman" w:hAnsi="Times New Roman" w:cs="Times New Roman"/>
                <w:i/>
                <w:iCs/>
                <w:vertAlign w:val="subscript"/>
              </w:rPr>
              <w:t xml:space="preserve">i,t </w:t>
            </w:r>
            <w:r w:rsidR="003F2740" w:rsidRPr="00B70E0E">
              <w:rPr>
                <w:rFonts w:ascii="Times New Roman" w:hAnsi="Times New Roman" w:cs="Times New Roman"/>
                <w:i/>
                <w:iCs/>
              </w:rPr>
              <w:t>/ BTMV</w:t>
            </w:r>
            <w:r w:rsidR="003F2740" w:rsidRPr="00B70E0E">
              <w:rPr>
                <w:rFonts w:ascii="Times New Roman" w:hAnsi="Times New Roman" w:cs="Times New Roman"/>
                <w:i/>
                <w:iCs/>
                <w:vertAlign w:val="subscript"/>
              </w:rPr>
              <w:t xml:space="preserve">i,t </w:t>
            </w:r>
            <w:r w:rsidR="003F2740" w:rsidRPr="00B70E0E">
              <w:rPr>
                <w:rFonts w:ascii="Times New Roman" w:hAnsi="Times New Roman" w:cs="Times New Roman"/>
                <w:i/>
                <w:iCs/>
              </w:rPr>
              <w:t>/ RLAG</w:t>
            </w:r>
            <w:r w:rsidR="003F2740" w:rsidRPr="00B70E0E">
              <w:rPr>
                <w:rFonts w:ascii="Times New Roman" w:hAnsi="Times New Roman" w:cs="Times New Roman"/>
                <w:i/>
                <w:iCs/>
                <w:vertAlign w:val="subscript"/>
              </w:rPr>
              <w:t xml:space="preserve">i,t </w:t>
            </w:r>
            <w:r w:rsidR="003F2740" w:rsidRPr="00B70E0E">
              <w:rPr>
                <w:rFonts w:ascii="Times New Roman" w:hAnsi="Times New Roman" w:cs="Times New Roman"/>
                <w:i/>
                <w:iCs/>
              </w:rPr>
              <w:t>/ FORC</w:t>
            </w:r>
            <w:r w:rsidR="003F2740" w:rsidRPr="00B70E0E">
              <w:rPr>
                <w:rFonts w:ascii="Times New Roman" w:hAnsi="Times New Roman" w:cs="Times New Roman"/>
                <w:i/>
                <w:iCs/>
                <w:vertAlign w:val="subscript"/>
              </w:rPr>
              <w:t>i,t</w:t>
            </w:r>
            <w:r w:rsidR="003F2740" w:rsidRPr="00B70E0E">
              <w:rPr>
                <w:rFonts w:ascii="Times New Roman" w:hAnsi="Times New Roman" w:cs="Times New Roman"/>
                <w:i/>
                <w:iCs/>
              </w:rPr>
              <w:t>)</w:t>
            </w:r>
            <w:r w:rsidRPr="00B70E0E">
              <w:rPr>
                <w:rFonts w:ascii="Times New Roman" w:hAnsi="Times New Roman" w:cs="Times New Roman"/>
                <w:i/>
                <w:iCs/>
              </w:rPr>
              <w:t xml:space="preserve"> + Year dummies </w:t>
            </w:r>
            <w:r w:rsidRPr="00B70E0E">
              <w:rPr>
                <w:rFonts w:ascii="Times New Roman" w:hAnsi="Times New Roman" w:cs="Times New Roman"/>
              </w:rPr>
              <w:t>+</w:t>
            </w:r>
            <w:r w:rsidRPr="00B70E0E">
              <w:rPr>
                <w:rFonts w:ascii="Times New Roman" w:hAnsi="Times New Roman" w:cs="Times New Roman"/>
                <w:i/>
                <w:iCs/>
              </w:rPr>
              <w:t xml:space="preserve"> Industry Dummies + ε</w:t>
            </w:r>
            <w:r w:rsidRPr="00B70E0E">
              <w:rPr>
                <w:rFonts w:ascii="Times New Roman" w:hAnsi="Times New Roman" w:cs="Times New Roman"/>
                <w:i/>
                <w:iCs/>
                <w:vertAlign w:val="subscript"/>
              </w:rPr>
              <w:t>i</w:t>
            </w:r>
          </w:p>
        </w:tc>
        <w:tc>
          <w:tcPr>
            <w:tcW w:w="625" w:type="dxa"/>
            <w:vAlign w:val="center"/>
          </w:tcPr>
          <w:p w14:paraId="5B5237F8" w14:textId="77777777" w:rsidR="00FD0D23" w:rsidRPr="00B70E0E" w:rsidRDefault="00FD0D23" w:rsidP="008F42C0">
            <w:pPr>
              <w:tabs>
                <w:tab w:val="left" w:pos="567"/>
              </w:tabs>
              <w:spacing w:line="288" w:lineRule="auto"/>
              <w:jc w:val="right"/>
              <w:rPr>
                <w:rFonts w:ascii="Times New Roman" w:hAnsi="Times New Roman" w:cs="Times New Roman"/>
              </w:rPr>
            </w:pPr>
            <w:r w:rsidRPr="00B70E0E">
              <w:rPr>
                <w:rFonts w:ascii="Times New Roman" w:hAnsi="Times New Roman" w:cs="Times New Roman"/>
              </w:rPr>
              <w:t>(1</w:t>
            </w:r>
            <w:r w:rsidR="00AF6824" w:rsidRPr="00B70E0E">
              <w:rPr>
                <w:rFonts w:ascii="Times New Roman" w:hAnsi="Times New Roman" w:cs="Times New Roman"/>
              </w:rPr>
              <w:t>b</w:t>
            </w:r>
            <w:r w:rsidRPr="00B70E0E">
              <w:rPr>
                <w:rFonts w:ascii="Times New Roman" w:hAnsi="Times New Roman" w:cs="Times New Roman"/>
              </w:rPr>
              <w:t>)</w:t>
            </w:r>
          </w:p>
        </w:tc>
      </w:tr>
    </w:tbl>
    <w:p w14:paraId="0BF1B8E6" w14:textId="77838AFC" w:rsidR="00A13E83" w:rsidRDefault="005E566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E15732" w:rsidRPr="00E15732">
        <w:rPr>
          <w:rFonts w:ascii="Times New Roman" w:hAnsi="Times New Roman" w:cs="Times New Roman"/>
          <w:sz w:val="24"/>
          <w:szCs w:val="24"/>
        </w:rPr>
        <w:t>here</w:t>
      </w:r>
      <w:r w:rsidR="00E15732">
        <w:rPr>
          <w:rFonts w:ascii="Times New Roman" w:hAnsi="Times New Roman" w:cs="Times New Roman"/>
          <w:i/>
          <w:iCs/>
          <w:sz w:val="24"/>
          <w:szCs w:val="24"/>
        </w:rPr>
        <w:t xml:space="preserve"> </w:t>
      </w:r>
      <w:r w:rsidR="00E15732" w:rsidRPr="00A7307A">
        <w:rPr>
          <w:rFonts w:ascii="Times New Roman" w:hAnsi="Times New Roman" w:cs="Times New Roman"/>
          <w:i/>
          <w:iCs/>
          <w:sz w:val="24"/>
          <w:szCs w:val="24"/>
        </w:rPr>
        <w:t>NUE</w:t>
      </w:r>
      <w:r w:rsidR="00E15732" w:rsidRPr="00A7307A">
        <w:rPr>
          <w:rFonts w:ascii="Times New Roman" w:hAnsi="Times New Roman" w:cs="Times New Roman"/>
          <w:i/>
          <w:iCs/>
          <w:sz w:val="24"/>
          <w:szCs w:val="24"/>
          <w:vertAlign w:val="subscript"/>
        </w:rPr>
        <w:t>i,t</w:t>
      </w:r>
      <w:r w:rsidR="00E15732" w:rsidRPr="00A7307A">
        <w:rPr>
          <w:rFonts w:ascii="Times New Roman" w:hAnsi="Times New Roman" w:cs="Times New Roman"/>
          <w:i/>
          <w:iCs/>
          <w:sz w:val="24"/>
          <w:szCs w:val="24"/>
        </w:rPr>
        <w:t xml:space="preserve"> </w:t>
      </w:r>
      <w:r w:rsidR="00E15732" w:rsidRPr="00A7307A">
        <w:rPr>
          <w:rFonts w:ascii="Times New Roman" w:hAnsi="Times New Roman" w:cs="Times New Roman"/>
          <w:sz w:val="24"/>
          <w:szCs w:val="24"/>
        </w:rPr>
        <w:t>(</w:t>
      </w:r>
      <w:r w:rsidR="00E15732" w:rsidRPr="00A7307A">
        <w:rPr>
          <w:rFonts w:ascii="Times New Roman" w:hAnsi="Times New Roman" w:cs="Times New Roman"/>
          <w:i/>
          <w:iCs/>
          <w:sz w:val="24"/>
          <w:szCs w:val="24"/>
        </w:rPr>
        <w:t>PUE</w:t>
      </w:r>
      <w:r w:rsidR="00E15732" w:rsidRPr="00A7307A">
        <w:rPr>
          <w:rFonts w:ascii="Times New Roman" w:hAnsi="Times New Roman" w:cs="Times New Roman"/>
          <w:i/>
          <w:iCs/>
          <w:sz w:val="24"/>
          <w:szCs w:val="24"/>
          <w:vertAlign w:val="subscript"/>
        </w:rPr>
        <w:t>i,t</w:t>
      </w:r>
      <w:r w:rsidR="00E15732" w:rsidRPr="00A7307A">
        <w:rPr>
          <w:rFonts w:ascii="Times New Roman" w:hAnsi="Times New Roman" w:cs="Times New Roman"/>
          <w:sz w:val="24"/>
          <w:szCs w:val="24"/>
        </w:rPr>
        <w:t>)</w:t>
      </w:r>
      <w:r w:rsidR="00E15732">
        <w:rPr>
          <w:rFonts w:ascii="Times New Roman" w:hAnsi="Times New Roman" w:cs="Times New Roman"/>
          <w:sz w:val="24"/>
          <w:szCs w:val="24"/>
        </w:rPr>
        <w:t xml:space="preserve"> is the negative (positive) UE measure which takes the value of</w:t>
      </w:r>
      <w:r w:rsidR="004E05D7">
        <w:rPr>
          <w:rFonts w:ascii="Times New Roman" w:hAnsi="Times New Roman" w:cs="Times New Roman"/>
          <w:sz w:val="24"/>
          <w:szCs w:val="24"/>
        </w:rPr>
        <w:t xml:space="preserve"> </w:t>
      </w:r>
      <w:r w:rsidR="00E15732">
        <w:rPr>
          <w:rFonts w:ascii="Times New Roman" w:hAnsi="Times New Roman" w:cs="Times New Roman"/>
          <w:sz w:val="24"/>
          <w:szCs w:val="24"/>
        </w:rPr>
        <w:t>SUE when it is negative (positive) or 0 otherwise.</w:t>
      </w:r>
      <w:r w:rsidR="00FD0D23">
        <w:rPr>
          <w:rFonts w:ascii="Times New Roman" w:hAnsi="Times New Roman" w:cs="Times New Roman"/>
          <w:sz w:val="24"/>
          <w:szCs w:val="24"/>
        </w:rPr>
        <w:t xml:space="preserve"> </w:t>
      </w:r>
      <w:r w:rsidR="00FD0D23">
        <w:rPr>
          <w:rFonts w:ascii="Times New Roman" w:hAnsi="Times New Roman" w:cs="Times New Roman"/>
          <w:i/>
          <w:iCs/>
          <w:sz w:val="24"/>
          <w:szCs w:val="24"/>
        </w:rPr>
        <w:t>CAR</w:t>
      </w:r>
      <w:r w:rsidR="00FD0D23" w:rsidRPr="003C1E59">
        <w:rPr>
          <w:rFonts w:ascii="Times New Roman" w:hAnsi="Times New Roman" w:cs="Times New Roman"/>
          <w:i/>
          <w:iCs/>
          <w:sz w:val="24"/>
          <w:szCs w:val="24"/>
          <w:vertAlign w:val="subscript"/>
        </w:rPr>
        <w:t>i</w:t>
      </w:r>
      <w:r w:rsidR="00FD0D23">
        <w:rPr>
          <w:rFonts w:ascii="Times New Roman" w:hAnsi="Times New Roman" w:cs="Times New Roman"/>
          <w:i/>
          <w:iCs/>
          <w:sz w:val="24"/>
          <w:szCs w:val="24"/>
          <w:vertAlign w:val="subscript"/>
        </w:rPr>
        <w:t>,t</w:t>
      </w:r>
      <w:r w:rsidR="00FD0D23" w:rsidRPr="003C1E59">
        <w:rPr>
          <w:rFonts w:ascii="Times New Roman" w:hAnsi="Times New Roman" w:cs="Times New Roman"/>
          <w:i/>
          <w:iCs/>
          <w:sz w:val="24"/>
          <w:szCs w:val="24"/>
        </w:rPr>
        <w:t xml:space="preserve"> </w:t>
      </w:r>
      <w:r w:rsidR="00FD0D23">
        <w:rPr>
          <w:rFonts w:ascii="Times New Roman" w:hAnsi="Times New Roman" w:cs="Times New Roman"/>
          <w:sz w:val="24"/>
          <w:szCs w:val="24"/>
        </w:rPr>
        <w:t xml:space="preserve">is the cumulative abnormal return calculated for the day of the announcement </w:t>
      </w:r>
      <w:r w:rsidR="006A0D19">
        <w:rPr>
          <w:rFonts w:ascii="Times New Roman" w:hAnsi="Times New Roman" w:cs="Times New Roman"/>
          <w:sz w:val="24"/>
          <w:szCs w:val="24"/>
        </w:rPr>
        <w:t xml:space="preserve">(T+0) </w:t>
      </w:r>
      <w:r w:rsidR="00FD0D23">
        <w:rPr>
          <w:rFonts w:ascii="Times New Roman" w:hAnsi="Times New Roman" w:cs="Times New Roman"/>
          <w:sz w:val="24"/>
          <w:szCs w:val="24"/>
        </w:rPr>
        <w:t xml:space="preserve">and the following day (T+1) for </w:t>
      </w:r>
      <w:r w:rsidR="00FD0D23" w:rsidRPr="00FD0D23">
        <w:rPr>
          <w:rFonts w:ascii="Times New Roman" w:hAnsi="Times New Roman" w:cs="Times New Roman"/>
          <w:i/>
          <w:iCs/>
          <w:sz w:val="24"/>
          <w:szCs w:val="24"/>
        </w:rPr>
        <w:t>Model 1a</w:t>
      </w:r>
      <w:r w:rsidR="00FD0D23">
        <w:rPr>
          <w:rFonts w:ascii="Times New Roman" w:hAnsi="Times New Roman" w:cs="Times New Roman"/>
          <w:sz w:val="24"/>
          <w:szCs w:val="24"/>
        </w:rPr>
        <w:t xml:space="preserve">, or the cumulative abnormal return calculated for the post-announcement period (T+2 to T+60) for </w:t>
      </w:r>
      <w:r w:rsidR="00FD0D23" w:rsidRPr="00FD0D23">
        <w:rPr>
          <w:rFonts w:ascii="Times New Roman" w:hAnsi="Times New Roman" w:cs="Times New Roman"/>
          <w:i/>
          <w:iCs/>
          <w:sz w:val="24"/>
          <w:szCs w:val="24"/>
        </w:rPr>
        <w:t>Model 1</w:t>
      </w:r>
      <w:r w:rsidR="00FD0D23">
        <w:rPr>
          <w:rFonts w:ascii="Times New Roman" w:hAnsi="Times New Roman" w:cs="Times New Roman"/>
          <w:i/>
          <w:iCs/>
          <w:sz w:val="24"/>
          <w:szCs w:val="24"/>
        </w:rPr>
        <w:t>b</w:t>
      </w:r>
      <w:r w:rsidR="000B7071">
        <w:rPr>
          <w:rStyle w:val="EndnoteReference"/>
          <w:rFonts w:ascii="Times New Roman" w:hAnsi="Times New Roman" w:cs="Times New Roman"/>
          <w:i/>
          <w:iCs/>
          <w:sz w:val="24"/>
          <w:szCs w:val="24"/>
        </w:rPr>
        <w:endnoteReference w:id="8"/>
      </w:r>
      <w:r w:rsidR="000B7071">
        <w:rPr>
          <w:rFonts w:ascii="Times New Roman" w:hAnsi="Times New Roman" w:cs="Times New Roman"/>
          <w:sz w:val="24"/>
          <w:szCs w:val="24"/>
        </w:rPr>
        <w:t>.</w:t>
      </w:r>
      <w:r w:rsidR="00463DDF">
        <w:rPr>
          <w:rFonts w:ascii="Times New Roman" w:hAnsi="Times New Roman" w:cs="Times New Roman"/>
          <w:sz w:val="24"/>
          <w:szCs w:val="24"/>
        </w:rPr>
        <w:t xml:space="preserve"> </w:t>
      </w:r>
      <w:r w:rsidR="007F10F0">
        <w:rPr>
          <w:rFonts w:ascii="Times New Roman" w:hAnsi="Times New Roman" w:cs="Times New Roman"/>
          <w:sz w:val="24"/>
          <w:szCs w:val="24"/>
        </w:rPr>
        <w:t xml:space="preserve">We calculate the </w:t>
      </w:r>
      <w:r w:rsidR="000F4366">
        <w:rPr>
          <w:rFonts w:ascii="Times New Roman" w:hAnsi="Times New Roman" w:cs="Times New Roman"/>
          <w:sz w:val="24"/>
          <w:szCs w:val="24"/>
        </w:rPr>
        <w:t xml:space="preserve">abnormal return by subtracting </w:t>
      </w:r>
      <w:r w:rsidR="001E67CD">
        <w:rPr>
          <w:rFonts w:ascii="Times New Roman" w:hAnsi="Times New Roman" w:cs="Times New Roman"/>
          <w:sz w:val="24"/>
          <w:szCs w:val="24"/>
        </w:rPr>
        <w:t xml:space="preserve">the expected return from </w:t>
      </w:r>
      <w:r w:rsidR="000F4366">
        <w:rPr>
          <w:rFonts w:ascii="Times New Roman" w:hAnsi="Times New Roman" w:cs="Times New Roman"/>
          <w:sz w:val="24"/>
          <w:szCs w:val="24"/>
        </w:rPr>
        <w:t xml:space="preserve">the </w:t>
      </w:r>
      <w:r w:rsidR="00E15732">
        <w:rPr>
          <w:rFonts w:ascii="Times New Roman" w:hAnsi="Times New Roman" w:cs="Times New Roman"/>
          <w:sz w:val="24"/>
          <w:szCs w:val="24"/>
        </w:rPr>
        <w:t>actual return</w:t>
      </w:r>
      <w:r w:rsidR="001E67CD">
        <w:rPr>
          <w:rFonts w:ascii="Times New Roman" w:hAnsi="Times New Roman" w:cs="Times New Roman"/>
          <w:sz w:val="24"/>
          <w:szCs w:val="24"/>
        </w:rPr>
        <w:t>. The</w:t>
      </w:r>
      <w:r w:rsidR="00E15732">
        <w:rPr>
          <w:rFonts w:ascii="Times New Roman" w:hAnsi="Times New Roman" w:cs="Times New Roman"/>
          <w:sz w:val="24"/>
          <w:szCs w:val="24"/>
        </w:rPr>
        <w:t xml:space="preserve"> </w:t>
      </w:r>
      <w:r w:rsidR="000F4366">
        <w:rPr>
          <w:rFonts w:ascii="Times New Roman" w:hAnsi="Times New Roman" w:cs="Times New Roman"/>
          <w:sz w:val="24"/>
          <w:szCs w:val="24"/>
        </w:rPr>
        <w:t xml:space="preserve">expected return </w:t>
      </w:r>
      <w:r w:rsidR="001E67CD">
        <w:rPr>
          <w:rFonts w:ascii="Times New Roman" w:hAnsi="Times New Roman" w:cs="Times New Roman"/>
          <w:sz w:val="24"/>
          <w:szCs w:val="24"/>
        </w:rPr>
        <w:t xml:space="preserve">is </w:t>
      </w:r>
      <w:r w:rsidR="000F4366">
        <w:rPr>
          <w:rFonts w:ascii="Times New Roman" w:hAnsi="Times New Roman" w:cs="Times New Roman"/>
          <w:sz w:val="24"/>
          <w:szCs w:val="24"/>
        </w:rPr>
        <w:t xml:space="preserve">calculated using the market model </w:t>
      </w:r>
      <w:r w:rsidR="00E15732">
        <w:rPr>
          <w:rFonts w:ascii="Times New Roman" w:hAnsi="Times New Roman" w:cs="Times New Roman"/>
          <w:sz w:val="24"/>
          <w:szCs w:val="24"/>
        </w:rPr>
        <w:t xml:space="preserve">approach </w:t>
      </w:r>
      <w:r w:rsidR="00A13E83">
        <w:rPr>
          <w:rFonts w:ascii="Times New Roman" w:hAnsi="Times New Roman" w:cs="Times New Roman"/>
          <w:sz w:val="24"/>
          <w:szCs w:val="24"/>
        </w:rPr>
        <w:t xml:space="preserve">as </w:t>
      </w:r>
      <w:r w:rsidR="00E15471">
        <w:rPr>
          <w:rFonts w:ascii="Times New Roman" w:hAnsi="Times New Roman" w:cs="Times New Roman"/>
          <w:sz w:val="24"/>
          <w:szCs w:val="24"/>
        </w:rPr>
        <w:t xml:space="preserve">discussed in </w:t>
      </w:r>
      <w:r w:rsidR="00A13E83" w:rsidRPr="00A13E83">
        <w:rPr>
          <w:rFonts w:ascii="Times New Roman" w:hAnsi="Times New Roman" w:cs="Times New Roman"/>
          <w:sz w:val="24"/>
          <w:szCs w:val="24"/>
        </w:rPr>
        <w:t xml:space="preserve">MacKinlay </w:t>
      </w:r>
      <w:r w:rsidR="00A13E83">
        <w:rPr>
          <w:rFonts w:ascii="Times New Roman" w:hAnsi="Times New Roman" w:cs="Times New Roman"/>
          <w:sz w:val="24"/>
          <w:szCs w:val="24"/>
        </w:rPr>
        <w:t>(</w:t>
      </w:r>
      <w:r w:rsidR="00A13E83" w:rsidRPr="00A13E83">
        <w:rPr>
          <w:rFonts w:ascii="Times New Roman" w:hAnsi="Times New Roman" w:cs="Times New Roman"/>
          <w:sz w:val="24"/>
          <w:szCs w:val="24"/>
        </w:rPr>
        <w:t>1997</w:t>
      </w:r>
      <w:r w:rsidR="00A13E83">
        <w:rPr>
          <w:rFonts w:ascii="Times New Roman" w:hAnsi="Times New Roman" w:cs="Times New Roman"/>
          <w:sz w:val="24"/>
          <w:szCs w:val="24"/>
        </w:rPr>
        <w:t>)</w:t>
      </w:r>
      <w:r w:rsidR="00E15732">
        <w:rPr>
          <w:rFonts w:ascii="Times New Roman" w:hAnsi="Times New Roman" w:cs="Times New Roman"/>
          <w:sz w:val="24"/>
          <w:szCs w:val="24"/>
        </w:rPr>
        <w:t xml:space="preserve"> and </w:t>
      </w:r>
      <w:r w:rsidR="00CD5D2A" w:rsidRPr="00CD5D2A">
        <w:rPr>
          <w:rFonts w:ascii="Times New Roman" w:hAnsi="Times New Roman" w:cs="Times New Roman"/>
          <w:sz w:val="24"/>
          <w:szCs w:val="24"/>
        </w:rPr>
        <w:t>Kothari and Warne</w:t>
      </w:r>
      <w:r w:rsidR="00E15471">
        <w:rPr>
          <w:rFonts w:ascii="Times New Roman" w:hAnsi="Times New Roman" w:cs="Times New Roman"/>
          <w:sz w:val="24"/>
          <w:szCs w:val="24"/>
        </w:rPr>
        <w:t xml:space="preserve">r </w:t>
      </w:r>
      <w:r w:rsidR="00E15732">
        <w:rPr>
          <w:rFonts w:ascii="Times New Roman" w:hAnsi="Times New Roman" w:cs="Times New Roman"/>
          <w:sz w:val="24"/>
          <w:szCs w:val="24"/>
        </w:rPr>
        <w:t>(2007)</w:t>
      </w:r>
      <w:r w:rsidR="000B7071">
        <w:rPr>
          <w:rStyle w:val="EndnoteReference"/>
          <w:rFonts w:ascii="Times New Roman" w:hAnsi="Times New Roman" w:cs="Times New Roman"/>
          <w:sz w:val="24"/>
          <w:szCs w:val="24"/>
        </w:rPr>
        <w:endnoteReference w:id="9"/>
      </w:r>
      <w:r w:rsidR="000B7071">
        <w:rPr>
          <w:rFonts w:ascii="Times New Roman" w:hAnsi="Times New Roman" w:cs="Times New Roman"/>
          <w:sz w:val="24"/>
          <w:szCs w:val="24"/>
        </w:rPr>
        <w:t>.</w:t>
      </w:r>
      <w:r w:rsidR="00463DDF">
        <w:rPr>
          <w:rFonts w:ascii="Times New Roman" w:hAnsi="Times New Roman" w:cs="Times New Roman"/>
          <w:sz w:val="24"/>
          <w:szCs w:val="24"/>
        </w:rPr>
        <w:t xml:space="preserve"> </w:t>
      </w:r>
      <w:r w:rsidR="00A13E83">
        <w:rPr>
          <w:rFonts w:ascii="Times New Roman" w:hAnsi="Times New Roman" w:cs="Times New Roman"/>
          <w:sz w:val="24"/>
          <w:szCs w:val="24"/>
        </w:rPr>
        <w:t>The parameters of the market model (stated below) are calculated using the data from the 60 days preceding the announcement date</w:t>
      </w:r>
      <w:r w:rsidR="00E15732">
        <w:rPr>
          <w:rFonts w:ascii="Times New Roman" w:hAnsi="Times New Roman" w:cs="Times New Roman"/>
          <w:sz w:val="24"/>
          <w:szCs w:val="24"/>
        </w:rPr>
        <w:t xml:space="preserve"> (excluding the event window)</w:t>
      </w:r>
      <w:r w:rsidR="00A13E83">
        <w:rPr>
          <w:rFonts w:ascii="Times New Roman" w:hAnsi="Times New Roman" w:cs="Times New Roman"/>
          <w:sz w:val="24"/>
          <w:szCs w:val="24"/>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8F4B92" w14:paraId="7A93DC08" w14:textId="77777777" w:rsidTr="008C4403">
        <w:trPr>
          <w:cantSplit/>
          <w:trHeight w:val="665"/>
        </w:trPr>
        <w:tc>
          <w:tcPr>
            <w:tcW w:w="8725" w:type="dxa"/>
            <w:vAlign w:val="center"/>
          </w:tcPr>
          <w:p w14:paraId="3765573F" w14:textId="08F61A05" w:rsidR="008F4B92" w:rsidRPr="00B70E0E" w:rsidRDefault="008F4B92" w:rsidP="008F42C0">
            <w:pPr>
              <w:tabs>
                <w:tab w:val="left" w:pos="567"/>
              </w:tabs>
              <w:spacing w:line="288" w:lineRule="auto"/>
              <w:jc w:val="center"/>
              <w:rPr>
                <w:rFonts w:ascii="Times New Roman" w:hAnsi="Times New Roman" w:cs="Times New Roman"/>
                <w:i/>
                <w:iCs/>
              </w:rPr>
            </w:pPr>
            <w:r w:rsidRPr="00B70E0E">
              <w:rPr>
                <w:rFonts w:ascii="Times New Roman" w:hAnsi="Times New Roman" w:cs="Times New Roman"/>
                <w:i/>
                <w:iCs/>
              </w:rPr>
              <w:t>R</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w:t>
            </w:r>
            <w:r w:rsidR="00E15732" w:rsidRPr="00B70E0E">
              <w:rPr>
                <w:rFonts w:ascii="Times New Roman" w:hAnsi="Times New Roman" w:cs="Times New Roman"/>
                <w:i/>
                <w:iCs/>
              </w:rPr>
              <w:t>α</w:t>
            </w:r>
            <w:r w:rsidR="00E15732" w:rsidRPr="00B70E0E">
              <w:rPr>
                <w:rFonts w:ascii="Times New Roman" w:hAnsi="Times New Roman" w:cs="Times New Roman"/>
                <w:i/>
                <w:iCs/>
                <w:vertAlign w:val="subscript"/>
              </w:rPr>
              <w:t>i</w:t>
            </w:r>
            <w:r w:rsidRPr="00B70E0E">
              <w:rPr>
                <w:rFonts w:ascii="Times New Roman" w:hAnsi="Times New Roman" w:cs="Times New Roman"/>
                <w:i/>
                <w:iCs/>
              </w:rPr>
              <w:t xml:space="preserve"> + β</w:t>
            </w:r>
            <w:r w:rsidR="00E15732" w:rsidRPr="00B70E0E">
              <w:rPr>
                <w:rFonts w:ascii="Times New Roman" w:hAnsi="Times New Roman" w:cs="Times New Roman"/>
                <w:i/>
                <w:iCs/>
                <w:vertAlign w:val="subscript"/>
              </w:rPr>
              <w:t>i</w:t>
            </w:r>
            <w:r w:rsidRPr="00B70E0E">
              <w:rPr>
                <w:rFonts w:ascii="Times New Roman" w:hAnsi="Times New Roman" w:cs="Times New Roman"/>
                <w:i/>
                <w:iCs/>
              </w:rPr>
              <w:t xml:space="preserve"> </w:t>
            </w:r>
            <w:r w:rsidR="00E15732" w:rsidRPr="00B70E0E">
              <w:rPr>
                <w:rFonts w:ascii="Times New Roman" w:hAnsi="Times New Roman" w:cs="Times New Roman"/>
                <w:i/>
                <w:iCs/>
              </w:rPr>
              <w:t>R</w:t>
            </w:r>
            <w:r w:rsidR="00E15732" w:rsidRPr="00B70E0E">
              <w:rPr>
                <w:rFonts w:ascii="Times New Roman" w:hAnsi="Times New Roman" w:cs="Times New Roman"/>
                <w:i/>
                <w:iCs/>
                <w:vertAlign w:val="subscript"/>
              </w:rPr>
              <w:t>m</w:t>
            </w:r>
            <w:r w:rsidRPr="00B70E0E">
              <w:rPr>
                <w:rFonts w:ascii="Times New Roman" w:hAnsi="Times New Roman" w:cs="Times New Roman"/>
                <w:i/>
                <w:iCs/>
                <w:vertAlign w:val="subscript"/>
              </w:rPr>
              <w:t>,t</w:t>
            </w:r>
            <w:r w:rsidRPr="00B70E0E">
              <w:rPr>
                <w:rFonts w:ascii="Times New Roman" w:hAnsi="Times New Roman" w:cs="Times New Roman"/>
                <w:i/>
                <w:iCs/>
              </w:rPr>
              <w:t xml:space="preserve"> + </w:t>
            </w:r>
            <w:r w:rsidR="00E15732" w:rsidRPr="00B70E0E">
              <w:rPr>
                <w:rFonts w:ascii="Times New Roman" w:hAnsi="Times New Roman" w:cs="Times New Roman"/>
                <w:i/>
                <w:iCs/>
              </w:rPr>
              <w:t>ε</w:t>
            </w:r>
            <w:r w:rsidR="00E15732" w:rsidRPr="00B70E0E">
              <w:rPr>
                <w:rFonts w:ascii="Times New Roman" w:hAnsi="Times New Roman" w:cs="Times New Roman"/>
                <w:i/>
                <w:iCs/>
                <w:vertAlign w:val="subscript"/>
              </w:rPr>
              <w:t>i,t</w:t>
            </w:r>
          </w:p>
        </w:tc>
        <w:tc>
          <w:tcPr>
            <w:tcW w:w="625" w:type="dxa"/>
            <w:vAlign w:val="center"/>
          </w:tcPr>
          <w:p w14:paraId="45D0E953" w14:textId="70510CC0" w:rsidR="008F4B92" w:rsidRPr="003C1E59" w:rsidRDefault="008F4B92" w:rsidP="008F42C0">
            <w:pPr>
              <w:tabs>
                <w:tab w:val="left" w:pos="567"/>
              </w:tabs>
              <w:spacing w:line="288" w:lineRule="auto"/>
              <w:jc w:val="center"/>
              <w:rPr>
                <w:rFonts w:ascii="Times New Roman" w:hAnsi="Times New Roman" w:cs="Times New Roman"/>
                <w:sz w:val="24"/>
                <w:szCs w:val="24"/>
              </w:rPr>
            </w:pPr>
          </w:p>
        </w:tc>
      </w:tr>
    </w:tbl>
    <w:p w14:paraId="77B00DFB" w14:textId="67BC135D" w:rsidR="008C4403" w:rsidRDefault="00E15732" w:rsidP="008F42C0">
      <w:pPr>
        <w:tabs>
          <w:tab w:val="left" w:pos="567"/>
        </w:tabs>
        <w:spacing w:after="0" w:line="288" w:lineRule="auto"/>
        <w:jc w:val="both"/>
        <w:rPr>
          <w:rFonts w:ascii="Times New Roman" w:hAnsi="Times New Roman" w:cs="Times New Roman"/>
          <w:sz w:val="24"/>
          <w:szCs w:val="24"/>
        </w:rPr>
      </w:pPr>
      <w:r w:rsidRPr="00E15732">
        <w:rPr>
          <w:rFonts w:ascii="Times New Roman" w:hAnsi="Times New Roman" w:cs="Times New Roman"/>
          <w:sz w:val="24"/>
          <w:szCs w:val="24"/>
        </w:rPr>
        <w:t xml:space="preserve">where </w:t>
      </w:r>
      <w:r>
        <w:rPr>
          <w:rFonts w:ascii="Times New Roman" w:hAnsi="Times New Roman" w:cs="Times New Roman"/>
          <w:i/>
          <w:iCs/>
          <w:sz w:val="24"/>
          <w:szCs w:val="24"/>
        </w:rPr>
        <w:t>R</w:t>
      </w:r>
      <w:r w:rsidRPr="003C1E59">
        <w:rPr>
          <w:rFonts w:ascii="Times New Roman" w:hAnsi="Times New Roman" w:cs="Times New Roman"/>
          <w:i/>
          <w:iCs/>
          <w:sz w:val="24"/>
          <w:szCs w:val="24"/>
          <w:vertAlign w:val="subscript"/>
        </w:rPr>
        <w:t>i</w:t>
      </w:r>
      <w:r>
        <w:rPr>
          <w:rFonts w:ascii="Times New Roman" w:hAnsi="Times New Roman" w:cs="Times New Roman"/>
          <w:i/>
          <w:iCs/>
          <w:sz w:val="24"/>
          <w:szCs w:val="24"/>
          <w:vertAlign w:val="subscript"/>
        </w:rPr>
        <w:t>,t</w:t>
      </w:r>
      <w:r w:rsidRPr="00E15732">
        <w:rPr>
          <w:rFonts w:ascii="Times New Roman" w:hAnsi="Times New Roman" w:cs="Times New Roman"/>
          <w:sz w:val="24"/>
          <w:szCs w:val="24"/>
        </w:rPr>
        <w:t xml:space="preserve"> and </w:t>
      </w:r>
      <w:r>
        <w:rPr>
          <w:rFonts w:ascii="Times New Roman" w:hAnsi="Times New Roman" w:cs="Times New Roman"/>
          <w:i/>
          <w:iCs/>
          <w:sz w:val="24"/>
          <w:szCs w:val="24"/>
        </w:rPr>
        <w:t>R</w:t>
      </w:r>
      <w:r>
        <w:rPr>
          <w:rFonts w:ascii="Times New Roman" w:hAnsi="Times New Roman" w:cs="Times New Roman"/>
          <w:i/>
          <w:iCs/>
          <w:sz w:val="24"/>
          <w:szCs w:val="24"/>
          <w:vertAlign w:val="subscript"/>
        </w:rPr>
        <w:t>m,t</w:t>
      </w:r>
      <w:r w:rsidRPr="00E15732">
        <w:rPr>
          <w:rFonts w:ascii="Times New Roman" w:hAnsi="Times New Roman" w:cs="Times New Roman"/>
          <w:sz w:val="24"/>
          <w:szCs w:val="24"/>
        </w:rPr>
        <w:t xml:space="preserve"> are the </w:t>
      </w:r>
      <w:r>
        <w:rPr>
          <w:rFonts w:ascii="Times New Roman" w:hAnsi="Times New Roman" w:cs="Times New Roman"/>
          <w:sz w:val="24"/>
          <w:szCs w:val="24"/>
        </w:rPr>
        <w:t>returns during period t for security i and the market index (</w:t>
      </w:r>
      <w:r w:rsidR="004E05D7">
        <w:rPr>
          <w:rFonts w:ascii="Times New Roman" w:hAnsi="Times New Roman" w:cs="Times New Roman"/>
          <w:sz w:val="24"/>
          <w:szCs w:val="24"/>
        </w:rPr>
        <w:t xml:space="preserve">that is, </w:t>
      </w:r>
      <w:r>
        <w:rPr>
          <w:rFonts w:ascii="Times New Roman" w:hAnsi="Times New Roman" w:cs="Times New Roman"/>
          <w:sz w:val="24"/>
          <w:szCs w:val="24"/>
        </w:rPr>
        <w:t xml:space="preserve">S&amp;P 1500), </w:t>
      </w:r>
      <w:r w:rsidRPr="00E15732">
        <w:rPr>
          <w:rFonts w:ascii="Times New Roman" w:hAnsi="Times New Roman" w:cs="Times New Roman"/>
          <w:sz w:val="24"/>
          <w:szCs w:val="24"/>
        </w:rPr>
        <w:t>respectively</w:t>
      </w:r>
      <w:r>
        <w:rPr>
          <w:rFonts w:ascii="Times New Roman" w:hAnsi="Times New Roman" w:cs="Times New Roman"/>
          <w:sz w:val="24"/>
          <w:szCs w:val="24"/>
        </w:rPr>
        <w:t>.</w:t>
      </w:r>
      <w:r w:rsidR="001E67CD">
        <w:rPr>
          <w:rFonts w:ascii="Times New Roman" w:hAnsi="Times New Roman" w:cs="Times New Roman"/>
          <w:sz w:val="24"/>
          <w:szCs w:val="24"/>
        </w:rPr>
        <w:t xml:space="preserve"> </w:t>
      </w:r>
    </w:p>
    <w:p w14:paraId="50059718" w14:textId="77777777" w:rsidR="005E5667" w:rsidRDefault="005E5667" w:rsidP="008F42C0">
      <w:pPr>
        <w:tabs>
          <w:tab w:val="left" w:pos="567"/>
        </w:tabs>
        <w:spacing w:after="0" w:line="288" w:lineRule="auto"/>
        <w:jc w:val="both"/>
        <w:rPr>
          <w:rFonts w:ascii="Times New Roman" w:hAnsi="Times New Roman" w:cs="Times New Roman"/>
          <w:sz w:val="24"/>
          <w:szCs w:val="24"/>
        </w:rPr>
      </w:pPr>
    </w:p>
    <w:p w14:paraId="312F1064" w14:textId="37C6A100" w:rsidR="008C4698" w:rsidRDefault="00134380"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5CAB" w:rsidRPr="001E67CD">
        <w:rPr>
          <w:rFonts w:ascii="Times New Roman" w:hAnsi="Times New Roman" w:cs="Times New Roman"/>
          <w:sz w:val="24"/>
          <w:szCs w:val="24"/>
        </w:rPr>
        <w:t>We</w:t>
      </w:r>
      <w:r w:rsidR="001E67CD">
        <w:rPr>
          <w:rFonts w:ascii="Times New Roman" w:hAnsi="Times New Roman" w:cs="Times New Roman"/>
          <w:sz w:val="24"/>
          <w:szCs w:val="24"/>
        </w:rPr>
        <w:t xml:space="preserve"> </w:t>
      </w:r>
      <w:r w:rsidR="00EA0DE2">
        <w:rPr>
          <w:rFonts w:ascii="Times New Roman" w:hAnsi="Times New Roman" w:cs="Times New Roman"/>
          <w:sz w:val="24"/>
          <w:szCs w:val="24"/>
        </w:rPr>
        <w:t xml:space="preserve">have chosen to include four </w:t>
      </w:r>
      <w:r w:rsidR="000D5CAB" w:rsidRPr="001E67CD">
        <w:rPr>
          <w:rFonts w:ascii="Times New Roman" w:hAnsi="Times New Roman" w:cs="Times New Roman"/>
          <w:sz w:val="24"/>
          <w:szCs w:val="24"/>
        </w:rPr>
        <w:t xml:space="preserve">control variables that are known to influence our dependent </w:t>
      </w:r>
      <w:r w:rsidR="001E67CD" w:rsidRPr="001E67CD">
        <w:rPr>
          <w:rFonts w:ascii="Times New Roman" w:hAnsi="Times New Roman" w:cs="Times New Roman"/>
          <w:sz w:val="24"/>
          <w:szCs w:val="24"/>
        </w:rPr>
        <w:t>variable,</w:t>
      </w:r>
      <w:r w:rsidR="001E67CD">
        <w:rPr>
          <w:rFonts w:ascii="Times New Roman" w:hAnsi="Times New Roman" w:cs="Times New Roman"/>
          <w:sz w:val="24"/>
          <w:szCs w:val="24"/>
        </w:rPr>
        <w:t xml:space="preserve"> and which were found to be significant in prior studies</w:t>
      </w:r>
      <w:r w:rsidR="000B7071">
        <w:rPr>
          <w:rStyle w:val="EndnoteReference"/>
          <w:rFonts w:ascii="Times New Roman" w:hAnsi="Times New Roman" w:cs="Times New Roman"/>
          <w:sz w:val="24"/>
          <w:szCs w:val="24"/>
        </w:rPr>
        <w:endnoteReference w:id="10"/>
      </w:r>
      <w:r w:rsidR="000B7071">
        <w:rPr>
          <w:rFonts w:ascii="Times New Roman" w:hAnsi="Times New Roman" w:cs="Times New Roman"/>
          <w:sz w:val="24"/>
          <w:szCs w:val="24"/>
        </w:rPr>
        <w:t>.</w:t>
      </w:r>
      <w:r w:rsidR="001E67CD">
        <w:rPr>
          <w:rFonts w:ascii="Times New Roman" w:hAnsi="Times New Roman" w:cs="Times New Roman"/>
          <w:sz w:val="24"/>
          <w:szCs w:val="24"/>
        </w:rPr>
        <w:t xml:space="preserve"> </w:t>
      </w:r>
      <w:r w:rsidR="00EA0DE2">
        <w:rPr>
          <w:rFonts w:ascii="Times New Roman" w:hAnsi="Times New Roman" w:cs="Times New Roman"/>
          <w:sz w:val="24"/>
          <w:szCs w:val="24"/>
        </w:rPr>
        <w:t>The four variables are</w:t>
      </w:r>
      <w:r w:rsidR="004E12AF">
        <w:rPr>
          <w:rFonts w:ascii="Times New Roman" w:hAnsi="Times New Roman" w:cs="Times New Roman"/>
          <w:sz w:val="24"/>
          <w:szCs w:val="24"/>
        </w:rPr>
        <w:t>:</w:t>
      </w:r>
      <w:r w:rsidR="00EA0DE2">
        <w:rPr>
          <w:rFonts w:ascii="Times New Roman" w:hAnsi="Times New Roman" w:cs="Times New Roman"/>
          <w:sz w:val="24"/>
          <w:szCs w:val="24"/>
        </w:rPr>
        <w:t xml:space="preserve"> size, book-to-market</w:t>
      </w:r>
      <w:r w:rsidR="002257FC">
        <w:rPr>
          <w:rFonts w:ascii="Times New Roman" w:hAnsi="Times New Roman" w:cs="Times New Roman"/>
          <w:sz w:val="24"/>
          <w:szCs w:val="24"/>
        </w:rPr>
        <w:t xml:space="preserve"> value,</w:t>
      </w:r>
      <w:r w:rsidR="00EA0DE2">
        <w:rPr>
          <w:rFonts w:ascii="Times New Roman" w:hAnsi="Times New Roman" w:cs="Times New Roman"/>
          <w:sz w:val="24"/>
          <w:szCs w:val="24"/>
        </w:rPr>
        <w:t xml:space="preserve"> reporting lag</w:t>
      </w:r>
      <w:r w:rsidR="004E12AF">
        <w:rPr>
          <w:rFonts w:ascii="Times New Roman" w:hAnsi="Times New Roman" w:cs="Times New Roman"/>
          <w:sz w:val="24"/>
          <w:szCs w:val="24"/>
        </w:rPr>
        <w:t>,</w:t>
      </w:r>
      <w:r w:rsidR="00EA0DE2">
        <w:rPr>
          <w:rFonts w:ascii="Times New Roman" w:hAnsi="Times New Roman" w:cs="Times New Roman"/>
          <w:sz w:val="24"/>
          <w:szCs w:val="24"/>
        </w:rPr>
        <w:t xml:space="preserve"> and </w:t>
      </w:r>
      <w:r w:rsidR="008C4698">
        <w:rPr>
          <w:rFonts w:ascii="Times New Roman" w:hAnsi="Times New Roman" w:cs="Times New Roman"/>
          <w:sz w:val="24"/>
          <w:szCs w:val="24"/>
        </w:rPr>
        <w:t>number of forecasts</w:t>
      </w:r>
      <w:r w:rsidR="002257FC">
        <w:rPr>
          <w:rFonts w:ascii="Times New Roman" w:hAnsi="Times New Roman" w:cs="Times New Roman"/>
          <w:sz w:val="24"/>
          <w:szCs w:val="24"/>
        </w:rPr>
        <w:t>. All variables</w:t>
      </w:r>
      <w:r w:rsidR="008C4698">
        <w:rPr>
          <w:rFonts w:ascii="Times New Roman" w:hAnsi="Times New Roman" w:cs="Times New Roman"/>
          <w:sz w:val="24"/>
          <w:szCs w:val="24"/>
        </w:rPr>
        <w:t xml:space="preserve"> are </w:t>
      </w:r>
      <w:r w:rsidR="001E67CD">
        <w:rPr>
          <w:rFonts w:ascii="Times New Roman" w:hAnsi="Times New Roman" w:cs="Times New Roman"/>
          <w:sz w:val="24"/>
          <w:szCs w:val="24"/>
        </w:rPr>
        <w:t xml:space="preserve">defined </w:t>
      </w:r>
      <w:r w:rsidR="008C4698">
        <w:rPr>
          <w:rFonts w:ascii="Times New Roman" w:hAnsi="Times New Roman" w:cs="Times New Roman"/>
          <w:sz w:val="24"/>
          <w:szCs w:val="24"/>
        </w:rPr>
        <w:t xml:space="preserve">in more detail in </w:t>
      </w:r>
      <w:r w:rsidR="001E67CD" w:rsidRPr="00352E64">
        <w:rPr>
          <w:rFonts w:ascii="Times New Roman" w:hAnsi="Times New Roman" w:cs="Times New Roman"/>
          <w:sz w:val="24"/>
          <w:szCs w:val="24"/>
        </w:rPr>
        <w:t xml:space="preserve">Appendix I. </w:t>
      </w:r>
      <w:r>
        <w:rPr>
          <w:rFonts w:ascii="Times New Roman" w:hAnsi="Times New Roman" w:cs="Times New Roman"/>
          <w:sz w:val="24"/>
          <w:szCs w:val="24"/>
        </w:rPr>
        <w:t xml:space="preserve">  </w:t>
      </w:r>
      <w:r w:rsidR="008C4698">
        <w:rPr>
          <w:rFonts w:ascii="Times New Roman" w:hAnsi="Times New Roman" w:cs="Times New Roman"/>
          <w:sz w:val="24"/>
          <w:szCs w:val="24"/>
        </w:rPr>
        <w:t xml:space="preserve">The coefficients </w:t>
      </w:r>
      <w:r w:rsidR="008C4698" w:rsidRPr="008C4698">
        <w:rPr>
          <w:rFonts w:ascii="Times New Roman" w:hAnsi="Times New Roman" w:cs="Times New Roman"/>
          <w:i/>
          <w:iCs/>
          <w:sz w:val="24"/>
          <w:szCs w:val="24"/>
        </w:rPr>
        <w:t>β</w:t>
      </w:r>
      <w:r w:rsidR="008C4698" w:rsidRPr="008C4698">
        <w:rPr>
          <w:rFonts w:ascii="Times New Roman" w:hAnsi="Times New Roman" w:cs="Times New Roman"/>
          <w:i/>
          <w:iCs/>
          <w:sz w:val="24"/>
          <w:szCs w:val="24"/>
          <w:vertAlign w:val="subscript"/>
        </w:rPr>
        <w:t>1</w:t>
      </w:r>
      <w:r w:rsidR="008C4698">
        <w:rPr>
          <w:rFonts w:ascii="Times New Roman" w:hAnsi="Times New Roman" w:cs="Times New Roman"/>
          <w:i/>
          <w:iCs/>
          <w:sz w:val="24"/>
          <w:szCs w:val="24"/>
        </w:rPr>
        <w:t>,</w:t>
      </w:r>
      <w:r w:rsidR="008C4698" w:rsidRPr="008C4698">
        <w:rPr>
          <w:rFonts w:ascii="Times New Roman" w:hAnsi="Times New Roman" w:cs="Times New Roman"/>
          <w:sz w:val="24"/>
          <w:szCs w:val="24"/>
        </w:rPr>
        <w:t xml:space="preserve"> and</w:t>
      </w:r>
      <w:r w:rsidR="008C4698">
        <w:rPr>
          <w:rFonts w:ascii="Times New Roman" w:hAnsi="Times New Roman" w:cs="Times New Roman"/>
          <w:i/>
          <w:iCs/>
          <w:sz w:val="24"/>
          <w:szCs w:val="24"/>
        </w:rPr>
        <w:t xml:space="preserve"> </w:t>
      </w:r>
      <w:r w:rsidR="008C4698" w:rsidRPr="008C4698">
        <w:rPr>
          <w:rFonts w:ascii="Times New Roman" w:hAnsi="Times New Roman" w:cs="Times New Roman"/>
          <w:i/>
          <w:iCs/>
          <w:sz w:val="24"/>
          <w:szCs w:val="24"/>
        </w:rPr>
        <w:t>β</w:t>
      </w:r>
      <w:r w:rsidR="008C4698" w:rsidRPr="008C4698">
        <w:rPr>
          <w:rFonts w:ascii="Times New Roman" w:hAnsi="Times New Roman" w:cs="Times New Roman"/>
          <w:i/>
          <w:iCs/>
          <w:sz w:val="24"/>
          <w:szCs w:val="24"/>
          <w:vertAlign w:val="subscript"/>
        </w:rPr>
        <w:t>2</w:t>
      </w:r>
      <w:r w:rsidR="008C4698">
        <w:rPr>
          <w:rFonts w:ascii="Times New Roman" w:hAnsi="Times New Roman" w:cs="Times New Roman"/>
          <w:i/>
          <w:iCs/>
          <w:sz w:val="24"/>
          <w:szCs w:val="24"/>
          <w:vertAlign w:val="subscript"/>
        </w:rPr>
        <w:t xml:space="preserve"> </w:t>
      </w:r>
      <w:r w:rsidR="008C4698">
        <w:rPr>
          <w:rFonts w:ascii="Times New Roman" w:hAnsi="Times New Roman" w:cs="Times New Roman"/>
          <w:sz w:val="24"/>
          <w:szCs w:val="24"/>
        </w:rPr>
        <w:t xml:space="preserve">in </w:t>
      </w:r>
      <w:r w:rsidR="008C4698" w:rsidRPr="00352E64">
        <w:rPr>
          <w:rFonts w:ascii="Times New Roman" w:hAnsi="Times New Roman" w:cs="Times New Roman"/>
          <w:sz w:val="24"/>
          <w:szCs w:val="24"/>
        </w:rPr>
        <w:t>Model 1a</w:t>
      </w:r>
      <w:r w:rsidR="008C4698">
        <w:rPr>
          <w:rFonts w:ascii="Times New Roman" w:hAnsi="Times New Roman" w:cs="Times New Roman"/>
          <w:sz w:val="24"/>
          <w:szCs w:val="24"/>
        </w:rPr>
        <w:t xml:space="preserve"> will inform us as to the strength of the market reaction to negative and positive earnings surprise, respectively. </w:t>
      </w:r>
      <w:r w:rsidR="008C4698" w:rsidRPr="008C4698">
        <w:rPr>
          <w:rFonts w:ascii="Times New Roman" w:hAnsi="Times New Roman" w:cs="Times New Roman"/>
          <w:sz w:val="24"/>
          <w:szCs w:val="24"/>
        </w:rPr>
        <w:t xml:space="preserve">The </w:t>
      </w:r>
      <w:r w:rsidR="008C4698">
        <w:rPr>
          <w:rFonts w:ascii="Times New Roman" w:hAnsi="Times New Roman" w:cs="Times New Roman"/>
          <w:sz w:val="24"/>
          <w:szCs w:val="24"/>
        </w:rPr>
        <w:t xml:space="preserve">same </w:t>
      </w:r>
      <w:r w:rsidR="008C4698" w:rsidRPr="008C4698">
        <w:rPr>
          <w:rFonts w:ascii="Times New Roman" w:hAnsi="Times New Roman" w:cs="Times New Roman"/>
          <w:sz w:val="24"/>
          <w:szCs w:val="24"/>
        </w:rPr>
        <w:t xml:space="preserve">coefficients </w:t>
      </w:r>
      <w:r w:rsidR="008C4698" w:rsidRPr="008C4698">
        <w:rPr>
          <w:rFonts w:ascii="Times New Roman" w:hAnsi="Times New Roman" w:cs="Times New Roman"/>
          <w:i/>
          <w:iCs/>
          <w:sz w:val="24"/>
          <w:szCs w:val="24"/>
        </w:rPr>
        <w:t>β</w:t>
      </w:r>
      <w:r w:rsidR="008C4698" w:rsidRPr="008C4698">
        <w:rPr>
          <w:rFonts w:ascii="Times New Roman" w:hAnsi="Times New Roman" w:cs="Times New Roman"/>
          <w:i/>
          <w:iCs/>
          <w:sz w:val="24"/>
          <w:szCs w:val="24"/>
          <w:vertAlign w:val="subscript"/>
        </w:rPr>
        <w:t>1</w:t>
      </w:r>
      <w:r w:rsidR="008C4698" w:rsidRPr="008C4698">
        <w:rPr>
          <w:rFonts w:ascii="Times New Roman" w:hAnsi="Times New Roman" w:cs="Times New Roman"/>
          <w:i/>
          <w:iCs/>
          <w:sz w:val="24"/>
          <w:szCs w:val="24"/>
        </w:rPr>
        <w:t>,</w:t>
      </w:r>
      <w:r w:rsidR="008C4698" w:rsidRPr="008C4698">
        <w:rPr>
          <w:rFonts w:ascii="Times New Roman" w:hAnsi="Times New Roman" w:cs="Times New Roman"/>
          <w:sz w:val="24"/>
          <w:szCs w:val="24"/>
        </w:rPr>
        <w:t xml:space="preserve"> and</w:t>
      </w:r>
      <w:r w:rsidR="008C4698" w:rsidRPr="008C4698">
        <w:rPr>
          <w:rFonts w:ascii="Times New Roman" w:hAnsi="Times New Roman" w:cs="Times New Roman"/>
          <w:i/>
          <w:iCs/>
          <w:sz w:val="24"/>
          <w:szCs w:val="24"/>
        </w:rPr>
        <w:t xml:space="preserve"> β</w:t>
      </w:r>
      <w:r w:rsidR="008C4698" w:rsidRPr="008C4698">
        <w:rPr>
          <w:rFonts w:ascii="Times New Roman" w:hAnsi="Times New Roman" w:cs="Times New Roman"/>
          <w:i/>
          <w:iCs/>
          <w:sz w:val="24"/>
          <w:szCs w:val="24"/>
          <w:vertAlign w:val="subscript"/>
        </w:rPr>
        <w:t xml:space="preserve">2 </w:t>
      </w:r>
      <w:r w:rsidR="008C4698" w:rsidRPr="008C4698">
        <w:rPr>
          <w:rFonts w:ascii="Times New Roman" w:hAnsi="Times New Roman" w:cs="Times New Roman"/>
          <w:sz w:val="24"/>
          <w:szCs w:val="24"/>
        </w:rPr>
        <w:t xml:space="preserve">in </w:t>
      </w:r>
      <w:r w:rsidR="008C4698" w:rsidRPr="00352E64">
        <w:rPr>
          <w:rFonts w:ascii="Times New Roman" w:hAnsi="Times New Roman" w:cs="Times New Roman"/>
          <w:sz w:val="24"/>
          <w:szCs w:val="24"/>
        </w:rPr>
        <w:t>Model 1b</w:t>
      </w:r>
      <w:r w:rsidR="008C4698">
        <w:rPr>
          <w:rFonts w:ascii="Times New Roman" w:hAnsi="Times New Roman" w:cs="Times New Roman"/>
          <w:sz w:val="24"/>
          <w:szCs w:val="24"/>
        </w:rPr>
        <w:t xml:space="preserve"> will indicate </w:t>
      </w:r>
      <w:r w:rsidR="00EE00C3">
        <w:rPr>
          <w:rFonts w:ascii="Times New Roman" w:hAnsi="Times New Roman" w:cs="Times New Roman"/>
          <w:sz w:val="24"/>
          <w:szCs w:val="24"/>
        </w:rPr>
        <w:t xml:space="preserve">the existence of a PEAD. </w:t>
      </w:r>
    </w:p>
    <w:p w14:paraId="6DB316C8" w14:textId="77777777" w:rsidR="00E05E25" w:rsidRPr="008C4698" w:rsidRDefault="00E05E25" w:rsidP="008F42C0">
      <w:pPr>
        <w:tabs>
          <w:tab w:val="left" w:pos="567"/>
        </w:tabs>
        <w:spacing w:after="0" w:line="288" w:lineRule="auto"/>
        <w:jc w:val="both"/>
        <w:rPr>
          <w:rFonts w:ascii="Times New Roman" w:hAnsi="Times New Roman" w:cs="Times New Roman"/>
          <w:sz w:val="24"/>
          <w:szCs w:val="24"/>
        </w:rPr>
      </w:pPr>
    </w:p>
    <w:p w14:paraId="75F471A0" w14:textId="268B24C3" w:rsidR="00FD0D23" w:rsidRPr="00BA14B0" w:rsidRDefault="00573D1E" w:rsidP="00BA14B0">
      <w:pPr>
        <w:pStyle w:val="ListParagraph"/>
        <w:numPr>
          <w:ilvl w:val="2"/>
          <w:numId w:val="33"/>
        </w:numPr>
        <w:tabs>
          <w:tab w:val="left" w:pos="567"/>
        </w:tabs>
        <w:spacing w:after="0" w:line="288" w:lineRule="auto"/>
        <w:jc w:val="both"/>
        <w:rPr>
          <w:rFonts w:ascii="Times New Roman" w:hAnsi="Times New Roman" w:cs="Times New Roman"/>
          <w:b/>
          <w:bCs/>
          <w:sz w:val="24"/>
          <w:szCs w:val="24"/>
        </w:rPr>
      </w:pPr>
      <w:bookmarkStart w:id="6" w:name="_Hlk536329432"/>
      <w:r>
        <w:rPr>
          <w:rFonts w:ascii="Times New Roman" w:hAnsi="Times New Roman" w:cs="Times New Roman"/>
          <w:b/>
          <w:bCs/>
          <w:sz w:val="24"/>
          <w:szCs w:val="24"/>
        </w:rPr>
        <w:t xml:space="preserve"> </w:t>
      </w:r>
      <w:r w:rsidR="00985A29" w:rsidRPr="00BA14B0">
        <w:rPr>
          <w:rFonts w:ascii="Times New Roman" w:hAnsi="Times New Roman" w:cs="Times New Roman"/>
          <w:b/>
          <w:bCs/>
          <w:sz w:val="24"/>
          <w:szCs w:val="24"/>
        </w:rPr>
        <w:t xml:space="preserve">Governance, </w:t>
      </w:r>
      <w:r w:rsidR="00DF6C6A" w:rsidRPr="00BA14B0">
        <w:rPr>
          <w:rFonts w:ascii="Times New Roman" w:hAnsi="Times New Roman" w:cs="Times New Roman"/>
          <w:b/>
          <w:bCs/>
          <w:sz w:val="24"/>
          <w:szCs w:val="24"/>
        </w:rPr>
        <w:t>U</w:t>
      </w:r>
      <w:r w:rsidR="00985A29" w:rsidRPr="00BA14B0">
        <w:rPr>
          <w:rFonts w:ascii="Times New Roman" w:hAnsi="Times New Roman" w:cs="Times New Roman"/>
          <w:b/>
          <w:bCs/>
          <w:sz w:val="24"/>
          <w:szCs w:val="24"/>
        </w:rPr>
        <w:t xml:space="preserve">ncertainty, </w:t>
      </w:r>
      <w:r w:rsidR="00DF6C6A" w:rsidRPr="00BA14B0">
        <w:rPr>
          <w:rFonts w:ascii="Times New Roman" w:hAnsi="Times New Roman" w:cs="Times New Roman"/>
          <w:b/>
          <w:bCs/>
          <w:sz w:val="24"/>
          <w:szCs w:val="24"/>
        </w:rPr>
        <w:t>S</w:t>
      </w:r>
      <w:r w:rsidR="00985A29" w:rsidRPr="00BA14B0">
        <w:rPr>
          <w:rFonts w:ascii="Times New Roman" w:hAnsi="Times New Roman" w:cs="Times New Roman"/>
          <w:b/>
          <w:bCs/>
          <w:sz w:val="24"/>
          <w:szCs w:val="24"/>
        </w:rPr>
        <w:t xml:space="preserve">entiment and </w:t>
      </w:r>
      <w:r w:rsidR="00DF6C6A" w:rsidRPr="00BA14B0">
        <w:rPr>
          <w:rFonts w:ascii="Times New Roman" w:hAnsi="Times New Roman" w:cs="Times New Roman"/>
          <w:b/>
          <w:bCs/>
          <w:sz w:val="24"/>
          <w:szCs w:val="24"/>
        </w:rPr>
        <w:t>E</w:t>
      </w:r>
      <w:r w:rsidR="00985A29" w:rsidRPr="00BA14B0">
        <w:rPr>
          <w:rFonts w:ascii="Times New Roman" w:hAnsi="Times New Roman" w:cs="Times New Roman"/>
          <w:b/>
          <w:bCs/>
          <w:sz w:val="24"/>
          <w:szCs w:val="24"/>
        </w:rPr>
        <w:t xml:space="preserve">arnings </w:t>
      </w:r>
      <w:r w:rsidR="00DF6C6A" w:rsidRPr="00BA14B0">
        <w:rPr>
          <w:rFonts w:ascii="Times New Roman" w:hAnsi="Times New Roman" w:cs="Times New Roman"/>
          <w:b/>
          <w:bCs/>
          <w:sz w:val="24"/>
          <w:szCs w:val="24"/>
        </w:rPr>
        <w:t>A</w:t>
      </w:r>
      <w:r w:rsidR="00985A29" w:rsidRPr="00BA14B0">
        <w:rPr>
          <w:rFonts w:ascii="Times New Roman" w:hAnsi="Times New Roman" w:cs="Times New Roman"/>
          <w:b/>
          <w:bCs/>
          <w:sz w:val="24"/>
          <w:szCs w:val="24"/>
        </w:rPr>
        <w:t>nnouncements</w:t>
      </w:r>
    </w:p>
    <w:bookmarkEnd w:id="6"/>
    <w:p w14:paraId="7F014B59" w14:textId="77777777" w:rsidR="00DF6C6A" w:rsidRPr="00DF6C6A" w:rsidRDefault="00DF6C6A" w:rsidP="008F42C0">
      <w:pPr>
        <w:tabs>
          <w:tab w:val="left" w:pos="567"/>
        </w:tabs>
        <w:spacing w:after="0" w:line="288" w:lineRule="auto"/>
        <w:jc w:val="both"/>
        <w:rPr>
          <w:rFonts w:ascii="Times New Roman" w:hAnsi="Times New Roman" w:cs="Times New Roman"/>
          <w:sz w:val="8"/>
          <w:szCs w:val="8"/>
        </w:rPr>
      </w:pPr>
    </w:p>
    <w:p w14:paraId="3DB7F32C" w14:textId="7491233A" w:rsidR="00D47178" w:rsidRDefault="00413495"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For the announcement period, w</w:t>
      </w:r>
      <w:r w:rsidR="006C27C2">
        <w:rPr>
          <w:rFonts w:ascii="Times New Roman" w:hAnsi="Times New Roman" w:cs="Times New Roman"/>
          <w:sz w:val="24"/>
          <w:szCs w:val="24"/>
        </w:rPr>
        <w:t xml:space="preserve">e define announcements with </w:t>
      </w:r>
      <w:r w:rsidR="003A2C11">
        <w:rPr>
          <w:rFonts w:ascii="Times New Roman" w:hAnsi="Times New Roman" w:cs="Times New Roman"/>
          <w:sz w:val="24"/>
          <w:szCs w:val="24"/>
        </w:rPr>
        <w:t>positive</w:t>
      </w:r>
      <w:r w:rsidR="006C27C2">
        <w:rPr>
          <w:rFonts w:ascii="Times New Roman" w:hAnsi="Times New Roman" w:cs="Times New Roman"/>
          <w:sz w:val="24"/>
          <w:szCs w:val="24"/>
        </w:rPr>
        <w:t xml:space="preserve"> sentiment as thos</w:t>
      </w:r>
      <w:r>
        <w:rPr>
          <w:rFonts w:ascii="Times New Roman" w:hAnsi="Times New Roman" w:cs="Times New Roman"/>
          <w:sz w:val="24"/>
          <w:szCs w:val="24"/>
        </w:rPr>
        <w:t xml:space="preserve">e where </w:t>
      </w:r>
      <w:r w:rsidRPr="00413495">
        <w:rPr>
          <w:rFonts w:ascii="Times New Roman" w:hAnsi="Times New Roman" w:cs="Times New Roman"/>
          <w:sz w:val="24"/>
          <w:szCs w:val="24"/>
        </w:rPr>
        <w:t xml:space="preserve">the </w:t>
      </w:r>
      <w:r w:rsidR="00F237CE">
        <w:rPr>
          <w:rFonts w:ascii="Times New Roman" w:hAnsi="Times New Roman" w:cs="Times New Roman"/>
          <w:sz w:val="24"/>
          <w:szCs w:val="24"/>
        </w:rPr>
        <w:t xml:space="preserve">cumulative </w:t>
      </w:r>
      <w:r w:rsidRPr="00413495">
        <w:rPr>
          <w:rFonts w:ascii="Times New Roman" w:hAnsi="Times New Roman" w:cs="Times New Roman"/>
          <w:sz w:val="24"/>
          <w:szCs w:val="24"/>
        </w:rPr>
        <w:t>daily return of</w:t>
      </w:r>
      <w:r>
        <w:rPr>
          <w:rFonts w:ascii="Times New Roman" w:hAnsi="Times New Roman" w:cs="Times New Roman"/>
          <w:sz w:val="24"/>
          <w:szCs w:val="24"/>
        </w:rPr>
        <w:t xml:space="preserve"> the</w:t>
      </w:r>
      <w:r w:rsidRPr="00413495">
        <w:rPr>
          <w:rFonts w:ascii="Times New Roman" w:hAnsi="Times New Roman" w:cs="Times New Roman"/>
          <w:sz w:val="24"/>
          <w:szCs w:val="24"/>
        </w:rPr>
        <w:t xml:space="preserve"> market index (S&amp;P 1500) </w:t>
      </w:r>
      <w:r w:rsidR="00F237CE">
        <w:rPr>
          <w:rFonts w:ascii="Times New Roman" w:hAnsi="Times New Roman" w:cs="Times New Roman"/>
          <w:sz w:val="24"/>
          <w:szCs w:val="24"/>
        </w:rPr>
        <w:t>for</w:t>
      </w:r>
      <w:r w:rsidR="00C24268">
        <w:rPr>
          <w:rFonts w:ascii="Times New Roman" w:hAnsi="Times New Roman" w:cs="Times New Roman"/>
          <w:sz w:val="24"/>
          <w:szCs w:val="24"/>
        </w:rPr>
        <w:t xml:space="preserve"> the preceding </w:t>
      </w:r>
      <w:r w:rsidRPr="00413495">
        <w:rPr>
          <w:rFonts w:ascii="Times New Roman" w:hAnsi="Times New Roman" w:cs="Times New Roman"/>
          <w:sz w:val="24"/>
          <w:szCs w:val="24"/>
        </w:rPr>
        <w:t>five-days</w:t>
      </w:r>
      <w:r>
        <w:rPr>
          <w:rFonts w:ascii="Times New Roman" w:hAnsi="Times New Roman" w:cs="Times New Roman"/>
          <w:sz w:val="24"/>
          <w:szCs w:val="24"/>
        </w:rPr>
        <w:t xml:space="preserve"> </w:t>
      </w:r>
      <w:r w:rsidR="00C24268">
        <w:rPr>
          <w:rFonts w:ascii="Times New Roman" w:hAnsi="Times New Roman" w:cs="Times New Roman"/>
          <w:sz w:val="24"/>
          <w:szCs w:val="24"/>
        </w:rPr>
        <w:t>is</w:t>
      </w:r>
      <w:r>
        <w:rPr>
          <w:rFonts w:ascii="Times New Roman" w:hAnsi="Times New Roman" w:cs="Times New Roman"/>
          <w:sz w:val="24"/>
          <w:szCs w:val="24"/>
        </w:rPr>
        <w:t xml:space="preserve"> </w:t>
      </w:r>
      <w:r w:rsidR="00270436">
        <w:rPr>
          <w:rFonts w:ascii="Times New Roman" w:hAnsi="Times New Roman" w:cs="Times New Roman"/>
          <w:sz w:val="24"/>
          <w:szCs w:val="24"/>
        </w:rPr>
        <w:t>positive</w:t>
      </w:r>
      <w:r>
        <w:rPr>
          <w:rFonts w:ascii="Times New Roman" w:hAnsi="Times New Roman" w:cs="Times New Roman"/>
          <w:sz w:val="24"/>
          <w:szCs w:val="24"/>
        </w:rPr>
        <w:t xml:space="preserve">. </w:t>
      </w:r>
      <w:r w:rsidR="00BE0D7D">
        <w:rPr>
          <w:rFonts w:ascii="Times New Roman" w:hAnsi="Times New Roman" w:cs="Times New Roman"/>
          <w:sz w:val="24"/>
          <w:szCs w:val="24"/>
        </w:rPr>
        <w:t>Furthermore,</w:t>
      </w:r>
      <w:r w:rsidR="00C24268">
        <w:rPr>
          <w:rFonts w:ascii="Times New Roman" w:hAnsi="Times New Roman" w:cs="Times New Roman"/>
          <w:sz w:val="24"/>
          <w:szCs w:val="24"/>
        </w:rPr>
        <w:t xml:space="preserve"> we</w:t>
      </w:r>
      <w:r>
        <w:rPr>
          <w:rFonts w:ascii="Times New Roman" w:hAnsi="Times New Roman" w:cs="Times New Roman"/>
          <w:sz w:val="24"/>
          <w:szCs w:val="24"/>
        </w:rPr>
        <w:t xml:space="preserve"> define announcements with high </w:t>
      </w:r>
      <w:r w:rsidR="00C24268">
        <w:rPr>
          <w:rFonts w:ascii="Times New Roman" w:hAnsi="Times New Roman" w:cs="Times New Roman"/>
          <w:sz w:val="24"/>
          <w:szCs w:val="24"/>
        </w:rPr>
        <w:t>uncertainty</w:t>
      </w:r>
      <w:r>
        <w:rPr>
          <w:rFonts w:ascii="Times New Roman" w:hAnsi="Times New Roman" w:cs="Times New Roman"/>
          <w:sz w:val="24"/>
          <w:szCs w:val="24"/>
        </w:rPr>
        <w:t xml:space="preserve"> as those where </w:t>
      </w:r>
      <w:r w:rsidR="00C24268">
        <w:rPr>
          <w:rFonts w:ascii="Times New Roman" w:hAnsi="Times New Roman" w:cs="Times New Roman"/>
          <w:sz w:val="24"/>
          <w:szCs w:val="24"/>
        </w:rPr>
        <w:t xml:space="preserve">the value of </w:t>
      </w:r>
      <w:r w:rsidR="00C24268" w:rsidRPr="00C24268">
        <w:rPr>
          <w:rFonts w:ascii="Times New Roman" w:hAnsi="Times New Roman" w:cs="Times New Roman"/>
          <w:sz w:val="24"/>
          <w:szCs w:val="24"/>
        </w:rPr>
        <w:t xml:space="preserve">VIX </w:t>
      </w:r>
      <w:r w:rsidR="00AB433A">
        <w:rPr>
          <w:rFonts w:ascii="Times New Roman" w:hAnsi="Times New Roman" w:cs="Times New Roman"/>
          <w:sz w:val="24"/>
          <w:szCs w:val="24"/>
        </w:rPr>
        <w:t>one day</w:t>
      </w:r>
      <w:r w:rsidR="00C24268" w:rsidRPr="00C24268">
        <w:rPr>
          <w:rFonts w:ascii="Times New Roman" w:hAnsi="Times New Roman" w:cs="Times New Roman"/>
          <w:sz w:val="24"/>
          <w:szCs w:val="24"/>
        </w:rPr>
        <w:t xml:space="preserve"> prior to the announcement is </w:t>
      </w:r>
      <w:r>
        <w:rPr>
          <w:rFonts w:ascii="Times New Roman" w:hAnsi="Times New Roman" w:cs="Times New Roman"/>
          <w:sz w:val="24"/>
          <w:szCs w:val="24"/>
        </w:rPr>
        <w:t>above the median for all the observations.</w:t>
      </w:r>
      <w:r w:rsidR="00F237CE">
        <w:rPr>
          <w:rFonts w:ascii="Times New Roman" w:hAnsi="Times New Roman" w:cs="Times New Roman"/>
          <w:sz w:val="24"/>
          <w:szCs w:val="24"/>
        </w:rPr>
        <w:t xml:space="preserve"> </w:t>
      </w:r>
      <w:r w:rsidR="00D47178">
        <w:rPr>
          <w:rFonts w:ascii="Times New Roman" w:hAnsi="Times New Roman" w:cs="Times New Roman"/>
          <w:sz w:val="24"/>
          <w:szCs w:val="24"/>
        </w:rPr>
        <w:t xml:space="preserve">In order to examine the relationship between uncertainty, sentiment, corporate governance, and unexpected earnings </w:t>
      </w:r>
      <w:r w:rsidR="00B13533">
        <w:rPr>
          <w:rFonts w:ascii="Times New Roman" w:hAnsi="Times New Roman" w:cs="Times New Roman"/>
          <w:sz w:val="24"/>
          <w:szCs w:val="24"/>
        </w:rPr>
        <w:t xml:space="preserve">at the time of the announcement </w:t>
      </w:r>
      <w:r w:rsidR="00D47178">
        <w:rPr>
          <w:rFonts w:ascii="Times New Roman" w:hAnsi="Times New Roman" w:cs="Times New Roman"/>
          <w:sz w:val="24"/>
          <w:szCs w:val="24"/>
        </w:rPr>
        <w:t>we run the following regression model: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D47178" w:rsidRPr="00B70E0E" w14:paraId="6F01CEAC" w14:textId="77777777" w:rsidTr="00E72658">
        <w:trPr>
          <w:cantSplit/>
          <w:trHeight w:val="1772"/>
        </w:trPr>
        <w:tc>
          <w:tcPr>
            <w:tcW w:w="8725" w:type="dxa"/>
            <w:vAlign w:val="center"/>
          </w:tcPr>
          <w:p w14:paraId="10BAB4DC" w14:textId="77777777" w:rsidR="008D6A42" w:rsidRPr="00B70E0E" w:rsidRDefault="00D47178" w:rsidP="008F42C0">
            <w:pPr>
              <w:tabs>
                <w:tab w:val="left" w:pos="567"/>
              </w:tabs>
              <w:spacing w:line="288" w:lineRule="auto"/>
              <w:jc w:val="center"/>
              <w:rPr>
                <w:rFonts w:ascii="Times New Roman" w:hAnsi="Times New Roman" w:cs="Times New Roman"/>
                <w:i/>
                <w:iCs/>
              </w:rPr>
            </w:pPr>
            <w:bookmarkStart w:id="7" w:name="_Hlk32901558"/>
            <w:r w:rsidRPr="00B70E0E">
              <w:rPr>
                <w:rFonts w:ascii="Times New Roman" w:hAnsi="Times New Roman" w:cs="Times New Roman"/>
                <w:i/>
                <w:iCs/>
              </w:rPr>
              <w:t>CAR(0,1)</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0</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1</w:t>
            </w:r>
            <w:r w:rsidRPr="00B70E0E">
              <w:rPr>
                <w:rFonts w:ascii="Times New Roman" w:hAnsi="Times New Roman" w:cs="Times New Roman"/>
                <w:i/>
                <w:iCs/>
              </w:rPr>
              <w:t xml:space="preserve"> NUE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2</w:t>
            </w:r>
            <w:r w:rsidRPr="00B70E0E">
              <w:rPr>
                <w:rFonts w:ascii="Times New Roman" w:hAnsi="Times New Roman" w:cs="Times New Roman"/>
                <w:i/>
                <w:iCs/>
              </w:rPr>
              <w:t xml:space="preserve"> PUE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w:t>
            </w:r>
            <w:r w:rsidR="008D6A42" w:rsidRPr="00B70E0E">
              <w:rPr>
                <w:rFonts w:ascii="Times New Roman" w:hAnsi="Times New Roman" w:cs="Times New Roman"/>
                <w:i/>
                <w:iCs/>
              </w:rPr>
              <w:t xml:space="preserve"> + β</w:t>
            </w:r>
            <w:r w:rsidR="008D6A42" w:rsidRPr="00B70E0E">
              <w:rPr>
                <w:rFonts w:ascii="Times New Roman" w:hAnsi="Times New Roman" w:cs="Times New Roman"/>
                <w:i/>
                <w:iCs/>
                <w:vertAlign w:val="subscript"/>
              </w:rPr>
              <w:t>3</w:t>
            </w:r>
            <w:r w:rsidR="008D6A42" w:rsidRPr="00B70E0E">
              <w:rPr>
                <w:rFonts w:ascii="Times New Roman" w:hAnsi="Times New Roman" w:cs="Times New Roman"/>
                <w:i/>
                <w:iCs/>
              </w:rPr>
              <w:t xml:space="preserve"> GOVH</w:t>
            </w:r>
            <w:r w:rsidR="008D6A42" w:rsidRPr="00B70E0E">
              <w:rPr>
                <w:rFonts w:ascii="Times New Roman" w:hAnsi="Times New Roman" w:cs="Times New Roman"/>
                <w:i/>
                <w:iCs/>
                <w:vertAlign w:val="subscript"/>
              </w:rPr>
              <w:t>i,t</w:t>
            </w:r>
            <w:r w:rsidR="008D6A42" w:rsidRPr="00B70E0E">
              <w:rPr>
                <w:rFonts w:ascii="Times New Roman" w:hAnsi="Times New Roman" w:cs="Times New Roman"/>
                <w:i/>
                <w:iCs/>
              </w:rPr>
              <w:t xml:space="preserve">  + β</w:t>
            </w:r>
            <w:r w:rsidR="008D6A42" w:rsidRPr="00B70E0E">
              <w:rPr>
                <w:rFonts w:ascii="Times New Roman" w:hAnsi="Times New Roman" w:cs="Times New Roman"/>
                <w:i/>
                <w:iCs/>
                <w:vertAlign w:val="subscript"/>
              </w:rPr>
              <w:t>4</w:t>
            </w:r>
            <w:r w:rsidR="008D6A42" w:rsidRPr="00B70E0E">
              <w:rPr>
                <w:rFonts w:ascii="Times New Roman" w:hAnsi="Times New Roman" w:cs="Times New Roman"/>
                <w:i/>
                <w:iCs/>
              </w:rPr>
              <w:t xml:space="preserve"> SMIP</w:t>
            </w:r>
            <w:r w:rsidR="008D6A42" w:rsidRPr="00B70E0E">
              <w:rPr>
                <w:rFonts w:ascii="Times New Roman" w:hAnsi="Times New Roman" w:cs="Times New Roman"/>
                <w:i/>
                <w:iCs/>
                <w:vertAlign w:val="subscript"/>
              </w:rPr>
              <w:t>i,t</w:t>
            </w:r>
            <w:r w:rsidR="008D6A42" w:rsidRPr="00B70E0E">
              <w:rPr>
                <w:rFonts w:ascii="Times New Roman" w:hAnsi="Times New Roman" w:cs="Times New Roman"/>
                <w:i/>
                <w:iCs/>
              </w:rPr>
              <w:t xml:space="preserve">  + β</w:t>
            </w:r>
            <w:r w:rsidR="008D6A42" w:rsidRPr="00B70E0E">
              <w:rPr>
                <w:rFonts w:ascii="Times New Roman" w:hAnsi="Times New Roman" w:cs="Times New Roman"/>
                <w:i/>
                <w:iCs/>
                <w:vertAlign w:val="subscript"/>
              </w:rPr>
              <w:t>5</w:t>
            </w:r>
            <w:r w:rsidR="008D6A42" w:rsidRPr="00B70E0E">
              <w:rPr>
                <w:rFonts w:ascii="Times New Roman" w:hAnsi="Times New Roman" w:cs="Times New Roman"/>
                <w:i/>
                <w:iCs/>
              </w:rPr>
              <w:t xml:space="preserve"> VIXH</w:t>
            </w:r>
            <w:r w:rsidR="008D6A42" w:rsidRPr="00B70E0E">
              <w:rPr>
                <w:rFonts w:ascii="Times New Roman" w:hAnsi="Times New Roman" w:cs="Times New Roman"/>
                <w:i/>
                <w:iCs/>
                <w:vertAlign w:val="subscript"/>
              </w:rPr>
              <w:t>i,t</w:t>
            </w:r>
            <w:r w:rsidR="008D6A42" w:rsidRPr="00B70E0E">
              <w:rPr>
                <w:rFonts w:ascii="Times New Roman" w:hAnsi="Times New Roman" w:cs="Times New Roman"/>
                <w:i/>
                <w:iCs/>
              </w:rPr>
              <w:t xml:space="preserve"> </w:t>
            </w:r>
          </w:p>
          <w:p w14:paraId="165EA4B6" w14:textId="77777777" w:rsidR="008D6A42" w:rsidRPr="00BA14B0" w:rsidRDefault="008D6A42" w:rsidP="008F42C0">
            <w:pPr>
              <w:tabs>
                <w:tab w:val="left" w:pos="567"/>
              </w:tabs>
              <w:spacing w:line="288" w:lineRule="auto"/>
              <w:jc w:val="center"/>
              <w:rPr>
                <w:rFonts w:ascii="Times New Roman" w:hAnsi="Times New Roman" w:cs="Times New Roman"/>
                <w:i/>
                <w:iCs/>
                <w:lang w:val="de-DE"/>
              </w:rPr>
            </w:pPr>
            <w:r w:rsidRPr="00BA14B0">
              <w:rPr>
                <w:rFonts w:ascii="Times New Roman" w:hAnsi="Times New Roman" w:cs="Times New Roman"/>
                <w:i/>
                <w:iCs/>
                <w:lang w:val="de-DE"/>
              </w:rPr>
              <w:t>+</w:t>
            </w:r>
            <w:r w:rsidR="00D47178" w:rsidRPr="00BA14B0">
              <w:rPr>
                <w:rFonts w:ascii="Times New Roman" w:hAnsi="Times New Roman" w:cs="Times New Roman"/>
                <w:i/>
                <w:iCs/>
                <w:lang w:val="de-DE"/>
              </w:rPr>
              <w:t xml:space="preserve"> </w:t>
            </w:r>
            <w:r w:rsidR="00D47178" w:rsidRPr="00B70E0E">
              <w:rPr>
                <w:rFonts w:ascii="Times New Roman" w:hAnsi="Times New Roman" w:cs="Times New Roman"/>
                <w:i/>
                <w:iCs/>
              </w:rPr>
              <w:t>β</w:t>
            </w:r>
            <w:r w:rsidRPr="00BA14B0">
              <w:rPr>
                <w:rFonts w:ascii="Times New Roman" w:hAnsi="Times New Roman" w:cs="Times New Roman"/>
                <w:i/>
                <w:iCs/>
                <w:vertAlign w:val="subscript"/>
                <w:lang w:val="de-DE"/>
              </w:rPr>
              <w:t>6</w:t>
            </w:r>
            <w:r w:rsidR="00D47178" w:rsidRPr="00BA14B0">
              <w:rPr>
                <w:rFonts w:ascii="Times New Roman" w:hAnsi="Times New Roman" w:cs="Times New Roman"/>
                <w:i/>
                <w:iCs/>
                <w:lang w:val="de-DE"/>
              </w:rPr>
              <w:t xml:space="preserve"> GOVH</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×NUE</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 xml:space="preserve"> + </w:t>
            </w:r>
            <w:r w:rsidR="00D47178" w:rsidRPr="00B70E0E">
              <w:rPr>
                <w:rFonts w:ascii="Times New Roman" w:hAnsi="Times New Roman" w:cs="Times New Roman"/>
                <w:i/>
                <w:iCs/>
              </w:rPr>
              <w:t>β</w:t>
            </w:r>
            <w:r w:rsidRPr="00BA14B0">
              <w:rPr>
                <w:rFonts w:ascii="Times New Roman" w:hAnsi="Times New Roman" w:cs="Times New Roman"/>
                <w:i/>
                <w:iCs/>
                <w:vertAlign w:val="subscript"/>
                <w:lang w:val="de-DE"/>
              </w:rPr>
              <w:t>7</w:t>
            </w:r>
            <w:r w:rsidR="00D47178" w:rsidRPr="00BA14B0">
              <w:rPr>
                <w:rFonts w:ascii="Times New Roman" w:hAnsi="Times New Roman" w:cs="Times New Roman"/>
                <w:i/>
                <w:iCs/>
                <w:lang w:val="de-DE"/>
              </w:rPr>
              <w:t xml:space="preserve"> GOVH</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×PUE</w:t>
            </w:r>
            <w:r w:rsidR="00D47178"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w:t>
            </w:r>
            <w:r w:rsidR="00D47178" w:rsidRPr="00BA14B0">
              <w:rPr>
                <w:rFonts w:ascii="Times New Roman" w:hAnsi="Times New Roman" w:cs="Times New Roman"/>
                <w:i/>
                <w:iCs/>
                <w:lang w:val="de-DE"/>
              </w:rPr>
              <w:t xml:space="preserve">+ </w:t>
            </w:r>
            <w:r w:rsidR="00D47178" w:rsidRPr="00B70E0E">
              <w:rPr>
                <w:rFonts w:ascii="Times New Roman" w:hAnsi="Times New Roman" w:cs="Times New Roman"/>
                <w:i/>
                <w:iCs/>
              </w:rPr>
              <w:t>β</w:t>
            </w:r>
            <w:r w:rsidRPr="00BA14B0">
              <w:rPr>
                <w:rFonts w:ascii="Times New Roman" w:hAnsi="Times New Roman" w:cs="Times New Roman"/>
                <w:i/>
                <w:iCs/>
                <w:vertAlign w:val="subscript"/>
                <w:lang w:val="de-DE"/>
              </w:rPr>
              <w:t>8</w:t>
            </w:r>
            <w:r w:rsidR="00D47178" w:rsidRPr="00BA14B0">
              <w:rPr>
                <w:rFonts w:ascii="Times New Roman" w:hAnsi="Times New Roman" w:cs="Times New Roman"/>
                <w:i/>
                <w:iCs/>
                <w:lang w:val="de-DE"/>
              </w:rPr>
              <w:t xml:space="preserve"> </w:t>
            </w:r>
            <w:r w:rsidR="003A2C11" w:rsidRPr="00BA14B0">
              <w:rPr>
                <w:rFonts w:ascii="Times New Roman" w:hAnsi="Times New Roman" w:cs="Times New Roman"/>
                <w:i/>
                <w:iCs/>
                <w:lang w:val="de-DE"/>
              </w:rPr>
              <w:t>SMIP</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×NUE</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 xml:space="preserve"> + </w:t>
            </w:r>
            <w:r w:rsidR="00D47178" w:rsidRPr="00B70E0E">
              <w:rPr>
                <w:rFonts w:ascii="Times New Roman" w:hAnsi="Times New Roman" w:cs="Times New Roman"/>
                <w:i/>
                <w:iCs/>
              </w:rPr>
              <w:t>β</w:t>
            </w:r>
            <w:r w:rsidRPr="00BA14B0">
              <w:rPr>
                <w:rFonts w:ascii="Times New Roman" w:hAnsi="Times New Roman" w:cs="Times New Roman"/>
                <w:i/>
                <w:iCs/>
                <w:vertAlign w:val="subscript"/>
                <w:lang w:val="de-DE"/>
              </w:rPr>
              <w:t>9</w:t>
            </w:r>
            <w:r w:rsidR="00D47178" w:rsidRPr="00BA14B0">
              <w:rPr>
                <w:rFonts w:ascii="Times New Roman" w:hAnsi="Times New Roman" w:cs="Times New Roman"/>
                <w:i/>
                <w:iCs/>
                <w:lang w:val="de-DE"/>
              </w:rPr>
              <w:t xml:space="preserve"> </w:t>
            </w:r>
            <w:r w:rsidR="003A2C11" w:rsidRPr="00BA14B0">
              <w:rPr>
                <w:rFonts w:ascii="Times New Roman" w:hAnsi="Times New Roman" w:cs="Times New Roman"/>
                <w:i/>
                <w:iCs/>
                <w:lang w:val="de-DE"/>
              </w:rPr>
              <w:t>SMIP</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×PUE</w:t>
            </w:r>
            <w:r w:rsidR="00D47178" w:rsidRPr="00BA14B0">
              <w:rPr>
                <w:rFonts w:ascii="Times New Roman" w:hAnsi="Times New Roman" w:cs="Times New Roman"/>
                <w:i/>
                <w:iCs/>
                <w:vertAlign w:val="subscript"/>
                <w:lang w:val="de-DE"/>
              </w:rPr>
              <w:t>i,t</w:t>
            </w:r>
            <w:r w:rsidR="00D47178" w:rsidRPr="00BA14B0">
              <w:rPr>
                <w:rFonts w:ascii="Times New Roman" w:hAnsi="Times New Roman" w:cs="Times New Roman"/>
                <w:i/>
                <w:iCs/>
                <w:lang w:val="de-DE"/>
              </w:rPr>
              <w:t xml:space="preserve"> </w:t>
            </w:r>
          </w:p>
          <w:p w14:paraId="30178D7B" w14:textId="13B3DF7B" w:rsidR="00D47178" w:rsidRPr="00BA14B0" w:rsidRDefault="00D47178" w:rsidP="008F42C0">
            <w:pPr>
              <w:tabs>
                <w:tab w:val="left" w:pos="567"/>
              </w:tabs>
              <w:spacing w:line="288" w:lineRule="auto"/>
              <w:jc w:val="center"/>
              <w:rPr>
                <w:rFonts w:ascii="Times New Roman" w:hAnsi="Times New Roman" w:cs="Times New Roman"/>
                <w:i/>
                <w:iCs/>
                <w:lang w:val="de-DE"/>
              </w:rPr>
            </w:pPr>
            <w:r w:rsidRPr="00BA14B0">
              <w:rPr>
                <w:rFonts w:ascii="Times New Roman" w:hAnsi="Times New Roman" w:cs="Times New Roman"/>
                <w:i/>
                <w:iCs/>
                <w:lang w:val="de-DE"/>
              </w:rPr>
              <w:t xml:space="preserve">+ </w:t>
            </w:r>
            <w:r w:rsidRPr="00B70E0E">
              <w:rPr>
                <w:rFonts w:ascii="Times New Roman" w:hAnsi="Times New Roman" w:cs="Times New Roman"/>
                <w:i/>
                <w:iCs/>
              </w:rPr>
              <w:t>β</w:t>
            </w:r>
            <w:r w:rsidR="008D6A42" w:rsidRPr="00BA14B0">
              <w:rPr>
                <w:rFonts w:ascii="Times New Roman" w:hAnsi="Times New Roman" w:cs="Times New Roman"/>
                <w:i/>
                <w:iCs/>
                <w:vertAlign w:val="subscript"/>
                <w:lang w:val="de-DE"/>
              </w:rPr>
              <w:t>10</w:t>
            </w:r>
            <w:r w:rsidRPr="00BA14B0">
              <w:rPr>
                <w:rFonts w:ascii="Times New Roman" w:hAnsi="Times New Roman" w:cs="Times New Roman"/>
                <w:i/>
                <w:iCs/>
                <w:lang w:val="de-DE"/>
              </w:rPr>
              <w:t xml:space="preserve"> VIXH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×NUE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Pr="00B70E0E">
              <w:rPr>
                <w:rFonts w:ascii="Times New Roman" w:hAnsi="Times New Roman" w:cs="Times New Roman"/>
                <w:i/>
                <w:iCs/>
              </w:rPr>
              <w:t>β</w:t>
            </w:r>
            <w:r w:rsidR="008D6A42" w:rsidRPr="00BA14B0">
              <w:rPr>
                <w:rFonts w:ascii="Times New Roman" w:hAnsi="Times New Roman" w:cs="Times New Roman"/>
                <w:i/>
                <w:iCs/>
                <w:vertAlign w:val="subscript"/>
                <w:lang w:val="de-DE"/>
              </w:rPr>
              <w:t>11</w:t>
            </w:r>
            <w:r w:rsidRPr="00BA14B0">
              <w:rPr>
                <w:rFonts w:ascii="Times New Roman" w:hAnsi="Times New Roman" w:cs="Times New Roman"/>
                <w:i/>
                <w:iCs/>
                <w:lang w:val="de-DE"/>
              </w:rPr>
              <w:t xml:space="preserve"> VIXH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×PUE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003F2740" w:rsidRPr="00BA14B0">
              <w:rPr>
                <w:rFonts w:ascii="Times New Roman" w:hAnsi="Times New Roman" w:cs="Times New Roman"/>
                <w:i/>
                <w:iCs/>
                <w:lang w:val="de-DE"/>
              </w:rPr>
              <w:t>Control Variables (SIZE</w:t>
            </w:r>
            <w:r w:rsidR="003F2740" w:rsidRPr="00BA14B0">
              <w:rPr>
                <w:rFonts w:ascii="Times New Roman" w:hAnsi="Times New Roman" w:cs="Times New Roman"/>
                <w:i/>
                <w:iCs/>
                <w:vertAlign w:val="subscript"/>
                <w:lang w:val="de-DE"/>
              </w:rPr>
              <w:t xml:space="preserve">i,t </w:t>
            </w:r>
            <w:r w:rsidR="003F2740" w:rsidRPr="00BA14B0">
              <w:rPr>
                <w:rFonts w:ascii="Times New Roman" w:hAnsi="Times New Roman" w:cs="Times New Roman"/>
                <w:i/>
                <w:iCs/>
                <w:lang w:val="de-DE"/>
              </w:rPr>
              <w:t>/ BTMV</w:t>
            </w:r>
            <w:r w:rsidR="003F2740" w:rsidRPr="00BA14B0">
              <w:rPr>
                <w:rFonts w:ascii="Times New Roman" w:hAnsi="Times New Roman" w:cs="Times New Roman"/>
                <w:i/>
                <w:iCs/>
                <w:vertAlign w:val="subscript"/>
                <w:lang w:val="de-DE"/>
              </w:rPr>
              <w:t xml:space="preserve">i,t </w:t>
            </w:r>
            <w:r w:rsidR="003F2740" w:rsidRPr="00BA14B0">
              <w:rPr>
                <w:rFonts w:ascii="Times New Roman" w:hAnsi="Times New Roman" w:cs="Times New Roman"/>
                <w:i/>
                <w:iCs/>
                <w:lang w:val="de-DE"/>
              </w:rPr>
              <w:t>/</w:t>
            </w:r>
            <w:r w:rsidR="00B760D5" w:rsidRPr="00BA14B0">
              <w:rPr>
                <w:rFonts w:ascii="Times New Roman" w:hAnsi="Times New Roman" w:cs="Times New Roman"/>
                <w:i/>
                <w:iCs/>
                <w:lang w:val="de-DE"/>
              </w:rPr>
              <w:t xml:space="preserve"> </w:t>
            </w:r>
            <w:r w:rsidR="003F2740" w:rsidRPr="00BA14B0">
              <w:rPr>
                <w:rFonts w:ascii="Times New Roman" w:hAnsi="Times New Roman" w:cs="Times New Roman"/>
                <w:i/>
                <w:iCs/>
                <w:lang w:val="de-DE"/>
              </w:rPr>
              <w:t>RLAG</w:t>
            </w:r>
            <w:r w:rsidR="003F2740" w:rsidRPr="00BA14B0">
              <w:rPr>
                <w:rFonts w:ascii="Times New Roman" w:hAnsi="Times New Roman" w:cs="Times New Roman"/>
                <w:i/>
                <w:iCs/>
                <w:vertAlign w:val="subscript"/>
                <w:lang w:val="de-DE"/>
              </w:rPr>
              <w:t xml:space="preserve">i,t </w:t>
            </w:r>
            <w:r w:rsidR="003F2740" w:rsidRPr="00BA14B0">
              <w:rPr>
                <w:rFonts w:ascii="Times New Roman" w:hAnsi="Times New Roman" w:cs="Times New Roman"/>
                <w:i/>
                <w:iCs/>
                <w:lang w:val="de-DE"/>
              </w:rPr>
              <w:t>/ FORC</w:t>
            </w:r>
            <w:r w:rsidR="003F2740" w:rsidRPr="00BA14B0">
              <w:rPr>
                <w:rFonts w:ascii="Times New Roman" w:hAnsi="Times New Roman" w:cs="Times New Roman"/>
                <w:i/>
                <w:iCs/>
                <w:vertAlign w:val="subscript"/>
                <w:lang w:val="de-DE"/>
              </w:rPr>
              <w:t xml:space="preserve">i,t </w:t>
            </w:r>
            <w:r w:rsidR="003F2740" w:rsidRPr="00BA14B0">
              <w:rPr>
                <w:rFonts w:ascii="Times New Roman" w:hAnsi="Times New Roman" w:cs="Times New Roman"/>
                <w:i/>
                <w:iCs/>
                <w:lang w:val="de-DE"/>
              </w:rPr>
              <w:t>)</w:t>
            </w:r>
            <w:r w:rsidRPr="00BA14B0">
              <w:rPr>
                <w:rFonts w:ascii="Times New Roman" w:hAnsi="Times New Roman" w:cs="Times New Roman"/>
                <w:i/>
                <w:iCs/>
                <w:lang w:val="de-DE"/>
              </w:rPr>
              <w:t xml:space="preserve"> + Year dummies </w:t>
            </w:r>
            <w:r w:rsidRPr="00BA14B0">
              <w:rPr>
                <w:rFonts w:ascii="Times New Roman" w:hAnsi="Times New Roman" w:cs="Times New Roman"/>
                <w:lang w:val="de-DE"/>
              </w:rPr>
              <w:t>+</w:t>
            </w:r>
            <w:r w:rsidRPr="00BA14B0">
              <w:rPr>
                <w:rFonts w:ascii="Times New Roman" w:hAnsi="Times New Roman" w:cs="Times New Roman"/>
                <w:i/>
                <w:iCs/>
                <w:lang w:val="de-DE"/>
              </w:rPr>
              <w:t xml:space="preserve"> Industry Dummies + </w:t>
            </w:r>
            <w:r w:rsidRPr="00B70E0E">
              <w:rPr>
                <w:rFonts w:ascii="Times New Roman" w:hAnsi="Times New Roman" w:cs="Times New Roman"/>
                <w:i/>
                <w:iCs/>
              </w:rPr>
              <w:t>ε</w:t>
            </w:r>
            <w:r w:rsidRPr="00BA14B0">
              <w:rPr>
                <w:rFonts w:ascii="Times New Roman" w:hAnsi="Times New Roman" w:cs="Times New Roman"/>
                <w:i/>
                <w:iCs/>
                <w:vertAlign w:val="subscript"/>
                <w:lang w:val="de-DE"/>
              </w:rPr>
              <w:t>i</w:t>
            </w:r>
            <w:bookmarkEnd w:id="7"/>
          </w:p>
        </w:tc>
        <w:tc>
          <w:tcPr>
            <w:tcW w:w="625" w:type="dxa"/>
            <w:vAlign w:val="center"/>
          </w:tcPr>
          <w:p w14:paraId="129B686D" w14:textId="77777777" w:rsidR="00D47178" w:rsidRPr="00B70E0E" w:rsidRDefault="00D47178" w:rsidP="008F42C0">
            <w:pPr>
              <w:tabs>
                <w:tab w:val="left" w:pos="567"/>
              </w:tabs>
              <w:spacing w:line="288" w:lineRule="auto"/>
              <w:jc w:val="right"/>
              <w:rPr>
                <w:rFonts w:ascii="Times New Roman" w:hAnsi="Times New Roman" w:cs="Times New Roman"/>
              </w:rPr>
            </w:pPr>
            <w:r w:rsidRPr="00B70E0E">
              <w:rPr>
                <w:rFonts w:ascii="Times New Roman" w:hAnsi="Times New Roman" w:cs="Times New Roman"/>
              </w:rPr>
              <w:t>(</w:t>
            </w:r>
            <w:r w:rsidR="00F4320F" w:rsidRPr="00B70E0E">
              <w:rPr>
                <w:rFonts w:ascii="Times New Roman" w:hAnsi="Times New Roman" w:cs="Times New Roman"/>
              </w:rPr>
              <w:t>2</w:t>
            </w:r>
            <w:r w:rsidRPr="00B70E0E">
              <w:rPr>
                <w:rFonts w:ascii="Times New Roman" w:hAnsi="Times New Roman" w:cs="Times New Roman"/>
              </w:rPr>
              <w:t>)</w:t>
            </w:r>
          </w:p>
        </w:tc>
      </w:tr>
    </w:tbl>
    <w:p w14:paraId="250AEB92" w14:textId="61F9D4A7" w:rsidR="001A11D4" w:rsidRDefault="00134380"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E72658">
        <w:rPr>
          <w:rFonts w:ascii="Times New Roman" w:hAnsi="Times New Roman" w:cs="Times New Roman"/>
          <w:sz w:val="24"/>
          <w:szCs w:val="24"/>
        </w:rPr>
        <w:t>here</w:t>
      </w:r>
      <w:r w:rsidR="00F4320F">
        <w:rPr>
          <w:rFonts w:ascii="Times New Roman" w:hAnsi="Times New Roman" w:cs="Times New Roman"/>
          <w:sz w:val="24"/>
          <w:szCs w:val="24"/>
        </w:rPr>
        <w:t xml:space="preserve"> </w:t>
      </w:r>
      <w:r w:rsidR="00F4320F" w:rsidRPr="00F4320F">
        <w:rPr>
          <w:rFonts w:ascii="Times New Roman" w:hAnsi="Times New Roman" w:cs="Times New Roman"/>
          <w:i/>
          <w:iCs/>
          <w:sz w:val="24"/>
          <w:szCs w:val="24"/>
        </w:rPr>
        <w:t>CAR, PUE, NUE</w:t>
      </w:r>
      <w:r w:rsidR="00864EC3" w:rsidRPr="00864EC3">
        <w:rPr>
          <w:rFonts w:ascii="Times New Roman" w:hAnsi="Times New Roman" w:cs="Times New Roman"/>
          <w:sz w:val="24"/>
          <w:szCs w:val="24"/>
        </w:rPr>
        <w:t xml:space="preserve"> and</w:t>
      </w:r>
      <w:r w:rsidR="00F4320F">
        <w:rPr>
          <w:rFonts w:ascii="Times New Roman" w:hAnsi="Times New Roman" w:cs="Times New Roman"/>
          <w:sz w:val="24"/>
          <w:szCs w:val="24"/>
        </w:rPr>
        <w:t xml:space="preserve"> </w:t>
      </w:r>
      <w:r w:rsidR="00864EC3">
        <w:rPr>
          <w:rFonts w:ascii="Times New Roman" w:hAnsi="Times New Roman" w:cs="Times New Roman"/>
          <w:sz w:val="24"/>
          <w:szCs w:val="24"/>
        </w:rPr>
        <w:t xml:space="preserve">the control variables </w:t>
      </w:r>
      <w:r w:rsidR="009419E0">
        <w:rPr>
          <w:rFonts w:ascii="Times New Roman" w:hAnsi="Times New Roman" w:cs="Times New Roman"/>
          <w:sz w:val="24"/>
          <w:szCs w:val="24"/>
        </w:rPr>
        <w:t>were</w:t>
      </w:r>
      <w:r w:rsidR="00F4320F">
        <w:rPr>
          <w:rFonts w:ascii="Times New Roman" w:hAnsi="Times New Roman" w:cs="Times New Roman"/>
          <w:sz w:val="24"/>
          <w:szCs w:val="24"/>
        </w:rPr>
        <w:t xml:space="preserve"> defined earlier.</w:t>
      </w:r>
      <w:r w:rsidR="00E72658">
        <w:rPr>
          <w:rFonts w:ascii="Times New Roman" w:hAnsi="Times New Roman" w:cs="Times New Roman"/>
          <w:sz w:val="24"/>
          <w:szCs w:val="24"/>
        </w:rPr>
        <w:t xml:space="preserve"> </w:t>
      </w:r>
      <w:r w:rsidR="00E72658" w:rsidRPr="00605521">
        <w:rPr>
          <w:rFonts w:ascii="Times New Roman" w:hAnsi="Times New Roman" w:cs="Times New Roman"/>
          <w:i/>
          <w:iCs/>
          <w:sz w:val="24"/>
          <w:szCs w:val="24"/>
        </w:rPr>
        <w:t>GOVH</w:t>
      </w:r>
      <w:r w:rsidR="00E72658" w:rsidRPr="003C1E59">
        <w:rPr>
          <w:rFonts w:ascii="Times New Roman" w:hAnsi="Times New Roman" w:cs="Times New Roman"/>
          <w:i/>
          <w:iCs/>
          <w:sz w:val="24"/>
          <w:szCs w:val="24"/>
          <w:vertAlign w:val="subscript"/>
        </w:rPr>
        <w:t>i</w:t>
      </w:r>
      <w:r w:rsidR="00E72658">
        <w:rPr>
          <w:rFonts w:ascii="Times New Roman" w:hAnsi="Times New Roman" w:cs="Times New Roman"/>
          <w:i/>
          <w:iCs/>
          <w:sz w:val="24"/>
          <w:szCs w:val="24"/>
          <w:vertAlign w:val="subscript"/>
        </w:rPr>
        <w:t>,t</w:t>
      </w:r>
      <w:r w:rsidR="00E72658">
        <w:rPr>
          <w:rFonts w:ascii="Times New Roman" w:hAnsi="Times New Roman" w:cs="Times New Roman"/>
          <w:sz w:val="24"/>
          <w:szCs w:val="24"/>
        </w:rPr>
        <w:t xml:space="preserve"> is a dummy variable which takes the value 1 if the governance index value for the announcement year is above the median value for all other observations or 0 otherwise</w:t>
      </w:r>
      <w:r w:rsidR="00186167">
        <w:rPr>
          <w:rFonts w:ascii="Times New Roman" w:hAnsi="Times New Roman" w:cs="Times New Roman"/>
          <w:sz w:val="24"/>
          <w:szCs w:val="24"/>
        </w:rPr>
        <w:t>,</w:t>
      </w:r>
      <w:r w:rsidR="00F4320F">
        <w:rPr>
          <w:rFonts w:ascii="Times New Roman" w:hAnsi="Times New Roman" w:cs="Times New Roman"/>
          <w:sz w:val="24"/>
          <w:szCs w:val="24"/>
        </w:rPr>
        <w:t xml:space="preserve"> while </w:t>
      </w:r>
      <w:r w:rsidR="003A2C11">
        <w:rPr>
          <w:rFonts w:ascii="Times New Roman" w:hAnsi="Times New Roman" w:cs="Times New Roman"/>
          <w:i/>
          <w:iCs/>
          <w:sz w:val="24"/>
          <w:szCs w:val="24"/>
        </w:rPr>
        <w:t>SMIP</w:t>
      </w:r>
      <w:r w:rsidR="00E72658" w:rsidRPr="003C1E59">
        <w:rPr>
          <w:rFonts w:ascii="Times New Roman" w:hAnsi="Times New Roman" w:cs="Times New Roman"/>
          <w:i/>
          <w:iCs/>
          <w:sz w:val="24"/>
          <w:szCs w:val="24"/>
          <w:vertAlign w:val="subscript"/>
        </w:rPr>
        <w:t>i</w:t>
      </w:r>
      <w:r w:rsidR="00E72658">
        <w:rPr>
          <w:rFonts w:ascii="Times New Roman" w:hAnsi="Times New Roman" w:cs="Times New Roman"/>
          <w:i/>
          <w:iCs/>
          <w:sz w:val="24"/>
          <w:szCs w:val="24"/>
          <w:vertAlign w:val="subscript"/>
        </w:rPr>
        <w:t>,t</w:t>
      </w:r>
      <w:r w:rsidR="00E72658">
        <w:rPr>
          <w:rFonts w:ascii="Times New Roman" w:hAnsi="Times New Roman" w:cs="Times New Roman"/>
          <w:sz w:val="24"/>
          <w:szCs w:val="24"/>
        </w:rPr>
        <w:t xml:space="preserve"> is a dummy variable which takes the value 1 if </w:t>
      </w:r>
      <w:r w:rsidR="00B13533">
        <w:rPr>
          <w:rFonts w:ascii="Times New Roman" w:hAnsi="Times New Roman" w:cs="Times New Roman"/>
          <w:sz w:val="24"/>
          <w:szCs w:val="24"/>
        </w:rPr>
        <w:t xml:space="preserve">the </w:t>
      </w:r>
      <w:r w:rsidR="00BE0D7D">
        <w:rPr>
          <w:rFonts w:ascii="Times New Roman" w:hAnsi="Times New Roman" w:cs="Times New Roman"/>
          <w:sz w:val="24"/>
          <w:szCs w:val="24"/>
        </w:rPr>
        <w:t xml:space="preserve">cumulative </w:t>
      </w:r>
      <w:r w:rsidR="00B13533">
        <w:rPr>
          <w:rFonts w:ascii="Times New Roman" w:hAnsi="Times New Roman" w:cs="Times New Roman"/>
          <w:sz w:val="24"/>
          <w:szCs w:val="24"/>
        </w:rPr>
        <w:t>return on S&amp;P 1500 (sentiment measure) five-days prior to the announcement</w:t>
      </w:r>
      <w:r w:rsidR="00B13533" w:rsidRPr="001B5E5E">
        <w:rPr>
          <w:rFonts w:ascii="Times New Roman" w:hAnsi="Times New Roman" w:cs="Times New Roman"/>
          <w:sz w:val="24"/>
          <w:szCs w:val="24"/>
        </w:rPr>
        <w:t xml:space="preserve"> </w:t>
      </w:r>
      <w:r w:rsidR="00BE0D7D">
        <w:rPr>
          <w:rFonts w:ascii="Times New Roman" w:hAnsi="Times New Roman" w:cs="Times New Roman"/>
          <w:sz w:val="24"/>
          <w:szCs w:val="24"/>
        </w:rPr>
        <w:t>is</w:t>
      </w:r>
      <w:r w:rsidR="00B13533">
        <w:rPr>
          <w:rFonts w:ascii="Times New Roman" w:hAnsi="Times New Roman" w:cs="Times New Roman"/>
          <w:sz w:val="24"/>
          <w:szCs w:val="24"/>
        </w:rPr>
        <w:t xml:space="preserve"> </w:t>
      </w:r>
      <w:r w:rsidR="00BE0D7D">
        <w:rPr>
          <w:rFonts w:ascii="Times New Roman" w:hAnsi="Times New Roman" w:cs="Times New Roman"/>
          <w:sz w:val="24"/>
          <w:szCs w:val="24"/>
        </w:rPr>
        <w:t>positive</w:t>
      </w:r>
      <w:r w:rsidR="00B13533">
        <w:rPr>
          <w:rFonts w:ascii="Times New Roman" w:hAnsi="Times New Roman" w:cs="Times New Roman"/>
          <w:sz w:val="24"/>
          <w:szCs w:val="24"/>
        </w:rPr>
        <w:t xml:space="preserve"> </w:t>
      </w:r>
      <w:r w:rsidR="00E72658">
        <w:rPr>
          <w:rFonts w:ascii="Times New Roman" w:hAnsi="Times New Roman" w:cs="Times New Roman"/>
          <w:sz w:val="24"/>
          <w:szCs w:val="24"/>
        </w:rPr>
        <w:t xml:space="preserve">or 0 otherwise. </w:t>
      </w:r>
      <w:r w:rsidR="00E72658" w:rsidRPr="00605521">
        <w:rPr>
          <w:rFonts w:ascii="Times New Roman" w:hAnsi="Times New Roman" w:cs="Times New Roman"/>
          <w:i/>
          <w:iCs/>
          <w:sz w:val="24"/>
          <w:szCs w:val="24"/>
        </w:rPr>
        <w:t>VIXH</w:t>
      </w:r>
      <w:r w:rsidR="00E72658" w:rsidRPr="003C1E59">
        <w:rPr>
          <w:rFonts w:ascii="Times New Roman" w:hAnsi="Times New Roman" w:cs="Times New Roman"/>
          <w:i/>
          <w:iCs/>
          <w:sz w:val="24"/>
          <w:szCs w:val="24"/>
          <w:vertAlign w:val="subscript"/>
        </w:rPr>
        <w:t>i</w:t>
      </w:r>
      <w:r w:rsidR="00E72658">
        <w:rPr>
          <w:rFonts w:ascii="Times New Roman" w:hAnsi="Times New Roman" w:cs="Times New Roman"/>
          <w:i/>
          <w:iCs/>
          <w:sz w:val="24"/>
          <w:szCs w:val="24"/>
          <w:vertAlign w:val="subscript"/>
        </w:rPr>
        <w:t>,t</w:t>
      </w:r>
      <w:r w:rsidR="00E72658">
        <w:rPr>
          <w:rFonts w:ascii="Times New Roman" w:hAnsi="Times New Roman" w:cs="Times New Roman"/>
          <w:sz w:val="24"/>
          <w:szCs w:val="24"/>
        </w:rPr>
        <w:t xml:space="preserve"> is a dummy variable which takes the value 1 if the </w:t>
      </w:r>
      <w:bookmarkStart w:id="8" w:name="_Hlk531686360"/>
      <w:r w:rsidR="00E72658">
        <w:rPr>
          <w:rFonts w:ascii="Times New Roman" w:hAnsi="Times New Roman" w:cs="Times New Roman"/>
          <w:sz w:val="24"/>
          <w:szCs w:val="24"/>
        </w:rPr>
        <w:t>VIX (uncertainty measure) value</w:t>
      </w:r>
      <w:r w:rsidR="00AB433A">
        <w:rPr>
          <w:rFonts w:ascii="Times New Roman" w:hAnsi="Times New Roman" w:cs="Times New Roman"/>
          <w:sz w:val="24"/>
          <w:szCs w:val="24"/>
        </w:rPr>
        <w:t xml:space="preserve"> one</w:t>
      </w:r>
      <w:r w:rsidR="00B13533">
        <w:rPr>
          <w:rFonts w:ascii="Times New Roman" w:hAnsi="Times New Roman" w:cs="Times New Roman"/>
          <w:sz w:val="24"/>
          <w:szCs w:val="24"/>
        </w:rPr>
        <w:t xml:space="preserve"> day prior to the announcement </w:t>
      </w:r>
      <w:r w:rsidR="00E72658">
        <w:rPr>
          <w:rFonts w:ascii="Times New Roman" w:hAnsi="Times New Roman" w:cs="Times New Roman"/>
          <w:sz w:val="24"/>
          <w:szCs w:val="24"/>
        </w:rPr>
        <w:t>is above the median value for all VIX observations</w:t>
      </w:r>
      <w:bookmarkEnd w:id="8"/>
      <w:r w:rsidR="00E72658">
        <w:rPr>
          <w:rFonts w:ascii="Times New Roman" w:hAnsi="Times New Roman" w:cs="Times New Roman"/>
          <w:sz w:val="24"/>
          <w:szCs w:val="24"/>
        </w:rPr>
        <w:t xml:space="preserve"> or 0 otherwise</w:t>
      </w:r>
      <w:r w:rsidR="00F4320F">
        <w:rPr>
          <w:rFonts w:ascii="Times New Roman" w:hAnsi="Times New Roman" w:cs="Times New Roman"/>
          <w:sz w:val="24"/>
          <w:szCs w:val="24"/>
        </w:rPr>
        <w:t xml:space="preserve">. </w:t>
      </w:r>
      <w:r w:rsidR="00E72658">
        <w:rPr>
          <w:rFonts w:ascii="Times New Roman" w:hAnsi="Times New Roman" w:cs="Times New Roman"/>
          <w:sz w:val="24"/>
          <w:szCs w:val="24"/>
        </w:rPr>
        <w:t xml:space="preserve">The answer to our </w:t>
      </w:r>
      <w:r w:rsidR="001A11D4">
        <w:rPr>
          <w:rFonts w:ascii="Times New Roman" w:hAnsi="Times New Roman" w:cs="Times New Roman"/>
          <w:sz w:val="24"/>
          <w:szCs w:val="24"/>
        </w:rPr>
        <w:t>first</w:t>
      </w:r>
      <w:r w:rsidR="0096599D">
        <w:rPr>
          <w:rFonts w:ascii="Times New Roman" w:hAnsi="Times New Roman" w:cs="Times New Roman"/>
          <w:sz w:val="24"/>
          <w:szCs w:val="24"/>
        </w:rPr>
        <w:t xml:space="preserve"> </w:t>
      </w:r>
      <w:r w:rsidR="00E72658">
        <w:rPr>
          <w:rFonts w:ascii="Times New Roman" w:hAnsi="Times New Roman" w:cs="Times New Roman"/>
          <w:sz w:val="24"/>
          <w:szCs w:val="24"/>
        </w:rPr>
        <w:t xml:space="preserve">research question </w:t>
      </w:r>
      <w:r w:rsidR="0096599D">
        <w:rPr>
          <w:rFonts w:ascii="Times New Roman" w:hAnsi="Times New Roman" w:cs="Times New Roman"/>
          <w:sz w:val="24"/>
          <w:szCs w:val="24"/>
        </w:rPr>
        <w:t xml:space="preserve">is to be found in </w:t>
      </w:r>
      <w:r w:rsidR="00E72658">
        <w:rPr>
          <w:rFonts w:ascii="Times New Roman" w:hAnsi="Times New Roman" w:cs="Times New Roman"/>
          <w:sz w:val="24"/>
          <w:szCs w:val="24"/>
        </w:rPr>
        <w:t>b</w:t>
      </w:r>
      <w:r w:rsidR="00E72658" w:rsidRPr="0036793D">
        <w:rPr>
          <w:rFonts w:ascii="Times New Roman" w:hAnsi="Times New Roman" w:cs="Times New Roman"/>
          <w:sz w:val="24"/>
          <w:szCs w:val="24"/>
        </w:rPr>
        <w:t xml:space="preserve">oth the sign and </w:t>
      </w:r>
      <w:r w:rsidR="00E72658">
        <w:rPr>
          <w:rFonts w:ascii="Times New Roman" w:hAnsi="Times New Roman" w:cs="Times New Roman"/>
          <w:sz w:val="24"/>
          <w:szCs w:val="24"/>
        </w:rPr>
        <w:t xml:space="preserve">the </w:t>
      </w:r>
      <w:r w:rsidR="00E72658" w:rsidRPr="0036793D">
        <w:rPr>
          <w:rFonts w:ascii="Times New Roman" w:hAnsi="Times New Roman" w:cs="Times New Roman"/>
          <w:sz w:val="24"/>
          <w:szCs w:val="24"/>
        </w:rPr>
        <w:t xml:space="preserve">significance </w:t>
      </w:r>
      <w:r w:rsidR="001A11D4">
        <w:rPr>
          <w:rFonts w:ascii="Times New Roman" w:hAnsi="Times New Roman" w:cs="Times New Roman"/>
          <w:sz w:val="24"/>
          <w:szCs w:val="24"/>
        </w:rPr>
        <w:t xml:space="preserve">of </w:t>
      </w:r>
      <w:r w:rsidR="001A11D4">
        <w:rPr>
          <w:rFonts w:ascii="Times New Roman" w:hAnsi="Times New Roman" w:cs="Times New Roman"/>
          <w:i/>
          <w:iCs/>
          <w:sz w:val="24"/>
          <w:szCs w:val="24"/>
        </w:rPr>
        <w:t>β</w:t>
      </w:r>
      <w:r w:rsidR="001A11D4">
        <w:rPr>
          <w:rFonts w:ascii="Times New Roman" w:hAnsi="Times New Roman" w:cs="Times New Roman"/>
          <w:i/>
          <w:iCs/>
          <w:sz w:val="24"/>
          <w:szCs w:val="24"/>
          <w:vertAlign w:val="subscript"/>
        </w:rPr>
        <w:t>6</w:t>
      </w:r>
      <w:r w:rsidR="001A11D4" w:rsidRPr="00B045B7">
        <w:rPr>
          <w:rFonts w:ascii="Times New Roman" w:hAnsi="Times New Roman" w:cs="Times New Roman"/>
          <w:sz w:val="24"/>
          <w:szCs w:val="24"/>
        </w:rPr>
        <w:t xml:space="preserve"> and </w:t>
      </w:r>
      <w:r w:rsidR="001A11D4">
        <w:rPr>
          <w:rFonts w:ascii="Times New Roman" w:hAnsi="Times New Roman" w:cs="Times New Roman"/>
          <w:i/>
          <w:iCs/>
          <w:sz w:val="24"/>
          <w:szCs w:val="24"/>
        </w:rPr>
        <w:t>β</w:t>
      </w:r>
      <w:r w:rsidR="001A11D4">
        <w:rPr>
          <w:rFonts w:ascii="Times New Roman" w:hAnsi="Times New Roman" w:cs="Times New Roman"/>
          <w:i/>
          <w:iCs/>
          <w:sz w:val="24"/>
          <w:szCs w:val="24"/>
          <w:vertAlign w:val="subscript"/>
        </w:rPr>
        <w:t>7</w:t>
      </w:r>
      <w:r w:rsidR="001A11D4">
        <w:rPr>
          <w:rFonts w:ascii="Times New Roman" w:hAnsi="Times New Roman" w:cs="Times New Roman"/>
          <w:sz w:val="24"/>
          <w:szCs w:val="24"/>
        </w:rPr>
        <w:t xml:space="preserve"> as they represent the difference in the initial reaction to </w:t>
      </w:r>
      <w:r w:rsidR="0096599D">
        <w:rPr>
          <w:rFonts w:ascii="Times New Roman" w:hAnsi="Times New Roman" w:cs="Times New Roman"/>
          <w:sz w:val="24"/>
          <w:szCs w:val="24"/>
        </w:rPr>
        <w:t xml:space="preserve">both NUE and PUE for </w:t>
      </w:r>
      <w:r w:rsidR="001A11D4">
        <w:rPr>
          <w:rFonts w:ascii="Times New Roman" w:hAnsi="Times New Roman" w:cs="Times New Roman"/>
          <w:sz w:val="24"/>
          <w:szCs w:val="24"/>
        </w:rPr>
        <w:t xml:space="preserve">better governed firms </w:t>
      </w:r>
      <w:r w:rsidR="0096599D">
        <w:rPr>
          <w:rFonts w:ascii="Times New Roman" w:hAnsi="Times New Roman" w:cs="Times New Roman"/>
          <w:sz w:val="24"/>
          <w:szCs w:val="24"/>
        </w:rPr>
        <w:t xml:space="preserve">as </w:t>
      </w:r>
      <w:r w:rsidR="001A11D4">
        <w:rPr>
          <w:rFonts w:ascii="Times New Roman" w:hAnsi="Times New Roman" w:cs="Times New Roman"/>
          <w:sz w:val="24"/>
          <w:szCs w:val="24"/>
        </w:rPr>
        <w:t>compared to th</w:t>
      </w:r>
      <w:r w:rsidR="0096599D">
        <w:rPr>
          <w:rFonts w:ascii="Times New Roman" w:hAnsi="Times New Roman" w:cs="Times New Roman"/>
          <w:sz w:val="24"/>
          <w:szCs w:val="24"/>
        </w:rPr>
        <w:t>at</w:t>
      </w:r>
      <w:r w:rsidR="001A11D4">
        <w:rPr>
          <w:rFonts w:ascii="Times New Roman" w:hAnsi="Times New Roman" w:cs="Times New Roman"/>
          <w:sz w:val="24"/>
          <w:szCs w:val="24"/>
        </w:rPr>
        <w:t xml:space="preserve"> of the less well governed firms.</w:t>
      </w:r>
    </w:p>
    <w:p w14:paraId="0A92CA25" w14:textId="77777777" w:rsidR="00573D1E" w:rsidRPr="0095103F" w:rsidRDefault="00573D1E" w:rsidP="008F42C0">
      <w:pPr>
        <w:tabs>
          <w:tab w:val="left" w:pos="567"/>
        </w:tabs>
        <w:spacing w:after="0" w:line="288" w:lineRule="auto"/>
        <w:jc w:val="both"/>
        <w:rPr>
          <w:rFonts w:ascii="Times New Roman" w:hAnsi="Times New Roman" w:cs="Times New Roman"/>
          <w:sz w:val="16"/>
          <w:szCs w:val="16"/>
        </w:rPr>
      </w:pPr>
    </w:p>
    <w:p w14:paraId="68FC7F70" w14:textId="262EBF68" w:rsidR="0036793D" w:rsidRPr="00BA14B0" w:rsidRDefault="00573D1E" w:rsidP="00BA14B0">
      <w:pPr>
        <w:tabs>
          <w:tab w:val="left" w:pos="567"/>
        </w:tabs>
        <w:spacing w:after="0" w:line="288"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3.3.2 </w:t>
      </w:r>
      <w:r w:rsidR="008B0CB4">
        <w:rPr>
          <w:rFonts w:ascii="Times New Roman" w:hAnsi="Times New Roman" w:cs="Times New Roman"/>
          <w:b/>
          <w:bCs/>
          <w:sz w:val="24"/>
          <w:szCs w:val="24"/>
        </w:rPr>
        <w:t xml:space="preserve"> </w:t>
      </w:r>
      <w:r w:rsidR="0036793D" w:rsidRPr="00BA14B0">
        <w:rPr>
          <w:rFonts w:ascii="Times New Roman" w:hAnsi="Times New Roman" w:cs="Times New Roman"/>
          <w:b/>
          <w:bCs/>
          <w:sz w:val="24"/>
          <w:szCs w:val="24"/>
        </w:rPr>
        <w:t>Governance</w:t>
      </w:r>
      <w:proofErr w:type="gramEnd"/>
      <w:r w:rsidR="0036793D" w:rsidRPr="00BA14B0">
        <w:rPr>
          <w:rFonts w:ascii="Times New Roman" w:hAnsi="Times New Roman" w:cs="Times New Roman"/>
          <w:b/>
          <w:bCs/>
          <w:sz w:val="24"/>
          <w:szCs w:val="24"/>
        </w:rPr>
        <w:t xml:space="preserve"> and </w:t>
      </w:r>
      <w:r w:rsidR="000F0779" w:rsidRPr="00BA14B0">
        <w:rPr>
          <w:rFonts w:ascii="Times New Roman" w:hAnsi="Times New Roman" w:cs="Times New Roman"/>
          <w:b/>
          <w:bCs/>
          <w:sz w:val="24"/>
          <w:szCs w:val="24"/>
        </w:rPr>
        <w:t xml:space="preserve">the </w:t>
      </w:r>
      <w:r w:rsidR="00352E64" w:rsidRPr="00BA14B0">
        <w:rPr>
          <w:rFonts w:ascii="Times New Roman" w:hAnsi="Times New Roman" w:cs="Times New Roman"/>
          <w:b/>
          <w:bCs/>
          <w:sz w:val="24"/>
          <w:szCs w:val="24"/>
        </w:rPr>
        <w:t>P</w:t>
      </w:r>
      <w:r w:rsidR="0036793D" w:rsidRPr="00BA14B0">
        <w:rPr>
          <w:rFonts w:ascii="Times New Roman" w:hAnsi="Times New Roman" w:cs="Times New Roman"/>
          <w:b/>
          <w:bCs/>
          <w:sz w:val="24"/>
          <w:szCs w:val="24"/>
        </w:rPr>
        <w:t>ost-</w:t>
      </w:r>
      <w:r w:rsidR="00352E64" w:rsidRPr="00BA14B0">
        <w:rPr>
          <w:rFonts w:ascii="Times New Roman" w:hAnsi="Times New Roman" w:cs="Times New Roman"/>
          <w:b/>
          <w:bCs/>
          <w:sz w:val="24"/>
          <w:szCs w:val="24"/>
        </w:rPr>
        <w:t>E</w:t>
      </w:r>
      <w:r w:rsidR="0036793D" w:rsidRPr="00BA14B0">
        <w:rPr>
          <w:rFonts w:ascii="Times New Roman" w:hAnsi="Times New Roman" w:cs="Times New Roman"/>
          <w:b/>
          <w:bCs/>
          <w:sz w:val="24"/>
          <w:szCs w:val="24"/>
        </w:rPr>
        <w:t xml:space="preserve">arnings </w:t>
      </w:r>
      <w:r w:rsidR="00352E64" w:rsidRPr="00BA14B0">
        <w:rPr>
          <w:rFonts w:ascii="Times New Roman" w:hAnsi="Times New Roman" w:cs="Times New Roman"/>
          <w:b/>
          <w:bCs/>
          <w:sz w:val="24"/>
          <w:szCs w:val="24"/>
        </w:rPr>
        <w:t>A</w:t>
      </w:r>
      <w:r w:rsidR="0036793D" w:rsidRPr="00BA14B0">
        <w:rPr>
          <w:rFonts w:ascii="Times New Roman" w:hAnsi="Times New Roman" w:cs="Times New Roman"/>
          <w:b/>
          <w:bCs/>
          <w:sz w:val="24"/>
          <w:szCs w:val="24"/>
        </w:rPr>
        <w:t xml:space="preserve">nnouncement </w:t>
      </w:r>
      <w:r w:rsidR="00352E64" w:rsidRPr="00BA14B0">
        <w:rPr>
          <w:rFonts w:ascii="Times New Roman" w:hAnsi="Times New Roman" w:cs="Times New Roman"/>
          <w:b/>
          <w:bCs/>
          <w:sz w:val="24"/>
          <w:szCs w:val="24"/>
        </w:rPr>
        <w:t>D</w:t>
      </w:r>
      <w:r w:rsidR="0036793D" w:rsidRPr="00BA14B0">
        <w:rPr>
          <w:rFonts w:ascii="Times New Roman" w:hAnsi="Times New Roman" w:cs="Times New Roman"/>
          <w:b/>
          <w:bCs/>
          <w:sz w:val="24"/>
          <w:szCs w:val="24"/>
        </w:rPr>
        <w:t>rift</w:t>
      </w:r>
    </w:p>
    <w:p w14:paraId="676713C1" w14:textId="77777777" w:rsidR="00352E64" w:rsidRPr="00352E64" w:rsidRDefault="00352E64" w:rsidP="008F42C0">
      <w:pPr>
        <w:tabs>
          <w:tab w:val="left" w:pos="567"/>
        </w:tabs>
        <w:spacing w:after="0" w:line="288" w:lineRule="auto"/>
        <w:jc w:val="both"/>
        <w:rPr>
          <w:rFonts w:ascii="Times New Roman" w:hAnsi="Times New Roman" w:cs="Times New Roman"/>
          <w:sz w:val="6"/>
          <w:szCs w:val="6"/>
        </w:rPr>
      </w:pPr>
    </w:p>
    <w:p w14:paraId="4B41B8B1" w14:textId="5CA2AA2B" w:rsidR="00B045B7" w:rsidRDefault="00B045B7"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With regards to the post-announcement period and the PEAD, we estimate the following model for the full sample: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B045B7" w:rsidRPr="00B70E0E" w14:paraId="7C1AF4AF" w14:textId="77777777" w:rsidTr="002506BC">
        <w:trPr>
          <w:cantSplit/>
          <w:trHeight w:val="1772"/>
        </w:trPr>
        <w:tc>
          <w:tcPr>
            <w:tcW w:w="8725" w:type="dxa"/>
            <w:vAlign w:val="center"/>
          </w:tcPr>
          <w:p w14:paraId="192AB751" w14:textId="77777777" w:rsidR="00B045B7" w:rsidRPr="00B70E0E" w:rsidRDefault="00B045B7" w:rsidP="008F42C0">
            <w:pPr>
              <w:tabs>
                <w:tab w:val="left" w:pos="567"/>
              </w:tabs>
              <w:spacing w:line="288" w:lineRule="auto"/>
              <w:jc w:val="center"/>
              <w:rPr>
                <w:rFonts w:ascii="Times New Roman" w:hAnsi="Times New Roman" w:cs="Times New Roman"/>
                <w:i/>
                <w:iCs/>
              </w:rPr>
            </w:pPr>
            <w:r w:rsidRPr="00B70E0E">
              <w:rPr>
                <w:rFonts w:ascii="Times New Roman" w:hAnsi="Times New Roman" w:cs="Times New Roman"/>
                <w:i/>
                <w:iCs/>
              </w:rPr>
              <w:t>CAR(2,60)</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0</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1</w:t>
            </w:r>
            <w:r w:rsidRPr="00B70E0E">
              <w:rPr>
                <w:rFonts w:ascii="Times New Roman" w:hAnsi="Times New Roman" w:cs="Times New Roman"/>
                <w:i/>
                <w:iCs/>
              </w:rPr>
              <w:t xml:space="preserve"> NUE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2</w:t>
            </w:r>
            <w:r w:rsidRPr="00B70E0E">
              <w:rPr>
                <w:rFonts w:ascii="Times New Roman" w:hAnsi="Times New Roman" w:cs="Times New Roman"/>
                <w:i/>
                <w:iCs/>
              </w:rPr>
              <w:t xml:space="preserve"> PUE</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3</w:t>
            </w:r>
            <w:r w:rsidRPr="00B70E0E">
              <w:rPr>
                <w:rFonts w:ascii="Times New Roman" w:hAnsi="Times New Roman" w:cs="Times New Roman"/>
                <w:i/>
                <w:iCs/>
              </w:rPr>
              <w:t xml:space="preserve"> GOVH</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4</w:t>
            </w:r>
            <w:r w:rsidRPr="00B70E0E">
              <w:rPr>
                <w:rFonts w:ascii="Times New Roman" w:hAnsi="Times New Roman" w:cs="Times New Roman"/>
                <w:i/>
                <w:iCs/>
              </w:rPr>
              <w:t xml:space="preserve"> PSMIP</w:t>
            </w:r>
            <w:r w:rsidRPr="00B70E0E">
              <w:rPr>
                <w:rFonts w:ascii="Times New Roman" w:hAnsi="Times New Roman" w:cs="Times New Roman"/>
                <w:i/>
                <w:iCs/>
                <w:vertAlign w:val="subscript"/>
              </w:rPr>
              <w:t>i,t</w:t>
            </w:r>
            <w:r w:rsidRPr="00B70E0E">
              <w:rPr>
                <w:rFonts w:ascii="Times New Roman" w:hAnsi="Times New Roman" w:cs="Times New Roman"/>
                <w:i/>
                <w:iCs/>
              </w:rPr>
              <w:t xml:space="preserve">  + β</w:t>
            </w:r>
            <w:r w:rsidRPr="00B70E0E">
              <w:rPr>
                <w:rFonts w:ascii="Times New Roman" w:hAnsi="Times New Roman" w:cs="Times New Roman"/>
                <w:i/>
                <w:iCs/>
                <w:vertAlign w:val="subscript"/>
              </w:rPr>
              <w:t>5</w:t>
            </w:r>
            <w:r w:rsidRPr="00B70E0E">
              <w:rPr>
                <w:rFonts w:ascii="Times New Roman" w:hAnsi="Times New Roman" w:cs="Times New Roman"/>
                <w:i/>
                <w:iCs/>
              </w:rPr>
              <w:t xml:space="preserve"> ∆VIXH</w:t>
            </w:r>
            <w:r w:rsidRPr="00B70E0E">
              <w:rPr>
                <w:rFonts w:ascii="Times New Roman" w:hAnsi="Times New Roman" w:cs="Times New Roman"/>
                <w:i/>
                <w:iCs/>
                <w:vertAlign w:val="subscript"/>
              </w:rPr>
              <w:t>i,t</w:t>
            </w:r>
            <w:r w:rsidRPr="00B70E0E">
              <w:rPr>
                <w:rFonts w:ascii="Times New Roman" w:hAnsi="Times New Roman" w:cs="Times New Roman"/>
                <w:i/>
                <w:iCs/>
              </w:rPr>
              <w:t xml:space="preserve"> </w:t>
            </w:r>
          </w:p>
          <w:p w14:paraId="16C74B50" w14:textId="77777777" w:rsidR="00B045B7" w:rsidRPr="00BA14B0" w:rsidRDefault="00B045B7" w:rsidP="008F42C0">
            <w:pPr>
              <w:tabs>
                <w:tab w:val="left" w:pos="567"/>
              </w:tabs>
              <w:spacing w:line="288" w:lineRule="auto"/>
              <w:jc w:val="center"/>
              <w:rPr>
                <w:rFonts w:ascii="Times New Roman" w:hAnsi="Times New Roman" w:cs="Times New Roman"/>
                <w:i/>
                <w:iCs/>
                <w:lang w:val="de-DE"/>
              </w:rPr>
            </w:pPr>
            <w:r w:rsidRPr="00BA14B0">
              <w:rPr>
                <w:rFonts w:ascii="Times New Roman" w:hAnsi="Times New Roman" w:cs="Times New Roman"/>
                <w:i/>
                <w:iCs/>
                <w:lang w:val="de-DE"/>
              </w:rPr>
              <w:t xml:space="preserve">+ </w:t>
            </w:r>
            <w:r w:rsidRPr="00B70E0E">
              <w:rPr>
                <w:rFonts w:ascii="Times New Roman" w:hAnsi="Times New Roman" w:cs="Times New Roman"/>
                <w:i/>
                <w:iCs/>
              </w:rPr>
              <w:t>β</w:t>
            </w:r>
            <w:r w:rsidRPr="00BA14B0">
              <w:rPr>
                <w:rFonts w:ascii="Times New Roman" w:hAnsi="Times New Roman" w:cs="Times New Roman"/>
                <w:i/>
                <w:iCs/>
                <w:vertAlign w:val="subscript"/>
                <w:lang w:val="de-DE"/>
              </w:rPr>
              <w:t>6</w:t>
            </w:r>
            <w:r w:rsidRPr="00BA14B0">
              <w:rPr>
                <w:rFonts w:ascii="Times New Roman" w:hAnsi="Times New Roman" w:cs="Times New Roman"/>
                <w:i/>
                <w:iCs/>
                <w:lang w:val="de-DE"/>
              </w:rPr>
              <w:t xml:space="preserve"> GOVH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×NUE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Pr="00B70E0E">
              <w:rPr>
                <w:rFonts w:ascii="Times New Roman" w:hAnsi="Times New Roman" w:cs="Times New Roman"/>
                <w:i/>
                <w:iCs/>
              </w:rPr>
              <w:t>β</w:t>
            </w:r>
            <w:r w:rsidRPr="00BA14B0">
              <w:rPr>
                <w:rFonts w:ascii="Times New Roman" w:hAnsi="Times New Roman" w:cs="Times New Roman"/>
                <w:i/>
                <w:iCs/>
                <w:vertAlign w:val="subscript"/>
                <w:lang w:val="de-DE"/>
              </w:rPr>
              <w:t>7</w:t>
            </w:r>
            <w:r w:rsidRPr="00BA14B0">
              <w:rPr>
                <w:rFonts w:ascii="Times New Roman" w:hAnsi="Times New Roman" w:cs="Times New Roman"/>
                <w:i/>
                <w:iCs/>
                <w:lang w:val="de-DE"/>
              </w:rPr>
              <w:t xml:space="preserve"> GOVH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×PUE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Pr="00B70E0E">
              <w:rPr>
                <w:rFonts w:ascii="Times New Roman" w:hAnsi="Times New Roman" w:cs="Times New Roman"/>
                <w:i/>
                <w:iCs/>
              </w:rPr>
              <w:t>β</w:t>
            </w:r>
            <w:r w:rsidRPr="00BA14B0">
              <w:rPr>
                <w:rFonts w:ascii="Times New Roman" w:hAnsi="Times New Roman" w:cs="Times New Roman"/>
                <w:i/>
                <w:iCs/>
                <w:vertAlign w:val="subscript"/>
                <w:lang w:val="de-DE"/>
              </w:rPr>
              <w:t>8</w:t>
            </w:r>
            <w:r w:rsidRPr="00BA14B0">
              <w:rPr>
                <w:rFonts w:ascii="Times New Roman" w:hAnsi="Times New Roman" w:cs="Times New Roman"/>
                <w:i/>
                <w:iCs/>
                <w:lang w:val="de-DE"/>
              </w:rPr>
              <w:t xml:space="preserve"> PSMIP</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×NUE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Pr="00B70E0E">
              <w:rPr>
                <w:rFonts w:ascii="Times New Roman" w:hAnsi="Times New Roman" w:cs="Times New Roman"/>
                <w:i/>
                <w:iCs/>
              </w:rPr>
              <w:t>β</w:t>
            </w:r>
            <w:r w:rsidRPr="00BA14B0">
              <w:rPr>
                <w:rFonts w:ascii="Times New Roman" w:hAnsi="Times New Roman" w:cs="Times New Roman"/>
                <w:i/>
                <w:iCs/>
                <w:vertAlign w:val="subscript"/>
                <w:lang w:val="de-DE"/>
              </w:rPr>
              <w:t>9</w:t>
            </w:r>
            <w:r w:rsidRPr="00BA14B0">
              <w:rPr>
                <w:rFonts w:ascii="Times New Roman" w:hAnsi="Times New Roman" w:cs="Times New Roman"/>
                <w:i/>
                <w:iCs/>
                <w:lang w:val="de-DE"/>
              </w:rPr>
              <w:t xml:space="preserve"> PSMIP</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×PUE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w:t>
            </w:r>
          </w:p>
          <w:p w14:paraId="76A0E7F8" w14:textId="70F4F87B" w:rsidR="00B045B7" w:rsidRPr="00BA14B0" w:rsidRDefault="00B045B7" w:rsidP="008F42C0">
            <w:pPr>
              <w:tabs>
                <w:tab w:val="left" w:pos="567"/>
              </w:tabs>
              <w:spacing w:line="288" w:lineRule="auto"/>
              <w:jc w:val="center"/>
              <w:rPr>
                <w:rFonts w:ascii="Times New Roman" w:hAnsi="Times New Roman" w:cs="Times New Roman"/>
                <w:i/>
                <w:iCs/>
                <w:lang w:val="de-DE"/>
              </w:rPr>
            </w:pPr>
            <w:r w:rsidRPr="00BA14B0">
              <w:rPr>
                <w:rFonts w:ascii="Times New Roman" w:hAnsi="Times New Roman" w:cs="Times New Roman"/>
                <w:i/>
                <w:iCs/>
                <w:lang w:val="de-DE"/>
              </w:rPr>
              <w:t xml:space="preserve">+ </w:t>
            </w:r>
            <w:r w:rsidRPr="00B70E0E">
              <w:rPr>
                <w:rFonts w:ascii="Times New Roman" w:hAnsi="Times New Roman" w:cs="Times New Roman"/>
                <w:i/>
                <w:iCs/>
              </w:rPr>
              <w:t>β</w:t>
            </w:r>
            <w:r w:rsidRPr="00BA14B0">
              <w:rPr>
                <w:rFonts w:ascii="Times New Roman" w:hAnsi="Times New Roman" w:cs="Times New Roman"/>
                <w:i/>
                <w:iCs/>
                <w:vertAlign w:val="subscript"/>
                <w:lang w:val="de-DE"/>
              </w:rPr>
              <w:t>10</w:t>
            </w:r>
            <w:r w:rsidRPr="00BA14B0">
              <w:rPr>
                <w:rFonts w:ascii="Times New Roman" w:hAnsi="Times New Roman" w:cs="Times New Roman"/>
                <w:i/>
                <w:iCs/>
                <w:lang w:val="de-DE"/>
              </w:rPr>
              <w:t xml:space="preserve"> ∆VIXH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×NUE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w:t>
            </w:r>
            <w:r w:rsidRPr="00B70E0E">
              <w:rPr>
                <w:rFonts w:ascii="Times New Roman" w:hAnsi="Times New Roman" w:cs="Times New Roman"/>
                <w:i/>
                <w:iCs/>
              </w:rPr>
              <w:t>β</w:t>
            </w:r>
            <w:r w:rsidRPr="00BA14B0">
              <w:rPr>
                <w:rFonts w:ascii="Times New Roman" w:hAnsi="Times New Roman" w:cs="Times New Roman"/>
                <w:i/>
                <w:iCs/>
                <w:vertAlign w:val="subscript"/>
                <w:lang w:val="de-DE"/>
              </w:rPr>
              <w:t>11</w:t>
            </w:r>
            <w:r w:rsidRPr="00BA14B0">
              <w:rPr>
                <w:rFonts w:ascii="Times New Roman" w:hAnsi="Times New Roman" w:cs="Times New Roman"/>
                <w:i/>
                <w:iCs/>
                <w:lang w:val="de-DE"/>
              </w:rPr>
              <w:t xml:space="preserve"> ∆VIXH</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×PUE</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Control Variables (SIZE</w:t>
            </w:r>
            <w:r w:rsidRPr="00BA14B0">
              <w:rPr>
                <w:rFonts w:ascii="Times New Roman" w:hAnsi="Times New Roman" w:cs="Times New Roman"/>
                <w:i/>
                <w:iCs/>
                <w:vertAlign w:val="subscript"/>
                <w:lang w:val="de-DE"/>
              </w:rPr>
              <w:t xml:space="preserve">i,t </w:t>
            </w:r>
            <w:r w:rsidRPr="00BA14B0">
              <w:rPr>
                <w:rFonts w:ascii="Times New Roman" w:hAnsi="Times New Roman" w:cs="Times New Roman"/>
                <w:i/>
                <w:iCs/>
                <w:lang w:val="de-DE"/>
              </w:rPr>
              <w:t>/ BTMV</w:t>
            </w:r>
            <w:r w:rsidRPr="00BA14B0">
              <w:rPr>
                <w:rFonts w:ascii="Times New Roman" w:hAnsi="Times New Roman" w:cs="Times New Roman"/>
                <w:i/>
                <w:iCs/>
                <w:vertAlign w:val="subscript"/>
                <w:lang w:val="de-DE"/>
              </w:rPr>
              <w:t xml:space="preserve">i,t </w:t>
            </w:r>
            <w:r w:rsidRPr="00BA14B0">
              <w:rPr>
                <w:rFonts w:ascii="Times New Roman" w:hAnsi="Times New Roman" w:cs="Times New Roman"/>
                <w:i/>
                <w:iCs/>
                <w:lang w:val="de-DE"/>
              </w:rPr>
              <w:t>/</w:t>
            </w:r>
            <w:r w:rsidR="00B760D5" w:rsidRPr="00BA14B0">
              <w:rPr>
                <w:rFonts w:ascii="Times New Roman" w:hAnsi="Times New Roman" w:cs="Times New Roman"/>
                <w:i/>
                <w:iCs/>
                <w:lang w:val="de-DE"/>
              </w:rPr>
              <w:t xml:space="preserve"> </w:t>
            </w:r>
            <w:r w:rsidRPr="00BA14B0">
              <w:rPr>
                <w:rFonts w:ascii="Times New Roman" w:hAnsi="Times New Roman" w:cs="Times New Roman"/>
                <w:i/>
                <w:iCs/>
                <w:lang w:val="de-DE"/>
              </w:rPr>
              <w:t>RLAG</w:t>
            </w:r>
            <w:r w:rsidRPr="00BA14B0">
              <w:rPr>
                <w:rFonts w:ascii="Times New Roman" w:hAnsi="Times New Roman" w:cs="Times New Roman"/>
                <w:i/>
                <w:iCs/>
                <w:vertAlign w:val="subscript"/>
                <w:lang w:val="de-DE"/>
              </w:rPr>
              <w:t xml:space="preserve">i,t </w:t>
            </w:r>
            <w:r w:rsidRPr="00BA14B0">
              <w:rPr>
                <w:rFonts w:ascii="Times New Roman" w:hAnsi="Times New Roman" w:cs="Times New Roman"/>
                <w:i/>
                <w:iCs/>
                <w:lang w:val="de-DE"/>
              </w:rPr>
              <w:t>/ FORC</w:t>
            </w:r>
            <w:r w:rsidRPr="00BA14B0">
              <w:rPr>
                <w:rFonts w:ascii="Times New Roman" w:hAnsi="Times New Roman" w:cs="Times New Roman"/>
                <w:i/>
                <w:iCs/>
                <w:vertAlign w:val="subscript"/>
                <w:lang w:val="de-DE"/>
              </w:rPr>
              <w:t>i,t</w:t>
            </w:r>
            <w:r w:rsidRPr="00BA14B0">
              <w:rPr>
                <w:rFonts w:ascii="Times New Roman" w:hAnsi="Times New Roman" w:cs="Times New Roman"/>
                <w:i/>
                <w:iCs/>
                <w:lang w:val="de-DE"/>
              </w:rPr>
              <w:t xml:space="preserve">) + Year dummies </w:t>
            </w:r>
            <w:r w:rsidRPr="00BA14B0">
              <w:rPr>
                <w:rFonts w:ascii="Times New Roman" w:hAnsi="Times New Roman" w:cs="Times New Roman"/>
                <w:lang w:val="de-DE"/>
              </w:rPr>
              <w:t>+</w:t>
            </w:r>
            <w:r w:rsidRPr="00BA14B0">
              <w:rPr>
                <w:rFonts w:ascii="Times New Roman" w:hAnsi="Times New Roman" w:cs="Times New Roman"/>
                <w:i/>
                <w:iCs/>
                <w:lang w:val="de-DE"/>
              </w:rPr>
              <w:t xml:space="preserve"> Industry Dummies + </w:t>
            </w:r>
            <w:r w:rsidRPr="00B70E0E">
              <w:rPr>
                <w:rFonts w:ascii="Times New Roman" w:hAnsi="Times New Roman" w:cs="Times New Roman"/>
                <w:i/>
                <w:iCs/>
              </w:rPr>
              <w:t>ε</w:t>
            </w:r>
            <w:r w:rsidRPr="00BA14B0">
              <w:rPr>
                <w:rFonts w:ascii="Times New Roman" w:hAnsi="Times New Roman" w:cs="Times New Roman"/>
                <w:i/>
                <w:iCs/>
                <w:vertAlign w:val="subscript"/>
                <w:lang w:val="de-DE"/>
              </w:rPr>
              <w:t>i</w:t>
            </w:r>
          </w:p>
          <w:p w14:paraId="15EFFFDF" w14:textId="77777777" w:rsidR="00B045B7" w:rsidRPr="00BA14B0" w:rsidRDefault="00B045B7" w:rsidP="008F42C0">
            <w:pPr>
              <w:tabs>
                <w:tab w:val="left" w:pos="567"/>
              </w:tabs>
              <w:spacing w:line="288" w:lineRule="auto"/>
              <w:rPr>
                <w:rFonts w:ascii="Times New Roman" w:hAnsi="Times New Roman" w:cs="Times New Roman"/>
                <w:i/>
                <w:iCs/>
                <w:sz w:val="10"/>
                <w:szCs w:val="10"/>
                <w:lang w:val="de-DE"/>
              </w:rPr>
            </w:pPr>
          </w:p>
        </w:tc>
        <w:tc>
          <w:tcPr>
            <w:tcW w:w="625" w:type="dxa"/>
            <w:vAlign w:val="center"/>
          </w:tcPr>
          <w:p w14:paraId="3337BB58" w14:textId="77777777" w:rsidR="00B045B7" w:rsidRPr="00B70E0E" w:rsidRDefault="00B045B7" w:rsidP="008F42C0">
            <w:pPr>
              <w:tabs>
                <w:tab w:val="left" w:pos="567"/>
              </w:tabs>
              <w:spacing w:line="288" w:lineRule="auto"/>
              <w:jc w:val="right"/>
              <w:rPr>
                <w:rFonts w:ascii="Times New Roman" w:hAnsi="Times New Roman" w:cs="Times New Roman"/>
              </w:rPr>
            </w:pPr>
            <w:r w:rsidRPr="00B70E0E">
              <w:rPr>
                <w:rFonts w:ascii="Times New Roman" w:hAnsi="Times New Roman" w:cs="Times New Roman"/>
              </w:rPr>
              <w:t>(3)</w:t>
            </w:r>
          </w:p>
        </w:tc>
      </w:tr>
    </w:tbl>
    <w:p w14:paraId="5D7BEEA8" w14:textId="44697B92" w:rsidR="003A651C" w:rsidRDefault="00E05E25"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B045B7">
        <w:rPr>
          <w:rFonts w:ascii="Times New Roman" w:hAnsi="Times New Roman" w:cs="Times New Roman"/>
          <w:sz w:val="24"/>
          <w:szCs w:val="24"/>
        </w:rPr>
        <w:t xml:space="preserve">here </w:t>
      </w:r>
      <w:r w:rsidR="00B045B7" w:rsidRPr="00F4320F">
        <w:rPr>
          <w:rFonts w:ascii="Times New Roman" w:hAnsi="Times New Roman" w:cs="Times New Roman"/>
          <w:i/>
          <w:iCs/>
          <w:sz w:val="24"/>
          <w:szCs w:val="24"/>
        </w:rPr>
        <w:t xml:space="preserve">CAR, PUE, NUE, </w:t>
      </w:r>
      <w:r w:rsidR="00B045B7">
        <w:rPr>
          <w:rFonts w:ascii="Times New Roman" w:hAnsi="Times New Roman" w:cs="Times New Roman"/>
          <w:i/>
          <w:iCs/>
          <w:sz w:val="24"/>
          <w:szCs w:val="24"/>
        </w:rPr>
        <w:t>GOVH</w:t>
      </w:r>
      <w:r w:rsidR="00B045B7">
        <w:rPr>
          <w:rFonts w:ascii="Times New Roman" w:hAnsi="Times New Roman" w:cs="Times New Roman"/>
          <w:sz w:val="24"/>
          <w:szCs w:val="24"/>
        </w:rPr>
        <w:t xml:space="preserve"> and the control variables were defined earlier.</w:t>
      </w:r>
      <w:r w:rsidR="00B045B7" w:rsidRPr="00C24268">
        <w:rPr>
          <w:rFonts w:ascii="Times New Roman" w:hAnsi="Times New Roman" w:cs="Times New Roman"/>
          <w:i/>
          <w:iCs/>
          <w:sz w:val="24"/>
          <w:szCs w:val="24"/>
        </w:rPr>
        <w:t xml:space="preserve"> </w:t>
      </w:r>
      <w:r w:rsidR="00B045B7">
        <w:rPr>
          <w:rFonts w:ascii="Times New Roman" w:hAnsi="Times New Roman" w:cs="Times New Roman"/>
          <w:i/>
          <w:iCs/>
          <w:sz w:val="24"/>
          <w:szCs w:val="24"/>
        </w:rPr>
        <w:t>PSMIP</w:t>
      </w:r>
      <w:r w:rsidR="00B045B7" w:rsidRPr="003C1E59">
        <w:rPr>
          <w:rFonts w:ascii="Times New Roman" w:hAnsi="Times New Roman" w:cs="Times New Roman"/>
          <w:i/>
          <w:iCs/>
          <w:sz w:val="24"/>
          <w:szCs w:val="24"/>
          <w:vertAlign w:val="subscript"/>
        </w:rPr>
        <w:t>i</w:t>
      </w:r>
      <w:r w:rsidR="00B045B7">
        <w:rPr>
          <w:rFonts w:ascii="Times New Roman" w:hAnsi="Times New Roman" w:cs="Times New Roman"/>
          <w:i/>
          <w:iCs/>
          <w:sz w:val="24"/>
          <w:szCs w:val="24"/>
          <w:vertAlign w:val="subscript"/>
        </w:rPr>
        <w:t>,t</w:t>
      </w:r>
      <w:r w:rsidR="00B045B7">
        <w:rPr>
          <w:rFonts w:ascii="Times New Roman" w:hAnsi="Times New Roman" w:cs="Times New Roman"/>
          <w:sz w:val="24"/>
          <w:szCs w:val="24"/>
        </w:rPr>
        <w:t xml:space="preserve"> is a dummy variable which takes the value 1 if the sum of</w:t>
      </w:r>
      <w:r w:rsidR="00B045B7" w:rsidRPr="00C24268">
        <w:rPr>
          <w:rFonts w:ascii="Times New Roman" w:hAnsi="Times New Roman" w:cs="Times New Roman"/>
          <w:sz w:val="24"/>
          <w:szCs w:val="24"/>
        </w:rPr>
        <w:t xml:space="preserve"> </w:t>
      </w:r>
      <w:r w:rsidR="00B045B7">
        <w:rPr>
          <w:rFonts w:ascii="Times New Roman" w:hAnsi="Times New Roman" w:cs="Times New Roman"/>
          <w:sz w:val="24"/>
          <w:szCs w:val="24"/>
        </w:rPr>
        <w:t xml:space="preserve">the daily returns on the market index (sentiment measure) over the post-announcement period is positive or 0 otherwise, while </w:t>
      </w:r>
      <w:r w:rsidR="00B045B7" w:rsidRPr="00605521">
        <w:rPr>
          <w:rFonts w:ascii="Times New Roman" w:hAnsi="Times New Roman" w:cs="Times New Roman"/>
          <w:i/>
          <w:iCs/>
          <w:sz w:val="24"/>
          <w:szCs w:val="24"/>
        </w:rPr>
        <w:t>∆VIXH</w:t>
      </w:r>
      <w:r w:rsidR="00B045B7" w:rsidRPr="003C1E59">
        <w:rPr>
          <w:rFonts w:ascii="Times New Roman" w:hAnsi="Times New Roman" w:cs="Times New Roman"/>
          <w:i/>
          <w:iCs/>
          <w:sz w:val="24"/>
          <w:szCs w:val="24"/>
          <w:vertAlign w:val="subscript"/>
        </w:rPr>
        <w:t>i</w:t>
      </w:r>
      <w:r w:rsidR="00B045B7">
        <w:rPr>
          <w:rFonts w:ascii="Times New Roman" w:hAnsi="Times New Roman" w:cs="Times New Roman"/>
          <w:i/>
          <w:iCs/>
          <w:sz w:val="24"/>
          <w:szCs w:val="24"/>
          <w:vertAlign w:val="subscript"/>
        </w:rPr>
        <w:t>,t</w:t>
      </w:r>
      <w:r w:rsidR="00B045B7">
        <w:rPr>
          <w:rFonts w:ascii="Times New Roman" w:hAnsi="Times New Roman" w:cs="Times New Roman"/>
          <w:sz w:val="24"/>
          <w:szCs w:val="24"/>
        </w:rPr>
        <w:t xml:space="preserve"> is a dummy variable that measures change in VIX (uncertainty measure) over the studied period and takes the value 1 if the value of VIX increases over post announcement period (T+2 to T+60) or 0 otherwise. </w:t>
      </w:r>
      <w:r w:rsidR="0096599D">
        <w:rPr>
          <w:rFonts w:ascii="Times New Roman" w:hAnsi="Times New Roman" w:cs="Times New Roman"/>
          <w:sz w:val="24"/>
          <w:szCs w:val="24"/>
        </w:rPr>
        <w:t>T</w:t>
      </w:r>
      <w:r w:rsidR="00B045B7">
        <w:rPr>
          <w:rFonts w:ascii="Times New Roman" w:hAnsi="Times New Roman" w:cs="Times New Roman"/>
          <w:sz w:val="24"/>
          <w:szCs w:val="24"/>
        </w:rPr>
        <w:t xml:space="preserve">he sign and significance of </w:t>
      </w:r>
      <w:r w:rsidR="00B045B7">
        <w:rPr>
          <w:rFonts w:ascii="Times New Roman" w:hAnsi="Times New Roman" w:cs="Times New Roman"/>
          <w:i/>
          <w:iCs/>
          <w:sz w:val="24"/>
          <w:szCs w:val="24"/>
        </w:rPr>
        <w:t>β</w:t>
      </w:r>
      <w:r w:rsidR="00B045B7">
        <w:rPr>
          <w:rFonts w:ascii="Times New Roman" w:hAnsi="Times New Roman" w:cs="Times New Roman"/>
          <w:i/>
          <w:iCs/>
          <w:sz w:val="24"/>
          <w:szCs w:val="24"/>
          <w:vertAlign w:val="subscript"/>
        </w:rPr>
        <w:t>6</w:t>
      </w:r>
      <w:r w:rsidR="00B045B7" w:rsidRPr="00B045B7">
        <w:rPr>
          <w:rFonts w:ascii="Times New Roman" w:hAnsi="Times New Roman" w:cs="Times New Roman"/>
          <w:sz w:val="24"/>
          <w:szCs w:val="24"/>
        </w:rPr>
        <w:t xml:space="preserve"> and </w:t>
      </w:r>
      <w:r w:rsidR="00B045B7">
        <w:rPr>
          <w:rFonts w:ascii="Times New Roman" w:hAnsi="Times New Roman" w:cs="Times New Roman"/>
          <w:i/>
          <w:iCs/>
          <w:sz w:val="24"/>
          <w:szCs w:val="24"/>
        </w:rPr>
        <w:t>β</w:t>
      </w:r>
      <w:r w:rsidR="00B045B7">
        <w:rPr>
          <w:rFonts w:ascii="Times New Roman" w:hAnsi="Times New Roman" w:cs="Times New Roman"/>
          <w:i/>
          <w:iCs/>
          <w:sz w:val="24"/>
          <w:szCs w:val="24"/>
          <w:vertAlign w:val="subscript"/>
        </w:rPr>
        <w:t>7</w:t>
      </w:r>
      <w:r w:rsidR="00B045B7">
        <w:rPr>
          <w:rFonts w:ascii="Times New Roman" w:hAnsi="Times New Roman" w:cs="Times New Roman"/>
          <w:sz w:val="24"/>
          <w:szCs w:val="24"/>
        </w:rPr>
        <w:t xml:space="preserve"> </w:t>
      </w:r>
      <w:r w:rsidR="0096599D">
        <w:rPr>
          <w:rFonts w:ascii="Times New Roman" w:hAnsi="Times New Roman" w:cs="Times New Roman"/>
          <w:sz w:val="24"/>
          <w:szCs w:val="24"/>
        </w:rPr>
        <w:t>provide the answer to our second research question as they</w:t>
      </w:r>
      <w:r w:rsidR="00B045B7">
        <w:rPr>
          <w:rFonts w:ascii="Times New Roman" w:hAnsi="Times New Roman" w:cs="Times New Roman"/>
          <w:sz w:val="24"/>
          <w:szCs w:val="24"/>
        </w:rPr>
        <w:t xml:space="preserve"> represent the </w:t>
      </w:r>
      <w:r w:rsidR="0096599D">
        <w:rPr>
          <w:rFonts w:ascii="Times New Roman" w:hAnsi="Times New Roman" w:cs="Times New Roman"/>
          <w:sz w:val="24"/>
          <w:szCs w:val="24"/>
        </w:rPr>
        <w:t>differing impact of earnings announcement</w:t>
      </w:r>
      <w:r w:rsidR="004E12AF">
        <w:rPr>
          <w:rFonts w:ascii="Times New Roman" w:hAnsi="Times New Roman" w:cs="Times New Roman"/>
          <w:sz w:val="24"/>
          <w:szCs w:val="24"/>
        </w:rPr>
        <w:t xml:space="preserve"> for</w:t>
      </w:r>
      <w:r w:rsidR="00B045B7">
        <w:rPr>
          <w:rFonts w:ascii="Times New Roman" w:hAnsi="Times New Roman" w:cs="Times New Roman"/>
          <w:sz w:val="24"/>
          <w:szCs w:val="24"/>
        </w:rPr>
        <w:t xml:space="preserve"> better governed firms </w:t>
      </w:r>
      <w:r w:rsidR="0096599D">
        <w:rPr>
          <w:rFonts w:ascii="Times New Roman" w:hAnsi="Times New Roman" w:cs="Times New Roman"/>
          <w:sz w:val="24"/>
          <w:szCs w:val="24"/>
        </w:rPr>
        <w:t xml:space="preserve">as </w:t>
      </w:r>
      <w:r w:rsidR="00B045B7">
        <w:rPr>
          <w:rFonts w:ascii="Times New Roman" w:hAnsi="Times New Roman" w:cs="Times New Roman"/>
          <w:sz w:val="24"/>
          <w:szCs w:val="24"/>
        </w:rPr>
        <w:t xml:space="preserve">compared to </w:t>
      </w:r>
      <w:r w:rsidR="008F4999">
        <w:rPr>
          <w:rFonts w:ascii="Times New Roman" w:hAnsi="Times New Roman" w:cs="Times New Roman"/>
          <w:sz w:val="24"/>
          <w:szCs w:val="24"/>
        </w:rPr>
        <w:t>less well governed</w:t>
      </w:r>
      <w:r w:rsidR="00B045B7">
        <w:rPr>
          <w:rFonts w:ascii="Times New Roman" w:hAnsi="Times New Roman" w:cs="Times New Roman"/>
          <w:sz w:val="24"/>
          <w:szCs w:val="24"/>
        </w:rPr>
        <w:t xml:space="preserve"> firms.</w:t>
      </w:r>
      <w:r w:rsidR="004A4C72">
        <w:rPr>
          <w:rFonts w:ascii="Times New Roman" w:hAnsi="Times New Roman" w:cs="Times New Roman"/>
          <w:sz w:val="24"/>
          <w:szCs w:val="24"/>
        </w:rPr>
        <w:t xml:space="preserve"> </w:t>
      </w:r>
    </w:p>
    <w:p w14:paraId="1DB65EF1" w14:textId="7865014A" w:rsidR="00B70E0E" w:rsidRDefault="00B70E0E" w:rsidP="008F42C0">
      <w:pPr>
        <w:tabs>
          <w:tab w:val="left" w:pos="567"/>
        </w:tabs>
        <w:spacing w:after="0" w:line="288" w:lineRule="auto"/>
        <w:jc w:val="both"/>
        <w:rPr>
          <w:rFonts w:ascii="Times New Roman" w:hAnsi="Times New Roman" w:cs="Times New Roman"/>
          <w:sz w:val="24"/>
          <w:szCs w:val="24"/>
        </w:rPr>
      </w:pPr>
    </w:p>
    <w:p w14:paraId="42B886D0" w14:textId="2136BBEA" w:rsidR="000F0779" w:rsidRPr="00BA14B0" w:rsidRDefault="00573D1E" w:rsidP="00BA14B0">
      <w:pPr>
        <w:pStyle w:val="ListParagraph"/>
        <w:numPr>
          <w:ilvl w:val="2"/>
          <w:numId w:val="35"/>
        </w:num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F0779" w:rsidRPr="00BA14B0">
        <w:rPr>
          <w:rFonts w:ascii="Times New Roman" w:hAnsi="Times New Roman" w:cs="Times New Roman"/>
          <w:b/>
          <w:bCs/>
          <w:sz w:val="24"/>
          <w:szCs w:val="24"/>
        </w:rPr>
        <w:t>Governance</w:t>
      </w:r>
      <w:r w:rsidR="00ED6246" w:rsidRPr="00BA14B0">
        <w:rPr>
          <w:rFonts w:ascii="Times New Roman" w:hAnsi="Times New Roman" w:cs="Times New Roman"/>
          <w:b/>
          <w:bCs/>
          <w:sz w:val="24"/>
          <w:szCs w:val="24"/>
        </w:rPr>
        <w:t xml:space="preserve">, the </w:t>
      </w:r>
      <w:r w:rsidR="00352E64" w:rsidRPr="00BA14B0">
        <w:rPr>
          <w:rFonts w:ascii="Times New Roman" w:hAnsi="Times New Roman" w:cs="Times New Roman"/>
          <w:b/>
          <w:bCs/>
          <w:sz w:val="24"/>
          <w:szCs w:val="24"/>
        </w:rPr>
        <w:t>F</w:t>
      </w:r>
      <w:r w:rsidR="00ED6246" w:rsidRPr="00BA14B0">
        <w:rPr>
          <w:rFonts w:ascii="Times New Roman" w:hAnsi="Times New Roman" w:cs="Times New Roman"/>
          <w:b/>
          <w:bCs/>
          <w:sz w:val="24"/>
          <w:szCs w:val="24"/>
        </w:rPr>
        <w:t xml:space="preserve">irm’s </w:t>
      </w:r>
      <w:r w:rsidR="00352E64" w:rsidRPr="00BA14B0">
        <w:rPr>
          <w:rFonts w:ascii="Times New Roman" w:hAnsi="Times New Roman" w:cs="Times New Roman"/>
          <w:b/>
          <w:bCs/>
          <w:sz w:val="24"/>
          <w:szCs w:val="24"/>
        </w:rPr>
        <w:t>I</w:t>
      </w:r>
      <w:r w:rsidR="00ED6246" w:rsidRPr="00BA14B0">
        <w:rPr>
          <w:rFonts w:ascii="Times New Roman" w:hAnsi="Times New Roman" w:cs="Times New Roman"/>
          <w:b/>
          <w:bCs/>
          <w:sz w:val="24"/>
          <w:szCs w:val="24"/>
        </w:rPr>
        <w:t xml:space="preserve">nformation </w:t>
      </w:r>
      <w:r w:rsidR="00352E64" w:rsidRPr="00BA14B0">
        <w:rPr>
          <w:rFonts w:ascii="Times New Roman" w:hAnsi="Times New Roman" w:cs="Times New Roman"/>
          <w:b/>
          <w:bCs/>
          <w:sz w:val="24"/>
          <w:szCs w:val="24"/>
        </w:rPr>
        <w:t>E</w:t>
      </w:r>
      <w:r w:rsidR="00ED6246" w:rsidRPr="00BA14B0">
        <w:rPr>
          <w:rFonts w:ascii="Times New Roman" w:hAnsi="Times New Roman" w:cs="Times New Roman"/>
          <w:b/>
          <w:bCs/>
          <w:sz w:val="24"/>
          <w:szCs w:val="24"/>
        </w:rPr>
        <w:t xml:space="preserve">nvironment and </w:t>
      </w:r>
      <w:r w:rsidR="00352E64" w:rsidRPr="00BA14B0">
        <w:rPr>
          <w:rFonts w:ascii="Times New Roman" w:hAnsi="Times New Roman" w:cs="Times New Roman"/>
          <w:b/>
          <w:bCs/>
          <w:sz w:val="24"/>
          <w:szCs w:val="24"/>
        </w:rPr>
        <w:t>E</w:t>
      </w:r>
      <w:r w:rsidR="00ED6246" w:rsidRPr="00BA14B0">
        <w:rPr>
          <w:rFonts w:ascii="Times New Roman" w:hAnsi="Times New Roman" w:cs="Times New Roman"/>
          <w:b/>
          <w:bCs/>
          <w:sz w:val="24"/>
          <w:szCs w:val="24"/>
        </w:rPr>
        <w:t>arnings</w:t>
      </w:r>
      <w:r w:rsidR="00E31D05">
        <w:rPr>
          <w:rFonts w:ascii="Times New Roman" w:hAnsi="Times New Roman" w:cs="Times New Roman"/>
          <w:b/>
          <w:bCs/>
          <w:sz w:val="24"/>
          <w:szCs w:val="24"/>
        </w:rPr>
        <w:t xml:space="preserve"> </w:t>
      </w:r>
      <w:r w:rsidR="00352E64" w:rsidRPr="00BA14B0">
        <w:rPr>
          <w:rFonts w:ascii="Times New Roman" w:hAnsi="Times New Roman" w:cs="Times New Roman"/>
          <w:b/>
          <w:bCs/>
          <w:sz w:val="24"/>
          <w:szCs w:val="24"/>
        </w:rPr>
        <w:t>A</w:t>
      </w:r>
      <w:r w:rsidR="00ED6246" w:rsidRPr="00BA14B0">
        <w:rPr>
          <w:rFonts w:ascii="Times New Roman" w:hAnsi="Times New Roman" w:cs="Times New Roman"/>
          <w:b/>
          <w:bCs/>
          <w:sz w:val="24"/>
          <w:szCs w:val="24"/>
        </w:rPr>
        <w:t>nnouncements</w:t>
      </w:r>
    </w:p>
    <w:p w14:paraId="71AB888E" w14:textId="77777777" w:rsidR="00352E64" w:rsidRPr="00352E64" w:rsidRDefault="00352E64" w:rsidP="008F42C0">
      <w:pPr>
        <w:tabs>
          <w:tab w:val="left" w:pos="567"/>
        </w:tabs>
        <w:spacing w:after="0" w:line="288" w:lineRule="auto"/>
        <w:jc w:val="both"/>
        <w:rPr>
          <w:rFonts w:ascii="Times New Roman" w:hAnsi="Times New Roman" w:cs="Times New Roman"/>
          <w:sz w:val="8"/>
          <w:szCs w:val="8"/>
        </w:rPr>
      </w:pPr>
    </w:p>
    <w:p w14:paraId="791ADFD1" w14:textId="45FC0DD5" w:rsidR="00510789" w:rsidRDefault="00510789" w:rsidP="008F42C0">
      <w:pPr>
        <w:tabs>
          <w:tab w:val="left" w:pos="567"/>
        </w:tabs>
        <w:spacing w:after="0" w:line="288" w:lineRule="auto"/>
        <w:jc w:val="both"/>
        <w:rPr>
          <w:rFonts w:ascii="Times New Roman" w:hAnsi="Times New Roman" w:cs="Times New Roman"/>
          <w:sz w:val="24"/>
          <w:szCs w:val="24"/>
        </w:rPr>
      </w:pPr>
      <w:r w:rsidRPr="00BF09F5">
        <w:rPr>
          <w:rFonts w:ascii="Times New Roman" w:hAnsi="Times New Roman" w:cs="Times New Roman"/>
          <w:sz w:val="24"/>
          <w:szCs w:val="24"/>
        </w:rPr>
        <w:t>In order to answer our third question</w:t>
      </w:r>
      <w:r>
        <w:rPr>
          <w:rFonts w:ascii="Times New Roman" w:hAnsi="Times New Roman" w:cs="Times New Roman"/>
          <w:sz w:val="24"/>
          <w:szCs w:val="24"/>
        </w:rPr>
        <w:t xml:space="preserve">, </w:t>
      </w:r>
      <w:r w:rsidRPr="00BF09F5">
        <w:rPr>
          <w:rFonts w:ascii="Times New Roman" w:hAnsi="Times New Roman" w:cs="Times New Roman"/>
          <w:sz w:val="24"/>
          <w:szCs w:val="24"/>
        </w:rPr>
        <w:t xml:space="preserve">we run </w:t>
      </w:r>
      <w:r>
        <w:rPr>
          <w:rFonts w:ascii="Times New Roman" w:hAnsi="Times New Roman" w:cs="Times New Roman"/>
          <w:sz w:val="24"/>
          <w:szCs w:val="24"/>
        </w:rPr>
        <w:t>a regression based on the following</w:t>
      </w:r>
      <w:r w:rsidR="00E05E25">
        <w:rPr>
          <w:rFonts w:ascii="Times New Roman" w:hAnsi="Times New Roman" w:cs="Times New Roman"/>
          <w:sz w:val="24"/>
          <w:szCs w:val="24"/>
        </w:rPr>
        <w:t xml:space="preserve"> </w:t>
      </w:r>
      <w:r>
        <w:rPr>
          <w:rFonts w:ascii="Times New Roman" w:hAnsi="Times New Roman" w:cs="Times New Roman"/>
          <w:sz w:val="24"/>
          <w:szCs w:val="24"/>
        </w:rPr>
        <w:t>equations using</w:t>
      </w:r>
      <w:r w:rsidRPr="00BF09F5">
        <w:rPr>
          <w:rFonts w:ascii="Times New Roman" w:hAnsi="Times New Roman" w:cs="Times New Roman"/>
          <w:sz w:val="24"/>
          <w:szCs w:val="24"/>
        </w:rPr>
        <w:t xml:space="preserve"> </w:t>
      </w:r>
      <w:r>
        <w:rPr>
          <w:rFonts w:ascii="Times New Roman" w:hAnsi="Times New Roman" w:cs="Times New Roman"/>
          <w:sz w:val="24"/>
          <w:szCs w:val="24"/>
        </w:rPr>
        <w:t>a</w:t>
      </w:r>
      <w:r w:rsidRPr="00BF09F5">
        <w:rPr>
          <w:rFonts w:ascii="Times New Roman" w:hAnsi="Times New Roman" w:cs="Times New Roman"/>
          <w:sz w:val="24"/>
          <w:szCs w:val="24"/>
        </w:rPr>
        <w:t xml:space="preserve"> structural equation modelling</w:t>
      </w:r>
      <w:r>
        <w:rPr>
          <w:rFonts w:ascii="Times New Roman" w:hAnsi="Times New Roman" w:cs="Times New Roman"/>
          <w:sz w:val="24"/>
          <w:szCs w:val="24"/>
        </w:rPr>
        <w:t xml:space="preserve"> (SEM)</w:t>
      </w:r>
      <w:r w:rsidRPr="00BF09F5">
        <w:rPr>
          <w:rFonts w:ascii="Times New Roman" w:hAnsi="Times New Roman" w:cs="Times New Roman"/>
          <w:sz w:val="24"/>
          <w:szCs w:val="24"/>
        </w:rPr>
        <w:t xml:space="preserve"> routine</w:t>
      </w:r>
      <w:r>
        <w:rPr>
          <w:rFonts w:ascii="Times New Roman" w:hAnsi="Times New Roman" w:cs="Times New Roman"/>
          <w:sz w:val="24"/>
          <w:szCs w:val="24"/>
        </w:rPr>
        <w:t xml:space="preserve"> to test the relationship</w:t>
      </w:r>
      <w:r w:rsidRPr="00BF09F5">
        <w:rPr>
          <w:rFonts w:ascii="Times New Roman" w:hAnsi="Times New Roman" w:cs="Times New Roman"/>
          <w:sz w:val="24"/>
          <w:szCs w:val="24"/>
        </w:rPr>
        <w:t xml:space="preserve"> </w:t>
      </w:r>
      <w:r>
        <w:rPr>
          <w:rFonts w:ascii="Times New Roman" w:hAnsi="Times New Roman" w:cs="Times New Roman"/>
          <w:sz w:val="24"/>
          <w:szCs w:val="24"/>
        </w:rPr>
        <w:t>illustrated</w:t>
      </w:r>
      <w:r w:rsidRPr="00BF09F5">
        <w:rPr>
          <w:rFonts w:ascii="Times New Roman" w:hAnsi="Times New Roman" w:cs="Times New Roman"/>
          <w:sz w:val="24"/>
          <w:szCs w:val="24"/>
        </w:rPr>
        <w:t xml:space="preserve"> in</w:t>
      </w:r>
      <w:r w:rsidRPr="00E05E25">
        <w:rPr>
          <w:rFonts w:ascii="Times New Roman" w:hAnsi="Times New Roman" w:cs="Times New Roman"/>
          <w:sz w:val="24"/>
          <w:szCs w:val="24"/>
        </w:rPr>
        <w:t xml:space="preserve"> Figure 1</w:t>
      </w:r>
      <w:r w:rsidR="00E05E25">
        <w:rPr>
          <w:rFonts w:ascii="Times New Roman" w:hAnsi="Times New Roman" w:cs="Times New Roman"/>
          <w:sz w:val="24"/>
          <w:szCs w:val="24"/>
        </w:rPr>
        <w:t>.</w:t>
      </w:r>
    </w:p>
    <w:p w14:paraId="1FEDAA34" w14:textId="08F22559" w:rsidR="00E05E25" w:rsidRDefault="00E05E25" w:rsidP="008F42C0">
      <w:pPr>
        <w:tabs>
          <w:tab w:val="left" w:pos="567"/>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724C79" w:rsidRPr="00134380" w14:paraId="205E7414" w14:textId="77777777" w:rsidTr="0066623D">
        <w:trPr>
          <w:cantSplit/>
          <w:trHeight w:val="1115"/>
        </w:trPr>
        <w:tc>
          <w:tcPr>
            <w:tcW w:w="8725" w:type="dxa"/>
            <w:vAlign w:val="center"/>
          </w:tcPr>
          <w:p w14:paraId="3ADA2992"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CAR(0,1)</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0</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1</w:t>
            </w:r>
            <w:r w:rsidRPr="00134380">
              <w:rPr>
                <w:rFonts w:ascii="Times New Roman" w:hAnsi="Times New Roman" w:cs="Times New Roman"/>
                <w:i/>
                <w:iCs/>
              </w:rPr>
              <w:t xml:space="preserve"> 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2</w:t>
            </w:r>
            <w:r w:rsidRPr="00134380">
              <w:rPr>
                <w:rFonts w:ascii="Times New Roman" w:hAnsi="Times New Roman" w:cs="Times New Roman"/>
                <w:i/>
                <w:iCs/>
              </w:rPr>
              <w:t xml:space="preserve"> PUE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w:t>
            </w:r>
            <w:bookmarkStart w:id="9" w:name="_Hlk36874715"/>
            <w:r w:rsidRPr="00134380">
              <w:rPr>
                <w:rFonts w:ascii="Times New Roman" w:hAnsi="Times New Roman" w:cs="Times New Roman"/>
                <w:i/>
                <w:iCs/>
              </w:rPr>
              <w:t>β</w:t>
            </w:r>
            <w:r w:rsidRPr="00134380">
              <w:rPr>
                <w:rFonts w:ascii="Times New Roman" w:hAnsi="Times New Roman" w:cs="Times New Roman"/>
                <w:i/>
                <w:iCs/>
                <w:vertAlign w:val="subscript"/>
              </w:rPr>
              <w:t>3</w:t>
            </w:r>
            <w:bookmarkEnd w:id="9"/>
            <w:r w:rsidRPr="00134380">
              <w:rPr>
                <w:rFonts w:ascii="Times New Roman" w:hAnsi="Times New Roman" w:cs="Times New Roman"/>
                <w:i/>
                <w:iCs/>
              </w:rPr>
              <w:t xml:space="preserve"> GOVH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w:t>
            </w:r>
            <w:r w:rsidRPr="00134380">
              <w:rPr>
                <w:rFonts w:ascii="Times New Roman" w:hAnsi="Times New Roman" w:cs="Times New Roman"/>
              </w:rPr>
              <w:t xml:space="preserve"> </w:t>
            </w:r>
            <w:r w:rsidRPr="00134380">
              <w:rPr>
                <w:rFonts w:ascii="Times New Roman" w:hAnsi="Times New Roman" w:cs="Times New Roman"/>
                <w:i/>
                <w:iCs/>
              </w:rPr>
              <w:t>β</w:t>
            </w:r>
            <w:r w:rsidRPr="00134380">
              <w:rPr>
                <w:rFonts w:ascii="Times New Roman" w:hAnsi="Times New Roman" w:cs="Times New Roman"/>
                <w:i/>
                <w:iCs/>
                <w:vertAlign w:val="subscript"/>
              </w:rPr>
              <w:t>4</w:t>
            </w:r>
            <w:r w:rsidRPr="00134380">
              <w:rPr>
                <w:rFonts w:ascii="Times New Roman" w:hAnsi="Times New Roman" w:cs="Times New Roman"/>
                <w:i/>
                <w:iCs/>
              </w:rPr>
              <w:t xml:space="preserve"> IFUH</w:t>
            </w:r>
            <w:r w:rsidRPr="00134380">
              <w:rPr>
                <w:rFonts w:ascii="Times New Roman" w:hAnsi="Times New Roman" w:cs="Times New Roman"/>
                <w:i/>
                <w:iCs/>
                <w:vertAlign w:val="subscript"/>
              </w:rPr>
              <w:t>i,t</w:t>
            </w:r>
            <w:r w:rsidRPr="00134380">
              <w:rPr>
                <w:rFonts w:ascii="Times New Roman" w:hAnsi="Times New Roman" w:cs="Times New Roman"/>
              </w:rPr>
              <w:t xml:space="preserve"> +</w:t>
            </w:r>
            <w:r w:rsidRPr="00134380">
              <w:rPr>
                <w:rFonts w:ascii="Times New Roman" w:hAnsi="Times New Roman" w:cs="Times New Roman"/>
                <w:i/>
                <w:iCs/>
              </w:rPr>
              <w:t xml:space="preserve"> β</w:t>
            </w:r>
            <w:r w:rsidRPr="00134380">
              <w:rPr>
                <w:rFonts w:ascii="Times New Roman" w:hAnsi="Times New Roman" w:cs="Times New Roman"/>
                <w:i/>
                <w:iCs/>
                <w:vertAlign w:val="subscript"/>
              </w:rPr>
              <w:t>5</w:t>
            </w:r>
            <w:r w:rsidRPr="00134380">
              <w:rPr>
                <w:rFonts w:ascii="Times New Roman" w:hAnsi="Times New Roman" w:cs="Times New Roman"/>
                <w:i/>
                <w:iCs/>
              </w:rPr>
              <w:t xml:space="preserve"> SMIP</w:t>
            </w:r>
            <w:r w:rsidRPr="00134380">
              <w:rPr>
                <w:rFonts w:ascii="Times New Roman" w:hAnsi="Times New Roman" w:cs="Times New Roman"/>
                <w:i/>
                <w:iCs/>
                <w:vertAlign w:val="subscript"/>
              </w:rPr>
              <w:t>i,t</w:t>
            </w:r>
            <w:r w:rsidRPr="00134380">
              <w:rPr>
                <w:rFonts w:ascii="Times New Roman" w:hAnsi="Times New Roman" w:cs="Times New Roman"/>
                <w:i/>
                <w:iCs/>
              </w:rPr>
              <w:t xml:space="preserve">  </w:t>
            </w:r>
          </w:p>
          <w:p w14:paraId="5E79929D"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 β</w:t>
            </w:r>
            <w:r w:rsidRPr="00134380">
              <w:rPr>
                <w:rFonts w:ascii="Times New Roman" w:hAnsi="Times New Roman" w:cs="Times New Roman"/>
                <w:i/>
                <w:iCs/>
                <w:vertAlign w:val="subscript"/>
              </w:rPr>
              <w:t>6</w:t>
            </w:r>
            <w:r w:rsidRPr="00134380">
              <w:rPr>
                <w:rFonts w:ascii="Times New Roman" w:hAnsi="Times New Roman" w:cs="Times New Roman"/>
                <w:i/>
                <w:iCs/>
              </w:rPr>
              <w:t xml:space="preserve"> VIXH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7</w:t>
            </w:r>
            <w:r w:rsidRPr="00134380">
              <w:rPr>
                <w:rFonts w:ascii="Times New Roman" w:hAnsi="Times New Roman" w:cs="Times New Roman"/>
                <w:i/>
                <w:iCs/>
              </w:rPr>
              <w:t xml:space="preserve"> </w:t>
            </w:r>
            <w:bookmarkStart w:id="10" w:name="_Hlk35834100"/>
            <w:r w:rsidRPr="00134380">
              <w:rPr>
                <w:rFonts w:ascii="Times New Roman" w:hAnsi="Times New Roman" w:cs="Times New Roman"/>
                <w:i/>
                <w:iCs/>
              </w:rPr>
              <w:t>GOVH</w:t>
            </w:r>
            <w:r w:rsidRPr="00134380">
              <w:rPr>
                <w:rFonts w:ascii="Times New Roman" w:hAnsi="Times New Roman" w:cs="Times New Roman"/>
                <w:i/>
                <w:iCs/>
                <w:vertAlign w:val="subscript"/>
              </w:rPr>
              <w:t>i,t</w:t>
            </w:r>
            <w:r w:rsidRPr="00134380">
              <w:rPr>
                <w:rFonts w:ascii="Times New Roman" w:hAnsi="Times New Roman" w:cs="Times New Roman"/>
                <w:i/>
                <w:iCs/>
              </w:rPr>
              <w:t>×NUE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w:t>
            </w:r>
            <w:bookmarkEnd w:id="10"/>
            <w:r w:rsidRPr="00134380">
              <w:rPr>
                <w:rFonts w:ascii="Times New Roman" w:hAnsi="Times New Roman" w:cs="Times New Roman"/>
                <w:i/>
                <w:iCs/>
              </w:rPr>
              <w:t>+ β</w:t>
            </w:r>
            <w:r w:rsidRPr="00134380">
              <w:rPr>
                <w:rFonts w:ascii="Times New Roman" w:hAnsi="Times New Roman" w:cs="Times New Roman"/>
                <w:i/>
                <w:iCs/>
                <w:vertAlign w:val="subscript"/>
              </w:rPr>
              <w:t>8</w:t>
            </w:r>
            <w:r w:rsidRPr="00134380">
              <w:rPr>
                <w:rFonts w:ascii="Times New Roman" w:hAnsi="Times New Roman" w:cs="Times New Roman"/>
                <w:i/>
                <w:iCs/>
              </w:rPr>
              <w:t xml:space="preserve"> GOVH</w:t>
            </w:r>
            <w:r w:rsidRPr="00134380">
              <w:rPr>
                <w:rFonts w:ascii="Times New Roman" w:hAnsi="Times New Roman" w:cs="Times New Roman"/>
                <w:i/>
                <w:iCs/>
                <w:vertAlign w:val="subscript"/>
              </w:rPr>
              <w:t>i,t</w:t>
            </w:r>
            <w:r w:rsidRPr="00134380">
              <w:rPr>
                <w:rFonts w:ascii="Times New Roman" w:hAnsi="Times New Roman" w:cs="Times New Roman"/>
                <w:i/>
                <w:iCs/>
              </w:rPr>
              <w:t>×PUE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9</w:t>
            </w:r>
            <w:r w:rsidRPr="00134380">
              <w:rPr>
                <w:rFonts w:ascii="Times New Roman" w:hAnsi="Times New Roman" w:cs="Times New Roman"/>
                <w:i/>
                <w:iCs/>
              </w:rPr>
              <w:t xml:space="preserve"> IFUH</w:t>
            </w:r>
            <w:r w:rsidRPr="00134380">
              <w:rPr>
                <w:rFonts w:ascii="Times New Roman" w:hAnsi="Times New Roman" w:cs="Times New Roman"/>
                <w:i/>
                <w:iCs/>
                <w:vertAlign w:val="subscript"/>
              </w:rPr>
              <w:t>i,t</w:t>
            </w:r>
            <w:r w:rsidRPr="00134380">
              <w:rPr>
                <w:rFonts w:ascii="Times New Roman" w:hAnsi="Times New Roman" w:cs="Times New Roman"/>
                <w:i/>
                <w:iCs/>
              </w:rPr>
              <w:t>×NUE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w:t>
            </w:r>
          </w:p>
          <w:p w14:paraId="78FA834C"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 β</w:t>
            </w:r>
            <w:r w:rsidRPr="00134380">
              <w:rPr>
                <w:rFonts w:ascii="Times New Roman" w:hAnsi="Times New Roman" w:cs="Times New Roman"/>
                <w:i/>
                <w:iCs/>
                <w:vertAlign w:val="subscript"/>
              </w:rPr>
              <w:t>10</w:t>
            </w:r>
            <w:r w:rsidRPr="00134380">
              <w:rPr>
                <w:rFonts w:ascii="Times New Roman" w:hAnsi="Times New Roman" w:cs="Times New Roman"/>
                <w:i/>
                <w:iCs/>
              </w:rPr>
              <w:t xml:space="preserve"> IFUH</w:t>
            </w:r>
            <w:r w:rsidRPr="00134380">
              <w:rPr>
                <w:rFonts w:ascii="Times New Roman" w:hAnsi="Times New Roman" w:cs="Times New Roman"/>
                <w:i/>
                <w:iCs/>
                <w:vertAlign w:val="subscript"/>
              </w:rPr>
              <w:t>i,t</w:t>
            </w:r>
            <w:r w:rsidRPr="00134380">
              <w:rPr>
                <w:rFonts w:ascii="Times New Roman" w:hAnsi="Times New Roman" w:cs="Times New Roman"/>
                <w:i/>
                <w:iCs/>
              </w:rPr>
              <w:t>×PUE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11</w:t>
            </w:r>
            <w:r w:rsidRPr="00134380">
              <w:rPr>
                <w:rFonts w:ascii="Times New Roman" w:hAnsi="Times New Roman" w:cs="Times New Roman"/>
                <w:i/>
                <w:iCs/>
              </w:rPr>
              <w:t xml:space="preserve"> SMIP</w:t>
            </w:r>
            <w:r w:rsidRPr="00134380">
              <w:rPr>
                <w:rFonts w:ascii="Times New Roman" w:hAnsi="Times New Roman" w:cs="Times New Roman"/>
                <w:i/>
                <w:iCs/>
                <w:vertAlign w:val="subscript"/>
              </w:rPr>
              <w:t>i,t</w:t>
            </w:r>
            <w:r w:rsidRPr="00134380">
              <w:rPr>
                <w:rFonts w:ascii="Times New Roman" w:hAnsi="Times New Roman" w:cs="Times New Roman"/>
                <w:i/>
                <w:iCs/>
              </w:rPr>
              <w:t>×NUE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12</w:t>
            </w:r>
            <w:r w:rsidRPr="00134380">
              <w:rPr>
                <w:rFonts w:ascii="Times New Roman" w:hAnsi="Times New Roman" w:cs="Times New Roman"/>
                <w:i/>
                <w:iCs/>
              </w:rPr>
              <w:t xml:space="preserve"> SMIP</w:t>
            </w:r>
            <w:r w:rsidRPr="00134380">
              <w:rPr>
                <w:rFonts w:ascii="Times New Roman" w:hAnsi="Times New Roman" w:cs="Times New Roman"/>
                <w:i/>
                <w:iCs/>
                <w:vertAlign w:val="subscript"/>
              </w:rPr>
              <w:t>i,t</w:t>
            </w:r>
            <w:r w:rsidRPr="00134380">
              <w:rPr>
                <w:rFonts w:ascii="Times New Roman" w:hAnsi="Times New Roman" w:cs="Times New Roman"/>
                <w:i/>
                <w:iCs/>
              </w:rPr>
              <w:t>×PUE</w:t>
            </w:r>
            <w:r w:rsidRPr="00134380">
              <w:rPr>
                <w:rFonts w:ascii="Times New Roman" w:hAnsi="Times New Roman" w:cs="Times New Roman"/>
                <w:i/>
                <w:iCs/>
                <w:vertAlign w:val="subscript"/>
              </w:rPr>
              <w:t>i,t</w:t>
            </w:r>
          </w:p>
          <w:p w14:paraId="3D8BFAE3"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 β</w:t>
            </w:r>
            <w:r w:rsidRPr="00134380">
              <w:rPr>
                <w:rFonts w:ascii="Times New Roman" w:hAnsi="Times New Roman" w:cs="Times New Roman"/>
                <w:i/>
                <w:iCs/>
                <w:vertAlign w:val="subscript"/>
              </w:rPr>
              <w:t>13</w:t>
            </w:r>
            <w:r w:rsidRPr="00134380">
              <w:rPr>
                <w:rFonts w:ascii="Times New Roman" w:hAnsi="Times New Roman" w:cs="Times New Roman"/>
                <w:i/>
                <w:iCs/>
              </w:rPr>
              <w:t xml:space="preserve"> VIXH</w:t>
            </w:r>
            <w:r w:rsidRPr="00134380">
              <w:rPr>
                <w:rFonts w:ascii="Times New Roman" w:hAnsi="Times New Roman" w:cs="Times New Roman"/>
                <w:i/>
                <w:iCs/>
                <w:vertAlign w:val="subscript"/>
              </w:rPr>
              <w:t>i,t</w:t>
            </w:r>
            <w:r w:rsidRPr="00134380">
              <w:rPr>
                <w:rFonts w:ascii="Times New Roman" w:hAnsi="Times New Roman" w:cs="Times New Roman"/>
                <w:i/>
                <w:iCs/>
              </w:rPr>
              <w:t>×NUE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β</w:t>
            </w:r>
            <w:r w:rsidRPr="00134380">
              <w:rPr>
                <w:rFonts w:ascii="Times New Roman" w:hAnsi="Times New Roman" w:cs="Times New Roman"/>
                <w:i/>
                <w:iCs/>
                <w:vertAlign w:val="subscript"/>
              </w:rPr>
              <w:t>14</w:t>
            </w:r>
            <w:r w:rsidRPr="00134380">
              <w:rPr>
                <w:rFonts w:ascii="Times New Roman" w:hAnsi="Times New Roman" w:cs="Times New Roman"/>
                <w:i/>
                <w:iCs/>
              </w:rPr>
              <w:t xml:space="preserve"> VIXH</w:t>
            </w:r>
            <w:r w:rsidRPr="00134380">
              <w:rPr>
                <w:rFonts w:ascii="Times New Roman" w:hAnsi="Times New Roman" w:cs="Times New Roman"/>
                <w:i/>
                <w:iCs/>
                <w:vertAlign w:val="subscript"/>
              </w:rPr>
              <w:t>i,t</w:t>
            </w:r>
            <w:r w:rsidRPr="00134380">
              <w:rPr>
                <w:rFonts w:ascii="Times New Roman" w:hAnsi="Times New Roman" w:cs="Times New Roman"/>
                <w:i/>
                <w:iCs/>
              </w:rPr>
              <w:t>×PUE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Control Variables (SIZE</w:t>
            </w:r>
            <w:r w:rsidRPr="00134380">
              <w:rPr>
                <w:rFonts w:ascii="Times New Roman" w:hAnsi="Times New Roman" w:cs="Times New Roman"/>
                <w:i/>
                <w:iCs/>
                <w:vertAlign w:val="subscript"/>
              </w:rPr>
              <w:t xml:space="preserve">i,t </w:t>
            </w:r>
            <w:r w:rsidRPr="00134380">
              <w:rPr>
                <w:rFonts w:ascii="Times New Roman" w:hAnsi="Times New Roman" w:cs="Times New Roman"/>
                <w:i/>
                <w:iCs/>
              </w:rPr>
              <w:t>/ BTMV</w:t>
            </w:r>
            <w:r w:rsidRPr="00134380">
              <w:rPr>
                <w:rFonts w:ascii="Times New Roman" w:hAnsi="Times New Roman" w:cs="Times New Roman"/>
                <w:i/>
                <w:iCs/>
                <w:vertAlign w:val="subscript"/>
              </w:rPr>
              <w:t xml:space="preserve">i,t </w:t>
            </w:r>
            <w:r w:rsidRPr="00134380">
              <w:rPr>
                <w:rFonts w:ascii="Times New Roman" w:hAnsi="Times New Roman" w:cs="Times New Roman"/>
                <w:i/>
                <w:iCs/>
              </w:rPr>
              <w:t>/ RLAG</w:t>
            </w:r>
            <w:r w:rsidRPr="00134380">
              <w:rPr>
                <w:rFonts w:ascii="Times New Roman" w:hAnsi="Times New Roman" w:cs="Times New Roman"/>
                <w:i/>
                <w:iCs/>
                <w:vertAlign w:val="subscript"/>
              </w:rPr>
              <w:t xml:space="preserve">i,t </w:t>
            </w:r>
            <w:r w:rsidRPr="00134380">
              <w:rPr>
                <w:rFonts w:ascii="Times New Roman" w:hAnsi="Times New Roman" w:cs="Times New Roman"/>
                <w:i/>
                <w:iCs/>
              </w:rPr>
              <w:t>/ FORC</w:t>
            </w:r>
            <w:r w:rsidRPr="00134380">
              <w:rPr>
                <w:rFonts w:ascii="Times New Roman" w:hAnsi="Times New Roman" w:cs="Times New Roman"/>
                <w:i/>
                <w:iCs/>
                <w:vertAlign w:val="subscript"/>
              </w:rPr>
              <w:t xml:space="preserve">i,t </w:t>
            </w:r>
            <w:r w:rsidRPr="00134380">
              <w:rPr>
                <w:rFonts w:ascii="Times New Roman" w:hAnsi="Times New Roman" w:cs="Times New Roman"/>
                <w:i/>
                <w:iCs/>
              </w:rPr>
              <w:t xml:space="preserve">) + Year dummies </w:t>
            </w:r>
            <w:r w:rsidRPr="00134380">
              <w:rPr>
                <w:rFonts w:ascii="Times New Roman" w:hAnsi="Times New Roman" w:cs="Times New Roman"/>
              </w:rPr>
              <w:t>+</w:t>
            </w:r>
            <w:r w:rsidRPr="00134380">
              <w:rPr>
                <w:rFonts w:ascii="Times New Roman" w:hAnsi="Times New Roman" w:cs="Times New Roman"/>
                <w:i/>
                <w:iCs/>
              </w:rPr>
              <w:t xml:space="preserve"> Industry Dummies + ε</w:t>
            </w:r>
            <w:r w:rsidRPr="00134380">
              <w:rPr>
                <w:rFonts w:ascii="Times New Roman" w:hAnsi="Times New Roman" w:cs="Times New Roman"/>
                <w:i/>
                <w:iCs/>
                <w:vertAlign w:val="subscript"/>
              </w:rPr>
              <w:t>i</w:t>
            </w:r>
          </w:p>
        </w:tc>
        <w:tc>
          <w:tcPr>
            <w:tcW w:w="625" w:type="dxa"/>
            <w:vAlign w:val="center"/>
          </w:tcPr>
          <w:p w14:paraId="3E24AF1B" w14:textId="77777777" w:rsidR="00724C79" w:rsidRPr="00134380" w:rsidRDefault="00724C79" w:rsidP="0066623D">
            <w:pPr>
              <w:tabs>
                <w:tab w:val="left" w:pos="567"/>
              </w:tabs>
              <w:spacing w:line="288" w:lineRule="auto"/>
              <w:jc w:val="right"/>
              <w:rPr>
                <w:rFonts w:ascii="Times New Roman" w:hAnsi="Times New Roman" w:cs="Times New Roman"/>
              </w:rPr>
            </w:pPr>
            <w:r w:rsidRPr="00134380">
              <w:rPr>
                <w:rFonts w:ascii="Times New Roman" w:hAnsi="Times New Roman" w:cs="Times New Roman"/>
              </w:rPr>
              <w:t>(4a)</w:t>
            </w:r>
          </w:p>
        </w:tc>
      </w:tr>
    </w:tbl>
    <w:p w14:paraId="6297F1DD" w14:textId="77777777" w:rsidR="00724C79" w:rsidRPr="00352E64" w:rsidRDefault="00724C79" w:rsidP="00724C79">
      <w:pPr>
        <w:tabs>
          <w:tab w:val="left" w:pos="567"/>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724C79" w:rsidRPr="00134380" w14:paraId="736C46C9" w14:textId="77777777" w:rsidTr="0066623D">
        <w:trPr>
          <w:cantSplit/>
          <w:trHeight w:val="215"/>
        </w:trPr>
        <w:tc>
          <w:tcPr>
            <w:tcW w:w="8725" w:type="dxa"/>
            <w:vAlign w:val="center"/>
          </w:tcPr>
          <w:p w14:paraId="7A2699E0"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IFUH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µ</w:t>
            </w:r>
            <w:r w:rsidRPr="00134380">
              <w:rPr>
                <w:rFonts w:ascii="Times New Roman" w:hAnsi="Times New Roman" w:cs="Times New Roman"/>
                <w:i/>
                <w:iCs/>
                <w:vertAlign w:val="subscript"/>
              </w:rPr>
              <w:t>0</w:t>
            </w:r>
            <w:r w:rsidRPr="00134380">
              <w:rPr>
                <w:rFonts w:ascii="Times New Roman" w:hAnsi="Times New Roman" w:cs="Times New Roman"/>
                <w:i/>
                <w:iCs/>
              </w:rPr>
              <w:t xml:space="preserve"> + µ</w:t>
            </w:r>
            <w:r w:rsidRPr="00134380">
              <w:rPr>
                <w:rFonts w:ascii="Times New Roman" w:hAnsi="Times New Roman" w:cs="Times New Roman"/>
                <w:i/>
                <w:iCs/>
                <w:vertAlign w:val="subscript"/>
              </w:rPr>
              <w:t>1</w:t>
            </w:r>
            <w:r w:rsidRPr="00134380">
              <w:rPr>
                <w:rFonts w:ascii="Times New Roman" w:hAnsi="Times New Roman" w:cs="Times New Roman"/>
                <w:i/>
                <w:iCs/>
              </w:rPr>
              <w:t xml:space="preserve"> GOVH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ε</w:t>
            </w:r>
            <w:r w:rsidRPr="00134380">
              <w:rPr>
                <w:rFonts w:ascii="Times New Roman" w:hAnsi="Times New Roman" w:cs="Times New Roman"/>
                <w:i/>
                <w:iCs/>
                <w:vertAlign w:val="subscript"/>
              </w:rPr>
              <w:t>i</w:t>
            </w:r>
          </w:p>
        </w:tc>
        <w:tc>
          <w:tcPr>
            <w:tcW w:w="625" w:type="dxa"/>
            <w:vAlign w:val="center"/>
          </w:tcPr>
          <w:p w14:paraId="35EA2A79" w14:textId="77777777" w:rsidR="00724C79" w:rsidRPr="00134380" w:rsidRDefault="00724C79" w:rsidP="0066623D">
            <w:pPr>
              <w:tabs>
                <w:tab w:val="left" w:pos="567"/>
              </w:tabs>
              <w:spacing w:line="288" w:lineRule="auto"/>
              <w:jc w:val="right"/>
              <w:rPr>
                <w:rFonts w:ascii="Times New Roman" w:hAnsi="Times New Roman" w:cs="Times New Roman"/>
              </w:rPr>
            </w:pPr>
            <w:r w:rsidRPr="00134380">
              <w:rPr>
                <w:rFonts w:ascii="Times New Roman" w:hAnsi="Times New Roman" w:cs="Times New Roman"/>
              </w:rPr>
              <w:t>(4b)</w:t>
            </w:r>
          </w:p>
        </w:tc>
      </w:tr>
    </w:tbl>
    <w:p w14:paraId="1BE47D44" w14:textId="77777777" w:rsidR="00724C79" w:rsidRPr="00352E64" w:rsidRDefault="00724C79" w:rsidP="00724C79">
      <w:pPr>
        <w:tabs>
          <w:tab w:val="left" w:pos="567"/>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724C79" w:rsidRPr="00134380" w14:paraId="20019E4F" w14:textId="77777777" w:rsidTr="0066623D">
        <w:trPr>
          <w:cantSplit/>
          <w:trHeight w:val="215"/>
        </w:trPr>
        <w:tc>
          <w:tcPr>
            <w:tcW w:w="8725" w:type="dxa"/>
            <w:vAlign w:val="center"/>
          </w:tcPr>
          <w:p w14:paraId="27A65114"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IFUH</w:t>
            </w:r>
            <w:r w:rsidRPr="00134380">
              <w:rPr>
                <w:rFonts w:ascii="Times New Roman" w:hAnsi="Times New Roman" w:cs="Times New Roman"/>
                <w:i/>
                <w:iCs/>
                <w:vertAlign w:val="subscript"/>
              </w:rPr>
              <w:t>i,t</w:t>
            </w:r>
            <w:r w:rsidRPr="00134380">
              <w:rPr>
                <w:rFonts w:ascii="Times New Roman" w:hAnsi="Times New Roman" w:cs="Times New Roman"/>
                <w:i/>
                <w:iCs/>
              </w:rPr>
              <w:t>×NUE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α</w:t>
            </w:r>
            <w:r w:rsidRPr="00134380">
              <w:rPr>
                <w:rFonts w:ascii="Times New Roman" w:hAnsi="Times New Roman" w:cs="Times New Roman"/>
                <w:i/>
                <w:iCs/>
                <w:vertAlign w:val="subscript"/>
              </w:rPr>
              <w:t>0</w:t>
            </w:r>
            <w:r w:rsidRPr="00134380">
              <w:rPr>
                <w:rFonts w:ascii="Times New Roman" w:hAnsi="Times New Roman" w:cs="Times New Roman"/>
                <w:i/>
                <w:iCs/>
              </w:rPr>
              <w:t xml:space="preserve"> + </w:t>
            </w:r>
            <w:bookmarkStart w:id="11" w:name="_Hlk36875055"/>
            <w:r w:rsidRPr="00134380">
              <w:rPr>
                <w:rFonts w:ascii="Times New Roman" w:hAnsi="Times New Roman" w:cs="Times New Roman"/>
                <w:i/>
                <w:iCs/>
              </w:rPr>
              <w:t>α</w:t>
            </w:r>
            <w:r w:rsidRPr="00134380">
              <w:rPr>
                <w:rFonts w:ascii="Times New Roman" w:hAnsi="Times New Roman" w:cs="Times New Roman"/>
                <w:i/>
                <w:iCs/>
                <w:vertAlign w:val="subscript"/>
              </w:rPr>
              <w:t>1</w:t>
            </w:r>
            <w:bookmarkEnd w:id="11"/>
            <w:r w:rsidRPr="00134380">
              <w:rPr>
                <w:rFonts w:ascii="Times New Roman" w:hAnsi="Times New Roman" w:cs="Times New Roman"/>
                <w:i/>
                <w:iCs/>
              </w:rPr>
              <w:t xml:space="preserve"> GOVH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ε</w:t>
            </w:r>
            <w:r w:rsidRPr="00134380">
              <w:rPr>
                <w:rFonts w:ascii="Times New Roman" w:hAnsi="Times New Roman" w:cs="Times New Roman"/>
                <w:i/>
                <w:iCs/>
                <w:vertAlign w:val="subscript"/>
              </w:rPr>
              <w:t>i</w:t>
            </w:r>
          </w:p>
        </w:tc>
        <w:tc>
          <w:tcPr>
            <w:tcW w:w="625" w:type="dxa"/>
            <w:vAlign w:val="center"/>
          </w:tcPr>
          <w:p w14:paraId="328128A9" w14:textId="77777777" w:rsidR="00724C79" w:rsidRPr="00134380" w:rsidRDefault="00724C79" w:rsidP="0066623D">
            <w:pPr>
              <w:tabs>
                <w:tab w:val="left" w:pos="567"/>
              </w:tabs>
              <w:spacing w:line="288" w:lineRule="auto"/>
              <w:jc w:val="right"/>
              <w:rPr>
                <w:rFonts w:ascii="Times New Roman" w:hAnsi="Times New Roman" w:cs="Times New Roman"/>
              </w:rPr>
            </w:pPr>
            <w:r w:rsidRPr="00134380">
              <w:rPr>
                <w:rFonts w:ascii="Times New Roman" w:hAnsi="Times New Roman" w:cs="Times New Roman"/>
              </w:rPr>
              <w:t>(4c)</w:t>
            </w:r>
          </w:p>
        </w:tc>
      </w:tr>
    </w:tbl>
    <w:p w14:paraId="7922F80A" w14:textId="77777777" w:rsidR="00724C79" w:rsidRPr="00352E64" w:rsidRDefault="00724C79" w:rsidP="00724C79">
      <w:pPr>
        <w:tabs>
          <w:tab w:val="left" w:pos="567"/>
        </w:tabs>
        <w:spacing w:after="0" w:line="288" w:lineRule="auto"/>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5"/>
        <w:gridCol w:w="625"/>
      </w:tblGrid>
      <w:tr w:rsidR="00724C79" w:rsidRPr="00134380" w14:paraId="6AE5D9A3" w14:textId="77777777" w:rsidTr="0066623D">
        <w:trPr>
          <w:cantSplit/>
          <w:trHeight w:val="215"/>
        </w:trPr>
        <w:tc>
          <w:tcPr>
            <w:tcW w:w="8725" w:type="dxa"/>
            <w:vAlign w:val="center"/>
          </w:tcPr>
          <w:p w14:paraId="4D929271" w14:textId="77777777" w:rsidR="00724C79" w:rsidRPr="00134380" w:rsidRDefault="00724C79" w:rsidP="0066623D">
            <w:pPr>
              <w:tabs>
                <w:tab w:val="left" w:pos="567"/>
              </w:tabs>
              <w:spacing w:line="288" w:lineRule="auto"/>
              <w:jc w:val="center"/>
              <w:rPr>
                <w:rFonts w:ascii="Times New Roman" w:hAnsi="Times New Roman" w:cs="Times New Roman"/>
                <w:i/>
                <w:iCs/>
              </w:rPr>
            </w:pPr>
            <w:r w:rsidRPr="00134380">
              <w:rPr>
                <w:rFonts w:ascii="Times New Roman" w:hAnsi="Times New Roman" w:cs="Times New Roman"/>
                <w:i/>
                <w:iCs/>
              </w:rPr>
              <w:t>IFUH</w:t>
            </w:r>
            <w:r w:rsidRPr="00134380">
              <w:rPr>
                <w:rFonts w:ascii="Times New Roman" w:hAnsi="Times New Roman" w:cs="Times New Roman"/>
                <w:i/>
                <w:iCs/>
                <w:vertAlign w:val="subscript"/>
              </w:rPr>
              <w:t>i,t</w:t>
            </w:r>
            <w:r w:rsidRPr="00134380">
              <w:rPr>
                <w:rFonts w:ascii="Times New Roman" w:hAnsi="Times New Roman" w:cs="Times New Roman"/>
                <w:i/>
                <w:iCs/>
              </w:rPr>
              <w:t>×PUE</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γ</w:t>
            </w:r>
            <w:r w:rsidRPr="00134380">
              <w:rPr>
                <w:rFonts w:ascii="Times New Roman" w:hAnsi="Times New Roman" w:cs="Times New Roman"/>
                <w:i/>
                <w:iCs/>
                <w:vertAlign w:val="subscript"/>
              </w:rPr>
              <w:t>0</w:t>
            </w:r>
            <w:r w:rsidRPr="00134380">
              <w:rPr>
                <w:rFonts w:ascii="Times New Roman" w:hAnsi="Times New Roman" w:cs="Times New Roman"/>
                <w:i/>
                <w:iCs/>
              </w:rPr>
              <w:t xml:space="preserve"> + γ</w:t>
            </w:r>
            <w:r w:rsidRPr="00134380">
              <w:rPr>
                <w:rFonts w:ascii="Times New Roman" w:hAnsi="Times New Roman" w:cs="Times New Roman"/>
                <w:i/>
                <w:iCs/>
                <w:vertAlign w:val="subscript"/>
              </w:rPr>
              <w:t xml:space="preserve"> 1</w:t>
            </w:r>
            <w:r w:rsidRPr="00134380">
              <w:rPr>
                <w:rFonts w:ascii="Times New Roman" w:hAnsi="Times New Roman" w:cs="Times New Roman"/>
                <w:i/>
                <w:iCs/>
              </w:rPr>
              <w:t xml:space="preserve"> GOVH</w:t>
            </w:r>
            <w:r w:rsidRPr="00134380">
              <w:rPr>
                <w:rFonts w:ascii="Times New Roman" w:hAnsi="Times New Roman" w:cs="Times New Roman"/>
                <w:i/>
                <w:iCs/>
                <w:vertAlign w:val="subscript"/>
              </w:rPr>
              <w:t>i,t</w:t>
            </w:r>
            <w:r w:rsidRPr="00134380">
              <w:rPr>
                <w:rFonts w:ascii="Times New Roman" w:hAnsi="Times New Roman" w:cs="Times New Roman"/>
                <w:i/>
                <w:iCs/>
              </w:rPr>
              <w:t xml:space="preserve"> + ε</w:t>
            </w:r>
            <w:r w:rsidRPr="00134380">
              <w:rPr>
                <w:rFonts w:ascii="Times New Roman" w:hAnsi="Times New Roman" w:cs="Times New Roman"/>
                <w:i/>
                <w:iCs/>
                <w:vertAlign w:val="subscript"/>
              </w:rPr>
              <w:t>i</w:t>
            </w:r>
          </w:p>
        </w:tc>
        <w:tc>
          <w:tcPr>
            <w:tcW w:w="625" w:type="dxa"/>
            <w:vAlign w:val="center"/>
          </w:tcPr>
          <w:p w14:paraId="0B08C7CE" w14:textId="77777777" w:rsidR="00724C79" w:rsidRPr="00134380" w:rsidRDefault="00724C79" w:rsidP="0066623D">
            <w:pPr>
              <w:tabs>
                <w:tab w:val="left" w:pos="567"/>
              </w:tabs>
              <w:spacing w:line="288" w:lineRule="auto"/>
              <w:jc w:val="right"/>
              <w:rPr>
                <w:rFonts w:ascii="Times New Roman" w:hAnsi="Times New Roman" w:cs="Times New Roman"/>
              </w:rPr>
            </w:pPr>
            <w:r w:rsidRPr="00134380">
              <w:rPr>
                <w:rFonts w:ascii="Times New Roman" w:hAnsi="Times New Roman" w:cs="Times New Roman"/>
              </w:rPr>
              <w:t>(4d)</w:t>
            </w:r>
          </w:p>
        </w:tc>
      </w:tr>
    </w:tbl>
    <w:p w14:paraId="0EDB3E13" w14:textId="77777777" w:rsidR="00724C79" w:rsidRPr="00510789" w:rsidRDefault="00724C79" w:rsidP="00724C79">
      <w:pPr>
        <w:tabs>
          <w:tab w:val="left" w:pos="567"/>
        </w:tabs>
        <w:spacing w:after="0" w:line="288" w:lineRule="auto"/>
        <w:jc w:val="both"/>
        <w:rPr>
          <w:rFonts w:ascii="Times New Roman" w:hAnsi="Times New Roman" w:cs="Times New Roman"/>
          <w:sz w:val="8"/>
          <w:szCs w:val="8"/>
        </w:rPr>
      </w:pPr>
    </w:p>
    <w:p w14:paraId="07AF32D8" w14:textId="77777777" w:rsidR="00352E64" w:rsidRDefault="00352E64" w:rsidP="00724C79">
      <w:pPr>
        <w:tabs>
          <w:tab w:val="left" w:pos="567"/>
        </w:tabs>
        <w:spacing w:after="0" w:line="288" w:lineRule="auto"/>
        <w:jc w:val="both"/>
        <w:rPr>
          <w:rFonts w:ascii="Times New Roman" w:hAnsi="Times New Roman" w:cs="Times New Roman"/>
          <w:sz w:val="24"/>
          <w:szCs w:val="24"/>
        </w:rPr>
      </w:pPr>
    </w:p>
    <w:p w14:paraId="4C8F8CF1" w14:textId="2C404119" w:rsidR="00724C79" w:rsidRDefault="00724C79" w:rsidP="00724C79">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Pr="00DB7C44">
        <w:rPr>
          <w:rFonts w:ascii="Times New Roman" w:hAnsi="Times New Roman" w:cs="Times New Roman"/>
          <w:sz w:val="24"/>
          <w:szCs w:val="24"/>
        </w:rPr>
        <w:t>here</w:t>
      </w:r>
      <w:r>
        <w:rPr>
          <w:rFonts w:ascii="Times New Roman" w:hAnsi="Times New Roman" w:cs="Times New Roman"/>
          <w:sz w:val="24"/>
          <w:szCs w:val="24"/>
        </w:rPr>
        <w:t xml:space="preserve"> all variables were explained earlier. We also re-run </w:t>
      </w:r>
      <w:r w:rsidRPr="00AA72FF">
        <w:rPr>
          <w:rFonts w:ascii="Times New Roman" w:hAnsi="Times New Roman" w:cs="Times New Roman"/>
          <w:i/>
          <w:iCs/>
          <w:sz w:val="24"/>
          <w:szCs w:val="24"/>
        </w:rPr>
        <w:t>model</w:t>
      </w:r>
      <w:r>
        <w:rPr>
          <w:rFonts w:ascii="Times New Roman" w:hAnsi="Times New Roman" w:cs="Times New Roman"/>
          <w:i/>
          <w:iCs/>
          <w:sz w:val="24"/>
          <w:szCs w:val="24"/>
        </w:rPr>
        <w:t>s</w:t>
      </w:r>
      <w:r w:rsidRPr="00AA72FF">
        <w:rPr>
          <w:rFonts w:ascii="Times New Roman" w:hAnsi="Times New Roman" w:cs="Times New Roman"/>
          <w:i/>
          <w:iCs/>
          <w:sz w:val="24"/>
          <w:szCs w:val="24"/>
        </w:rPr>
        <w:t xml:space="preserve"> 4a</w:t>
      </w:r>
      <w:r>
        <w:rPr>
          <w:rFonts w:ascii="Times New Roman" w:hAnsi="Times New Roman" w:cs="Times New Roman"/>
          <w:i/>
          <w:iCs/>
          <w:sz w:val="24"/>
          <w:szCs w:val="24"/>
        </w:rPr>
        <w:t>-4d</w:t>
      </w:r>
      <w:r>
        <w:rPr>
          <w:rFonts w:ascii="Times New Roman" w:hAnsi="Times New Roman" w:cs="Times New Roman"/>
          <w:sz w:val="24"/>
          <w:szCs w:val="24"/>
        </w:rPr>
        <w:t xml:space="preserve"> with the cumulative abnormal returns for the post-announcement period (T+2 to T+60) as the dependent variable and the post-announcement measures of sentiment and uncertainty (</w:t>
      </w:r>
      <w:r>
        <w:rPr>
          <w:rFonts w:ascii="Times New Roman" w:hAnsi="Times New Roman" w:cs="Times New Roman"/>
          <w:i/>
          <w:iCs/>
          <w:sz w:val="24"/>
          <w:szCs w:val="24"/>
        </w:rPr>
        <w:t>PSMIP</w:t>
      </w:r>
      <w:r>
        <w:rPr>
          <w:rFonts w:ascii="Times New Roman" w:hAnsi="Times New Roman" w:cs="Times New Roman"/>
          <w:sz w:val="24"/>
          <w:szCs w:val="24"/>
        </w:rPr>
        <w:t xml:space="preserve"> and</w:t>
      </w:r>
      <w:r w:rsidRPr="00580289">
        <w:rPr>
          <w:rFonts w:ascii="Times New Roman" w:hAnsi="Times New Roman" w:cs="Times New Roman"/>
          <w:i/>
          <w:iCs/>
          <w:sz w:val="24"/>
          <w:szCs w:val="24"/>
        </w:rPr>
        <w:t xml:space="preserve"> </w:t>
      </w:r>
      <w:r>
        <w:rPr>
          <w:rFonts w:ascii="Times New Roman" w:hAnsi="Times New Roman" w:cs="Times New Roman"/>
          <w:i/>
          <w:iCs/>
          <w:sz w:val="24"/>
          <w:szCs w:val="24"/>
        </w:rPr>
        <w:t>∆VIXH</w:t>
      </w:r>
      <w:r>
        <w:rPr>
          <w:rFonts w:ascii="Times New Roman" w:hAnsi="Times New Roman" w:cs="Times New Roman"/>
          <w:sz w:val="24"/>
          <w:szCs w:val="24"/>
        </w:rPr>
        <w:t xml:space="preserve">) instead of </w:t>
      </w:r>
      <w:r w:rsidRPr="0047440D">
        <w:rPr>
          <w:rFonts w:ascii="Times New Roman" w:hAnsi="Times New Roman" w:cs="Times New Roman"/>
          <w:i/>
          <w:iCs/>
          <w:sz w:val="24"/>
          <w:szCs w:val="24"/>
        </w:rPr>
        <w:t xml:space="preserve">SMIP </w:t>
      </w:r>
      <w:r w:rsidRPr="0047440D">
        <w:rPr>
          <w:rFonts w:ascii="Times New Roman" w:hAnsi="Times New Roman" w:cs="Times New Roman"/>
          <w:sz w:val="24"/>
          <w:szCs w:val="24"/>
        </w:rPr>
        <w:t xml:space="preserve">and </w:t>
      </w:r>
      <w:r w:rsidRPr="0047440D">
        <w:rPr>
          <w:rFonts w:ascii="Times New Roman" w:hAnsi="Times New Roman" w:cs="Times New Roman"/>
          <w:i/>
          <w:iCs/>
          <w:sz w:val="24"/>
          <w:szCs w:val="24"/>
        </w:rPr>
        <w:t>VIXH</w:t>
      </w:r>
      <w:r>
        <w:rPr>
          <w:rFonts w:ascii="Times New Roman" w:hAnsi="Times New Roman" w:cs="Times New Roman"/>
          <w:sz w:val="24"/>
          <w:szCs w:val="24"/>
        </w:rPr>
        <w:t xml:space="preserve"> (similar to model 3 but with the addition of the information uncertainty measures). The SEM routine assumes that governance influences the response to earnings announcements (the dependent variable) both directly (what we have seen so far) and indirectly through its impact on information uncertainty.</w:t>
      </w:r>
    </w:p>
    <w:p w14:paraId="380E1D58" w14:textId="10889AD4" w:rsidR="0095103F" w:rsidRDefault="0095103F" w:rsidP="00724C79">
      <w:pPr>
        <w:tabs>
          <w:tab w:val="left" w:pos="567"/>
        </w:tabs>
        <w:spacing w:after="0" w:line="288" w:lineRule="auto"/>
        <w:jc w:val="both"/>
        <w:rPr>
          <w:rFonts w:ascii="Times New Roman" w:hAnsi="Times New Roman" w:cs="Times New Roman"/>
          <w:sz w:val="24"/>
          <w:szCs w:val="24"/>
        </w:rPr>
      </w:pPr>
    </w:p>
    <w:p w14:paraId="5051E6B4" w14:textId="3ED86E2C" w:rsidR="0095103F" w:rsidRDefault="0095103F" w:rsidP="0095103F">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The indirect impact included in the SEM routine represents governance’s influence on the market response to earnings announcements through its influence on information uncertainty</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Pr>
          <w:rFonts w:ascii="Times New Roman" w:hAnsi="Times New Roman" w:cs="Times New Roman"/>
          <w:i/>
          <w:iCs/>
          <w:sz w:val="24"/>
          <w:szCs w:val="24"/>
        </w:rPr>
        <w:t>β</w:t>
      </w:r>
      <w:r>
        <w:rPr>
          <w:rFonts w:ascii="Times New Roman" w:hAnsi="Times New Roman" w:cs="Times New Roman"/>
          <w:i/>
          <w:iCs/>
          <w:sz w:val="24"/>
          <w:szCs w:val="24"/>
          <w:vertAlign w:val="subscript"/>
        </w:rPr>
        <w:t>3</w:t>
      </w:r>
      <w:r>
        <w:rPr>
          <w:rFonts w:ascii="Times New Roman" w:hAnsi="Times New Roman" w:cs="Times New Roman"/>
          <w:sz w:val="24"/>
          <w:szCs w:val="24"/>
        </w:rPr>
        <w:t xml:space="preserve"> represents the direct effect of governance on share price while </w:t>
      </w:r>
      <w:r>
        <w:rPr>
          <w:rFonts w:ascii="Times New Roman" w:hAnsi="Times New Roman" w:cs="Times New Roman"/>
          <w:i/>
          <w:iCs/>
          <w:sz w:val="24"/>
          <w:szCs w:val="24"/>
        </w:rPr>
        <w:t>β</w:t>
      </w:r>
      <w:r>
        <w:rPr>
          <w:rFonts w:ascii="Times New Roman" w:hAnsi="Times New Roman" w:cs="Times New Roman"/>
          <w:i/>
          <w:iCs/>
          <w:sz w:val="24"/>
          <w:szCs w:val="24"/>
          <w:vertAlign w:val="subscript"/>
        </w:rPr>
        <w:t>7</w:t>
      </w:r>
      <w:r>
        <w:rPr>
          <w:rFonts w:ascii="Times New Roman" w:hAnsi="Times New Roman" w:cs="Times New Roman"/>
          <w:sz w:val="24"/>
          <w:szCs w:val="24"/>
        </w:rPr>
        <w:t xml:space="preserve"> and </w:t>
      </w:r>
      <w:r>
        <w:rPr>
          <w:rFonts w:ascii="Times New Roman" w:hAnsi="Times New Roman" w:cs="Times New Roman"/>
          <w:i/>
          <w:iCs/>
          <w:sz w:val="24"/>
          <w:szCs w:val="24"/>
        </w:rPr>
        <w:t>β</w:t>
      </w:r>
      <w:r>
        <w:rPr>
          <w:rFonts w:ascii="Times New Roman" w:hAnsi="Times New Roman" w:cs="Times New Roman"/>
          <w:i/>
          <w:iCs/>
          <w:sz w:val="24"/>
          <w:szCs w:val="24"/>
          <w:vertAlign w:val="subscript"/>
        </w:rPr>
        <w:t>8</w:t>
      </w:r>
      <w:r>
        <w:rPr>
          <w:rFonts w:ascii="Times New Roman" w:hAnsi="Times New Roman" w:cs="Times New Roman"/>
          <w:sz w:val="24"/>
          <w:szCs w:val="24"/>
        </w:rPr>
        <w:t xml:space="preserve"> represent the direct effect of governance through the reaction to the earnings surprise. The indirect effect of governance as illustrated in </w:t>
      </w:r>
      <w:r w:rsidRPr="00352E64">
        <w:rPr>
          <w:rFonts w:ascii="Times New Roman" w:hAnsi="Times New Roman" w:cs="Times New Roman"/>
          <w:sz w:val="24"/>
          <w:szCs w:val="24"/>
        </w:rPr>
        <w:t xml:space="preserve">Figure 1 </w:t>
      </w:r>
      <w:r>
        <w:rPr>
          <w:rFonts w:ascii="Times New Roman" w:hAnsi="Times New Roman" w:cs="Times New Roman"/>
          <w:sz w:val="24"/>
          <w:szCs w:val="24"/>
        </w:rPr>
        <w:t xml:space="preserve">is represented by </w:t>
      </w:r>
      <w:r>
        <w:rPr>
          <w:rFonts w:ascii="Times New Roman" w:hAnsi="Times New Roman" w:cs="Times New Roman"/>
          <w:i/>
          <w:iCs/>
          <w:sz w:val="24"/>
          <w:szCs w:val="24"/>
        </w:rPr>
        <w:t>α</w:t>
      </w:r>
      <w:r>
        <w:rPr>
          <w:rFonts w:ascii="Times New Roman" w:hAnsi="Times New Roman" w:cs="Times New Roman"/>
          <w:i/>
          <w:iCs/>
          <w:sz w:val="24"/>
          <w:szCs w:val="24"/>
          <w:vertAlign w:val="subscript"/>
        </w:rPr>
        <w:t>1</w:t>
      </w:r>
      <w:r w:rsidRPr="00A8425A">
        <w:rPr>
          <w:rFonts w:ascii="Times New Roman" w:hAnsi="Times New Roman" w:cs="Times New Roman"/>
          <w:i/>
          <w:iCs/>
          <w:sz w:val="24"/>
          <w:szCs w:val="24"/>
        </w:rPr>
        <w:t xml:space="preserve"> </w:t>
      </w:r>
      <w:r>
        <w:rPr>
          <w:rFonts w:ascii="Times New Roman" w:hAnsi="Times New Roman" w:cs="Times New Roman"/>
          <w:i/>
          <w:iCs/>
          <w:sz w:val="24"/>
          <w:szCs w:val="24"/>
        </w:rPr>
        <w:t>× β</w:t>
      </w:r>
      <w:r>
        <w:rPr>
          <w:rFonts w:ascii="Times New Roman" w:hAnsi="Times New Roman" w:cs="Times New Roman"/>
          <w:i/>
          <w:iCs/>
          <w:sz w:val="24"/>
          <w:szCs w:val="24"/>
          <w:vertAlign w:val="subscript"/>
        </w:rPr>
        <w:t>9</w:t>
      </w:r>
      <w:r w:rsidRPr="00580289">
        <w:rPr>
          <w:rFonts w:ascii="Times New Roman" w:hAnsi="Times New Roman" w:cs="Times New Roman"/>
          <w:i/>
          <w:iCs/>
          <w:sz w:val="24"/>
          <w:szCs w:val="24"/>
        </w:rPr>
        <w:t xml:space="preserve"> </w:t>
      </w:r>
      <w:r>
        <w:rPr>
          <w:rFonts w:ascii="Times New Roman" w:hAnsi="Times New Roman" w:cs="Times New Roman"/>
          <w:sz w:val="24"/>
          <w:szCs w:val="24"/>
        </w:rPr>
        <w:t xml:space="preserve"> and </w:t>
      </w:r>
      <w:r>
        <w:rPr>
          <w:rFonts w:ascii="Times New Roman" w:hAnsi="Times New Roman" w:cs="Times New Roman"/>
          <w:i/>
          <w:iCs/>
          <w:sz w:val="24"/>
          <w:szCs w:val="24"/>
        </w:rPr>
        <w:t>γ</w:t>
      </w:r>
      <w:r>
        <w:rPr>
          <w:rFonts w:ascii="Times New Roman" w:hAnsi="Times New Roman" w:cs="Times New Roman"/>
          <w:i/>
          <w:iCs/>
          <w:sz w:val="24"/>
          <w:szCs w:val="24"/>
          <w:vertAlign w:val="subscript"/>
        </w:rPr>
        <w:t>1</w:t>
      </w:r>
      <w:r w:rsidRPr="00A8425A">
        <w:rPr>
          <w:rFonts w:ascii="Times New Roman" w:hAnsi="Times New Roman" w:cs="Times New Roman"/>
          <w:i/>
          <w:iCs/>
          <w:sz w:val="24"/>
          <w:szCs w:val="24"/>
        </w:rPr>
        <w:t xml:space="preserve"> </w:t>
      </w:r>
      <w:r>
        <w:rPr>
          <w:rFonts w:ascii="Times New Roman" w:hAnsi="Times New Roman" w:cs="Times New Roman"/>
          <w:i/>
          <w:iCs/>
          <w:sz w:val="24"/>
          <w:szCs w:val="24"/>
        </w:rPr>
        <w:t>× β</w:t>
      </w:r>
      <w:r>
        <w:rPr>
          <w:rFonts w:ascii="Times New Roman" w:hAnsi="Times New Roman" w:cs="Times New Roman"/>
          <w:i/>
          <w:iCs/>
          <w:sz w:val="24"/>
          <w:szCs w:val="24"/>
          <w:vertAlign w:val="subscript"/>
        </w:rPr>
        <w:t>10</w:t>
      </w:r>
      <w:r w:rsidRPr="00580289">
        <w:rPr>
          <w:rFonts w:ascii="Times New Roman" w:hAnsi="Times New Roman" w:cs="Times New Roman"/>
          <w:i/>
          <w:iCs/>
          <w:sz w:val="24"/>
          <w:szCs w:val="24"/>
        </w:rPr>
        <w:t xml:space="preserve"> </w:t>
      </w:r>
      <w:r>
        <w:rPr>
          <w:rFonts w:ascii="Times New Roman" w:hAnsi="Times New Roman" w:cs="Times New Roman"/>
          <w:sz w:val="24"/>
          <w:szCs w:val="24"/>
        </w:rPr>
        <w:t xml:space="preserve">for bad and good earnings surprises, respectively. If our proposition is valid, then we expect </w:t>
      </w:r>
      <w:r>
        <w:rPr>
          <w:rFonts w:ascii="Times New Roman" w:hAnsi="Times New Roman" w:cs="Times New Roman"/>
          <w:i/>
          <w:iCs/>
          <w:sz w:val="24"/>
          <w:szCs w:val="24"/>
        </w:rPr>
        <w:t>β</w:t>
      </w:r>
      <w:r>
        <w:rPr>
          <w:rFonts w:ascii="Times New Roman" w:hAnsi="Times New Roman" w:cs="Times New Roman"/>
          <w:i/>
          <w:iCs/>
          <w:sz w:val="24"/>
          <w:szCs w:val="24"/>
          <w:vertAlign w:val="subscript"/>
        </w:rPr>
        <w:t>9</w:t>
      </w:r>
      <w:r>
        <w:rPr>
          <w:rFonts w:ascii="Times New Roman" w:hAnsi="Times New Roman" w:cs="Times New Roman"/>
          <w:sz w:val="24"/>
          <w:szCs w:val="24"/>
        </w:rPr>
        <w:t xml:space="preserve"> and </w:t>
      </w:r>
      <w:r>
        <w:rPr>
          <w:rFonts w:ascii="Times New Roman" w:hAnsi="Times New Roman" w:cs="Times New Roman"/>
          <w:i/>
          <w:iCs/>
          <w:sz w:val="24"/>
          <w:szCs w:val="24"/>
        </w:rPr>
        <w:t>β</w:t>
      </w:r>
      <w:r>
        <w:rPr>
          <w:rFonts w:ascii="Times New Roman" w:hAnsi="Times New Roman" w:cs="Times New Roman"/>
          <w:i/>
          <w:iCs/>
          <w:sz w:val="24"/>
          <w:szCs w:val="24"/>
          <w:vertAlign w:val="subscript"/>
        </w:rPr>
        <w:t>10</w:t>
      </w:r>
      <w:r>
        <w:rPr>
          <w:rFonts w:ascii="Times New Roman" w:hAnsi="Times New Roman" w:cs="Times New Roman"/>
          <w:sz w:val="24"/>
          <w:szCs w:val="24"/>
        </w:rPr>
        <w:t xml:space="preserve"> to be </w:t>
      </w:r>
      <w:r>
        <w:rPr>
          <w:rFonts w:ascii="Times New Roman" w:hAnsi="Times New Roman" w:cs="Times New Roman"/>
          <w:sz w:val="24"/>
          <w:szCs w:val="24"/>
        </w:rPr>
        <w:lastRenderedPageBreak/>
        <w:t xml:space="preserve">significant with negative signs, indicating that firms with higher information uncertainty tend to have a more muted initial reaction to surprises in the earnings announcement. Based on our earlier observations, we also expect </w:t>
      </w:r>
      <w:r>
        <w:rPr>
          <w:rFonts w:ascii="Times New Roman" w:hAnsi="Times New Roman" w:cs="Times New Roman"/>
          <w:i/>
          <w:iCs/>
          <w:sz w:val="24"/>
          <w:szCs w:val="24"/>
        </w:rPr>
        <w:t>β</w:t>
      </w:r>
      <w:r>
        <w:rPr>
          <w:rFonts w:ascii="Times New Roman" w:hAnsi="Times New Roman" w:cs="Times New Roman"/>
          <w:i/>
          <w:iCs/>
          <w:sz w:val="24"/>
          <w:szCs w:val="24"/>
          <w:vertAlign w:val="subscript"/>
        </w:rPr>
        <w:t>7</w:t>
      </w:r>
      <w:r>
        <w:rPr>
          <w:rFonts w:ascii="Times New Roman" w:hAnsi="Times New Roman" w:cs="Times New Roman"/>
          <w:sz w:val="24"/>
          <w:szCs w:val="24"/>
        </w:rPr>
        <w:t xml:space="preserve"> and </w:t>
      </w:r>
      <w:r>
        <w:rPr>
          <w:rFonts w:ascii="Times New Roman" w:hAnsi="Times New Roman" w:cs="Times New Roman"/>
          <w:i/>
          <w:iCs/>
          <w:sz w:val="24"/>
          <w:szCs w:val="24"/>
        </w:rPr>
        <w:t>β</w:t>
      </w:r>
      <w:r>
        <w:rPr>
          <w:rFonts w:ascii="Times New Roman" w:hAnsi="Times New Roman" w:cs="Times New Roman"/>
          <w:i/>
          <w:iCs/>
          <w:sz w:val="24"/>
          <w:szCs w:val="24"/>
          <w:vertAlign w:val="subscript"/>
        </w:rPr>
        <w:t>8</w:t>
      </w:r>
      <w:r>
        <w:rPr>
          <w:rFonts w:ascii="Times New Roman" w:hAnsi="Times New Roman" w:cs="Times New Roman"/>
          <w:sz w:val="24"/>
          <w:szCs w:val="24"/>
        </w:rPr>
        <w:t xml:space="preserve"> to be significant with positive signs, indicating a higher initial reaction to announcements in better governed firms. Additionally, we expect the indirect effect of governance (</w:t>
      </w:r>
      <w:r>
        <w:rPr>
          <w:rFonts w:ascii="Times New Roman" w:hAnsi="Times New Roman" w:cs="Times New Roman"/>
          <w:i/>
          <w:iCs/>
          <w:sz w:val="24"/>
          <w:szCs w:val="24"/>
        </w:rPr>
        <w:t>α</w:t>
      </w:r>
      <w:r>
        <w:rPr>
          <w:rFonts w:ascii="Times New Roman" w:hAnsi="Times New Roman" w:cs="Times New Roman"/>
          <w:i/>
          <w:iCs/>
          <w:sz w:val="24"/>
          <w:szCs w:val="24"/>
          <w:vertAlign w:val="subscript"/>
        </w:rPr>
        <w:t>1</w:t>
      </w:r>
      <w:r w:rsidRPr="00A8425A">
        <w:rPr>
          <w:rFonts w:ascii="Times New Roman" w:hAnsi="Times New Roman" w:cs="Times New Roman"/>
          <w:i/>
          <w:iCs/>
          <w:sz w:val="24"/>
          <w:szCs w:val="24"/>
        </w:rPr>
        <w:t xml:space="preserve"> </w:t>
      </w:r>
      <w:r>
        <w:rPr>
          <w:rFonts w:ascii="Times New Roman" w:hAnsi="Times New Roman" w:cs="Times New Roman"/>
          <w:i/>
          <w:iCs/>
          <w:sz w:val="24"/>
          <w:szCs w:val="24"/>
        </w:rPr>
        <w:t>× β</w:t>
      </w:r>
      <w:r>
        <w:rPr>
          <w:rFonts w:ascii="Times New Roman" w:hAnsi="Times New Roman" w:cs="Times New Roman"/>
          <w:i/>
          <w:iCs/>
          <w:sz w:val="24"/>
          <w:szCs w:val="24"/>
          <w:vertAlign w:val="subscript"/>
        </w:rPr>
        <w:t>9</w:t>
      </w:r>
      <w:r w:rsidRPr="00580289">
        <w:rPr>
          <w:rFonts w:ascii="Times New Roman" w:hAnsi="Times New Roman" w:cs="Times New Roman"/>
          <w:i/>
          <w:iCs/>
          <w:sz w:val="24"/>
          <w:szCs w:val="24"/>
        </w:rPr>
        <w:t xml:space="preserve"> </w:t>
      </w:r>
      <w:r>
        <w:rPr>
          <w:rFonts w:ascii="Times New Roman" w:hAnsi="Times New Roman" w:cs="Times New Roman"/>
          <w:sz w:val="24"/>
          <w:szCs w:val="24"/>
        </w:rPr>
        <w:t xml:space="preserve"> and </w:t>
      </w:r>
      <w:r>
        <w:rPr>
          <w:rFonts w:ascii="Times New Roman" w:hAnsi="Times New Roman" w:cs="Times New Roman"/>
          <w:i/>
          <w:iCs/>
          <w:sz w:val="24"/>
          <w:szCs w:val="24"/>
        </w:rPr>
        <w:t>γ</w:t>
      </w:r>
      <w:r>
        <w:rPr>
          <w:rFonts w:ascii="Times New Roman" w:hAnsi="Times New Roman" w:cs="Times New Roman"/>
          <w:i/>
          <w:iCs/>
          <w:sz w:val="24"/>
          <w:szCs w:val="24"/>
          <w:vertAlign w:val="subscript"/>
        </w:rPr>
        <w:t>1</w:t>
      </w:r>
      <w:r w:rsidRPr="00A8425A">
        <w:rPr>
          <w:rFonts w:ascii="Times New Roman" w:hAnsi="Times New Roman" w:cs="Times New Roman"/>
          <w:i/>
          <w:iCs/>
          <w:sz w:val="24"/>
          <w:szCs w:val="24"/>
        </w:rPr>
        <w:t xml:space="preserve"> </w:t>
      </w:r>
      <w:r>
        <w:rPr>
          <w:rFonts w:ascii="Times New Roman" w:hAnsi="Times New Roman" w:cs="Times New Roman"/>
          <w:i/>
          <w:iCs/>
          <w:sz w:val="24"/>
          <w:szCs w:val="24"/>
        </w:rPr>
        <w:t>× β</w:t>
      </w:r>
      <w:r>
        <w:rPr>
          <w:rFonts w:ascii="Times New Roman" w:hAnsi="Times New Roman" w:cs="Times New Roman"/>
          <w:i/>
          <w:iCs/>
          <w:sz w:val="24"/>
          <w:szCs w:val="24"/>
          <w:vertAlign w:val="subscript"/>
        </w:rPr>
        <w:t>10</w:t>
      </w:r>
      <w:r>
        <w:rPr>
          <w:rFonts w:ascii="Times New Roman" w:hAnsi="Times New Roman" w:cs="Times New Roman"/>
          <w:sz w:val="24"/>
          <w:szCs w:val="24"/>
        </w:rPr>
        <w:t>) to be significant and to represent a significant portion of the total effect (direct and indirect), thereby confirming the role of governance in improving reaction to earnings announcements through reducing information uncertainty.</w:t>
      </w:r>
    </w:p>
    <w:p w14:paraId="100750FA" w14:textId="77777777" w:rsidR="0095103F" w:rsidRPr="0095103F" w:rsidRDefault="0095103F" w:rsidP="0095103F">
      <w:pPr>
        <w:tabs>
          <w:tab w:val="left" w:pos="567"/>
        </w:tabs>
        <w:spacing w:after="0" w:line="288" w:lineRule="auto"/>
        <w:jc w:val="both"/>
        <w:rPr>
          <w:rFonts w:ascii="Times New Roman" w:hAnsi="Times New Roman" w:cs="Times New Roman"/>
          <w:sz w:val="16"/>
          <w:szCs w:val="16"/>
        </w:rPr>
      </w:pPr>
    </w:p>
    <w:p w14:paraId="33E61431" w14:textId="77777777" w:rsidR="00352E64" w:rsidRDefault="00E05E25" w:rsidP="008F42C0">
      <w:pPr>
        <w:keepLines/>
        <w:tabs>
          <w:tab w:val="left" w:pos="567"/>
        </w:tabs>
        <w:spacing w:after="0" w:line="240" w:lineRule="auto"/>
        <w:jc w:val="center"/>
        <w:rPr>
          <w:rFonts w:ascii="Times New Roman" w:hAnsi="Times New Roman" w:cs="Times New Roman"/>
          <w:b/>
          <w:bCs/>
        </w:rPr>
      </w:pPr>
      <w:r w:rsidRPr="00E05E25">
        <w:rPr>
          <w:rFonts w:ascii="Times New Roman" w:hAnsi="Times New Roman" w:cs="Times New Roman"/>
          <w:b/>
          <w:bCs/>
        </w:rPr>
        <w:t xml:space="preserve">Figure 1: </w:t>
      </w:r>
      <w:r w:rsidR="00352E64">
        <w:rPr>
          <w:rFonts w:ascii="Times New Roman" w:hAnsi="Times New Roman" w:cs="Times New Roman"/>
          <w:b/>
          <w:bCs/>
        </w:rPr>
        <w:t>I</w:t>
      </w:r>
      <w:r w:rsidRPr="00E05E25">
        <w:rPr>
          <w:rFonts w:ascii="Times New Roman" w:hAnsi="Times New Roman" w:cs="Times New Roman"/>
          <w:b/>
          <w:bCs/>
        </w:rPr>
        <w:t xml:space="preserve">llustration of the </w:t>
      </w:r>
      <w:r w:rsidR="00352E64">
        <w:rPr>
          <w:rFonts w:ascii="Times New Roman" w:hAnsi="Times New Roman" w:cs="Times New Roman"/>
          <w:b/>
          <w:bCs/>
        </w:rPr>
        <w:t>S</w:t>
      </w:r>
      <w:r w:rsidRPr="00E05E25">
        <w:rPr>
          <w:rFonts w:ascii="Times New Roman" w:hAnsi="Times New Roman" w:cs="Times New Roman"/>
          <w:b/>
          <w:bCs/>
        </w:rPr>
        <w:t xml:space="preserve">tructural </w:t>
      </w:r>
      <w:r w:rsidR="00352E64">
        <w:rPr>
          <w:rFonts w:ascii="Times New Roman" w:hAnsi="Times New Roman" w:cs="Times New Roman"/>
          <w:b/>
          <w:bCs/>
        </w:rPr>
        <w:t>E</w:t>
      </w:r>
      <w:r w:rsidRPr="00E05E25">
        <w:rPr>
          <w:rFonts w:ascii="Times New Roman" w:hAnsi="Times New Roman" w:cs="Times New Roman"/>
          <w:b/>
          <w:bCs/>
        </w:rPr>
        <w:t xml:space="preserve">quation </w:t>
      </w:r>
      <w:r w:rsidR="00352E64">
        <w:rPr>
          <w:rFonts w:ascii="Times New Roman" w:hAnsi="Times New Roman" w:cs="Times New Roman"/>
          <w:b/>
          <w:bCs/>
        </w:rPr>
        <w:t>M</w:t>
      </w:r>
      <w:r w:rsidRPr="00E05E25">
        <w:rPr>
          <w:rFonts w:ascii="Times New Roman" w:hAnsi="Times New Roman" w:cs="Times New Roman"/>
          <w:b/>
          <w:bCs/>
        </w:rPr>
        <w:t xml:space="preserve">odelling </w:t>
      </w:r>
      <w:r w:rsidR="00352E64">
        <w:rPr>
          <w:rFonts w:ascii="Times New Roman" w:hAnsi="Times New Roman" w:cs="Times New Roman"/>
          <w:b/>
          <w:bCs/>
        </w:rPr>
        <w:t>R</w:t>
      </w:r>
      <w:r w:rsidRPr="00E05E25">
        <w:rPr>
          <w:rFonts w:ascii="Times New Roman" w:hAnsi="Times New Roman" w:cs="Times New Roman"/>
          <w:b/>
          <w:bCs/>
        </w:rPr>
        <w:t xml:space="preserve">outine </w:t>
      </w:r>
    </w:p>
    <w:p w14:paraId="793F2737" w14:textId="77777777" w:rsidR="00352E64" w:rsidRPr="0095103F" w:rsidRDefault="00352E64" w:rsidP="008F42C0">
      <w:pPr>
        <w:keepLines/>
        <w:tabs>
          <w:tab w:val="left" w:pos="567"/>
        </w:tabs>
        <w:spacing w:after="0" w:line="240" w:lineRule="auto"/>
        <w:jc w:val="center"/>
        <w:rPr>
          <w:rFonts w:ascii="Times New Roman" w:hAnsi="Times New Roman" w:cs="Times New Roman"/>
        </w:rPr>
      </w:pPr>
      <w:r w:rsidRPr="0095103F">
        <w:rPr>
          <w:rFonts w:ascii="Times New Roman" w:hAnsi="Times New Roman" w:cs="Times New Roman"/>
        </w:rPr>
        <w:t>P</w:t>
      </w:r>
      <w:r w:rsidR="00E05E25" w:rsidRPr="0095103F">
        <w:rPr>
          <w:rFonts w:ascii="Times New Roman" w:hAnsi="Times New Roman" w:cs="Times New Roman"/>
        </w:rPr>
        <w:t xml:space="preserve">erformed to </w:t>
      </w:r>
      <w:r w:rsidRPr="0095103F">
        <w:rPr>
          <w:rFonts w:ascii="Times New Roman" w:hAnsi="Times New Roman" w:cs="Times New Roman"/>
        </w:rPr>
        <w:t>A</w:t>
      </w:r>
      <w:r w:rsidR="00E05E25" w:rsidRPr="0095103F">
        <w:rPr>
          <w:rFonts w:ascii="Times New Roman" w:hAnsi="Times New Roman" w:cs="Times New Roman"/>
        </w:rPr>
        <w:t xml:space="preserve">nalyse the </w:t>
      </w:r>
      <w:r w:rsidRPr="0095103F">
        <w:rPr>
          <w:rFonts w:ascii="Times New Roman" w:hAnsi="Times New Roman" w:cs="Times New Roman"/>
        </w:rPr>
        <w:t>R</w:t>
      </w:r>
      <w:r w:rsidR="00E05E25" w:rsidRPr="0095103F">
        <w:rPr>
          <w:rFonts w:ascii="Times New Roman" w:hAnsi="Times New Roman" w:cs="Times New Roman"/>
        </w:rPr>
        <w:t xml:space="preserve">elationship between </w:t>
      </w:r>
      <w:r w:rsidRPr="0095103F">
        <w:rPr>
          <w:rFonts w:ascii="Times New Roman" w:hAnsi="Times New Roman" w:cs="Times New Roman"/>
        </w:rPr>
        <w:t>C</w:t>
      </w:r>
      <w:r w:rsidR="00E05E25" w:rsidRPr="0095103F">
        <w:rPr>
          <w:rFonts w:ascii="Times New Roman" w:hAnsi="Times New Roman" w:cs="Times New Roman"/>
        </w:rPr>
        <w:t xml:space="preserve">orporate </w:t>
      </w:r>
      <w:r w:rsidRPr="0095103F">
        <w:rPr>
          <w:rFonts w:ascii="Times New Roman" w:hAnsi="Times New Roman" w:cs="Times New Roman"/>
        </w:rPr>
        <w:t>G</w:t>
      </w:r>
      <w:r w:rsidR="00E05E25" w:rsidRPr="0095103F">
        <w:rPr>
          <w:rFonts w:ascii="Times New Roman" w:hAnsi="Times New Roman" w:cs="Times New Roman"/>
        </w:rPr>
        <w:t xml:space="preserve">overnance, </w:t>
      </w:r>
    </w:p>
    <w:p w14:paraId="7D96D3FA" w14:textId="6CED410B" w:rsidR="00E05E25" w:rsidRPr="0095103F" w:rsidRDefault="00352E64" w:rsidP="008F42C0">
      <w:pPr>
        <w:keepLines/>
        <w:tabs>
          <w:tab w:val="left" w:pos="567"/>
        </w:tabs>
        <w:spacing w:after="0" w:line="240" w:lineRule="auto"/>
        <w:jc w:val="center"/>
        <w:rPr>
          <w:rFonts w:ascii="Times New Roman" w:hAnsi="Times New Roman" w:cs="Times New Roman"/>
        </w:rPr>
      </w:pPr>
      <w:r w:rsidRPr="0095103F">
        <w:rPr>
          <w:rFonts w:ascii="Times New Roman" w:hAnsi="Times New Roman" w:cs="Times New Roman"/>
        </w:rPr>
        <w:t>I</w:t>
      </w:r>
      <w:r w:rsidR="00E05E25" w:rsidRPr="0095103F">
        <w:rPr>
          <w:rFonts w:ascii="Times New Roman" w:hAnsi="Times New Roman" w:cs="Times New Roman"/>
        </w:rPr>
        <w:t xml:space="preserve">nformation </w:t>
      </w:r>
      <w:r w:rsidRPr="0095103F">
        <w:rPr>
          <w:rFonts w:ascii="Times New Roman" w:hAnsi="Times New Roman" w:cs="Times New Roman"/>
        </w:rPr>
        <w:t>U</w:t>
      </w:r>
      <w:r w:rsidR="00E05E25" w:rsidRPr="0095103F">
        <w:rPr>
          <w:rFonts w:ascii="Times New Roman" w:hAnsi="Times New Roman" w:cs="Times New Roman"/>
        </w:rPr>
        <w:t xml:space="preserve">ncertainty and </w:t>
      </w:r>
      <w:r w:rsidRPr="0095103F">
        <w:rPr>
          <w:rFonts w:ascii="Times New Roman" w:hAnsi="Times New Roman" w:cs="Times New Roman"/>
        </w:rPr>
        <w:t>R</w:t>
      </w:r>
      <w:r w:rsidR="00E05E25" w:rsidRPr="0095103F">
        <w:rPr>
          <w:rFonts w:ascii="Times New Roman" w:hAnsi="Times New Roman" w:cs="Times New Roman"/>
        </w:rPr>
        <w:t xml:space="preserve">eaction to </w:t>
      </w:r>
      <w:r w:rsidRPr="0095103F">
        <w:rPr>
          <w:rFonts w:ascii="Times New Roman" w:hAnsi="Times New Roman" w:cs="Times New Roman"/>
        </w:rPr>
        <w:t>E</w:t>
      </w:r>
      <w:r w:rsidR="00E05E25" w:rsidRPr="0095103F">
        <w:rPr>
          <w:rFonts w:ascii="Times New Roman" w:hAnsi="Times New Roman" w:cs="Times New Roman"/>
        </w:rPr>
        <w:t xml:space="preserve">arnings </w:t>
      </w:r>
      <w:r w:rsidRPr="0095103F">
        <w:rPr>
          <w:rFonts w:ascii="Times New Roman" w:hAnsi="Times New Roman" w:cs="Times New Roman"/>
        </w:rPr>
        <w:t>A</w:t>
      </w:r>
      <w:r w:rsidR="00E05E25" w:rsidRPr="0095103F">
        <w:rPr>
          <w:rFonts w:ascii="Times New Roman" w:hAnsi="Times New Roman" w:cs="Times New Roman"/>
        </w:rPr>
        <w:t>nnouncements</w:t>
      </w:r>
    </w:p>
    <w:p w14:paraId="64E5266D" w14:textId="77777777" w:rsidR="00352E64" w:rsidRPr="00352E64" w:rsidRDefault="00352E64" w:rsidP="008F42C0">
      <w:pPr>
        <w:keepLines/>
        <w:tabs>
          <w:tab w:val="left" w:pos="567"/>
        </w:tabs>
        <w:spacing w:after="0" w:line="240" w:lineRule="auto"/>
        <w:jc w:val="center"/>
        <w:rPr>
          <w:rFonts w:ascii="Times New Roman" w:hAnsi="Times New Roman" w:cs="Times New Roman"/>
          <w:b/>
          <w:bCs/>
          <w:sz w:val="10"/>
          <w:szCs w:val="10"/>
        </w:rPr>
      </w:pPr>
    </w:p>
    <w:p w14:paraId="27EF8052" w14:textId="73C19964" w:rsidR="00134380" w:rsidRPr="00134380" w:rsidRDefault="00E05E25" w:rsidP="0095103F">
      <w:pPr>
        <w:keepLines/>
        <w:tabs>
          <w:tab w:val="left" w:pos="567"/>
        </w:tabs>
        <w:spacing w:after="0" w:line="240" w:lineRule="auto"/>
        <w:rPr>
          <w:rFonts w:ascii="Times New Roman" w:hAnsi="Times New Roman" w:cs="Times New Roman"/>
        </w:rPr>
      </w:pPr>
      <w:r w:rsidRPr="00134380">
        <w:rPr>
          <w:noProof/>
          <w:sz w:val="20"/>
          <w:szCs w:val="20"/>
          <w:lang w:val="en-NZ" w:eastAsia="zh-CN"/>
        </w:rPr>
        <mc:AlternateContent>
          <mc:Choice Requires="wpg">
            <w:drawing>
              <wp:anchor distT="0" distB="0" distL="114300" distR="114300" simplePos="0" relativeHeight="251658752" behindDoc="0" locked="0" layoutInCell="1" allowOverlap="1" wp14:anchorId="16C2FA2C" wp14:editId="51043211">
                <wp:simplePos x="0" y="0"/>
                <wp:positionH relativeFrom="column">
                  <wp:posOffset>0</wp:posOffset>
                </wp:positionH>
                <wp:positionV relativeFrom="paragraph">
                  <wp:posOffset>0</wp:posOffset>
                </wp:positionV>
                <wp:extent cx="6096000" cy="3648075"/>
                <wp:effectExtent l="0" t="0" r="19050" b="28575"/>
                <wp:wrapTopAndBottom/>
                <wp:docPr id="36" name="Group 36"/>
                <wp:cNvGraphicFramePr/>
                <a:graphic xmlns:a="http://schemas.openxmlformats.org/drawingml/2006/main">
                  <a:graphicData uri="http://schemas.microsoft.com/office/word/2010/wordprocessingGroup">
                    <wpg:wgp>
                      <wpg:cNvGrpSpPr/>
                      <wpg:grpSpPr>
                        <a:xfrm>
                          <a:off x="0" y="0"/>
                          <a:ext cx="6096000" cy="3648075"/>
                          <a:chOff x="0" y="0"/>
                          <a:chExt cx="6096000" cy="3648075"/>
                        </a:xfrm>
                      </wpg:grpSpPr>
                      <wps:wsp>
                        <wps:cNvPr id="1" name="Rectangle 1"/>
                        <wps:cNvSpPr/>
                        <wps:spPr>
                          <a:xfrm>
                            <a:off x="0" y="0"/>
                            <a:ext cx="6096000" cy="3648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933450" y="219075"/>
                            <a:ext cx="4229100" cy="3219450"/>
                            <a:chOff x="0" y="0"/>
                            <a:chExt cx="4229100" cy="3219450"/>
                          </a:xfrm>
                        </wpg:grpSpPr>
                        <wps:wsp>
                          <wps:cNvPr id="6" name="Rectangle 6"/>
                          <wps:cNvSpPr/>
                          <wps:spPr>
                            <a:xfrm>
                              <a:off x="1704975" y="2762250"/>
                              <a:ext cx="25241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13487" w14:textId="77777777" w:rsidR="005409EA" w:rsidRPr="00240DFD" w:rsidRDefault="005409EA" w:rsidP="00E05E25">
                                <w:pPr>
                                  <w:spacing w:after="0"/>
                                  <w:jc w:val="center"/>
                                  <w:rPr>
                                    <w:b/>
                                    <w:bCs/>
                                    <w:color w:val="000000" w:themeColor="text1"/>
                                  </w:rPr>
                                </w:pPr>
                                <w:r w:rsidRPr="00240DFD">
                                  <w:rPr>
                                    <w:b/>
                                    <w:bCs/>
                                    <w:color w:val="000000" w:themeColor="text1"/>
                                  </w:rPr>
                                  <w:t>Cumulative Abnormal Returns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1485900" y="0"/>
                              <a:ext cx="2743200" cy="1371600"/>
                              <a:chOff x="0" y="0"/>
                              <a:chExt cx="2743200" cy="1371600"/>
                            </a:xfrm>
                          </wpg:grpSpPr>
                          <wps:wsp>
                            <wps:cNvPr id="2" name="Rectangle 2"/>
                            <wps:cNvSpPr/>
                            <wps:spPr>
                              <a:xfrm>
                                <a:off x="219075" y="0"/>
                                <a:ext cx="25241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8D524" w14:textId="77777777" w:rsidR="005409EA" w:rsidRPr="00240DFD" w:rsidRDefault="005409EA" w:rsidP="00E05E25">
                                  <w:pPr>
                                    <w:spacing w:after="0"/>
                                    <w:jc w:val="center"/>
                                    <w:rPr>
                                      <w:b/>
                                      <w:bCs/>
                                      <w:color w:val="000000" w:themeColor="text1"/>
                                    </w:rPr>
                                  </w:pPr>
                                  <w:r w:rsidRPr="00240DFD">
                                    <w:rPr>
                                      <w:b/>
                                      <w:bCs/>
                                      <w:color w:val="000000" w:themeColor="text1"/>
                                    </w:rPr>
                                    <w:t>Corporate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H="1">
                                <a:off x="0" y="457200"/>
                                <a:ext cx="3619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514350" y="45720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543175" y="45720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7" name="Group 27"/>
                          <wpg:cNvGrpSpPr/>
                          <wpg:grpSpPr>
                            <a:xfrm>
                              <a:off x="0" y="685800"/>
                              <a:ext cx="1847850" cy="685800"/>
                              <a:chOff x="0" y="0"/>
                              <a:chExt cx="1847850" cy="685800"/>
                            </a:xfrm>
                          </wpg:grpSpPr>
                          <wps:wsp>
                            <wps:cNvPr id="3" name="Rectangle 3"/>
                            <wps:cNvSpPr/>
                            <wps:spPr>
                              <a:xfrm>
                                <a:off x="0" y="0"/>
                                <a:ext cx="159448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5A576" w14:textId="77777777" w:rsidR="005409EA" w:rsidRPr="00240DFD" w:rsidRDefault="005409EA" w:rsidP="00E05E25">
                                  <w:pPr>
                                    <w:spacing w:after="0"/>
                                    <w:jc w:val="center"/>
                                    <w:rPr>
                                      <w:b/>
                                      <w:bCs/>
                                      <w:color w:val="000000" w:themeColor="text1"/>
                                    </w:rPr>
                                  </w:pPr>
                                  <w:r w:rsidRPr="00240DFD">
                                    <w:rPr>
                                      <w:b/>
                                      <w:bCs/>
                                      <w:color w:val="000000" w:themeColor="text1"/>
                                    </w:rPr>
                                    <w:t>Information Uncertainty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485900" y="457200"/>
                                <a:ext cx="3619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485900" y="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28" name="Group 28"/>
                          <wpg:cNvGrpSpPr/>
                          <wpg:grpSpPr>
                            <a:xfrm>
                              <a:off x="1704975" y="1371600"/>
                              <a:ext cx="2524125" cy="1381125"/>
                              <a:chOff x="0" y="0"/>
                              <a:chExt cx="2524125" cy="1381125"/>
                            </a:xfrm>
                          </wpg:grpSpPr>
                          <wps:wsp>
                            <wps:cNvPr id="4" name="Rectangle 4"/>
                            <wps:cNvSpPr/>
                            <wps:spPr>
                              <a:xfrm>
                                <a:off x="0" y="0"/>
                                <a:ext cx="2524125" cy="457200"/>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789827A" w14:textId="77777777" w:rsidR="005409EA" w:rsidRPr="00240DFD" w:rsidRDefault="005409EA" w:rsidP="00E05E25">
                                  <w:pPr>
                                    <w:spacing w:after="0"/>
                                    <w:jc w:val="center"/>
                                    <w:rPr>
                                      <w:b/>
                                      <w:bCs/>
                                      <w:color w:val="000000" w:themeColor="text1"/>
                                    </w:rPr>
                                  </w:pPr>
                                  <w:r w:rsidRPr="00240DFD">
                                    <w:rPr>
                                      <w:b/>
                                      <w:bCs/>
                                      <w:color w:val="000000" w:themeColor="text1"/>
                                    </w:rPr>
                                    <w:t>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33350" y="4857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95275" y="4857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2324100" y="466725"/>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2324100" y="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295275" y="1905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33350" y="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29" name="Group 29"/>
                          <wpg:cNvGrpSpPr/>
                          <wpg:grpSpPr>
                            <a:xfrm>
                              <a:off x="1704975" y="2047875"/>
                              <a:ext cx="2209800" cy="723900"/>
                              <a:chOff x="0" y="0"/>
                              <a:chExt cx="2209800" cy="723900"/>
                            </a:xfrm>
                          </wpg:grpSpPr>
                          <wps:wsp>
                            <wps:cNvPr id="5" name="Rectangle 5"/>
                            <wps:cNvSpPr/>
                            <wps:spPr>
                              <a:xfrm>
                                <a:off x="0" y="19050"/>
                                <a:ext cx="2209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F374B" w14:textId="77777777" w:rsidR="005409EA" w:rsidRPr="00240DFD" w:rsidRDefault="005409EA" w:rsidP="00E05E25">
                                  <w:pPr>
                                    <w:spacing w:after="0"/>
                                    <w:jc w:val="center"/>
                                    <w:rPr>
                                      <w:b/>
                                      <w:bCs/>
                                      <w:color w:val="000000" w:themeColor="text1"/>
                                    </w:rPr>
                                  </w:pPr>
                                  <w:r w:rsidRPr="00240DFD">
                                    <w:rPr>
                                      <w:b/>
                                      <w:bCs/>
                                      <w:color w:val="000000" w:themeColor="text1"/>
                                    </w:rPr>
                                    <w:t>Earnings Announcement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33350" y="49530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295275" y="49530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295275" y="1905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133350" y="0"/>
                                <a:ext cx="0" cy="4572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s:wsp>
                        <wps:cNvPr id="31" name="Rectangle 31"/>
                        <wps:cNvSpPr/>
                        <wps:spPr>
                          <a:xfrm>
                            <a:off x="4705350" y="904875"/>
                            <a:ext cx="8667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92231" w14:textId="77777777" w:rsidR="005409EA" w:rsidRPr="0028369C" w:rsidRDefault="005409EA" w:rsidP="00E05E25">
                              <w:pPr>
                                <w:jc w:val="center"/>
                                <w:rPr>
                                  <w:color w:val="000000" w:themeColor="text1"/>
                                </w:rPr>
                              </w:pPr>
                              <w:r w:rsidRPr="0028369C">
                                <w:rPr>
                                  <w:rFonts w:ascii="Times New Roman" w:hAnsi="Times New Roman" w:cs="Times New Roman"/>
                                  <w:i/>
                                  <w:iCs/>
                                  <w:color w:val="000000" w:themeColor="text1"/>
                                  <w:sz w:val="24"/>
                                  <w:szCs w:val="24"/>
                                </w:rPr>
                                <w:t>β</w:t>
                              </w:r>
                              <w:r w:rsidRPr="0028369C">
                                <w:rPr>
                                  <w:rFonts w:ascii="Times New Roman" w:hAnsi="Times New Roman" w:cs="Times New Roman"/>
                                  <w:i/>
                                  <w:iCs/>
                                  <w:color w:val="000000" w:themeColor="text1"/>
                                  <w:sz w:val="24"/>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657475" y="819150"/>
                            <a:ext cx="157162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1ABDC" w14:textId="77777777" w:rsidR="005409EA" w:rsidRDefault="005409EA" w:rsidP="00E05E25">
                              <w:pPr>
                                <w:spacing w:after="0"/>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4"/>
                                  <w:szCs w:val="24"/>
                                </w:rPr>
                                <w:t>β</w:t>
                              </w:r>
                              <w:r>
                                <w:rPr>
                                  <w:rFonts w:ascii="Times New Roman" w:hAnsi="Times New Roman" w:cs="Times New Roman"/>
                                  <w:i/>
                                  <w:iCs/>
                                  <w:color w:val="000000" w:themeColor="text1"/>
                                  <w:sz w:val="24"/>
                                  <w:szCs w:val="24"/>
                                  <w:vertAlign w:val="subscript"/>
                                </w:rPr>
                                <w:t>7</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(bad news)</w:t>
                              </w:r>
                            </w:p>
                            <w:p w14:paraId="282AECB7" w14:textId="77777777" w:rsidR="005409EA" w:rsidRDefault="005409EA" w:rsidP="00E05E25">
                              <w:pPr>
                                <w:spacing w:after="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0"/>
                                  <w:szCs w:val="20"/>
                                </w:rPr>
                                <w:t xml:space="preserve"> or</w:t>
                              </w:r>
                            </w:p>
                            <w:p w14:paraId="11C80180" w14:textId="77777777" w:rsidR="005409EA" w:rsidRPr="0028369C" w:rsidRDefault="005409EA" w:rsidP="00E05E25">
                              <w:pPr>
                                <w:spacing w:after="0"/>
                                <w:jc w:val="center"/>
                                <w:rPr>
                                  <w:color w:val="000000" w:themeColor="text1"/>
                                </w:rPr>
                              </w:pPr>
                              <w:r w:rsidRPr="0028369C">
                                <w:rPr>
                                  <w:rFonts w:ascii="Times New Roman" w:hAnsi="Times New Roman" w:cs="Times New Roman"/>
                                  <w:i/>
                                  <w:iCs/>
                                  <w:color w:val="000000" w:themeColor="text1"/>
                                  <w:sz w:val="24"/>
                                  <w:szCs w:val="24"/>
                                </w:rPr>
                                <w:t>β</w:t>
                              </w:r>
                              <w:r>
                                <w:rPr>
                                  <w:rFonts w:ascii="Times New Roman" w:hAnsi="Times New Roman" w:cs="Times New Roman"/>
                                  <w:i/>
                                  <w:iCs/>
                                  <w:color w:val="000000" w:themeColor="text1"/>
                                  <w:sz w:val="24"/>
                                  <w:szCs w:val="24"/>
                                  <w:vertAlign w:val="subscript"/>
                                </w:rPr>
                                <w:t>8</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(good news)</w:t>
                              </w:r>
                            </w:p>
                            <w:p w14:paraId="40EE36E2" w14:textId="77777777" w:rsidR="005409EA" w:rsidRPr="0028369C" w:rsidRDefault="005409EA" w:rsidP="00E05E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209675" y="219075"/>
                            <a:ext cx="157162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C5C76" w14:textId="77777777" w:rsidR="005409EA" w:rsidRDefault="005409EA" w:rsidP="00E05E25">
                              <w:pPr>
                                <w:spacing w:after="0"/>
                                <w:jc w:val="center"/>
                                <w:rPr>
                                  <w:rFonts w:ascii="Times New Roman" w:hAnsi="Times New Roman" w:cs="Times New Roman"/>
                                  <w:i/>
                                  <w:iCs/>
                                  <w:color w:val="000000" w:themeColor="text1"/>
                                  <w:sz w:val="20"/>
                                  <w:szCs w:val="20"/>
                                </w:rPr>
                              </w:pPr>
                              <w:r w:rsidRPr="00120DD0">
                                <w:rPr>
                                  <w:rFonts w:ascii="Times New Roman" w:hAnsi="Times New Roman" w:cs="Times New Roman"/>
                                  <w:i/>
                                  <w:iCs/>
                                  <w:color w:val="000000" w:themeColor="text1"/>
                                  <w:sz w:val="24"/>
                                  <w:szCs w:val="24"/>
                                </w:rPr>
                                <w:t>α</w:t>
                              </w:r>
                              <w:r w:rsidRPr="00120DD0">
                                <w:rPr>
                                  <w:rFonts w:ascii="Times New Roman" w:hAnsi="Times New Roman" w:cs="Times New Roman"/>
                                  <w:i/>
                                  <w:iCs/>
                                  <w:color w:val="000000" w:themeColor="text1"/>
                                  <w:sz w:val="24"/>
                                  <w:szCs w:val="24"/>
                                  <w:vertAlign w:val="subscript"/>
                                </w:rPr>
                                <w:t>1</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β</w:t>
                              </w:r>
                              <w:r>
                                <w:rPr>
                                  <w:rFonts w:ascii="Times New Roman" w:hAnsi="Times New Roman" w:cs="Times New Roman"/>
                                  <w:i/>
                                  <w:iCs/>
                                  <w:color w:val="000000" w:themeColor="text1"/>
                                  <w:sz w:val="24"/>
                                  <w:szCs w:val="24"/>
                                  <w:vertAlign w:val="subscript"/>
                                </w:rPr>
                                <w:t>9</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(bad news)</w:t>
                              </w:r>
                            </w:p>
                            <w:p w14:paraId="0E33E4FA" w14:textId="77777777" w:rsidR="005409EA" w:rsidRDefault="005409EA" w:rsidP="00E05E25">
                              <w:pPr>
                                <w:spacing w:after="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0"/>
                                  <w:szCs w:val="20"/>
                                </w:rPr>
                                <w:t xml:space="preserve"> or</w:t>
                              </w:r>
                            </w:p>
                            <w:p w14:paraId="77E3F095" w14:textId="77777777" w:rsidR="005409EA" w:rsidRPr="0028369C" w:rsidRDefault="005409EA" w:rsidP="00E05E25">
                              <w:pPr>
                                <w:spacing w:after="0"/>
                                <w:jc w:val="center"/>
                                <w:rPr>
                                  <w:color w:val="000000" w:themeColor="text1"/>
                                </w:rPr>
                              </w:pPr>
                              <w:r>
                                <w:rPr>
                                  <w:rFonts w:ascii="Times New Roman" w:hAnsi="Times New Roman" w:cs="Times New Roman"/>
                                  <w:i/>
                                  <w:iCs/>
                                  <w:color w:val="000000" w:themeColor="text1"/>
                                  <w:sz w:val="24"/>
                                  <w:szCs w:val="24"/>
                                </w:rPr>
                                <w:t>γ</w:t>
                              </w:r>
                              <w:r w:rsidRPr="00120DD0">
                                <w:rPr>
                                  <w:rFonts w:ascii="Times New Roman" w:hAnsi="Times New Roman" w:cs="Times New Roman"/>
                                  <w:i/>
                                  <w:iCs/>
                                  <w:color w:val="000000" w:themeColor="text1"/>
                                  <w:sz w:val="24"/>
                                  <w:szCs w:val="24"/>
                                  <w:vertAlign w:val="subscript"/>
                                </w:rPr>
                                <w:t>1</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β</w:t>
                              </w:r>
                              <w:r>
                                <w:rPr>
                                  <w:rFonts w:ascii="Times New Roman" w:hAnsi="Times New Roman" w:cs="Times New Roman"/>
                                  <w:i/>
                                  <w:iCs/>
                                  <w:color w:val="000000" w:themeColor="text1"/>
                                  <w:sz w:val="24"/>
                                  <w:szCs w:val="24"/>
                                  <w:vertAlign w:val="subscript"/>
                                </w:rPr>
                                <w:t>10</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(good news)</w:t>
                              </w:r>
                            </w:p>
                            <w:p w14:paraId="7E9172F2" w14:textId="77777777" w:rsidR="005409EA" w:rsidRPr="0028369C" w:rsidRDefault="005409EA" w:rsidP="00E05E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38125" y="314325"/>
                            <a:ext cx="1114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3A0A1" w14:textId="77777777" w:rsidR="005409EA" w:rsidRPr="00120DD0" w:rsidRDefault="005409EA" w:rsidP="00E05E25">
                              <w:pPr>
                                <w:spacing w:after="0"/>
                                <w:jc w:val="center"/>
                                <w:rPr>
                                  <w:b/>
                                  <w:bCs/>
                                  <w:color w:val="000000" w:themeColor="text1"/>
                                  <w:sz w:val="20"/>
                                  <w:szCs w:val="20"/>
                                </w:rPr>
                              </w:pPr>
                              <w:r w:rsidRPr="00120DD0">
                                <w:rPr>
                                  <w:rFonts w:ascii="Times New Roman" w:hAnsi="Times New Roman" w:cs="Times New Roman"/>
                                  <w:b/>
                                  <w:bCs/>
                                  <w:i/>
                                  <w:iCs/>
                                  <w:color w:val="000000" w:themeColor="text1"/>
                                  <w:sz w:val="20"/>
                                  <w:szCs w:val="20"/>
                                </w:rPr>
                                <w:t>Indirect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800475" y="1000125"/>
                            <a:ext cx="11144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61DED" w14:textId="77777777" w:rsidR="005409EA" w:rsidRPr="00120DD0" w:rsidRDefault="005409EA" w:rsidP="00E05E25">
                              <w:pPr>
                                <w:spacing w:after="0"/>
                                <w:jc w:val="center"/>
                                <w:rPr>
                                  <w:b/>
                                  <w:bCs/>
                                  <w:color w:val="000000" w:themeColor="text1"/>
                                  <w:sz w:val="20"/>
                                  <w:szCs w:val="20"/>
                                </w:rPr>
                              </w:pPr>
                              <w:r>
                                <w:rPr>
                                  <w:rFonts w:ascii="Times New Roman" w:hAnsi="Times New Roman" w:cs="Times New Roman"/>
                                  <w:b/>
                                  <w:bCs/>
                                  <w:i/>
                                  <w:iCs/>
                                  <w:color w:val="000000" w:themeColor="text1"/>
                                  <w:sz w:val="20"/>
                                  <w:szCs w:val="20"/>
                                </w:rPr>
                                <w:t>D</w:t>
                              </w:r>
                              <w:r w:rsidRPr="00120DD0">
                                <w:rPr>
                                  <w:rFonts w:ascii="Times New Roman" w:hAnsi="Times New Roman" w:cs="Times New Roman"/>
                                  <w:b/>
                                  <w:bCs/>
                                  <w:i/>
                                  <w:iCs/>
                                  <w:color w:val="000000" w:themeColor="text1"/>
                                  <w:sz w:val="20"/>
                                  <w:szCs w:val="20"/>
                                </w:rPr>
                                <w:t>irect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C2FA2C" id="Group 36" o:spid="_x0000_s1026" style="position:absolute;margin-left:0;margin-top:0;width:480pt;height:287.25pt;z-index:251658752" coordsize="60960,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">
                <v:rect id="Rectangle 1" o:spid="_x0000_s1027" style="position:absolute;width:60960;height:3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group id="Group 30" o:spid="_x0000_s1028" style="position:absolute;left:9334;top:2190;width:42291;height:32195" coordsize="42291,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6" o:spid="_x0000_s1029" style="position:absolute;left:17049;top:27622;width:2524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21413487" w14:textId="77777777" w:rsidR="005409EA" w:rsidRPr="00240DFD" w:rsidRDefault="005409EA" w:rsidP="00E05E25">
                          <w:pPr>
                            <w:spacing w:after="0"/>
                            <w:jc w:val="center"/>
                            <w:rPr>
                              <w:b/>
                              <w:bCs/>
                              <w:color w:val="000000" w:themeColor="text1"/>
                            </w:rPr>
                          </w:pPr>
                          <w:r w:rsidRPr="00240DFD">
                            <w:rPr>
                              <w:b/>
                              <w:bCs/>
                              <w:color w:val="000000" w:themeColor="text1"/>
                            </w:rPr>
                            <w:t>Cumulative Abnormal Returns</w:t>
                          </w:r>
                        </w:p>
                      </w:txbxContent>
                    </v:textbox>
                  </v:rect>
                  <v:group id="Group 26" o:spid="_x0000_s1030" style="position:absolute;left:14859;width:27432;height:13716" coordsize="274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 o:spid="_x0000_s1031" style="position:absolute;left:2190;width:2524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5D88D524" w14:textId="77777777" w:rsidR="005409EA" w:rsidRPr="00240DFD" w:rsidRDefault="005409EA" w:rsidP="00E05E25">
                            <w:pPr>
                              <w:spacing w:after="0"/>
                              <w:jc w:val="center"/>
                              <w:rPr>
                                <w:b/>
                                <w:bCs/>
                                <w:color w:val="000000" w:themeColor="text1"/>
                              </w:rPr>
                            </w:pPr>
                            <w:r w:rsidRPr="00240DFD">
                              <w:rPr>
                                <w:b/>
                                <w:bCs/>
                                <w:color w:val="000000" w:themeColor="text1"/>
                              </w:rPr>
                              <w:t>Corporate Governance</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top:4572;width:3619;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Straight Arrow Connector 12" o:spid="_x0000_s1033" type="#_x0000_t32" style="position:absolute;left:5143;top:4572;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5" o:spid="_x0000_s1034" type="#_x0000_t32" style="position:absolute;left:25431;top:4572;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group>
                  <v:group id="Group 27" o:spid="_x0000_s1035" style="position:absolute;top:6858;width:18478;height:6858" coordsize="1847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 o:spid="_x0000_s1036" style="position:absolute;width:159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6565A576" w14:textId="77777777" w:rsidR="005409EA" w:rsidRPr="00240DFD" w:rsidRDefault="005409EA" w:rsidP="00E05E25">
                            <w:pPr>
                              <w:spacing w:after="0"/>
                              <w:jc w:val="center"/>
                              <w:rPr>
                                <w:b/>
                                <w:bCs/>
                                <w:color w:val="000000" w:themeColor="text1"/>
                              </w:rPr>
                            </w:pPr>
                            <w:r w:rsidRPr="00240DFD">
                              <w:rPr>
                                <w:b/>
                                <w:bCs/>
                                <w:color w:val="000000" w:themeColor="text1"/>
                              </w:rPr>
                              <w:t>Information Uncertainty</w:t>
                            </w:r>
                          </w:p>
                        </w:txbxContent>
                      </v:textbox>
                    </v:rect>
                    <v:shape id="Straight Arrow Connector 8" o:spid="_x0000_s1037" type="#_x0000_t32" style="position:absolute;left:14859;top:4572;width:361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line id="Straight Connector 22" o:spid="_x0000_s1038" style="position:absolute;visibility:visible;mso-wrap-style:square" from="14859,0" to="148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" strokecolor="black [3200]" strokeweight="1pt">
                      <v:stroke dashstyle="dash" joinstyle="miter"/>
                    </v:line>
                  </v:group>
                  <v:group id="Group 28" o:spid="_x0000_s1039" style="position:absolute;left:17049;top:13716;width:25242;height:13811" coordsize="25241,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 o:spid="_x0000_s1040" style="position:absolute;width:2524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" filled="f" strokecolor="black [3213]" strokeweight="1pt">
                      <v:stroke dashstyle="longDash"/>
                      <v:textbox>
                        <w:txbxContent>
                          <w:p w14:paraId="0789827A" w14:textId="77777777" w:rsidR="005409EA" w:rsidRPr="00240DFD" w:rsidRDefault="005409EA" w:rsidP="00E05E25">
                            <w:pPr>
                              <w:spacing w:after="0"/>
                              <w:jc w:val="center"/>
                              <w:rPr>
                                <w:b/>
                                <w:bCs/>
                                <w:color w:val="000000" w:themeColor="text1"/>
                              </w:rPr>
                            </w:pPr>
                            <w:r w:rsidRPr="00240DFD">
                              <w:rPr>
                                <w:b/>
                                <w:bCs/>
                                <w:color w:val="000000" w:themeColor="text1"/>
                              </w:rPr>
                              <w:t>Investor</w:t>
                            </w:r>
                          </w:p>
                        </w:txbxContent>
                      </v:textbox>
                    </v:rect>
                    <v:shape id="Straight Arrow Connector 9" o:spid="_x0000_s1041" type="#_x0000_t32" style="position:absolute;left:1333;top:485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Straight Arrow Connector 16" o:spid="_x0000_s1042" type="#_x0000_t32" style="position:absolute;left:2952;top:485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9" o:spid="_x0000_s1043" type="#_x0000_t32" style="position:absolute;left:23241;top:4667;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line id="Straight Connector 20" o:spid="_x0000_s1044" style="position:absolute;visibility:visible;mso-wrap-style:square" from="23241,0" to="2324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" strokecolor="black [3200]" strokeweight="1pt">
                      <v:stroke dashstyle="dash" joinstyle="miter"/>
                    </v:line>
                    <v:line id="Straight Connector 21" o:spid="_x0000_s1045" style="position:absolute;visibility:visible;mso-wrap-style:square" from="2952,190" to="295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" strokecolor="black [3200]" strokeweight="1pt">
                      <v:stroke dashstyle="dash" joinstyle="miter"/>
                    </v:line>
                    <v:line id="Straight Connector 23" o:spid="_x0000_s1046" style="position:absolute;visibility:visible;mso-wrap-style:square" from="1333,0" to="133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" strokecolor="black [3200]" strokeweight="1pt">
                      <v:stroke dashstyle="dash" joinstyle="miter"/>
                    </v:line>
                  </v:group>
                  <v:group id="Group 29" o:spid="_x0000_s1047" style="position:absolute;left:17049;top:20478;width:22098;height:7239" coordsize="2209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48" style="position:absolute;top:190;width:2209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415F374B" w14:textId="77777777" w:rsidR="005409EA" w:rsidRPr="00240DFD" w:rsidRDefault="005409EA" w:rsidP="00E05E25">
                            <w:pPr>
                              <w:spacing w:after="0"/>
                              <w:jc w:val="center"/>
                              <w:rPr>
                                <w:b/>
                                <w:bCs/>
                                <w:color w:val="000000" w:themeColor="text1"/>
                              </w:rPr>
                            </w:pPr>
                            <w:r w:rsidRPr="00240DFD">
                              <w:rPr>
                                <w:b/>
                                <w:bCs/>
                                <w:color w:val="000000" w:themeColor="text1"/>
                              </w:rPr>
                              <w:t>Earnings Announcement</w:t>
                            </w:r>
                          </w:p>
                        </w:txbxContent>
                      </v:textbox>
                    </v:rect>
                    <v:shape id="Straight Arrow Connector 10" o:spid="_x0000_s1049" type="#_x0000_t32" style="position:absolute;left:1333;top:495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7" o:spid="_x0000_s1050" type="#_x0000_t32" style="position:absolute;left:2952;top:495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line id="Straight Connector 24" o:spid="_x0000_s1051" style="position:absolute;visibility:visible;mso-wrap-style:square" from="2952,190" to="295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" strokecolor="black [3200]" strokeweight="1pt">
                      <v:stroke dashstyle="dash" joinstyle="miter"/>
                    </v:line>
                    <v:line id="Straight Connector 25" o:spid="_x0000_s1052" style="position:absolute;visibility:visible;mso-wrap-style:square" from="1333,0" to="133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" strokecolor="black [3200]" strokeweight="1pt">
                      <v:stroke dashstyle="dash" joinstyle="miter"/>
                    </v:line>
                  </v:group>
                </v:group>
                <v:rect id="Rectangle 31" o:spid="_x0000_s1053" style="position:absolute;left:47053;top:9048;width:8668;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14:paraId="7CD92231" w14:textId="77777777" w:rsidR="005409EA" w:rsidRPr="0028369C" w:rsidRDefault="005409EA" w:rsidP="00E05E25">
                        <w:pPr>
                          <w:jc w:val="center"/>
                          <w:rPr>
                            <w:color w:val="000000" w:themeColor="text1"/>
                          </w:rPr>
                        </w:pPr>
                        <w:r w:rsidRPr="0028369C">
                          <w:rPr>
                            <w:rFonts w:ascii="Times New Roman" w:hAnsi="Times New Roman" w:cs="Times New Roman"/>
                            <w:i/>
                            <w:iCs/>
                            <w:color w:val="000000" w:themeColor="text1"/>
                            <w:sz w:val="24"/>
                            <w:szCs w:val="24"/>
                          </w:rPr>
                          <w:t>β</w:t>
                        </w:r>
                        <w:r w:rsidRPr="0028369C">
                          <w:rPr>
                            <w:rFonts w:ascii="Times New Roman" w:hAnsi="Times New Roman" w:cs="Times New Roman"/>
                            <w:i/>
                            <w:iCs/>
                            <w:color w:val="000000" w:themeColor="text1"/>
                            <w:sz w:val="24"/>
                            <w:szCs w:val="24"/>
                            <w:vertAlign w:val="subscript"/>
                          </w:rPr>
                          <w:t>3</w:t>
                        </w:r>
                      </w:p>
                    </w:txbxContent>
                  </v:textbox>
                </v:rect>
                <v:rect id="Rectangle 32" o:spid="_x0000_s1054" style="position:absolute;left:26574;top:8191;width:1571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kwwAAANsAAAAPAAAAZHJzL2Rvd25yZXYueG1sRI9PawIx&#10;FMTvBb9DeIK3mlWh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yP9z5MMAAADbAAAADwAA&#10;AAAAAAAAAAAAAAAHAgAAZHJzL2Rvd25yZXYueG1sUEsFBgAAAAADAAMAtwAAAPcCAAAAAA==&#10;" filled="f" stroked="f" strokeweight="1pt">
                  <v:textbox>
                    <w:txbxContent>
                      <w:p w14:paraId="3101ABDC" w14:textId="77777777" w:rsidR="005409EA" w:rsidRDefault="005409EA" w:rsidP="00E05E25">
                        <w:pPr>
                          <w:spacing w:after="0"/>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4"/>
                            <w:szCs w:val="24"/>
                          </w:rPr>
                          <w:t>β</w:t>
                        </w:r>
                        <w:r>
                          <w:rPr>
                            <w:rFonts w:ascii="Times New Roman" w:hAnsi="Times New Roman" w:cs="Times New Roman"/>
                            <w:i/>
                            <w:iCs/>
                            <w:color w:val="000000" w:themeColor="text1"/>
                            <w:sz w:val="24"/>
                            <w:szCs w:val="24"/>
                            <w:vertAlign w:val="subscript"/>
                          </w:rPr>
                          <w:t>7</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(bad news)</w:t>
                        </w:r>
                      </w:p>
                      <w:p w14:paraId="282AECB7" w14:textId="77777777" w:rsidR="005409EA" w:rsidRDefault="005409EA" w:rsidP="00E05E25">
                        <w:pPr>
                          <w:spacing w:after="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0"/>
                            <w:szCs w:val="20"/>
                          </w:rPr>
                          <w:t xml:space="preserve"> or</w:t>
                        </w:r>
                      </w:p>
                      <w:p w14:paraId="11C80180" w14:textId="77777777" w:rsidR="005409EA" w:rsidRPr="0028369C" w:rsidRDefault="005409EA" w:rsidP="00E05E25">
                        <w:pPr>
                          <w:spacing w:after="0"/>
                          <w:jc w:val="center"/>
                          <w:rPr>
                            <w:color w:val="000000" w:themeColor="text1"/>
                          </w:rPr>
                        </w:pPr>
                        <w:r w:rsidRPr="0028369C">
                          <w:rPr>
                            <w:rFonts w:ascii="Times New Roman" w:hAnsi="Times New Roman" w:cs="Times New Roman"/>
                            <w:i/>
                            <w:iCs/>
                            <w:color w:val="000000" w:themeColor="text1"/>
                            <w:sz w:val="24"/>
                            <w:szCs w:val="24"/>
                          </w:rPr>
                          <w:t>β</w:t>
                        </w:r>
                        <w:r>
                          <w:rPr>
                            <w:rFonts w:ascii="Times New Roman" w:hAnsi="Times New Roman" w:cs="Times New Roman"/>
                            <w:i/>
                            <w:iCs/>
                            <w:color w:val="000000" w:themeColor="text1"/>
                            <w:sz w:val="24"/>
                            <w:szCs w:val="24"/>
                            <w:vertAlign w:val="subscript"/>
                          </w:rPr>
                          <w:t>8</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(good news)</w:t>
                        </w:r>
                      </w:p>
                      <w:p w14:paraId="40EE36E2" w14:textId="77777777" w:rsidR="005409EA" w:rsidRPr="0028369C" w:rsidRDefault="005409EA" w:rsidP="00E05E25">
                        <w:pPr>
                          <w:jc w:val="center"/>
                          <w:rPr>
                            <w:color w:val="000000" w:themeColor="text1"/>
                          </w:rPr>
                        </w:pPr>
                      </w:p>
                    </w:txbxContent>
                  </v:textbox>
                </v:rect>
                <v:rect id="Rectangle 33" o:spid="_x0000_s1055" style="position:absolute;left:12096;top:2190;width:1571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textbox>
                    <w:txbxContent>
                      <w:p w14:paraId="0DBC5C76" w14:textId="77777777" w:rsidR="005409EA" w:rsidRDefault="005409EA" w:rsidP="00E05E25">
                        <w:pPr>
                          <w:spacing w:after="0"/>
                          <w:jc w:val="center"/>
                          <w:rPr>
                            <w:rFonts w:ascii="Times New Roman" w:hAnsi="Times New Roman" w:cs="Times New Roman"/>
                            <w:i/>
                            <w:iCs/>
                            <w:color w:val="000000" w:themeColor="text1"/>
                            <w:sz w:val="20"/>
                            <w:szCs w:val="20"/>
                          </w:rPr>
                        </w:pPr>
                        <w:r w:rsidRPr="00120DD0">
                          <w:rPr>
                            <w:rFonts w:ascii="Times New Roman" w:hAnsi="Times New Roman" w:cs="Times New Roman"/>
                            <w:i/>
                            <w:iCs/>
                            <w:color w:val="000000" w:themeColor="text1"/>
                            <w:sz w:val="24"/>
                            <w:szCs w:val="24"/>
                          </w:rPr>
                          <w:t>α</w:t>
                        </w:r>
                        <w:r w:rsidRPr="00120DD0">
                          <w:rPr>
                            <w:rFonts w:ascii="Times New Roman" w:hAnsi="Times New Roman" w:cs="Times New Roman"/>
                            <w:i/>
                            <w:iCs/>
                            <w:color w:val="000000" w:themeColor="text1"/>
                            <w:sz w:val="24"/>
                            <w:szCs w:val="24"/>
                            <w:vertAlign w:val="subscript"/>
                          </w:rPr>
                          <w:t>1</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β</w:t>
                        </w:r>
                        <w:r>
                          <w:rPr>
                            <w:rFonts w:ascii="Times New Roman" w:hAnsi="Times New Roman" w:cs="Times New Roman"/>
                            <w:i/>
                            <w:iCs/>
                            <w:color w:val="000000" w:themeColor="text1"/>
                            <w:sz w:val="24"/>
                            <w:szCs w:val="24"/>
                            <w:vertAlign w:val="subscript"/>
                          </w:rPr>
                          <w:t>9</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(bad news)</w:t>
                        </w:r>
                      </w:p>
                      <w:p w14:paraId="0E33E4FA" w14:textId="77777777" w:rsidR="005409EA" w:rsidRDefault="005409EA" w:rsidP="00E05E25">
                        <w:pPr>
                          <w:spacing w:after="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0"/>
                            <w:szCs w:val="20"/>
                          </w:rPr>
                          <w:t xml:space="preserve"> or</w:t>
                        </w:r>
                      </w:p>
                      <w:p w14:paraId="77E3F095" w14:textId="77777777" w:rsidR="005409EA" w:rsidRPr="0028369C" w:rsidRDefault="005409EA" w:rsidP="00E05E25">
                        <w:pPr>
                          <w:spacing w:after="0"/>
                          <w:jc w:val="center"/>
                          <w:rPr>
                            <w:color w:val="000000" w:themeColor="text1"/>
                          </w:rPr>
                        </w:pPr>
                        <w:r>
                          <w:rPr>
                            <w:rFonts w:ascii="Times New Roman" w:hAnsi="Times New Roman" w:cs="Times New Roman"/>
                            <w:i/>
                            <w:iCs/>
                            <w:color w:val="000000" w:themeColor="text1"/>
                            <w:sz w:val="24"/>
                            <w:szCs w:val="24"/>
                          </w:rPr>
                          <w:t>γ</w:t>
                        </w:r>
                        <w:r w:rsidRPr="00120DD0">
                          <w:rPr>
                            <w:rFonts w:ascii="Times New Roman" w:hAnsi="Times New Roman" w:cs="Times New Roman"/>
                            <w:i/>
                            <w:iCs/>
                            <w:color w:val="000000" w:themeColor="text1"/>
                            <w:sz w:val="24"/>
                            <w:szCs w:val="24"/>
                            <w:vertAlign w:val="subscript"/>
                          </w:rPr>
                          <w:t>1</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β</w:t>
                        </w:r>
                        <w:r>
                          <w:rPr>
                            <w:rFonts w:ascii="Times New Roman" w:hAnsi="Times New Roman" w:cs="Times New Roman"/>
                            <w:i/>
                            <w:iCs/>
                            <w:color w:val="000000" w:themeColor="text1"/>
                            <w:sz w:val="24"/>
                            <w:szCs w:val="24"/>
                            <w:vertAlign w:val="subscript"/>
                          </w:rPr>
                          <w:t>10</w:t>
                        </w:r>
                        <w:r>
                          <w:rPr>
                            <w:rFonts w:ascii="Times New Roman" w:hAnsi="Times New Roman" w:cs="Times New Roman"/>
                            <w:i/>
                            <w:iCs/>
                            <w:color w:val="000000" w:themeColor="text1"/>
                            <w:sz w:val="24"/>
                            <w:szCs w:val="24"/>
                          </w:rPr>
                          <w:t xml:space="preserve"> </w:t>
                        </w:r>
                        <w:r w:rsidRPr="00120DD0">
                          <w:rPr>
                            <w:rFonts w:ascii="Times New Roman" w:hAnsi="Times New Roman" w:cs="Times New Roman"/>
                            <w:i/>
                            <w:iCs/>
                            <w:color w:val="000000" w:themeColor="text1"/>
                            <w:sz w:val="20"/>
                            <w:szCs w:val="20"/>
                          </w:rPr>
                          <w:t>(good news)</w:t>
                        </w:r>
                      </w:p>
                      <w:p w14:paraId="7E9172F2" w14:textId="77777777" w:rsidR="005409EA" w:rsidRPr="0028369C" w:rsidRDefault="005409EA" w:rsidP="00E05E25">
                        <w:pPr>
                          <w:jc w:val="center"/>
                          <w:rPr>
                            <w:color w:val="000000" w:themeColor="text1"/>
                          </w:rPr>
                        </w:pPr>
                      </w:p>
                    </w:txbxContent>
                  </v:textbox>
                </v:rect>
                <v:rect id="Rectangle 34" o:spid="_x0000_s1056" style="position:absolute;left:2381;top:3143;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14:paraId="2CF3A0A1" w14:textId="77777777" w:rsidR="005409EA" w:rsidRPr="00120DD0" w:rsidRDefault="005409EA" w:rsidP="00E05E25">
                        <w:pPr>
                          <w:spacing w:after="0"/>
                          <w:jc w:val="center"/>
                          <w:rPr>
                            <w:b/>
                            <w:bCs/>
                            <w:color w:val="000000" w:themeColor="text1"/>
                            <w:sz w:val="20"/>
                            <w:szCs w:val="20"/>
                          </w:rPr>
                        </w:pPr>
                        <w:r w:rsidRPr="00120DD0">
                          <w:rPr>
                            <w:rFonts w:ascii="Times New Roman" w:hAnsi="Times New Roman" w:cs="Times New Roman"/>
                            <w:b/>
                            <w:bCs/>
                            <w:i/>
                            <w:iCs/>
                            <w:color w:val="000000" w:themeColor="text1"/>
                            <w:sz w:val="20"/>
                            <w:szCs w:val="20"/>
                          </w:rPr>
                          <w:t>Indirect effect</w:t>
                        </w:r>
                      </w:p>
                    </w:txbxContent>
                  </v:textbox>
                </v:rect>
                <v:rect id="Rectangle 35" o:spid="_x0000_s1057" style="position:absolute;left:38004;top:10001;width:1114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19661DED" w14:textId="77777777" w:rsidR="005409EA" w:rsidRPr="00120DD0" w:rsidRDefault="005409EA" w:rsidP="00E05E25">
                        <w:pPr>
                          <w:spacing w:after="0"/>
                          <w:jc w:val="center"/>
                          <w:rPr>
                            <w:b/>
                            <w:bCs/>
                            <w:color w:val="000000" w:themeColor="text1"/>
                            <w:sz w:val="20"/>
                            <w:szCs w:val="20"/>
                          </w:rPr>
                        </w:pPr>
                        <w:r>
                          <w:rPr>
                            <w:rFonts w:ascii="Times New Roman" w:hAnsi="Times New Roman" w:cs="Times New Roman"/>
                            <w:b/>
                            <w:bCs/>
                            <w:i/>
                            <w:iCs/>
                            <w:color w:val="000000" w:themeColor="text1"/>
                            <w:sz w:val="20"/>
                            <w:szCs w:val="20"/>
                          </w:rPr>
                          <w:t>D</w:t>
                        </w:r>
                        <w:r w:rsidRPr="00120DD0">
                          <w:rPr>
                            <w:rFonts w:ascii="Times New Roman" w:hAnsi="Times New Roman" w:cs="Times New Roman"/>
                            <w:b/>
                            <w:bCs/>
                            <w:i/>
                            <w:iCs/>
                            <w:color w:val="000000" w:themeColor="text1"/>
                            <w:sz w:val="20"/>
                            <w:szCs w:val="20"/>
                          </w:rPr>
                          <w:t>irect effect</w:t>
                        </w:r>
                      </w:p>
                    </w:txbxContent>
                  </v:textbox>
                </v:rect>
                <w10:wrap type="topAndBottom"/>
              </v:group>
            </w:pict>
          </mc:Fallback>
        </mc:AlternateContent>
      </w:r>
      <w:r w:rsidR="00134380" w:rsidRPr="00134380">
        <w:rPr>
          <w:rFonts w:ascii="Times New Roman" w:hAnsi="Times New Roman" w:cs="Times New Roman"/>
          <w:i/>
          <w:iCs/>
          <w:sz w:val="20"/>
          <w:szCs w:val="20"/>
        </w:rPr>
        <w:t>Note</w:t>
      </w:r>
      <w:r w:rsidR="0095103F">
        <w:rPr>
          <w:rFonts w:ascii="Times New Roman" w:hAnsi="Times New Roman" w:cs="Times New Roman"/>
          <w:i/>
          <w:iCs/>
          <w:sz w:val="20"/>
          <w:szCs w:val="20"/>
        </w:rPr>
        <w:t xml:space="preserve">:  </w:t>
      </w:r>
      <w:r w:rsidR="00134380" w:rsidRPr="00134380">
        <w:rPr>
          <w:rFonts w:ascii="Times New Roman" w:hAnsi="Times New Roman" w:cs="Times New Roman"/>
        </w:rPr>
        <w:t>The solid line arrows represent the direction of the relationship. The focus of this graph is to illustrate the relationship between corporate governance and changes in share price (</w:t>
      </w:r>
      <w:r w:rsidR="00134380">
        <w:rPr>
          <w:rFonts w:ascii="Times New Roman" w:hAnsi="Times New Roman" w:cs="Times New Roman"/>
        </w:rPr>
        <w:t xml:space="preserve">that is, </w:t>
      </w:r>
      <w:r w:rsidR="00134380" w:rsidRPr="00134380">
        <w:rPr>
          <w:rFonts w:ascii="Times New Roman" w:hAnsi="Times New Roman" w:cs="Times New Roman"/>
        </w:rPr>
        <w:t>CAR), all other variables in model 4a are omitted from the illustration</w:t>
      </w:r>
      <w:r w:rsidR="0095103F">
        <w:rPr>
          <w:rFonts w:ascii="Times New Roman" w:hAnsi="Times New Roman" w:cs="Times New Roman"/>
        </w:rPr>
        <w:t>.</w:t>
      </w:r>
    </w:p>
    <w:p w14:paraId="6697D223" w14:textId="77777777" w:rsidR="0095103F" w:rsidRDefault="0095103F" w:rsidP="0095103F">
      <w:pPr>
        <w:spacing w:after="0" w:line="288" w:lineRule="auto"/>
        <w:rPr>
          <w:rFonts w:asciiTheme="majorBidi" w:hAnsiTheme="majorBidi" w:cstheme="majorBidi"/>
          <w:b/>
          <w:bCs/>
          <w:sz w:val="24"/>
          <w:szCs w:val="24"/>
        </w:rPr>
      </w:pPr>
    </w:p>
    <w:p w14:paraId="10CFC101" w14:textId="30EC6FF4" w:rsidR="0095103F" w:rsidRPr="00BA14B0" w:rsidRDefault="00080661">
      <w:pPr>
        <w:spacing w:after="0" w:line="288" w:lineRule="auto"/>
        <w:rPr>
          <w:rFonts w:asciiTheme="majorBidi" w:hAnsiTheme="majorBidi" w:cstheme="majorBidi"/>
          <w:b/>
          <w:bCs/>
          <w:sz w:val="24"/>
          <w:szCs w:val="24"/>
        </w:rPr>
      </w:pPr>
      <w:r w:rsidRPr="00080661">
        <w:rPr>
          <w:rFonts w:asciiTheme="majorBidi" w:hAnsiTheme="majorBidi" w:cstheme="majorBidi"/>
          <w:b/>
          <w:bCs/>
          <w:sz w:val="24"/>
          <w:szCs w:val="24"/>
        </w:rPr>
        <w:t>4.</w:t>
      </w:r>
      <w:r>
        <w:rPr>
          <w:rFonts w:asciiTheme="majorBidi" w:hAnsiTheme="majorBidi" w:cstheme="majorBidi"/>
          <w:b/>
          <w:bCs/>
          <w:sz w:val="24"/>
          <w:szCs w:val="24"/>
        </w:rPr>
        <w:t xml:space="preserve"> </w:t>
      </w:r>
      <w:r w:rsidR="001A4AEC" w:rsidRPr="00BA14B0">
        <w:rPr>
          <w:rFonts w:asciiTheme="majorBidi" w:hAnsiTheme="majorBidi" w:cstheme="majorBidi"/>
          <w:b/>
          <w:bCs/>
          <w:sz w:val="24"/>
          <w:szCs w:val="24"/>
        </w:rPr>
        <w:t>Results and Discussion</w:t>
      </w:r>
      <w:r>
        <w:rPr>
          <w:rFonts w:asciiTheme="majorBidi" w:hAnsiTheme="majorBidi" w:cstheme="majorBidi"/>
          <w:b/>
          <w:bCs/>
          <w:sz w:val="24"/>
          <w:szCs w:val="24"/>
        </w:rPr>
        <w:t>s</w:t>
      </w:r>
    </w:p>
    <w:p w14:paraId="6D4729A4" w14:textId="77777777" w:rsidR="0095103F" w:rsidRPr="0095103F" w:rsidRDefault="0095103F" w:rsidP="0095103F">
      <w:pPr>
        <w:spacing w:after="0" w:line="288" w:lineRule="auto"/>
        <w:rPr>
          <w:rFonts w:asciiTheme="majorBidi" w:hAnsiTheme="majorBidi" w:cstheme="majorBidi"/>
          <w:b/>
          <w:bCs/>
          <w:sz w:val="8"/>
          <w:szCs w:val="8"/>
        </w:rPr>
      </w:pPr>
    </w:p>
    <w:p w14:paraId="628ED199" w14:textId="0D4E3526" w:rsidR="00871D37" w:rsidRDefault="00871D37" w:rsidP="0095103F">
      <w:pPr>
        <w:spacing w:after="0" w:line="288" w:lineRule="auto"/>
        <w:rPr>
          <w:rFonts w:asciiTheme="majorBidi" w:hAnsiTheme="majorBidi" w:cstheme="majorBidi"/>
          <w:sz w:val="24"/>
          <w:szCs w:val="24"/>
        </w:rPr>
      </w:pPr>
      <w:r w:rsidRPr="00603CE2">
        <w:rPr>
          <w:rFonts w:asciiTheme="majorBidi" w:hAnsiTheme="majorBidi" w:cstheme="majorBidi"/>
          <w:sz w:val="24"/>
          <w:szCs w:val="24"/>
        </w:rPr>
        <w:t xml:space="preserve">In this section of the paper we both present and discuss </w:t>
      </w:r>
      <w:r>
        <w:rPr>
          <w:rFonts w:asciiTheme="majorBidi" w:hAnsiTheme="majorBidi" w:cstheme="majorBidi"/>
          <w:sz w:val="24"/>
          <w:szCs w:val="24"/>
        </w:rPr>
        <w:t xml:space="preserve">the findings stemming from our analysis. </w:t>
      </w:r>
      <w:r w:rsidR="004E12AF">
        <w:rPr>
          <w:rFonts w:asciiTheme="majorBidi" w:hAnsiTheme="majorBidi" w:cstheme="majorBidi"/>
          <w:sz w:val="24"/>
          <w:szCs w:val="24"/>
        </w:rPr>
        <w:t>First,</w:t>
      </w:r>
      <w:r>
        <w:rPr>
          <w:rFonts w:asciiTheme="majorBidi" w:hAnsiTheme="majorBidi" w:cstheme="majorBidi"/>
          <w:sz w:val="24"/>
          <w:szCs w:val="24"/>
        </w:rPr>
        <w:t xml:space="preserve"> we present some sample statistics, then go on and report on the pattern of responses to earnings </w:t>
      </w:r>
      <w:r w:rsidR="004E12AF">
        <w:rPr>
          <w:rFonts w:asciiTheme="majorBidi" w:hAnsiTheme="majorBidi" w:cstheme="majorBidi"/>
          <w:sz w:val="24"/>
          <w:szCs w:val="24"/>
        </w:rPr>
        <w:t>surprises</w:t>
      </w:r>
      <w:r>
        <w:rPr>
          <w:rFonts w:asciiTheme="majorBidi" w:hAnsiTheme="majorBidi" w:cstheme="majorBidi"/>
          <w:sz w:val="24"/>
          <w:szCs w:val="24"/>
        </w:rPr>
        <w:t xml:space="preserve"> in our sample. We then investigate the extent to which corporate governance contributes to the market response to earnings releases and close by examining the channel through which corporate governance impacts on this response</w:t>
      </w:r>
      <w:r w:rsidR="00AE2B2A">
        <w:rPr>
          <w:rFonts w:asciiTheme="majorBidi" w:hAnsiTheme="majorBidi" w:cstheme="majorBidi"/>
          <w:sz w:val="24"/>
          <w:szCs w:val="24"/>
        </w:rPr>
        <w:t>.</w:t>
      </w:r>
    </w:p>
    <w:p w14:paraId="0C59A263" w14:textId="77777777" w:rsidR="00C80D1A" w:rsidRPr="0095103F" w:rsidRDefault="00C80D1A" w:rsidP="0095103F">
      <w:pPr>
        <w:spacing w:after="0" w:line="288" w:lineRule="auto"/>
        <w:rPr>
          <w:rFonts w:asciiTheme="majorBidi" w:hAnsiTheme="majorBidi" w:cstheme="majorBidi"/>
          <w:b/>
          <w:bCs/>
          <w:sz w:val="24"/>
          <w:szCs w:val="24"/>
        </w:rPr>
      </w:pPr>
    </w:p>
    <w:p w14:paraId="5D69B4E7" w14:textId="1A8219ED" w:rsidR="001A4AEC" w:rsidRPr="00BA14B0" w:rsidRDefault="00080661" w:rsidP="00BA14B0">
      <w:pPr>
        <w:pStyle w:val="ListParagraph"/>
        <w:numPr>
          <w:ilvl w:val="1"/>
          <w:numId w:val="36"/>
        </w:num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E29FD" w:rsidRPr="00BA14B0">
        <w:rPr>
          <w:rFonts w:ascii="Times New Roman" w:hAnsi="Times New Roman" w:cs="Times New Roman"/>
          <w:b/>
          <w:bCs/>
          <w:sz w:val="24"/>
          <w:szCs w:val="24"/>
        </w:rPr>
        <w:t xml:space="preserve">Summary </w:t>
      </w:r>
      <w:r w:rsidR="008F62EB" w:rsidRPr="00BA14B0">
        <w:rPr>
          <w:rFonts w:ascii="Times New Roman" w:hAnsi="Times New Roman" w:cs="Times New Roman"/>
          <w:b/>
          <w:bCs/>
          <w:sz w:val="24"/>
          <w:szCs w:val="24"/>
        </w:rPr>
        <w:t>S</w:t>
      </w:r>
      <w:r w:rsidR="000E29FD" w:rsidRPr="00BA14B0">
        <w:rPr>
          <w:rFonts w:ascii="Times New Roman" w:hAnsi="Times New Roman" w:cs="Times New Roman"/>
          <w:b/>
          <w:bCs/>
          <w:sz w:val="24"/>
          <w:szCs w:val="24"/>
        </w:rPr>
        <w:t>tatistics</w:t>
      </w:r>
    </w:p>
    <w:p w14:paraId="04A2E9BC" w14:textId="77777777" w:rsidR="00DC1505" w:rsidRPr="00372E64" w:rsidRDefault="00DC1505" w:rsidP="00DC1505">
      <w:pPr>
        <w:keepNext/>
        <w:tabs>
          <w:tab w:val="left" w:pos="567"/>
        </w:tabs>
        <w:spacing w:after="0" w:line="288" w:lineRule="auto"/>
        <w:ind w:left="2411"/>
        <w:jc w:val="both"/>
        <w:rPr>
          <w:rFonts w:ascii="Times New Roman" w:hAnsi="Times New Roman" w:cs="Times New Roman"/>
          <w:b/>
          <w:bCs/>
          <w:sz w:val="4"/>
          <w:szCs w:val="4"/>
        </w:rPr>
      </w:pPr>
    </w:p>
    <w:p w14:paraId="78ED71D0" w14:textId="159D7BCE" w:rsidR="00DC1505" w:rsidRPr="00DC1505" w:rsidRDefault="00DC1505" w:rsidP="00DC1505">
      <w:pPr>
        <w:pStyle w:val="ListParagraph"/>
        <w:keepNext/>
        <w:tabs>
          <w:tab w:val="left" w:pos="567"/>
        </w:tabs>
        <w:spacing w:after="0" w:line="288" w:lineRule="auto"/>
        <w:ind w:left="0"/>
        <w:jc w:val="both"/>
        <w:rPr>
          <w:rFonts w:ascii="Times New Roman" w:hAnsi="Times New Roman" w:cs="Times New Roman"/>
          <w:sz w:val="24"/>
          <w:szCs w:val="24"/>
        </w:rPr>
      </w:pPr>
      <w:r w:rsidRPr="00DC1505">
        <w:rPr>
          <w:rFonts w:ascii="Times New Roman" w:hAnsi="Times New Roman" w:cs="Times New Roman"/>
          <w:sz w:val="24"/>
          <w:szCs w:val="24"/>
        </w:rPr>
        <w:t xml:space="preserve">Table 1 provides descriptive statistics for the final sample based on subsamples using the different governance, sentiment and uncertainty indicators. The results suggest that the magnitude of positive earnings surprises (PUE) is higher than that of negative surprises (NUE), regardless of the subsample used. Further, it suggests that firms with relatively weaker governance (GOVH=0) have significantly larger negative earnings surprises (NUE) than firms with stronger governance (GOVH=1). Also, we find that larger negative earnings surprise is experienced by firms reporting during periods of high market uncertainty and/or during periods when market uncertainty is increasing. We find that the magnitude of the positive earnings surprise (PUE) is unaffected by corporate governance, market uncertainty and market sentiment. </w:t>
      </w:r>
    </w:p>
    <w:tbl>
      <w:tblPr>
        <w:tblStyle w:val="TableGrid"/>
        <w:tblW w:w="9713" w:type="dxa"/>
        <w:jc w:val="center"/>
        <w:tblLayout w:type="fixed"/>
        <w:tblLook w:val="04A0" w:firstRow="1" w:lastRow="0" w:firstColumn="1" w:lastColumn="0" w:noHBand="0" w:noVBand="1"/>
      </w:tblPr>
      <w:tblGrid>
        <w:gridCol w:w="2340"/>
        <w:gridCol w:w="1260"/>
        <w:gridCol w:w="1260"/>
        <w:gridCol w:w="360"/>
        <w:gridCol w:w="1350"/>
        <w:gridCol w:w="1260"/>
        <w:gridCol w:w="360"/>
        <w:gridCol w:w="1523"/>
      </w:tblGrid>
      <w:tr w:rsidR="00DC1505" w:rsidRPr="002E1EC0" w14:paraId="6C57AB39" w14:textId="77777777" w:rsidTr="00DB721F">
        <w:trPr>
          <w:jc w:val="center"/>
        </w:trPr>
        <w:tc>
          <w:tcPr>
            <w:tcW w:w="9713" w:type="dxa"/>
            <w:gridSpan w:val="8"/>
            <w:tcBorders>
              <w:top w:val="nil"/>
              <w:left w:val="nil"/>
              <w:bottom w:val="nil"/>
              <w:right w:val="nil"/>
            </w:tcBorders>
            <w:vAlign w:val="center"/>
          </w:tcPr>
          <w:p w14:paraId="5744254C" w14:textId="2DFE7FA0" w:rsidR="00352E64" w:rsidRPr="00372E64" w:rsidRDefault="00352E64" w:rsidP="00DC1505">
            <w:pPr>
              <w:pStyle w:val="ListParagraph"/>
              <w:tabs>
                <w:tab w:val="left" w:pos="567"/>
              </w:tabs>
              <w:spacing w:line="288" w:lineRule="auto"/>
              <w:ind w:left="70"/>
              <w:jc w:val="center"/>
              <w:rPr>
                <w:rFonts w:asciiTheme="majorBidi" w:hAnsiTheme="majorBidi" w:cstheme="majorBidi"/>
                <w:b/>
                <w:bCs/>
                <w:color w:val="000000"/>
                <w:sz w:val="10"/>
                <w:szCs w:val="10"/>
              </w:rPr>
            </w:pPr>
          </w:p>
        </w:tc>
      </w:tr>
      <w:tr w:rsidR="00DB721F" w:rsidRPr="002E1EC0" w14:paraId="0E2392DA" w14:textId="77777777" w:rsidTr="00D15BA1">
        <w:trPr>
          <w:jc w:val="center"/>
        </w:trPr>
        <w:tc>
          <w:tcPr>
            <w:tcW w:w="9713" w:type="dxa"/>
            <w:gridSpan w:val="8"/>
            <w:tcBorders>
              <w:top w:val="nil"/>
              <w:left w:val="nil"/>
              <w:bottom w:val="nil"/>
              <w:right w:val="nil"/>
            </w:tcBorders>
            <w:vAlign w:val="center"/>
          </w:tcPr>
          <w:p w14:paraId="1903A69F" w14:textId="77777777" w:rsidR="00DB721F" w:rsidRDefault="00D1157C" w:rsidP="00DC1505">
            <w:pPr>
              <w:pStyle w:val="ListParagraph"/>
              <w:tabs>
                <w:tab w:val="left" w:pos="567"/>
              </w:tabs>
              <w:spacing w:line="288" w:lineRule="auto"/>
              <w:ind w:left="70"/>
              <w:jc w:val="center"/>
              <w:rPr>
                <w:rFonts w:asciiTheme="majorBidi" w:hAnsiTheme="majorBidi" w:cstheme="majorBidi"/>
                <w:b/>
                <w:bCs/>
                <w:color w:val="000000"/>
              </w:rPr>
            </w:pPr>
            <w:r w:rsidRPr="00D1157C">
              <w:rPr>
                <w:rFonts w:asciiTheme="majorBidi" w:hAnsiTheme="majorBidi" w:cstheme="majorBidi"/>
                <w:b/>
                <w:bCs/>
                <w:color w:val="000000"/>
              </w:rPr>
              <w:t>Table 1: Summary Statistics</w:t>
            </w:r>
          </w:p>
          <w:p w14:paraId="50815EED" w14:textId="4C98B279" w:rsidR="00D1157C" w:rsidRPr="00D1157C" w:rsidRDefault="00D1157C" w:rsidP="00DC1505">
            <w:pPr>
              <w:pStyle w:val="ListParagraph"/>
              <w:tabs>
                <w:tab w:val="left" w:pos="567"/>
              </w:tabs>
              <w:spacing w:line="288" w:lineRule="auto"/>
              <w:ind w:left="70"/>
              <w:jc w:val="center"/>
              <w:rPr>
                <w:rFonts w:asciiTheme="majorBidi" w:hAnsiTheme="majorBidi" w:cstheme="majorBidi"/>
                <w:b/>
                <w:bCs/>
                <w:color w:val="000000"/>
                <w:sz w:val="6"/>
                <w:szCs w:val="6"/>
              </w:rPr>
            </w:pPr>
          </w:p>
        </w:tc>
      </w:tr>
      <w:tr w:rsidR="00DC1505" w14:paraId="0370A2F2" w14:textId="77777777" w:rsidTr="00D15BA1">
        <w:trPr>
          <w:trHeight w:val="295"/>
          <w:jc w:val="center"/>
        </w:trPr>
        <w:tc>
          <w:tcPr>
            <w:tcW w:w="9713" w:type="dxa"/>
            <w:gridSpan w:val="8"/>
            <w:tcBorders>
              <w:top w:val="nil"/>
              <w:left w:val="nil"/>
              <w:bottom w:val="single" w:sz="8" w:space="0" w:color="auto"/>
              <w:right w:val="nil"/>
            </w:tcBorders>
            <w:vAlign w:val="center"/>
          </w:tcPr>
          <w:p w14:paraId="7F6784C9" w14:textId="77777777" w:rsidR="00D15BA1" w:rsidRPr="00372E64" w:rsidRDefault="00DC1505" w:rsidP="00DC1505">
            <w:pPr>
              <w:tabs>
                <w:tab w:val="left" w:pos="567"/>
              </w:tabs>
              <w:jc w:val="center"/>
              <w:rPr>
                <w:rFonts w:asciiTheme="majorBidi" w:hAnsiTheme="majorBidi" w:cstheme="majorBidi"/>
                <w:b/>
                <w:bCs/>
                <w:color w:val="000000"/>
                <w:sz w:val="20"/>
                <w:szCs w:val="20"/>
              </w:rPr>
            </w:pPr>
            <w:r w:rsidRPr="00372E64">
              <w:rPr>
                <w:rFonts w:asciiTheme="majorBidi" w:hAnsiTheme="majorBidi" w:cstheme="majorBidi"/>
                <w:b/>
                <w:bCs/>
                <w:color w:val="000000"/>
                <w:sz w:val="20"/>
                <w:szCs w:val="20"/>
              </w:rPr>
              <w:t xml:space="preserve">Panel A: NUE </w:t>
            </w:r>
            <w:r w:rsidR="00D15BA1" w:rsidRPr="00372E64">
              <w:rPr>
                <w:rFonts w:asciiTheme="majorBidi" w:hAnsiTheme="majorBidi" w:cstheme="majorBidi"/>
                <w:b/>
                <w:bCs/>
                <w:color w:val="000000"/>
                <w:sz w:val="20"/>
                <w:szCs w:val="20"/>
              </w:rPr>
              <w:t>and</w:t>
            </w:r>
            <w:r w:rsidRPr="00372E64">
              <w:rPr>
                <w:rFonts w:asciiTheme="majorBidi" w:hAnsiTheme="majorBidi" w:cstheme="majorBidi"/>
                <w:b/>
                <w:bCs/>
                <w:color w:val="000000"/>
                <w:sz w:val="20"/>
                <w:szCs w:val="20"/>
              </w:rPr>
              <w:t xml:space="preserve"> PUE Mean and Standard Deviation </w:t>
            </w:r>
          </w:p>
          <w:p w14:paraId="7A50A902" w14:textId="75B8B23B" w:rsidR="00D15BA1" w:rsidRPr="00372E64" w:rsidRDefault="00DC1505" w:rsidP="00372E64">
            <w:pPr>
              <w:tabs>
                <w:tab w:val="left" w:pos="567"/>
              </w:tabs>
              <w:jc w:val="center"/>
              <w:rPr>
                <w:rFonts w:asciiTheme="majorBidi" w:hAnsiTheme="majorBidi" w:cstheme="majorBidi"/>
                <w:b/>
                <w:bCs/>
                <w:color w:val="000000"/>
                <w:sz w:val="20"/>
                <w:szCs w:val="20"/>
              </w:rPr>
            </w:pPr>
            <w:r w:rsidRPr="00372E64">
              <w:rPr>
                <w:rFonts w:asciiTheme="majorBidi" w:hAnsiTheme="majorBidi" w:cstheme="majorBidi"/>
                <w:color w:val="000000"/>
                <w:sz w:val="20"/>
                <w:szCs w:val="20"/>
              </w:rPr>
              <w:t xml:space="preserve">based on the Corporate Governance </w:t>
            </w:r>
            <w:r w:rsidR="00D15BA1" w:rsidRPr="00372E64">
              <w:rPr>
                <w:rFonts w:asciiTheme="majorBidi" w:hAnsiTheme="majorBidi" w:cstheme="majorBidi"/>
                <w:color w:val="000000"/>
                <w:sz w:val="20"/>
                <w:szCs w:val="20"/>
              </w:rPr>
              <w:t>I</w:t>
            </w:r>
            <w:r w:rsidRPr="00372E64">
              <w:rPr>
                <w:rFonts w:asciiTheme="majorBidi" w:hAnsiTheme="majorBidi" w:cstheme="majorBidi"/>
                <w:color w:val="000000"/>
                <w:sz w:val="20"/>
                <w:szCs w:val="20"/>
              </w:rPr>
              <w:t xml:space="preserve">ndex </w:t>
            </w:r>
          </w:p>
        </w:tc>
      </w:tr>
      <w:tr w:rsidR="00DC1505" w:rsidRPr="002E1EC0" w14:paraId="04E432DC" w14:textId="77777777" w:rsidTr="00372E64">
        <w:trPr>
          <w:trHeight w:val="330"/>
          <w:jc w:val="center"/>
        </w:trPr>
        <w:tc>
          <w:tcPr>
            <w:tcW w:w="2340" w:type="dxa"/>
            <w:tcBorders>
              <w:top w:val="single" w:sz="8" w:space="0" w:color="auto"/>
              <w:left w:val="nil"/>
              <w:bottom w:val="nil"/>
              <w:right w:val="nil"/>
            </w:tcBorders>
          </w:tcPr>
          <w:p w14:paraId="1327E313" w14:textId="77777777" w:rsidR="00DC1505" w:rsidRPr="00372E64" w:rsidRDefault="00DC1505" w:rsidP="00DC1505">
            <w:pPr>
              <w:tabs>
                <w:tab w:val="left" w:pos="567"/>
              </w:tabs>
              <w:rPr>
                <w:rFonts w:asciiTheme="majorBidi" w:hAnsiTheme="majorBidi" w:cstheme="majorBidi"/>
                <w:color w:val="000000"/>
                <w:sz w:val="20"/>
                <w:szCs w:val="20"/>
              </w:rPr>
            </w:pPr>
          </w:p>
        </w:tc>
        <w:tc>
          <w:tcPr>
            <w:tcW w:w="2520" w:type="dxa"/>
            <w:gridSpan w:val="2"/>
            <w:tcBorders>
              <w:top w:val="single" w:sz="8" w:space="0" w:color="auto"/>
              <w:left w:val="nil"/>
              <w:bottom w:val="single" w:sz="8" w:space="0" w:color="auto"/>
              <w:right w:val="nil"/>
            </w:tcBorders>
          </w:tcPr>
          <w:p w14:paraId="7C3F1C7A"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High Governance Score</w:t>
            </w:r>
          </w:p>
          <w:p w14:paraId="1C346697"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(GOVH=1)</w:t>
            </w:r>
          </w:p>
        </w:tc>
        <w:tc>
          <w:tcPr>
            <w:tcW w:w="360" w:type="dxa"/>
            <w:tcBorders>
              <w:top w:val="single" w:sz="8" w:space="0" w:color="auto"/>
              <w:left w:val="nil"/>
              <w:bottom w:val="nil"/>
              <w:right w:val="nil"/>
            </w:tcBorders>
          </w:tcPr>
          <w:p w14:paraId="2150627C"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2610" w:type="dxa"/>
            <w:gridSpan w:val="2"/>
            <w:tcBorders>
              <w:top w:val="single" w:sz="8" w:space="0" w:color="auto"/>
              <w:left w:val="nil"/>
              <w:bottom w:val="single" w:sz="8" w:space="0" w:color="auto"/>
              <w:right w:val="nil"/>
            </w:tcBorders>
          </w:tcPr>
          <w:p w14:paraId="23DEE84B"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Low Governance Score</w:t>
            </w:r>
          </w:p>
          <w:p w14:paraId="39825665"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(GOVH=0)</w:t>
            </w:r>
          </w:p>
        </w:tc>
        <w:tc>
          <w:tcPr>
            <w:tcW w:w="360" w:type="dxa"/>
            <w:tcBorders>
              <w:top w:val="single" w:sz="8" w:space="0" w:color="auto"/>
              <w:left w:val="nil"/>
              <w:bottom w:val="nil"/>
              <w:right w:val="nil"/>
            </w:tcBorders>
          </w:tcPr>
          <w:p w14:paraId="58392FAA" w14:textId="77777777" w:rsidR="00DC1505" w:rsidRPr="00372E64" w:rsidRDefault="00DC1505" w:rsidP="00DC1505">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8" w:space="0" w:color="auto"/>
              <w:right w:val="nil"/>
            </w:tcBorders>
          </w:tcPr>
          <w:p w14:paraId="24E677D5"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Difference</w:t>
            </w:r>
          </w:p>
          <w:p w14:paraId="388FEF82" w14:textId="2032C3E1"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(High</w:t>
            </w:r>
            <w:r w:rsidR="00372E64" w:rsidRPr="00372E64">
              <w:rPr>
                <w:rFonts w:asciiTheme="majorBidi" w:hAnsiTheme="majorBidi" w:cstheme="majorBidi"/>
                <w:color w:val="000000"/>
                <w:sz w:val="20"/>
                <w:szCs w:val="20"/>
              </w:rPr>
              <w:t xml:space="preserve"> - </w:t>
            </w:r>
            <w:r w:rsidRPr="00372E64">
              <w:rPr>
                <w:rFonts w:asciiTheme="majorBidi" w:hAnsiTheme="majorBidi" w:cstheme="majorBidi"/>
                <w:color w:val="000000"/>
                <w:sz w:val="20"/>
                <w:szCs w:val="20"/>
              </w:rPr>
              <w:t>Low)</w:t>
            </w:r>
          </w:p>
        </w:tc>
      </w:tr>
      <w:tr w:rsidR="00DC1505" w:rsidRPr="002E1EC0" w14:paraId="436E0170" w14:textId="77777777" w:rsidTr="00372E64">
        <w:trPr>
          <w:trHeight w:val="322"/>
          <w:jc w:val="center"/>
        </w:trPr>
        <w:tc>
          <w:tcPr>
            <w:tcW w:w="2340" w:type="dxa"/>
            <w:tcBorders>
              <w:top w:val="nil"/>
              <w:left w:val="nil"/>
              <w:bottom w:val="single" w:sz="4" w:space="0" w:color="auto"/>
              <w:right w:val="nil"/>
            </w:tcBorders>
          </w:tcPr>
          <w:p w14:paraId="417FD33A" w14:textId="77777777" w:rsidR="00DC1505" w:rsidRPr="00372E64" w:rsidRDefault="00DC1505" w:rsidP="00DC1505">
            <w:pPr>
              <w:tabs>
                <w:tab w:val="left" w:pos="567"/>
              </w:tabs>
              <w:rPr>
                <w:rFonts w:asciiTheme="majorBidi" w:hAnsiTheme="majorBidi" w:cstheme="majorBidi"/>
                <w:color w:val="000000"/>
                <w:sz w:val="20"/>
                <w:szCs w:val="20"/>
              </w:rPr>
            </w:pPr>
          </w:p>
        </w:tc>
        <w:tc>
          <w:tcPr>
            <w:tcW w:w="1260" w:type="dxa"/>
            <w:tcBorders>
              <w:top w:val="single" w:sz="8" w:space="0" w:color="auto"/>
              <w:left w:val="nil"/>
              <w:bottom w:val="single" w:sz="4" w:space="0" w:color="auto"/>
              <w:right w:val="nil"/>
            </w:tcBorders>
          </w:tcPr>
          <w:p w14:paraId="5FD71F7A"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tcPr>
          <w:p w14:paraId="5ADF6921"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tcPr>
          <w:p w14:paraId="47D100B6"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1350" w:type="dxa"/>
            <w:tcBorders>
              <w:top w:val="single" w:sz="8" w:space="0" w:color="auto"/>
              <w:left w:val="nil"/>
              <w:bottom w:val="single" w:sz="4" w:space="0" w:color="auto"/>
              <w:right w:val="nil"/>
            </w:tcBorders>
          </w:tcPr>
          <w:p w14:paraId="38152B45"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tcPr>
          <w:p w14:paraId="1F29D826"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tcPr>
          <w:p w14:paraId="2355FABB" w14:textId="77777777" w:rsidR="00DC1505" w:rsidRPr="00372E64" w:rsidRDefault="00DC1505" w:rsidP="00DC1505">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4" w:space="0" w:color="auto"/>
              <w:right w:val="nil"/>
            </w:tcBorders>
          </w:tcPr>
          <w:p w14:paraId="34809201"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r>
      <w:tr w:rsidR="00DC1505" w:rsidRPr="002E1EC0" w14:paraId="45F16B2E" w14:textId="77777777" w:rsidTr="00341237">
        <w:trPr>
          <w:trHeight w:val="356"/>
          <w:jc w:val="center"/>
        </w:trPr>
        <w:tc>
          <w:tcPr>
            <w:tcW w:w="2340" w:type="dxa"/>
            <w:tcBorders>
              <w:top w:val="single" w:sz="4" w:space="0" w:color="auto"/>
              <w:left w:val="nil"/>
              <w:bottom w:val="nil"/>
              <w:right w:val="nil"/>
            </w:tcBorders>
            <w:vAlign w:val="center"/>
          </w:tcPr>
          <w:p w14:paraId="6E39EDB1" w14:textId="77777777" w:rsidR="00DC1505" w:rsidRPr="00372E64" w:rsidRDefault="00DC1505" w:rsidP="00DC1505">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NUE</w:t>
            </w:r>
          </w:p>
        </w:tc>
        <w:tc>
          <w:tcPr>
            <w:tcW w:w="1260" w:type="dxa"/>
            <w:tcBorders>
              <w:top w:val="single" w:sz="4" w:space="0" w:color="auto"/>
              <w:left w:val="nil"/>
              <w:bottom w:val="nil"/>
              <w:right w:val="nil"/>
            </w:tcBorders>
            <w:vAlign w:val="center"/>
          </w:tcPr>
          <w:p w14:paraId="3F608E7F" w14:textId="77777777" w:rsidR="00DC1505" w:rsidRPr="00372E64" w:rsidRDefault="00DC1505" w:rsidP="00DC1505">
            <w:pPr>
              <w:tabs>
                <w:tab w:val="left" w:pos="567"/>
              </w:tabs>
              <w:jc w:val="center"/>
              <w:rPr>
                <w:rFonts w:asciiTheme="majorBidi" w:hAnsiTheme="majorBidi" w:cstheme="majorBidi"/>
                <w:color w:val="000000"/>
                <w:sz w:val="20"/>
                <w:szCs w:val="20"/>
                <w:rtl/>
                <w:lang w:bidi="ar-BH"/>
              </w:rPr>
            </w:pPr>
            <w:r w:rsidRPr="00372E64">
              <w:rPr>
                <w:rFonts w:asciiTheme="majorBidi" w:hAnsiTheme="majorBidi" w:cstheme="majorBidi"/>
                <w:color w:val="000000"/>
                <w:sz w:val="20"/>
                <w:szCs w:val="20"/>
              </w:rPr>
              <w:t>-0.560</w:t>
            </w:r>
          </w:p>
        </w:tc>
        <w:tc>
          <w:tcPr>
            <w:tcW w:w="1260" w:type="dxa"/>
            <w:tcBorders>
              <w:top w:val="single" w:sz="4" w:space="0" w:color="auto"/>
              <w:left w:val="nil"/>
              <w:bottom w:val="nil"/>
              <w:right w:val="nil"/>
            </w:tcBorders>
            <w:vAlign w:val="center"/>
          </w:tcPr>
          <w:p w14:paraId="764766E4"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1.332</w:t>
            </w:r>
          </w:p>
        </w:tc>
        <w:tc>
          <w:tcPr>
            <w:tcW w:w="360" w:type="dxa"/>
            <w:tcBorders>
              <w:top w:val="single" w:sz="4" w:space="0" w:color="auto"/>
              <w:left w:val="nil"/>
              <w:bottom w:val="nil"/>
              <w:right w:val="nil"/>
            </w:tcBorders>
            <w:vAlign w:val="center"/>
          </w:tcPr>
          <w:p w14:paraId="2C4320FB"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1350" w:type="dxa"/>
            <w:tcBorders>
              <w:top w:val="single" w:sz="4" w:space="0" w:color="auto"/>
              <w:left w:val="nil"/>
              <w:bottom w:val="nil"/>
              <w:right w:val="nil"/>
            </w:tcBorders>
            <w:vAlign w:val="center"/>
          </w:tcPr>
          <w:p w14:paraId="2655033E"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-0.757</w:t>
            </w:r>
          </w:p>
        </w:tc>
        <w:tc>
          <w:tcPr>
            <w:tcW w:w="1260" w:type="dxa"/>
            <w:tcBorders>
              <w:top w:val="single" w:sz="4" w:space="0" w:color="auto"/>
              <w:left w:val="nil"/>
              <w:bottom w:val="nil"/>
              <w:right w:val="nil"/>
            </w:tcBorders>
            <w:vAlign w:val="center"/>
          </w:tcPr>
          <w:p w14:paraId="266A34FF"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1.283</w:t>
            </w:r>
          </w:p>
        </w:tc>
        <w:tc>
          <w:tcPr>
            <w:tcW w:w="360" w:type="dxa"/>
            <w:tcBorders>
              <w:top w:val="single" w:sz="4" w:space="0" w:color="auto"/>
              <w:left w:val="nil"/>
              <w:bottom w:val="nil"/>
              <w:right w:val="nil"/>
            </w:tcBorders>
            <w:vAlign w:val="center"/>
          </w:tcPr>
          <w:p w14:paraId="537FDB73"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vAlign w:val="center"/>
          </w:tcPr>
          <w:p w14:paraId="6B12A92F"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0.197***</w:t>
            </w:r>
          </w:p>
        </w:tc>
      </w:tr>
      <w:tr w:rsidR="00DC1505" w:rsidRPr="002E1EC0" w14:paraId="1C403505" w14:textId="77777777" w:rsidTr="00341237">
        <w:trPr>
          <w:trHeight w:val="356"/>
          <w:jc w:val="center"/>
        </w:trPr>
        <w:tc>
          <w:tcPr>
            <w:tcW w:w="2340" w:type="dxa"/>
            <w:tcBorders>
              <w:top w:val="nil"/>
              <w:left w:val="nil"/>
              <w:bottom w:val="nil"/>
              <w:right w:val="nil"/>
            </w:tcBorders>
            <w:vAlign w:val="center"/>
          </w:tcPr>
          <w:p w14:paraId="59A9AE55" w14:textId="77777777" w:rsidR="00DC1505" w:rsidRPr="00372E64" w:rsidRDefault="00DC1505" w:rsidP="00DC1505">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PUE</w:t>
            </w:r>
          </w:p>
        </w:tc>
        <w:tc>
          <w:tcPr>
            <w:tcW w:w="1260" w:type="dxa"/>
            <w:tcBorders>
              <w:top w:val="nil"/>
              <w:left w:val="nil"/>
              <w:bottom w:val="nil"/>
              <w:right w:val="nil"/>
            </w:tcBorders>
            <w:vAlign w:val="center"/>
          </w:tcPr>
          <w:p w14:paraId="5D91DEED"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0.827</w:t>
            </w:r>
          </w:p>
        </w:tc>
        <w:tc>
          <w:tcPr>
            <w:tcW w:w="1260" w:type="dxa"/>
            <w:tcBorders>
              <w:top w:val="nil"/>
              <w:left w:val="nil"/>
              <w:bottom w:val="nil"/>
              <w:right w:val="nil"/>
            </w:tcBorders>
            <w:vAlign w:val="center"/>
          </w:tcPr>
          <w:p w14:paraId="40220117"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1.935</w:t>
            </w:r>
          </w:p>
        </w:tc>
        <w:tc>
          <w:tcPr>
            <w:tcW w:w="360" w:type="dxa"/>
            <w:tcBorders>
              <w:top w:val="nil"/>
              <w:left w:val="nil"/>
              <w:bottom w:val="nil"/>
              <w:right w:val="nil"/>
            </w:tcBorders>
            <w:vAlign w:val="center"/>
          </w:tcPr>
          <w:p w14:paraId="7390A4C5"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1350" w:type="dxa"/>
            <w:tcBorders>
              <w:top w:val="nil"/>
              <w:left w:val="nil"/>
              <w:bottom w:val="nil"/>
              <w:right w:val="nil"/>
            </w:tcBorders>
            <w:vAlign w:val="center"/>
          </w:tcPr>
          <w:p w14:paraId="0F0E1C78"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0.779</w:t>
            </w:r>
          </w:p>
        </w:tc>
        <w:tc>
          <w:tcPr>
            <w:tcW w:w="1260" w:type="dxa"/>
            <w:tcBorders>
              <w:top w:val="nil"/>
              <w:left w:val="nil"/>
              <w:bottom w:val="nil"/>
              <w:right w:val="nil"/>
            </w:tcBorders>
            <w:vAlign w:val="center"/>
          </w:tcPr>
          <w:p w14:paraId="2B66E7A9"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1.726</w:t>
            </w:r>
          </w:p>
        </w:tc>
        <w:tc>
          <w:tcPr>
            <w:tcW w:w="360" w:type="dxa"/>
            <w:tcBorders>
              <w:top w:val="nil"/>
              <w:left w:val="nil"/>
              <w:bottom w:val="nil"/>
              <w:right w:val="nil"/>
            </w:tcBorders>
            <w:vAlign w:val="center"/>
          </w:tcPr>
          <w:p w14:paraId="25D1FD7C" w14:textId="77777777" w:rsidR="00DC1505" w:rsidRPr="00372E64" w:rsidRDefault="00DC1505" w:rsidP="00DC1505">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vAlign w:val="center"/>
          </w:tcPr>
          <w:p w14:paraId="03F655A4" w14:textId="77777777" w:rsidR="00DC1505" w:rsidRPr="00372E64" w:rsidRDefault="00DC1505" w:rsidP="00DC1505">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0.048</w:t>
            </w:r>
          </w:p>
        </w:tc>
      </w:tr>
      <w:tr w:rsidR="00DC1505" w:rsidRPr="00D1157C" w14:paraId="04AFFB44" w14:textId="77777777" w:rsidTr="00D15BA1">
        <w:trPr>
          <w:trHeight w:val="295"/>
          <w:jc w:val="center"/>
        </w:trPr>
        <w:tc>
          <w:tcPr>
            <w:tcW w:w="9713" w:type="dxa"/>
            <w:gridSpan w:val="8"/>
            <w:tcBorders>
              <w:top w:val="single" w:sz="8" w:space="0" w:color="auto"/>
              <w:left w:val="nil"/>
              <w:bottom w:val="single" w:sz="8" w:space="0" w:color="auto"/>
              <w:right w:val="nil"/>
            </w:tcBorders>
            <w:vAlign w:val="center"/>
          </w:tcPr>
          <w:p w14:paraId="6B14A7A3" w14:textId="77777777" w:rsidR="00DB721F" w:rsidRPr="00372E64" w:rsidRDefault="00DB721F" w:rsidP="00D1157C">
            <w:pPr>
              <w:tabs>
                <w:tab w:val="left" w:pos="567"/>
              </w:tabs>
              <w:jc w:val="center"/>
              <w:rPr>
                <w:rFonts w:asciiTheme="majorBidi" w:hAnsiTheme="majorBidi" w:cstheme="majorBidi"/>
                <w:b/>
                <w:bCs/>
                <w:color w:val="000000"/>
                <w:sz w:val="2"/>
                <w:szCs w:val="2"/>
              </w:rPr>
            </w:pPr>
          </w:p>
          <w:p w14:paraId="51AE0578" w14:textId="77777777" w:rsidR="00D15BA1" w:rsidRPr="00372E64" w:rsidRDefault="00DC1505" w:rsidP="00D1157C">
            <w:pPr>
              <w:tabs>
                <w:tab w:val="left" w:pos="567"/>
              </w:tabs>
              <w:jc w:val="center"/>
              <w:rPr>
                <w:rFonts w:asciiTheme="majorBidi" w:hAnsiTheme="majorBidi" w:cstheme="majorBidi"/>
                <w:b/>
                <w:bCs/>
                <w:color w:val="000000"/>
                <w:sz w:val="20"/>
                <w:szCs w:val="20"/>
              </w:rPr>
            </w:pPr>
            <w:r w:rsidRPr="00372E64">
              <w:rPr>
                <w:rFonts w:asciiTheme="majorBidi" w:hAnsiTheme="majorBidi" w:cstheme="majorBidi"/>
                <w:b/>
                <w:bCs/>
                <w:color w:val="000000"/>
                <w:sz w:val="20"/>
                <w:szCs w:val="20"/>
              </w:rPr>
              <w:t xml:space="preserve">Panel B: NUE </w:t>
            </w:r>
            <w:r w:rsidR="00D15BA1" w:rsidRPr="00372E64">
              <w:rPr>
                <w:rFonts w:asciiTheme="majorBidi" w:hAnsiTheme="majorBidi" w:cstheme="majorBidi"/>
                <w:b/>
                <w:bCs/>
                <w:color w:val="000000"/>
                <w:sz w:val="20"/>
                <w:szCs w:val="20"/>
              </w:rPr>
              <w:t xml:space="preserve">and </w:t>
            </w:r>
            <w:r w:rsidRPr="00372E64">
              <w:rPr>
                <w:rFonts w:asciiTheme="majorBidi" w:hAnsiTheme="majorBidi" w:cstheme="majorBidi"/>
                <w:b/>
                <w:bCs/>
                <w:color w:val="000000"/>
                <w:sz w:val="20"/>
                <w:szCs w:val="20"/>
              </w:rPr>
              <w:t xml:space="preserve">PUE Mean and Standard Deviation </w:t>
            </w:r>
          </w:p>
          <w:p w14:paraId="66F6CAE9" w14:textId="53BCAFF9"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based on the </w:t>
            </w:r>
            <w:r w:rsidR="00D15BA1" w:rsidRPr="00372E64">
              <w:rPr>
                <w:rFonts w:asciiTheme="majorBidi" w:hAnsiTheme="majorBidi" w:cstheme="majorBidi"/>
                <w:color w:val="000000"/>
                <w:sz w:val="20"/>
                <w:szCs w:val="20"/>
              </w:rPr>
              <w:t>D</w:t>
            </w:r>
            <w:r w:rsidRPr="00372E64">
              <w:rPr>
                <w:rFonts w:asciiTheme="majorBidi" w:hAnsiTheme="majorBidi" w:cstheme="majorBidi"/>
                <w:color w:val="000000"/>
                <w:sz w:val="20"/>
                <w:szCs w:val="20"/>
              </w:rPr>
              <w:t xml:space="preserve">ifferent </w:t>
            </w:r>
            <w:r w:rsidR="00D15BA1" w:rsidRPr="00372E64">
              <w:rPr>
                <w:rFonts w:asciiTheme="majorBidi" w:hAnsiTheme="majorBidi" w:cstheme="majorBidi"/>
                <w:color w:val="000000"/>
                <w:sz w:val="20"/>
                <w:szCs w:val="20"/>
              </w:rPr>
              <w:t>U</w:t>
            </w:r>
            <w:r w:rsidRPr="00372E64">
              <w:rPr>
                <w:rFonts w:asciiTheme="majorBidi" w:hAnsiTheme="majorBidi" w:cstheme="majorBidi"/>
                <w:color w:val="000000"/>
                <w:sz w:val="20"/>
                <w:szCs w:val="20"/>
              </w:rPr>
              <w:t xml:space="preserve">ncertainty and </w:t>
            </w:r>
            <w:r w:rsidR="00D15BA1" w:rsidRPr="00372E64">
              <w:rPr>
                <w:rFonts w:asciiTheme="majorBidi" w:hAnsiTheme="majorBidi" w:cstheme="majorBidi"/>
                <w:color w:val="000000"/>
                <w:sz w:val="20"/>
                <w:szCs w:val="20"/>
              </w:rPr>
              <w:t>S</w:t>
            </w:r>
            <w:r w:rsidRPr="00372E64">
              <w:rPr>
                <w:rFonts w:asciiTheme="majorBidi" w:hAnsiTheme="majorBidi" w:cstheme="majorBidi"/>
                <w:color w:val="000000"/>
                <w:sz w:val="20"/>
                <w:szCs w:val="20"/>
              </w:rPr>
              <w:t xml:space="preserve">entiment </w:t>
            </w:r>
            <w:r w:rsidR="00D15BA1" w:rsidRPr="00372E64">
              <w:rPr>
                <w:rFonts w:asciiTheme="majorBidi" w:hAnsiTheme="majorBidi" w:cstheme="majorBidi"/>
                <w:color w:val="000000"/>
                <w:sz w:val="20"/>
                <w:szCs w:val="20"/>
              </w:rPr>
              <w:t>G</w:t>
            </w:r>
            <w:r w:rsidRPr="00372E64">
              <w:rPr>
                <w:rFonts w:asciiTheme="majorBidi" w:hAnsiTheme="majorBidi" w:cstheme="majorBidi"/>
                <w:color w:val="000000"/>
                <w:sz w:val="20"/>
                <w:szCs w:val="20"/>
              </w:rPr>
              <w:t>roups</w:t>
            </w:r>
          </w:p>
          <w:p w14:paraId="20FC28A5" w14:textId="7A0D2FFC" w:rsidR="00D15BA1" w:rsidRPr="00372E64" w:rsidRDefault="00D15BA1" w:rsidP="00D1157C">
            <w:pPr>
              <w:tabs>
                <w:tab w:val="left" w:pos="567"/>
              </w:tabs>
              <w:jc w:val="center"/>
              <w:rPr>
                <w:rFonts w:asciiTheme="majorBidi" w:hAnsiTheme="majorBidi" w:cstheme="majorBidi"/>
                <w:b/>
                <w:bCs/>
                <w:color w:val="000000"/>
                <w:sz w:val="2"/>
                <w:szCs w:val="2"/>
              </w:rPr>
            </w:pPr>
          </w:p>
        </w:tc>
      </w:tr>
      <w:tr w:rsidR="00DC1505" w:rsidRPr="00D1157C" w14:paraId="40005020" w14:textId="77777777" w:rsidTr="00D1157C">
        <w:trPr>
          <w:trHeight w:val="330"/>
          <w:jc w:val="center"/>
        </w:trPr>
        <w:tc>
          <w:tcPr>
            <w:tcW w:w="2340" w:type="dxa"/>
            <w:tcBorders>
              <w:top w:val="single" w:sz="8" w:space="0" w:color="auto"/>
              <w:left w:val="nil"/>
              <w:bottom w:val="nil"/>
              <w:right w:val="nil"/>
            </w:tcBorders>
          </w:tcPr>
          <w:p w14:paraId="6E471174" w14:textId="77777777" w:rsidR="00DC1505" w:rsidRPr="00372E64" w:rsidRDefault="00DC1505" w:rsidP="00D1157C">
            <w:pPr>
              <w:tabs>
                <w:tab w:val="left" w:pos="567"/>
              </w:tabs>
              <w:rPr>
                <w:rFonts w:asciiTheme="majorBidi" w:hAnsiTheme="majorBidi" w:cstheme="majorBidi"/>
                <w:color w:val="000000"/>
                <w:sz w:val="20"/>
                <w:szCs w:val="20"/>
              </w:rPr>
            </w:pPr>
          </w:p>
        </w:tc>
        <w:tc>
          <w:tcPr>
            <w:tcW w:w="2520" w:type="dxa"/>
            <w:gridSpan w:val="2"/>
            <w:tcBorders>
              <w:top w:val="single" w:sz="8" w:space="0" w:color="auto"/>
              <w:left w:val="nil"/>
              <w:bottom w:val="single" w:sz="8" w:space="0" w:color="auto"/>
              <w:right w:val="nil"/>
            </w:tcBorders>
          </w:tcPr>
          <w:p w14:paraId="3775805C"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High Uncertainty</w:t>
            </w:r>
          </w:p>
          <w:p w14:paraId="31CA0E9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(VIXH=1)</w:t>
            </w:r>
          </w:p>
        </w:tc>
        <w:tc>
          <w:tcPr>
            <w:tcW w:w="360" w:type="dxa"/>
            <w:tcBorders>
              <w:top w:val="single" w:sz="8" w:space="0" w:color="auto"/>
              <w:left w:val="nil"/>
              <w:bottom w:val="nil"/>
              <w:right w:val="nil"/>
            </w:tcBorders>
          </w:tcPr>
          <w:p w14:paraId="2F9E36B5"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2610" w:type="dxa"/>
            <w:gridSpan w:val="2"/>
            <w:tcBorders>
              <w:top w:val="single" w:sz="8" w:space="0" w:color="auto"/>
              <w:left w:val="nil"/>
              <w:bottom w:val="single" w:sz="8" w:space="0" w:color="auto"/>
              <w:right w:val="nil"/>
            </w:tcBorders>
          </w:tcPr>
          <w:p w14:paraId="63A589A8"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Low Uncertainty</w:t>
            </w:r>
          </w:p>
          <w:p w14:paraId="609ECBF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(VIXH=0)</w:t>
            </w:r>
          </w:p>
        </w:tc>
        <w:tc>
          <w:tcPr>
            <w:tcW w:w="360" w:type="dxa"/>
            <w:tcBorders>
              <w:top w:val="single" w:sz="8" w:space="0" w:color="auto"/>
              <w:left w:val="nil"/>
              <w:bottom w:val="nil"/>
              <w:right w:val="nil"/>
            </w:tcBorders>
          </w:tcPr>
          <w:p w14:paraId="4702DB8E"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8" w:space="0" w:color="auto"/>
              <w:right w:val="nil"/>
            </w:tcBorders>
          </w:tcPr>
          <w:p w14:paraId="53ADABDA"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Difference</w:t>
            </w:r>
          </w:p>
          <w:p w14:paraId="48A6BF28" w14:textId="10C43ADF"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(High </w:t>
            </w:r>
            <w:r w:rsidR="00D1157C" w:rsidRPr="00372E64">
              <w:rPr>
                <w:rFonts w:asciiTheme="majorBidi" w:hAnsiTheme="majorBidi" w:cstheme="majorBidi"/>
                <w:color w:val="000000"/>
                <w:sz w:val="20"/>
                <w:szCs w:val="20"/>
              </w:rPr>
              <w:t>-</w:t>
            </w:r>
            <w:r w:rsidRPr="00372E64">
              <w:rPr>
                <w:rFonts w:asciiTheme="majorBidi" w:hAnsiTheme="majorBidi" w:cstheme="majorBidi"/>
                <w:color w:val="000000"/>
                <w:sz w:val="20"/>
                <w:szCs w:val="20"/>
              </w:rPr>
              <w:t xml:space="preserve"> Low)</w:t>
            </w:r>
          </w:p>
        </w:tc>
      </w:tr>
      <w:tr w:rsidR="00DC1505" w:rsidRPr="00D1157C" w14:paraId="19A4F9C1" w14:textId="77777777" w:rsidTr="00D1157C">
        <w:trPr>
          <w:trHeight w:val="322"/>
          <w:jc w:val="center"/>
        </w:trPr>
        <w:tc>
          <w:tcPr>
            <w:tcW w:w="2340" w:type="dxa"/>
            <w:tcBorders>
              <w:top w:val="nil"/>
              <w:left w:val="nil"/>
              <w:bottom w:val="single" w:sz="4" w:space="0" w:color="auto"/>
              <w:right w:val="nil"/>
            </w:tcBorders>
          </w:tcPr>
          <w:p w14:paraId="670EB95C" w14:textId="77777777" w:rsidR="00DC1505" w:rsidRPr="00372E64" w:rsidRDefault="00DC1505" w:rsidP="00D1157C">
            <w:pPr>
              <w:tabs>
                <w:tab w:val="left" w:pos="567"/>
              </w:tabs>
              <w:rPr>
                <w:rFonts w:asciiTheme="majorBidi" w:hAnsiTheme="majorBidi" w:cstheme="majorBidi"/>
                <w:color w:val="000000"/>
                <w:sz w:val="20"/>
                <w:szCs w:val="20"/>
              </w:rPr>
            </w:pPr>
          </w:p>
        </w:tc>
        <w:tc>
          <w:tcPr>
            <w:tcW w:w="1260" w:type="dxa"/>
            <w:tcBorders>
              <w:top w:val="single" w:sz="8" w:space="0" w:color="auto"/>
              <w:left w:val="nil"/>
              <w:bottom w:val="single" w:sz="4" w:space="0" w:color="auto"/>
              <w:right w:val="nil"/>
            </w:tcBorders>
          </w:tcPr>
          <w:p w14:paraId="3AE9E12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tcPr>
          <w:p w14:paraId="3970649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tcPr>
          <w:p w14:paraId="27D10978"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8" w:space="0" w:color="auto"/>
              <w:left w:val="nil"/>
              <w:bottom w:val="single" w:sz="4" w:space="0" w:color="auto"/>
              <w:right w:val="nil"/>
            </w:tcBorders>
          </w:tcPr>
          <w:p w14:paraId="1965150A"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tcPr>
          <w:p w14:paraId="55E4EF4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tcPr>
          <w:p w14:paraId="4ABD78E6"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4" w:space="0" w:color="auto"/>
              <w:right w:val="nil"/>
            </w:tcBorders>
          </w:tcPr>
          <w:p w14:paraId="61D3E92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r>
      <w:tr w:rsidR="00DC1505" w:rsidRPr="00D1157C" w14:paraId="7B0F79A5" w14:textId="77777777" w:rsidTr="00372E64">
        <w:trPr>
          <w:trHeight w:val="356"/>
          <w:jc w:val="center"/>
        </w:trPr>
        <w:tc>
          <w:tcPr>
            <w:tcW w:w="2340" w:type="dxa"/>
            <w:tcBorders>
              <w:top w:val="single" w:sz="4" w:space="0" w:color="auto"/>
              <w:left w:val="nil"/>
              <w:bottom w:val="nil"/>
              <w:right w:val="nil"/>
            </w:tcBorders>
          </w:tcPr>
          <w:p w14:paraId="690E2080"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NUE</w:t>
            </w:r>
          </w:p>
        </w:tc>
        <w:tc>
          <w:tcPr>
            <w:tcW w:w="1260" w:type="dxa"/>
            <w:tcBorders>
              <w:top w:val="single" w:sz="4" w:space="0" w:color="auto"/>
              <w:left w:val="nil"/>
              <w:bottom w:val="nil"/>
              <w:right w:val="nil"/>
            </w:tcBorders>
          </w:tcPr>
          <w:p w14:paraId="5E01C1F7"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-0.678</w:t>
            </w:r>
          </w:p>
        </w:tc>
        <w:tc>
          <w:tcPr>
            <w:tcW w:w="1260" w:type="dxa"/>
            <w:tcBorders>
              <w:top w:val="single" w:sz="4" w:space="0" w:color="auto"/>
              <w:left w:val="nil"/>
              <w:bottom w:val="nil"/>
              <w:right w:val="nil"/>
            </w:tcBorders>
          </w:tcPr>
          <w:p w14:paraId="047AF70D"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1.439</w:t>
            </w:r>
          </w:p>
        </w:tc>
        <w:tc>
          <w:tcPr>
            <w:tcW w:w="360" w:type="dxa"/>
            <w:tcBorders>
              <w:top w:val="single" w:sz="4" w:space="0" w:color="auto"/>
              <w:left w:val="nil"/>
              <w:bottom w:val="nil"/>
              <w:right w:val="nil"/>
            </w:tcBorders>
          </w:tcPr>
          <w:p w14:paraId="7C646AC9"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4" w:space="0" w:color="auto"/>
              <w:left w:val="nil"/>
              <w:bottom w:val="nil"/>
              <w:right w:val="nil"/>
            </w:tcBorders>
          </w:tcPr>
          <w:p w14:paraId="3361A2A6"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-0.605</w:t>
            </w:r>
          </w:p>
        </w:tc>
        <w:tc>
          <w:tcPr>
            <w:tcW w:w="1260" w:type="dxa"/>
            <w:tcBorders>
              <w:top w:val="single" w:sz="4" w:space="0" w:color="auto"/>
              <w:left w:val="nil"/>
              <w:bottom w:val="nil"/>
              <w:right w:val="nil"/>
            </w:tcBorders>
          </w:tcPr>
          <w:p w14:paraId="43A9771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1.064</w:t>
            </w:r>
          </w:p>
        </w:tc>
        <w:tc>
          <w:tcPr>
            <w:tcW w:w="360" w:type="dxa"/>
            <w:tcBorders>
              <w:top w:val="single" w:sz="4" w:space="0" w:color="auto"/>
              <w:left w:val="nil"/>
              <w:bottom w:val="nil"/>
              <w:right w:val="nil"/>
            </w:tcBorders>
          </w:tcPr>
          <w:p w14:paraId="5749D34A"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tcPr>
          <w:p w14:paraId="463BB159"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-0.073**</w:t>
            </w:r>
          </w:p>
        </w:tc>
      </w:tr>
      <w:tr w:rsidR="00DC1505" w:rsidRPr="00D1157C" w14:paraId="413A8D1C" w14:textId="77777777" w:rsidTr="00372E64">
        <w:trPr>
          <w:trHeight w:val="356"/>
          <w:jc w:val="center"/>
        </w:trPr>
        <w:tc>
          <w:tcPr>
            <w:tcW w:w="2340" w:type="dxa"/>
            <w:tcBorders>
              <w:top w:val="nil"/>
              <w:left w:val="nil"/>
              <w:bottom w:val="nil"/>
              <w:right w:val="nil"/>
            </w:tcBorders>
          </w:tcPr>
          <w:p w14:paraId="1BBAB8BD"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PUE</w:t>
            </w:r>
          </w:p>
        </w:tc>
        <w:tc>
          <w:tcPr>
            <w:tcW w:w="1260" w:type="dxa"/>
            <w:tcBorders>
              <w:top w:val="nil"/>
              <w:left w:val="nil"/>
              <w:bottom w:val="nil"/>
              <w:right w:val="nil"/>
            </w:tcBorders>
          </w:tcPr>
          <w:p w14:paraId="654DDFA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0.828</w:t>
            </w:r>
          </w:p>
        </w:tc>
        <w:tc>
          <w:tcPr>
            <w:tcW w:w="1260" w:type="dxa"/>
            <w:tcBorders>
              <w:top w:val="nil"/>
              <w:left w:val="nil"/>
              <w:bottom w:val="nil"/>
              <w:right w:val="nil"/>
            </w:tcBorders>
          </w:tcPr>
          <w:p w14:paraId="778933CC"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1.443</w:t>
            </w:r>
          </w:p>
        </w:tc>
        <w:tc>
          <w:tcPr>
            <w:tcW w:w="360" w:type="dxa"/>
            <w:tcBorders>
              <w:top w:val="nil"/>
              <w:left w:val="nil"/>
              <w:bottom w:val="nil"/>
              <w:right w:val="nil"/>
            </w:tcBorders>
          </w:tcPr>
          <w:p w14:paraId="6595132A"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nil"/>
              <w:left w:val="nil"/>
              <w:bottom w:val="nil"/>
              <w:right w:val="nil"/>
            </w:tcBorders>
          </w:tcPr>
          <w:p w14:paraId="230D2E6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0.785</w:t>
            </w:r>
          </w:p>
        </w:tc>
        <w:tc>
          <w:tcPr>
            <w:tcW w:w="1260" w:type="dxa"/>
            <w:tcBorders>
              <w:top w:val="nil"/>
              <w:left w:val="nil"/>
              <w:bottom w:val="nil"/>
              <w:right w:val="nil"/>
            </w:tcBorders>
          </w:tcPr>
          <w:p w14:paraId="4BBA7186"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1.110</w:t>
            </w:r>
          </w:p>
        </w:tc>
        <w:tc>
          <w:tcPr>
            <w:tcW w:w="360" w:type="dxa"/>
            <w:tcBorders>
              <w:top w:val="nil"/>
              <w:left w:val="nil"/>
              <w:bottom w:val="single" w:sz="8" w:space="0" w:color="auto"/>
              <w:right w:val="nil"/>
            </w:tcBorders>
          </w:tcPr>
          <w:p w14:paraId="4AA1F36D"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single" w:sz="8" w:space="0" w:color="auto"/>
              <w:right w:val="nil"/>
            </w:tcBorders>
            <w:shd w:val="clear" w:color="auto" w:fill="auto"/>
          </w:tcPr>
          <w:p w14:paraId="42047CF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0.043</w:t>
            </w:r>
          </w:p>
        </w:tc>
      </w:tr>
      <w:tr w:rsidR="00DC1505" w:rsidRPr="00D1157C" w14:paraId="7BF4FB44" w14:textId="77777777" w:rsidTr="00372E64">
        <w:trPr>
          <w:trHeight w:val="330"/>
          <w:jc w:val="center"/>
        </w:trPr>
        <w:tc>
          <w:tcPr>
            <w:tcW w:w="2340" w:type="dxa"/>
            <w:tcBorders>
              <w:top w:val="single" w:sz="8" w:space="0" w:color="auto"/>
              <w:left w:val="nil"/>
              <w:bottom w:val="nil"/>
              <w:right w:val="nil"/>
            </w:tcBorders>
            <w:vAlign w:val="center"/>
          </w:tcPr>
          <w:p w14:paraId="5CEC2E76" w14:textId="77777777" w:rsidR="00DC1505" w:rsidRPr="00372E64" w:rsidRDefault="00DC1505" w:rsidP="00D1157C">
            <w:pPr>
              <w:tabs>
                <w:tab w:val="left" w:pos="567"/>
              </w:tabs>
              <w:rPr>
                <w:rFonts w:asciiTheme="majorBidi" w:hAnsiTheme="majorBidi" w:cstheme="majorBidi"/>
                <w:color w:val="000000"/>
                <w:sz w:val="20"/>
                <w:szCs w:val="20"/>
              </w:rPr>
            </w:pPr>
          </w:p>
        </w:tc>
        <w:tc>
          <w:tcPr>
            <w:tcW w:w="2520" w:type="dxa"/>
            <w:gridSpan w:val="2"/>
            <w:tcBorders>
              <w:top w:val="single" w:sz="8" w:space="0" w:color="auto"/>
              <w:left w:val="nil"/>
              <w:bottom w:val="single" w:sz="8" w:space="0" w:color="auto"/>
              <w:right w:val="nil"/>
            </w:tcBorders>
            <w:vAlign w:val="center"/>
          </w:tcPr>
          <w:p w14:paraId="6BBF5110"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Increasing Uncertainty</w:t>
            </w:r>
          </w:p>
          <w:p w14:paraId="2595B7B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(∆VIXH=1)</w:t>
            </w:r>
          </w:p>
        </w:tc>
        <w:tc>
          <w:tcPr>
            <w:tcW w:w="360" w:type="dxa"/>
            <w:tcBorders>
              <w:top w:val="single" w:sz="8" w:space="0" w:color="auto"/>
              <w:left w:val="nil"/>
              <w:bottom w:val="nil"/>
              <w:right w:val="nil"/>
            </w:tcBorders>
            <w:vAlign w:val="center"/>
          </w:tcPr>
          <w:p w14:paraId="7BB6C145"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2610" w:type="dxa"/>
            <w:gridSpan w:val="2"/>
            <w:tcBorders>
              <w:top w:val="single" w:sz="8" w:space="0" w:color="auto"/>
              <w:left w:val="nil"/>
              <w:bottom w:val="single" w:sz="8" w:space="0" w:color="auto"/>
              <w:right w:val="nil"/>
            </w:tcBorders>
            <w:vAlign w:val="center"/>
          </w:tcPr>
          <w:p w14:paraId="2D217EA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Decreasing Uncertainty</w:t>
            </w:r>
          </w:p>
          <w:p w14:paraId="7905DAE9"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(∆VIXH=0)</w:t>
            </w:r>
          </w:p>
        </w:tc>
        <w:tc>
          <w:tcPr>
            <w:tcW w:w="360" w:type="dxa"/>
            <w:tcBorders>
              <w:top w:val="single" w:sz="8" w:space="0" w:color="auto"/>
              <w:left w:val="nil"/>
              <w:bottom w:val="nil"/>
              <w:right w:val="nil"/>
            </w:tcBorders>
            <w:vAlign w:val="center"/>
          </w:tcPr>
          <w:p w14:paraId="70AC0697"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8" w:space="0" w:color="auto"/>
              <w:right w:val="nil"/>
            </w:tcBorders>
            <w:vAlign w:val="center"/>
          </w:tcPr>
          <w:p w14:paraId="1285C91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Difference</w:t>
            </w:r>
          </w:p>
          <w:p w14:paraId="317F4E8B" w14:textId="69588DB5"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(High </w:t>
            </w:r>
            <w:r w:rsidR="00D1157C" w:rsidRPr="00372E64">
              <w:rPr>
                <w:rFonts w:asciiTheme="majorBidi" w:hAnsiTheme="majorBidi" w:cstheme="majorBidi"/>
                <w:color w:val="000000"/>
                <w:sz w:val="20"/>
                <w:szCs w:val="20"/>
              </w:rPr>
              <w:t>-</w:t>
            </w:r>
            <w:r w:rsidRPr="00372E64">
              <w:rPr>
                <w:rFonts w:asciiTheme="majorBidi" w:hAnsiTheme="majorBidi" w:cstheme="majorBidi"/>
                <w:color w:val="000000"/>
                <w:sz w:val="20"/>
                <w:szCs w:val="20"/>
              </w:rPr>
              <w:t xml:space="preserve"> Low)</w:t>
            </w:r>
          </w:p>
        </w:tc>
      </w:tr>
      <w:tr w:rsidR="00DC1505" w:rsidRPr="00D1157C" w14:paraId="70FD5882" w14:textId="77777777" w:rsidTr="00341237">
        <w:trPr>
          <w:trHeight w:val="322"/>
          <w:jc w:val="center"/>
        </w:trPr>
        <w:tc>
          <w:tcPr>
            <w:tcW w:w="2340" w:type="dxa"/>
            <w:tcBorders>
              <w:top w:val="nil"/>
              <w:left w:val="nil"/>
              <w:bottom w:val="single" w:sz="4" w:space="0" w:color="auto"/>
              <w:right w:val="nil"/>
            </w:tcBorders>
            <w:vAlign w:val="center"/>
          </w:tcPr>
          <w:p w14:paraId="00585891" w14:textId="77777777" w:rsidR="00DC1505" w:rsidRPr="00372E64" w:rsidRDefault="00DC1505" w:rsidP="00D1157C">
            <w:pPr>
              <w:tabs>
                <w:tab w:val="left" w:pos="567"/>
              </w:tabs>
              <w:rPr>
                <w:rFonts w:asciiTheme="majorBidi" w:hAnsiTheme="majorBidi" w:cstheme="majorBidi"/>
                <w:color w:val="000000"/>
                <w:sz w:val="20"/>
                <w:szCs w:val="20"/>
              </w:rPr>
            </w:pPr>
          </w:p>
        </w:tc>
        <w:tc>
          <w:tcPr>
            <w:tcW w:w="1260" w:type="dxa"/>
            <w:tcBorders>
              <w:top w:val="single" w:sz="8" w:space="0" w:color="auto"/>
              <w:left w:val="nil"/>
              <w:bottom w:val="single" w:sz="4" w:space="0" w:color="auto"/>
              <w:right w:val="nil"/>
            </w:tcBorders>
            <w:vAlign w:val="center"/>
          </w:tcPr>
          <w:p w14:paraId="584A65B3"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392C789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7A1C1F89"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8" w:space="0" w:color="auto"/>
              <w:left w:val="nil"/>
              <w:bottom w:val="single" w:sz="4" w:space="0" w:color="auto"/>
              <w:right w:val="nil"/>
            </w:tcBorders>
            <w:vAlign w:val="center"/>
          </w:tcPr>
          <w:p w14:paraId="23F2B85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3195C47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599F8058"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4" w:space="0" w:color="auto"/>
              <w:right w:val="nil"/>
            </w:tcBorders>
            <w:vAlign w:val="center"/>
          </w:tcPr>
          <w:p w14:paraId="570B8BC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r>
      <w:tr w:rsidR="00DC1505" w:rsidRPr="00D1157C" w14:paraId="165D04D3" w14:textId="77777777" w:rsidTr="00372E64">
        <w:trPr>
          <w:trHeight w:val="356"/>
          <w:jc w:val="center"/>
        </w:trPr>
        <w:tc>
          <w:tcPr>
            <w:tcW w:w="2340" w:type="dxa"/>
            <w:tcBorders>
              <w:top w:val="single" w:sz="4" w:space="0" w:color="auto"/>
              <w:left w:val="nil"/>
              <w:bottom w:val="nil"/>
              <w:right w:val="nil"/>
            </w:tcBorders>
            <w:vAlign w:val="center"/>
          </w:tcPr>
          <w:p w14:paraId="4239548F"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NUE</w:t>
            </w:r>
          </w:p>
        </w:tc>
        <w:tc>
          <w:tcPr>
            <w:tcW w:w="1260" w:type="dxa"/>
            <w:tcBorders>
              <w:top w:val="single" w:sz="4" w:space="0" w:color="auto"/>
              <w:left w:val="nil"/>
              <w:bottom w:val="nil"/>
              <w:right w:val="nil"/>
            </w:tcBorders>
            <w:vAlign w:val="center"/>
          </w:tcPr>
          <w:p w14:paraId="2C6DC9F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-0.701</w:t>
            </w:r>
          </w:p>
        </w:tc>
        <w:tc>
          <w:tcPr>
            <w:tcW w:w="1260" w:type="dxa"/>
            <w:tcBorders>
              <w:top w:val="single" w:sz="4" w:space="0" w:color="auto"/>
              <w:left w:val="nil"/>
              <w:bottom w:val="nil"/>
              <w:right w:val="nil"/>
            </w:tcBorders>
            <w:vAlign w:val="center"/>
          </w:tcPr>
          <w:p w14:paraId="0AEAD929"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0.925</w:t>
            </w:r>
          </w:p>
        </w:tc>
        <w:tc>
          <w:tcPr>
            <w:tcW w:w="360" w:type="dxa"/>
            <w:tcBorders>
              <w:top w:val="single" w:sz="4" w:space="0" w:color="auto"/>
              <w:left w:val="nil"/>
              <w:bottom w:val="nil"/>
              <w:right w:val="nil"/>
            </w:tcBorders>
            <w:vAlign w:val="center"/>
          </w:tcPr>
          <w:p w14:paraId="6E99C319"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4" w:space="0" w:color="auto"/>
              <w:left w:val="nil"/>
              <w:bottom w:val="nil"/>
              <w:right w:val="nil"/>
            </w:tcBorders>
            <w:vAlign w:val="center"/>
          </w:tcPr>
          <w:p w14:paraId="1BDE81A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-0.580</w:t>
            </w:r>
          </w:p>
        </w:tc>
        <w:tc>
          <w:tcPr>
            <w:tcW w:w="1260" w:type="dxa"/>
            <w:tcBorders>
              <w:top w:val="single" w:sz="4" w:space="0" w:color="auto"/>
              <w:left w:val="nil"/>
              <w:bottom w:val="nil"/>
              <w:right w:val="nil"/>
            </w:tcBorders>
            <w:vAlign w:val="center"/>
          </w:tcPr>
          <w:p w14:paraId="4221C3C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1.405</w:t>
            </w:r>
          </w:p>
        </w:tc>
        <w:tc>
          <w:tcPr>
            <w:tcW w:w="360" w:type="dxa"/>
            <w:tcBorders>
              <w:top w:val="single" w:sz="4" w:space="0" w:color="auto"/>
              <w:left w:val="nil"/>
              <w:bottom w:val="nil"/>
              <w:right w:val="nil"/>
            </w:tcBorders>
            <w:vAlign w:val="center"/>
          </w:tcPr>
          <w:p w14:paraId="245FB143"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vAlign w:val="center"/>
          </w:tcPr>
          <w:p w14:paraId="06200B4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-0.121***</w:t>
            </w:r>
          </w:p>
        </w:tc>
      </w:tr>
      <w:tr w:rsidR="00DC1505" w:rsidRPr="00D1157C" w14:paraId="0858339A" w14:textId="77777777" w:rsidTr="00372E64">
        <w:trPr>
          <w:trHeight w:val="356"/>
          <w:jc w:val="center"/>
        </w:trPr>
        <w:tc>
          <w:tcPr>
            <w:tcW w:w="2340" w:type="dxa"/>
            <w:tcBorders>
              <w:top w:val="nil"/>
              <w:left w:val="nil"/>
              <w:bottom w:val="nil"/>
              <w:right w:val="nil"/>
            </w:tcBorders>
            <w:vAlign w:val="center"/>
          </w:tcPr>
          <w:p w14:paraId="098ED352"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PUE</w:t>
            </w:r>
          </w:p>
        </w:tc>
        <w:tc>
          <w:tcPr>
            <w:tcW w:w="1260" w:type="dxa"/>
            <w:tcBorders>
              <w:top w:val="nil"/>
              <w:left w:val="nil"/>
              <w:bottom w:val="nil"/>
              <w:right w:val="nil"/>
            </w:tcBorders>
            <w:vAlign w:val="center"/>
          </w:tcPr>
          <w:p w14:paraId="474D9AE6"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0.807</w:t>
            </w:r>
          </w:p>
        </w:tc>
        <w:tc>
          <w:tcPr>
            <w:tcW w:w="1260" w:type="dxa"/>
            <w:tcBorders>
              <w:top w:val="nil"/>
              <w:left w:val="nil"/>
              <w:bottom w:val="nil"/>
              <w:right w:val="nil"/>
            </w:tcBorders>
            <w:vAlign w:val="center"/>
          </w:tcPr>
          <w:p w14:paraId="073C468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1.622</w:t>
            </w:r>
          </w:p>
        </w:tc>
        <w:tc>
          <w:tcPr>
            <w:tcW w:w="360" w:type="dxa"/>
            <w:tcBorders>
              <w:top w:val="nil"/>
              <w:left w:val="nil"/>
              <w:bottom w:val="nil"/>
              <w:right w:val="nil"/>
            </w:tcBorders>
            <w:vAlign w:val="center"/>
          </w:tcPr>
          <w:p w14:paraId="2E6B05EF"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nil"/>
              <w:left w:val="nil"/>
              <w:bottom w:val="nil"/>
              <w:right w:val="nil"/>
            </w:tcBorders>
            <w:vAlign w:val="center"/>
          </w:tcPr>
          <w:p w14:paraId="5ACF679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0.808</w:t>
            </w:r>
          </w:p>
        </w:tc>
        <w:tc>
          <w:tcPr>
            <w:tcW w:w="1260" w:type="dxa"/>
            <w:tcBorders>
              <w:top w:val="nil"/>
              <w:left w:val="nil"/>
              <w:bottom w:val="nil"/>
              <w:right w:val="nil"/>
            </w:tcBorders>
            <w:vAlign w:val="center"/>
          </w:tcPr>
          <w:p w14:paraId="61C59D16"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1.907</w:t>
            </w:r>
          </w:p>
        </w:tc>
        <w:tc>
          <w:tcPr>
            <w:tcW w:w="360" w:type="dxa"/>
            <w:tcBorders>
              <w:top w:val="nil"/>
              <w:left w:val="nil"/>
              <w:bottom w:val="single" w:sz="4" w:space="0" w:color="auto"/>
              <w:right w:val="nil"/>
            </w:tcBorders>
            <w:vAlign w:val="center"/>
          </w:tcPr>
          <w:p w14:paraId="75284CA6"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single" w:sz="8" w:space="0" w:color="auto"/>
              <w:right w:val="nil"/>
            </w:tcBorders>
            <w:shd w:val="clear" w:color="auto" w:fill="auto"/>
            <w:vAlign w:val="center"/>
          </w:tcPr>
          <w:p w14:paraId="26117F9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-0.001</w:t>
            </w:r>
          </w:p>
        </w:tc>
      </w:tr>
      <w:tr w:rsidR="00DC1505" w:rsidRPr="00D1157C" w14:paraId="20E572F1" w14:textId="77777777" w:rsidTr="00372E64">
        <w:trPr>
          <w:trHeight w:val="330"/>
          <w:jc w:val="center"/>
        </w:trPr>
        <w:tc>
          <w:tcPr>
            <w:tcW w:w="2340" w:type="dxa"/>
            <w:tcBorders>
              <w:top w:val="single" w:sz="8" w:space="0" w:color="auto"/>
              <w:left w:val="nil"/>
              <w:bottom w:val="nil"/>
              <w:right w:val="nil"/>
            </w:tcBorders>
            <w:vAlign w:val="center"/>
          </w:tcPr>
          <w:p w14:paraId="35680369" w14:textId="77777777" w:rsidR="00DC1505" w:rsidRPr="00372E64" w:rsidRDefault="00DC1505" w:rsidP="00D1157C">
            <w:pPr>
              <w:tabs>
                <w:tab w:val="left" w:pos="567"/>
              </w:tabs>
              <w:rPr>
                <w:rFonts w:asciiTheme="majorBidi" w:hAnsiTheme="majorBidi" w:cstheme="majorBidi"/>
                <w:color w:val="000000"/>
                <w:sz w:val="20"/>
                <w:szCs w:val="20"/>
              </w:rPr>
            </w:pPr>
          </w:p>
        </w:tc>
        <w:tc>
          <w:tcPr>
            <w:tcW w:w="2520" w:type="dxa"/>
            <w:gridSpan w:val="2"/>
            <w:tcBorders>
              <w:top w:val="single" w:sz="8" w:space="0" w:color="auto"/>
              <w:left w:val="nil"/>
              <w:bottom w:val="single" w:sz="8" w:space="0" w:color="auto"/>
              <w:right w:val="nil"/>
            </w:tcBorders>
            <w:vAlign w:val="center"/>
          </w:tcPr>
          <w:p w14:paraId="72579E2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Positive Sentiment</w:t>
            </w:r>
          </w:p>
          <w:p w14:paraId="265AEAD4"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(SMIP=1)</w:t>
            </w:r>
          </w:p>
        </w:tc>
        <w:tc>
          <w:tcPr>
            <w:tcW w:w="360" w:type="dxa"/>
            <w:tcBorders>
              <w:top w:val="single" w:sz="8" w:space="0" w:color="auto"/>
              <w:left w:val="nil"/>
              <w:bottom w:val="nil"/>
              <w:right w:val="nil"/>
            </w:tcBorders>
            <w:vAlign w:val="center"/>
          </w:tcPr>
          <w:p w14:paraId="08EF8463"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2610" w:type="dxa"/>
            <w:gridSpan w:val="2"/>
            <w:tcBorders>
              <w:top w:val="single" w:sz="8" w:space="0" w:color="auto"/>
              <w:left w:val="nil"/>
              <w:bottom w:val="single" w:sz="8" w:space="0" w:color="auto"/>
              <w:right w:val="nil"/>
            </w:tcBorders>
            <w:vAlign w:val="center"/>
          </w:tcPr>
          <w:p w14:paraId="67B6745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Negative Sentiment</w:t>
            </w:r>
          </w:p>
          <w:p w14:paraId="5D9B595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(SMIP=0)</w:t>
            </w:r>
          </w:p>
        </w:tc>
        <w:tc>
          <w:tcPr>
            <w:tcW w:w="360" w:type="dxa"/>
            <w:tcBorders>
              <w:top w:val="single" w:sz="4" w:space="0" w:color="auto"/>
              <w:left w:val="nil"/>
              <w:bottom w:val="nil"/>
              <w:right w:val="nil"/>
            </w:tcBorders>
            <w:vAlign w:val="center"/>
          </w:tcPr>
          <w:p w14:paraId="2BC06AD4"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8" w:space="0" w:color="auto"/>
              <w:right w:val="nil"/>
            </w:tcBorders>
            <w:vAlign w:val="center"/>
          </w:tcPr>
          <w:p w14:paraId="0FCF0E47"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Difference</w:t>
            </w:r>
          </w:p>
          <w:p w14:paraId="1563634E" w14:textId="72BA383B"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(Pos.</w:t>
            </w:r>
            <w:r w:rsidR="00D1157C" w:rsidRPr="00372E64">
              <w:rPr>
                <w:rFonts w:asciiTheme="majorBidi" w:hAnsiTheme="majorBidi" w:cstheme="majorBidi"/>
                <w:color w:val="000000"/>
                <w:sz w:val="20"/>
                <w:szCs w:val="20"/>
              </w:rPr>
              <w:t xml:space="preserve"> -</w:t>
            </w:r>
            <w:r w:rsidRPr="00372E64">
              <w:rPr>
                <w:rFonts w:asciiTheme="majorBidi" w:hAnsiTheme="majorBidi" w:cstheme="majorBidi"/>
                <w:color w:val="000000"/>
                <w:sz w:val="20"/>
                <w:szCs w:val="20"/>
              </w:rPr>
              <w:t xml:space="preserve"> Neg.)</w:t>
            </w:r>
          </w:p>
        </w:tc>
      </w:tr>
      <w:tr w:rsidR="00DC1505" w:rsidRPr="00D1157C" w14:paraId="59741D23" w14:textId="77777777" w:rsidTr="00341237">
        <w:trPr>
          <w:trHeight w:val="322"/>
          <w:jc w:val="center"/>
        </w:trPr>
        <w:tc>
          <w:tcPr>
            <w:tcW w:w="2340" w:type="dxa"/>
            <w:tcBorders>
              <w:top w:val="nil"/>
              <w:left w:val="nil"/>
              <w:bottom w:val="single" w:sz="4" w:space="0" w:color="auto"/>
              <w:right w:val="nil"/>
            </w:tcBorders>
            <w:vAlign w:val="center"/>
          </w:tcPr>
          <w:p w14:paraId="1D774598" w14:textId="77777777" w:rsidR="00DC1505" w:rsidRPr="00372E64" w:rsidRDefault="00DC1505" w:rsidP="00D1157C">
            <w:pPr>
              <w:tabs>
                <w:tab w:val="left" w:pos="567"/>
              </w:tabs>
              <w:rPr>
                <w:rFonts w:asciiTheme="majorBidi" w:hAnsiTheme="majorBidi" w:cstheme="majorBidi"/>
                <w:color w:val="000000"/>
                <w:sz w:val="20"/>
                <w:szCs w:val="20"/>
              </w:rPr>
            </w:pPr>
          </w:p>
        </w:tc>
        <w:tc>
          <w:tcPr>
            <w:tcW w:w="1260" w:type="dxa"/>
            <w:tcBorders>
              <w:top w:val="single" w:sz="8" w:space="0" w:color="auto"/>
              <w:left w:val="nil"/>
              <w:bottom w:val="single" w:sz="4" w:space="0" w:color="auto"/>
              <w:right w:val="nil"/>
            </w:tcBorders>
            <w:vAlign w:val="center"/>
          </w:tcPr>
          <w:p w14:paraId="03B59AFC"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690762F4"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5B6C0753"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8" w:space="0" w:color="auto"/>
              <w:left w:val="nil"/>
              <w:bottom w:val="single" w:sz="4" w:space="0" w:color="auto"/>
              <w:right w:val="nil"/>
            </w:tcBorders>
            <w:vAlign w:val="center"/>
          </w:tcPr>
          <w:p w14:paraId="5A61EF7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7A2B984A"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757E51B4"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4" w:space="0" w:color="auto"/>
              <w:right w:val="nil"/>
            </w:tcBorders>
            <w:vAlign w:val="center"/>
          </w:tcPr>
          <w:p w14:paraId="0A116C4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r>
      <w:tr w:rsidR="00DC1505" w:rsidRPr="00D1157C" w14:paraId="5B82E01F" w14:textId="77777777" w:rsidTr="00341237">
        <w:trPr>
          <w:trHeight w:val="356"/>
          <w:jc w:val="center"/>
        </w:trPr>
        <w:tc>
          <w:tcPr>
            <w:tcW w:w="2340" w:type="dxa"/>
            <w:tcBorders>
              <w:top w:val="single" w:sz="4" w:space="0" w:color="auto"/>
              <w:left w:val="nil"/>
              <w:bottom w:val="nil"/>
              <w:right w:val="nil"/>
            </w:tcBorders>
            <w:vAlign w:val="center"/>
          </w:tcPr>
          <w:p w14:paraId="568EA1C7"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NUE</w:t>
            </w:r>
          </w:p>
        </w:tc>
        <w:tc>
          <w:tcPr>
            <w:tcW w:w="1260" w:type="dxa"/>
            <w:tcBorders>
              <w:top w:val="single" w:sz="4" w:space="0" w:color="auto"/>
              <w:left w:val="nil"/>
              <w:bottom w:val="nil"/>
              <w:right w:val="nil"/>
            </w:tcBorders>
            <w:vAlign w:val="center"/>
          </w:tcPr>
          <w:p w14:paraId="38E135D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-0.656</w:t>
            </w:r>
          </w:p>
        </w:tc>
        <w:tc>
          <w:tcPr>
            <w:tcW w:w="1260" w:type="dxa"/>
            <w:tcBorders>
              <w:top w:val="single" w:sz="4" w:space="0" w:color="auto"/>
              <w:left w:val="nil"/>
              <w:bottom w:val="nil"/>
              <w:right w:val="nil"/>
            </w:tcBorders>
            <w:vAlign w:val="center"/>
          </w:tcPr>
          <w:p w14:paraId="32DC790A"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1.044</w:t>
            </w:r>
          </w:p>
        </w:tc>
        <w:tc>
          <w:tcPr>
            <w:tcW w:w="360" w:type="dxa"/>
            <w:tcBorders>
              <w:top w:val="single" w:sz="4" w:space="0" w:color="auto"/>
              <w:left w:val="nil"/>
              <w:bottom w:val="nil"/>
              <w:right w:val="nil"/>
            </w:tcBorders>
            <w:vAlign w:val="center"/>
          </w:tcPr>
          <w:p w14:paraId="4F1C43FB"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4" w:space="0" w:color="auto"/>
              <w:left w:val="nil"/>
              <w:bottom w:val="nil"/>
              <w:right w:val="nil"/>
            </w:tcBorders>
            <w:vAlign w:val="center"/>
          </w:tcPr>
          <w:p w14:paraId="0A68DBBD"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-0.624</w:t>
            </w:r>
          </w:p>
        </w:tc>
        <w:tc>
          <w:tcPr>
            <w:tcW w:w="1260" w:type="dxa"/>
            <w:tcBorders>
              <w:top w:val="single" w:sz="4" w:space="0" w:color="auto"/>
              <w:left w:val="nil"/>
              <w:bottom w:val="nil"/>
              <w:right w:val="nil"/>
            </w:tcBorders>
            <w:vAlign w:val="center"/>
          </w:tcPr>
          <w:p w14:paraId="73C2962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1.406</w:t>
            </w:r>
          </w:p>
        </w:tc>
        <w:tc>
          <w:tcPr>
            <w:tcW w:w="360" w:type="dxa"/>
            <w:tcBorders>
              <w:top w:val="single" w:sz="4" w:space="0" w:color="auto"/>
              <w:left w:val="nil"/>
              <w:bottom w:val="nil"/>
              <w:right w:val="nil"/>
            </w:tcBorders>
            <w:vAlign w:val="center"/>
          </w:tcPr>
          <w:p w14:paraId="0B086F94"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vAlign w:val="center"/>
          </w:tcPr>
          <w:p w14:paraId="5DAD46D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-0.032</w:t>
            </w:r>
          </w:p>
        </w:tc>
      </w:tr>
      <w:tr w:rsidR="00DC1505" w:rsidRPr="00D1157C" w14:paraId="01D2CBCB" w14:textId="77777777" w:rsidTr="00341237">
        <w:trPr>
          <w:trHeight w:val="356"/>
          <w:jc w:val="center"/>
        </w:trPr>
        <w:tc>
          <w:tcPr>
            <w:tcW w:w="2340" w:type="dxa"/>
            <w:tcBorders>
              <w:top w:val="nil"/>
              <w:left w:val="nil"/>
              <w:bottom w:val="nil"/>
              <w:right w:val="nil"/>
            </w:tcBorders>
            <w:vAlign w:val="center"/>
          </w:tcPr>
          <w:p w14:paraId="46DCEC70"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PUE</w:t>
            </w:r>
          </w:p>
        </w:tc>
        <w:tc>
          <w:tcPr>
            <w:tcW w:w="1260" w:type="dxa"/>
            <w:tcBorders>
              <w:top w:val="nil"/>
              <w:left w:val="nil"/>
              <w:bottom w:val="nil"/>
              <w:right w:val="nil"/>
            </w:tcBorders>
            <w:vAlign w:val="center"/>
          </w:tcPr>
          <w:p w14:paraId="24676319"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0.792</w:t>
            </w:r>
          </w:p>
        </w:tc>
        <w:tc>
          <w:tcPr>
            <w:tcW w:w="1260" w:type="dxa"/>
            <w:tcBorders>
              <w:top w:val="nil"/>
              <w:left w:val="nil"/>
              <w:bottom w:val="nil"/>
              <w:right w:val="nil"/>
            </w:tcBorders>
            <w:vAlign w:val="center"/>
          </w:tcPr>
          <w:p w14:paraId="2D518AD4"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1.184</w:t>
            </w:r>
          </w:p>
        </w:tc>
        <w:tc>
          <w:tcPr>
            <w:tcW w:w="360" w:type="dxa"/>
            <w:tcBorders>
              <w:top w:val="nil"/>
              <w:left w:val="nil"/>
              <w:bottom w:val="nil"/>
              <w:right w:val="nil"/>
            </w:tcBorders>
            <w:vAlign w:val="center"/>
          </w:tcPr>
          <w:p w14:paraId="2C47AB34"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nil"/>
              <w:left w:val="nil"/>
              <w:bottom w:val="nil"/>
              <w:right w:val="nil"/>
            </w:tcBorders>
            <w:vAlign w:val="center"/>
          </w:tcPr>
          <w:p w14:paraId="547FA89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0.824</w:t>
            </w:r>
          </w:p>
        </w:tc>
        <w:tc>
          <w:tcPr>
            <w:tcW w:w="1260" w:type="dxa"/>
            <w:tcBorders>
              <w:top w:val="nil"/>
              <w:left w:val="nil"/>
              <w:bottom w:val="single" w:sz="4" w:space="0" w:color="auto"/>
              <w:right w:val="nil"/>
            </w:tcBorders>
            <w:vAlign w:val="center"/>
          </w:tcPr>
          <w:p w14:paraId="40741D6C"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1.392</w:t>
            </w:r>
          </w:p>
        </w:tc>
        <w:tc>
          <w:tcPr>
            <w:tcW w:w="360" w:type="dxa"/>
            <w:tcBorders>
              <w:top w:val="nil"/>
              <w:left w:val="nil"/>
              <w:bottom w:val="single" w:sz="4" w:space="0" w:color="auto"/>
              <w:right w:val="nil"/>
            </w:tcBorders>
            <w:vAlign w:val="center"/>
          </w:tcPr>
          <w:p w14:paraId="41998D47"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single" w:sz="4" w:space="0" w:color="auto"/>
              <w:right w:val="nil"/>
            </w:tcBorders>
            <w:shd w:val="clear" w:color="auto" w:fill="auto"/>
            <w:vAlign w:val="center"/>
          </w:tcPr>
          <w:p w14:paraId="3ACDBCDA"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-0.032</w:t>
            </w:r>
          </w:p>
        </w:tc>
      </w:tr>
      <w:tr w:rsidR="00DC1505" w:rsidRPr="00D1157C" w14:paraId="4D174436" w14:textId="77777777" w:rsidTr="00341237">
        <w:trPr>
          <w:trHeight w:val="330"/>
          <w:jc w:val="center"/>
        </w:trPr>
        <w:tc>
          <w:tcPr>
            <w:tcW w:w="2340" w:type="dxa"/>
            <w:tcBorders>
              <w:top w:val="single" w:sz="8" w:space="0" w:color="auto"/>
              <w:left w:val="nil"/>
              <w:bottom w:val="nil"/>
              <w:right w:val="nil"/>
            </w:tcBorders>
            <w:vAlign w:val="center"/>
          </w:tcPr>
          <w:p w14:paraId="0EE0E0FF" w14:textId="77777777" w:rsidR="00DC1505" w:rsidRPr="00372E64" w:rsidRDefault="00DC1505" w:rsidP="00D1157C">
            <w:pPr>
              <w:tabs>
                <w:tab w:val="left" w:pos="567"/>
              </w:tabs>
              <w:rPr>
                <w:rFonts w:asciiTheme="majorBidi" w:hAnsiTheme="majorBidi" w:cstheme="majorBidi"/>
                <w:color w:val="000000"/>
                <w:sz w:val="20"/>
                <w:szCs w:val="20"/>
              </w:rPr>
            </w:pPr>
          </w:p>
        </w:tc>
        <w:tc>
          <w:tcPr>
            <w:tcW w:w="2520" w:type="dxa"/>
            <w:gridSpan w:val="2"/>
            <w:tcBorders>
              <w:top w:val="single" w:sz="8" w:space="0" w:color="auto"/>
              <w:left w:val="nil"/>
              <w:bottom w:val="single" w:sz="8" w:space="0" w:color="auto"/>
              <w:right w:val="nil"/>
            </w:tcBorders>
            <w:vAlign w:val="center"/>
          </w:tcPr>
          <w:p w14:paraId="64245D98"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 Positive Post Ann. Sent. </w:t>
            </w:r>
          </w:p>
          <w:p w14:paraId="6227819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 (PSMIP=1)</w:t>
            </w:r>
          </w:p>
        </w:tc>
        <w:tc>
          <w:tcPr>
            <w:tcW w:w="360" w:type="dxa"/>
            <w:tcBorders>
              <w:top w:val="single" w:sz="8" w:space="0" w:color="auto"/>
              <w:left w:val="nil"/>
              <w:bottom w:val="nil"/>
              <w:right w:val="nil"/>
            </w:tcBorders>
            <w:vAlign w:val="center"/>
          </w:tcPr>
          <w:p w14:paraId="20A32A84"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2610" w:type="dxa"/>
            <w:gridSpan w:val="2"/>
            <w:tcBorders>
              <w:top w:val="single" w:sz="8" w:space="0" w:color="auto"/>
              <w:left w:val="nil"/>
              <w:bottom w:val="single" w:sz="8" w:space="0" w:color="auto"/>
              <w:right w:val="nil"/>
            </w:tcBorders>
            <w:vAlign w:val="center"/>
          </w:tcPr>
          <w:p w14:paraId="2EA2C752"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Negative Post Ann. Sent. (PSMIP=0)</w:t>
            </w:r>
          </w:p>
        </w:tc>
        <w:tc>
          <w:tcPr>
            <w:tcW w:w="360" w:type="dxa"/>
            <w:tcBorders>
              <w:top w:val="nil"/>
              <w:left w:val="nil"/>
              <w:bottom w:val="nil"/>
              <w:right w:val="nil"/>
            </w:tcBorders>
            <w:vAlign w:val="center"/>
          </w:tcPr>
          <w:p w14:paraId="35C56590"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nil"/>
              <w:left w:val="nil"/>
              <w:bottom w:val="single" w:sz="8" w:space="0" w:color="auto"/>
              <w:right w:val="nil"/>
            </w:tcBorders>
            <w:vAlign w:val="center"/>
          </w:tcPr>
          <w:p w14:paraId="70D617CE"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Difference</w:t>
            </w:r>
          </w:p>
          <w:p w14:paraId="605C3983" w14:textId="38B71A69"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 xml:space="preserve">(Pos. </w:t>
            </w:r>
            <w:r w:rsidR="003B0846" w:rsidRPr="00372E64">
              <w:rPr>
                <w:rFonts w:asciiTheme="majorBidi" w:hAnsiTheme="majorBidi" w:cstheme="majorBidi"/>
                <w:color w:val="000000"/>
                <w:sz w:val="20"/>
                <w:szCs w:val="20"/>
              </w:rPr>
              <w:t>-</w:t>
            </w:r>
            <w:r w:rsidRPr="00372E64">
              <w:rPr>
                <w:rFonts w:asciiTheme="majorBidi" w:hAnsiTheme="majorBidi" w:cstheme="majorBidi"/>
                <w:color w:val="000000"/>
                <w:sz w:val="20"/>
                <w:szCs w:val="20"/>
              </w:rPr>
              <w:t xml:space="preserve"> Neg.)</w:t>
            </w:r>
          </w:p>
        </w:tc>
      </w:tr>
      <w:tr w:rsidR="00DC1505" w:rsidRPr="00D1157C" w14:paraId="7DB7FF43" w14:textId="77777777" w:rsidTr="00341237">
        <w:trPr>
          <w:trHeight w:val="322"/>
          <w:jc w:val="center"/>
        </w:trPr>
        <w:tc>
          <w:tcPr>
            <w:tcW w:w="2340" w:type="dxa"/>
            <w:tcBorders>
              <w:top w:val="nil"/>
              <w:left w:val="nil"/>
              <w:bottom w:val="single" w:sz="4" w:space="0" w:color="auto"/>
              <w:right w:val="nil"/>
            </w:tcBorders>
            <w:vAlign w:val="center"/>
          </w:tcPr>
          <w:p w14:paraId="10A09B7E" w14:textId="77777777" w:rsidR="00DC1505" w:rsidRPr="00372E64" w:rsidRDefault="00DC1505" w:rsidP="00D1157C">
            <w:pPr>
              <w:tabs>
                <w:tab w:val="left" w:pos="567"/>
              </w:tabs>
              <w:rPr>
                <w:rFonts w:asciiTheme="majorBidi" w:hAnsiTheme="majorBidi" w:cstheme="majorBidi"/>
                <w:color w:val="000000"/>
                <w:sz w:val="20"/>
                <w:szCs w:val="20"/>
              </w:rPr>
            </w:pPr>
          </w:p>
        </w:tc>
        <w:tc>
          <w:tcPr>
            <w:tcW w:w="1260" w:type="dxa"/>
            <w:tcBorders>
              <w:top w:val="single" w:sz="8" w:space="0" w:color="auto"/>
              <w:left w:val="nil"/>
              <w:bottom w:val="single" w:sz="4" w:space="0" w:color="auto"/>
              <w:right w:val="nil"/>
            </w:tcBorders>
            <w:vAlign w:val="center"/>
          </w:tcPr>
          <w:p w14:paraId="7C79FC5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6ED3D347"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4F5D33EB"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8" w:space="0" w:color="auto"/>
              <w:left w:val="nil"/>
              <w:bottom w:val="single" w:sz="4" w:space="0" w:color="auto"/>
              <w:right w:val="nil"/>
            </w:tcBorders>
            <w:vAlign w:val="center"/>
          </w:tcPr>
          <w:p w14:paraId="459D9237"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c>
          <w:tcPr>
            <w:tcW w:w="1260" w:type="dxa"/>
            <w:tcBorders>
              <w:top w:val="single" w:sz="8" w:space="0" w:color="auto"/>
              <w:left w:val="nil"/>
              <w:bottom w:val="single" w:sz="4" w:space="0" w:color="auto"/>
              <w:right w:val="nil"/>
            </w:tcBorders>
            <w:vAlign w:val="center"/>
          </w:tcPr>
          <w:p w14:paraId="48FF2BA3"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Std. Dev.</w:t>
            </w:r>
          </w:p>
        </w:tc>
        <w:tc>
          <w:tcPr>
            <w:tcW w:w="360" w:type="dxa"/>
            <w:tcBorders>
              <w:top w:val="nil"/>
              <w:left w:val="nil"/>
              <w:bottom w:val="single" w:sz="4" w:space="0" w:color="auto"/>
              <w:right w:val="nil"/>
            </w:tcBorders>
            <w:vAlign w:val="center"/>
          </w:tcPr>
          <w:p w14:paraId="0039D606" w14:textId="77777777" w:rsidR="00DC1505" w:rsidRPr="00372E64" w:rsidRDefault="00DC1505" w:rsidP="00D1157C">
            <w:pPr>
              <w:tabs>
                <w:tab w:val="left" w:pos="567"/>
              </w:tabs>
              <w:rPr>
                <w:rFonts w:asciiTheme="majorBidi" w:hAnsiTheme="majorBidi" w:cstheme="majorBidi"/>
                <w:color w:val="000000"/>
                <w:sz w:val="20"/>
                <w:szCs w:val="20"/>
              </w:rPr>
            </w:pPr>
          </w:p>
        </w:tc>
        <w:tc>
          <w:tcPr>
            <w:tcW w:w="1523" w:type="dxa"/>
            <w:tcBorders>
              <w:top w:val="single" w:sz="8" w:space="0" w:color="auto"/>
              <w:left w:val="nil"/>
              <w:bottom w:val="single" w:sz="4" w:space="0" w:color="auto"/>
              <w:right w:val="nil"/>
            </w:tcBorders>
            <w:vAlign w:val="center"/>
          </w:tcPr>
          <w:p w14:paraId="45D4546F"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Mean</w:t>
            </w:r>
          </w:p>
        </w:tc>
      </w:tr>
      <w:tr w:rsidR="00DC1505" w:rsidRPr="00D1157C" w14:paraId="79DB7681" w14:textId="77777777" w:rsidTr="003B0846">
        <w:trPr>
          <w:trHeight w:val="356"/>
          <w:jc w:val="center"/>
        </w:trPr>
        <w:tc>
          <w:tcPr>
            <w:tcW w:w="2340" w:type="dxa"/>
            <w:tcBorders>
              <w:top w:val="single" w:sz="4" w:space="0" w:color="auto"/>
              <w:left w:val="nil"/>
              <w:bottom w:val="nil"/>
              <w:right w:val="nil"/>
            </w:tcBorders>
            <w:vAlign w:val="center"/>
          </w:tcPr>
          <w:p w14:paraId="16C8ACDF"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NUE</w:t>
            </w:r>
          </w:p>
        </w:tc>
        <w:tc>
          <w:tcPr>
            <w:tcW w:w="1260" w:type="dxa"/>
            <w:tcBorders>
              <w:top w:val="single" w:sz="4" w:space="0" w:color="auto"/>
              <w:left w:val="nil"/>
              <w:bottom w:val="nil"/>
              <w:right w:val="nil"/>
            </w:tcBorders>
            <w:vAlign w:val="center"/>
          </w:tcPr>
          <w:p w14:paraId="2B9CA07C"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-0.653</w:t>
            </w:r>
          </w:p>
        </w:tc>
        <w:tc>
          <w:tcPr>
            <w:tcW w:w="1260" w:type="dxa"/>
            <w:tcBorders>
              <w:top w:val="single" w:sz="4" w:space="0" w:color="auto"/>
              <w:left w:val="nil"/>
              <w:bottom w:val="nil"/>
              <w:right w:val="nil"/>
            </w:tcBorders>
            <w:vAlign w:val="center"/>
          </w:tcPr>
          <w:p w14:paraId="32C574BD"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1.062</w:t>
            </w:r>
          </w:p>
        </w:tc>
        <w:tc>
          <w:tcPr>
            <w:tcW w:w="360" w:type="dxa"/>
            <w:tcBorders>
              <w:top w:val="single" w:sz="4" w:space="0" w:color="auto"/>
              <w:left w:val="nil"/>
              <w:bottom w:val="nil"/>
              <w:right w:val="nil"/>
            </w:tcBorders>
            <w:vAlign w:val="center"/>
          </w:tcPr>
          <w:p w14:paraId="5C1C3945"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single" w:sz="4" w:space="0" w:color="auto"/>
              <w:left w:val="nil"/>
              <w:bottom w:val="nil"/>
              <w:right w:val="nil"/>
            </w:tcBorders>
            <w:vAlign w:val="center"/>
          </w:tcPr>
          <w:p w14:paraId="41CDF843"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-0.629</w:t>
            </w:r>
          </w:p>
        </w:tc>
        <w:tc>
          <w:tcPr>
            <w:tcW w:w="1260" w:type="dxa"/>
            <w:tcBorders>
              <w:top w:val="single" w:sz="4" w:space="0" w:color="auto"/>
              <w:left w:val="nil"/>
              <w:bottom w:val="nil"/>
              <w:right w:val="nil"/>
            </w:tcBorders>
            <w:vAlign w:val="center"/>
          </w:tcPr>
          <w:p w14:paraId="15BA0745"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1.429</w:t>
            </w:r>
          </w:p>
        </w:tc>
        <w:tc>
          <w:tcPr>
            <w:tcW w:w="360" w:type="dxa"/>
            <w:tcBorders>
              <w:top w:val="single" w:sz="4" w:space="0" w:color="auto"/>
              <w:left w:val="nil"/>
              <w:bottom w:val="nil"/>
              <w:right w:val="nil"/>
            </w:tcBorders>
            <w:vAlign w:val="center"/>
          </w:tcPr>
          <w:p w14:paraId="1CB5AF3F"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nil"/>
              <w:right w:val="nil"/>
            </w:tcBorders>
            <w:shd w:val="clear" w:color="auto" w:fill="auto"/>
            <w:vAlign w:val="center"/>
          </w:tcPr>
          <w:p w14:paraId="0110BAD0"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-0.248</w:t>
            </w:r>
          </w:p>
        </w:tc>
      </w:tr>
      <w:tr w:rsidR="00DC1505" w:rsidRPr="00D1157C" w14:paraId="7631BF58" w14:textId="77777777" w:rsidTr="003B0846">
        <w:trPr>
          <w:trHeight w:val="356"/>
          <w:jc w:val="center"/>
        </w:trPr>
        <w:tc>
          <w:tcPr>
            <w:tcW w:w="2340" w:type="dxa"/>
            <w:tcBorders>
              <w:top w:val="nil"/>
              <w:left w:val="nil"/>
              <w:bottom w:val="single" w:sz="4" w:space="0" w:color="auto"/>
              <w:right w:val="nil"/>
            </w:tcBorders>
            <w:vAlign w:val="center"/>
          </w:tcPr>
          <w:p w14:paraId="735E34DD" w14:textId="77777777" w:rsidR="00DC1505" w:rsidRPr="00372E64" w:rsidRDefault="00DC1505" w:rsidP="00D1157C">
            <w:pPr>
              <w:tabs>
                <w:tab w:val="left" w:pos="567"/>
              </w:tabs>
              <w:rPr>
                <w:rFonts w:asciiTheme="majorBidi" w:hAnsiTheme="majorBidi" w:cstheme="majorBidi"/>
                <w:color w:val="000000"/>
                <w:sz w:val="20"/>
                <w:szCs w:val="20"/>
              </w:rPr>
            </w:pPr>
            <w:r w:rsidRPr="00372E64">
              <w:rPr>
                <w:rFonts w:asciiTheme="majorBidi" w:hAnsiTheme="majorBidi" w:cstheme="majorBidi"/>
                <w:color w:val="000000"/>
                <w:sz w:val="20"/>
                <w:szCs w:val="20"/>
              </w:rPr>
              <w:t>PUE</w:t>
            </w:r>
          </w:p>
        </w:tc>
        <w:tc>
          <w:tcPr>
            <w:tcW w:w="1260" w:type="dxa"/>
            <w:tcBorders>
              <w:top w:val="nil"/>
              <w:left w:val="nil"/>
              <w:bottom w:val="single" w:sz="4" w:space="0" w:color="auto"/>
              <w:right w:val="nil"/>
            </w:tcBorders>
            <w:vAlign w:val="center"/>
          </w:tcPr>
          <w:p w14:paraId="001EED5D"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0.814</w:t>
            </w:r>
          </w:p>
        </w:tc>
        <w:tc>
          <w:tcPr>
            <w:tcW w:w="1260" w:type="dxa"/>
            <w:tcBorders>
              <w:top w:val="nil"/>
              <w:left w:val="nil"/>
              <w:bottom w:val="single" w:sz="4" w:space="0" w:color="auto"/>
              <w:right w:val="nil"/>
            </w:tcBorders>
            <w:vAlign w:val="center"/>
          </w:tcPr>
          <w:p w14:paraId="3D84ABA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1.172</w:t>
            </w:r>
          </w:p>
        </w:tc>
        <w:tc>
          <w:tcPr>
            <w:tcW w:w="360" w:type="dxa"/>
            <w:tcBorders>
              <w:top w:val="nil"/>
              <w:left w:val="nil"/>
              <w:bottom w:val="single" w:sz="4" w:space="0" w:color="auto"/>
              <w:right w:val="nil"/>
            </w:tcBorders>
            <w:vAlign w:val="center"/>
          </w:tcPr>
          <w:p w14:paraId="25B904BA"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350" w:type="dxa"/>
            <w:tcBorders>
              <w:top w:val="nil"/>
              <w:left w:val="nil"/>
              <w:bottom w:val="single" w:sz="4" w:space="0" w:color="auto"/>
              <w:right w:val="nil"/>
            </w:tcBorders>
            <w:vAlign w:val="center"/>
          </w:tcPr>
          <w:p w14:paraId="45F70F23"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0.800</w:t>
            </w:r>
          </w:p>
        </w:tc>
        <w:tc>
          <w:tcPr>
            <w:tcW w:w="1260" w:type="dxa"/>
            <w:tcBorders>
              <w:top w:val="nil"/>
              <w:left w:val="nil"/>
              <w:bottom w:val="single" w:sz="4" w:space="0" w:color="auto"/>
              <w:right w:val="nil"/>
            </w:tcBorders>
            <w:vAlign w:val="center"/>
          </w:tcPr>
          <w:p w14:paraId="320C9B11"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1.392</w:t>
            </w:r>
          </w:p>
        </w:tc>
        <w:tc>
          <w:tcPr>
            <w:tcW w:w="360" w:type="dxa"/>
            <w:tcBorders>
              <w:top w:val="nil"/>
              <w:left w:val="nil"/>
              <w:bottom w:val="single" w:sz="4" w:space="0" w:color="auto"/>
              <w:right w:val="nil"/>
            </w:tcBorders>
            <w:vAlign w:val="center"/>
          </w:tcPr>
          <w:p w14:paraId="28A59D7D" w14:textId="77777777" w:rsidR="00DC1505" w:rsidRPr="00372E64" w:rsidRDefault="00DC1505" w:rsidP="00D1157C">
            <w:pPr>
              <w:tabs>
                <w:tab w:val="left" w:pos="567"/>
              </w:tabs>
              <w:jc w:val="center"/>
              <w:rPr>
                <w:rFonts w:asciiTheme="majorBidi" w:hAnsiTheme="majorBidi" w:cstheme="majorBidi"/>
                <w:color w:val="000000"/>
                <w:sz w:val="20"/>
                <w:szCs w:val="20"/>
              </w:rPr>
            </w:pPr>
          </w:p>
        </w:tc>
        <w:tc>
          <w:tcPr>
            <w:tcW w:w="1523" w:type="dxa"/>
            <w:tcBorders>
              <w:top w:val="nil"/>
              <w:left w:val="nil"/>
              <w:bottom w:val="single" w:sz="4" w:space="0" w:color="auto"/>
              <w:right w:val="nil"/>
            </w:tcBorders>
            <w:shd w:val="clear" w:color="auto" w:fill="auto"/>
            <w:vAlign w:val="center"/>
          </w:tcPr>
          <w:p w14:paraId="749794BB" w14:textId="77777777" w:rsidR="00DC1505" w:rsidRPr="00372E64" w:rsidRDefault="00DC1505" w:rsidP="00D1157C">
            <w:pPr>
              <w:tabs>
                <w:tab w:val="left" w:pos="567"/>
              </w:tabs>
              <w:jc w:val="center"/>
              <w:rPr>
                <w:rFonts w:asciiTheme="majorBidi" w:hAnsiTheme="majorBidi" w:cstheme="majorBidi"/>
                <w:color w:val="000000"/>
                <w:sz w:val="20"/>
                <w:szCs w:val="20"/>
              </w:rPr>
            </w:pPr>
            <w:r w:rsidRPr="00372E64">
              <w:rPr>
                <w:rFonts w:asciiTheme="majorBidi" w:hAnsiTheme="majorBidi" w:cstheme="majorBidi"/>
                <w:color w:val="000000"/>
                <w:sz w:val="20"/>
                <w:szCs w:val="20"/>
              </w:rPr>
              <w:t>0.014</w:t>
            </w:r>
          </w:p>
        </w:tc>
      </w:tr>
    </w:tbl>
    <w:p w14:paraId="6F379D94" w14:textId="23E9988E" w:rsidR="00352E64" w:rsidRPr="00372E64" w:rsidRDefault="00DC1505" w:rsidP="00372E64">
      <w:pPr>
        <w:tabs>
          <w:tab w:val="left" w:pos="567"/>
        </w:tabs>
        <w:spacing w:after="0" w:line="240" w:lineRule="auto"/>
        <w:ind w:left="-142"/>
        <w:rPr>
          <w:rFonts w:ascii="Times New Roman" w:hAnsi="Times New Roman" w:cs="Times New Roman"/>
          <w:i/>
          <w:iCs/>
          <w:sz w:val="20"/>
          <w:szCs w:val="20"/>
        </w:rPr>
      </w:pPr>
      <w:r w:rsidRPr="00372E64">
        <w:rPr>
          <w:rFonts w:ascii="Times New Roman" w:hAnsi="Times New Roman" w:cs="Times New Roman"/>
          <w:i/>
          <w:iCs/>
          <w:sz w:val="20"/>
          <w:szCs w:val="20"/>
        </w:rPr>
        <w:t>Note</w:t>
      </w:r>
      <w:r w:rsidR="003B0846" w:rsidRPr="00372E64">
        <w:rPr>
          <w:rFonts w:ascii="Times New Roman" w:hAnsi="Times New Roman" w:cs="Times New Roman"/>
          <w:i/>
          <w:iCs/>
          <w:sz w:val="20"/>
          <w:szCs w:val="20"/>
        </w:rPr>
        <w:t xml:space="preserve">:  </w:t>
      </w:r>
      <w:r w:rsidR="00352E64" w:rsidRPr="00372E64">
        <w:rPr>
          <w:rFonts w:asciiTheme="majorBidi" w:hAnsiTheme="majorBidi" w:cstheme="majorBidi"/>
          <w:color w:val="000000"/>
          <w:sz w:val="20"/>
          <w:szCs w:val="20"/>
        </w:rPr>
        <w:t>*Significant at the 10% level. **Significant at the 5% level. ***Significant at the 1% level.</w:t>
      </w:r>
    </w:p>
    <w:p w14:paraId="1A75C76D" w14:textId="77777777" w:rsidR="00D1157C" w:rsidRPr="00352E64" w:rsidRDefault="00D1157C" w:rsidP="00D1157C">
      <w:pPr>
        <w:pStyle w:val="ListParagraph"/>
        <w:tabs>
          <w:tab w:val="left" w:pos="567"/>
        </w:tabs>
        <w:spacing w:line="288" w:lineRule="auto"/>
        <w:ind w:left="70"/>
        <w:jc w:val="both"/>
        <w:rPr>
          <w:rFonts w:asciiTheme="majorBidi" w:hAnsiTheme="majorBidi" w:cstheme="majorBidi"/>
          <w:b/>
          <w:bCs/>
          <w:color w:val="000000"/>
          <w:sz w:val="8"/>
          <w:szCs w:val="8"/>
        </w:rPr>
      </w:pPr>
    </w:p>
    <w:p w14:paraId="33705B6B" w14:textId="4F8C000A" w:rsidR="00D1157C" w:rsidRDefault="00372E64" w:rsidP="00D1157C">
      <w:pPr>
        <w:pStyle w:val="ListParagraph"/>
        <w:tabs>
          <w:tab w:val="left" w:pos="567"/>
        </w:tabs>
        <w:spacing w:line="288" w:lineRule="auto"/>
        <w:ind w:left="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00D1157C" w:rsidRPr="00DB721F">
        <w:rPr>
          <w:rFonts w:asciiTheme="majorBidi" w:hAnsiTheme="majorBidi" w:cstheme="majorBidi"/>
          <w:color w:val="000000"/>
          <w:sz w:val="24"/>
          <w:szCs w:val="24"/>
        </w:rPr>
        <w:t xml:space="preserve">Panels A and B present the mean and median differences in our measures of positive (PUE) and negative (NUE) earnings announcements and control variables based on the corporate governance index and the different volatility and sentiments groups, respectively. </w:t>
      </w:r>
      <w:r w:rsidR="00D1157C" w:rsidRPr="00DB721F">
        <w:rPr>
          <w:rFonts w:ascii="Times New Roman" w:hAnsi="Times New Roman" w:cs="Times New Roman"/>
          <w:i/>
          <w:iCs/>
          <w:sz w:val="24"/>
          <w:szCs w:val="24"/>
        </w:rPr>
        <w:t>NUE</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i/>
          <w:iCs/>
          <w:sz w:val="24"/>
          <w:szCs w:val="24"/>
        </w:rPr>
        <w:t xml:space="preserve"> </w:t>
      </w:r>
      <w:r w:rsidR="00D1157C" w:rsidRPr="00DB721F">
        <w:rPr>
          <w:rFonts w:ascii="Times New Roman" w:hAnsi="Times New Roman" w:cs="Times New Roman"/>
          <w:sz w:val="24"/>
          <w:szCs w:val="24"/>
        </w:rPr>
        <w:t>(</w:t>
      </w:r>
      <w:r w:rsidR="00D1157C" w:rsidRPr="00DB721F">
        <w:rPr>
          <w:rFonts w:ascii="Times New Roman" w:hAnsi="Times New Roman" w:cs="Times New Roman"/>
          <w:i/>
          <w:iCs/>
          <w:sz w:val="24"/>
          <w:szCs w:val="24"/>
        </w:rPr>
        <w:t>PUE</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the negative (positive) UE measure which takes the value of SUE when it is negative (positive) or 0 otherwise. </w:t>
      </w:r>
      <w:r w:rsidR="00D1157C" w:rsidRPr="00DB721F">
        <w:rPr>
          <w:rFonts w:ascii="Times New Roman" w:hAnsi="Times New Roman" w:cs="Times New Roman"/>
          <w:i/>
          <w:iCs/>
          <w:sz w:val="24"/>
          <w:szCs w:val="24"/>
        </w:rPr>
        <w:t>GOVH</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a dummy variable which takes the value 1 if the governance index value for the announcement year is above the median value for all other observations or 0 otherwise. </w:t>
      </w:r>
      <w:r w:rsidR="00D1157C" w:rsidRPr="00DB721F">
        <w:rPr>
          <w:rFonts w:ascii="Times New Roman" w:hAnsi="Times New Roman" w:cs="Times New Roman"/>
          <w:i/>
          <w:iCs/>
          <w:sz w:val="24"/>
          <w:szCs w:val="24"/>
        </w:rPr>
        <w:t>SMIP</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a dummy variable which takes the value 1 if the cumulative return on S&amp;P 1500 (sentiment measure) five-days prior to the announcement is positive or 0 otherwise. </w:t>
      </w:r>
      <w:r w:rsidR="00D1157C" w:rsidRPr="00DB721F">
        <w:rPr>
          <w:rFonts w:ascii="Times New Roman" w:hAnsi="Times New Roman" w:cs="Times New Roman"/>
          <w:i/>
          <w:iCs/>
          <w:sz w:val="24"/>
          <w:szCs w:val="24"/>
        </w:rPr>
        <w:t>VIXH</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a dummy variable which takes the value 1 if the VIX (uncertainty measure) value one day prior to the announcement is above the median value for all VIX observations or 0 otherwise. </w:t>
      </w:r>
      <w:r w:rsidR="00D1157C" w:rsidRPr="00DB721F">
        <w:rPr>
          <w:rFonts w:ascii="Times New Roman" w:hAnsi="Times New Roman" w:cs="Times New Roman"/>
          <w:i/>
          <w:iCs/>
          <w:sz w:val="24"/>
          <w:szCs w:val="24"/>
        </w:rPr>
        <w:t>PSMIP</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a dummy variable which takes the value 1 if the sum of the daily returns on the market index (sentiment measure) over the post-announcement period is positive or 0 otherwise, while </w:t>
      </w:r>
      <w:r w:rsidR="00D1157C" w:rsidRPr="00DB721F">
        <w:rPr>
          <w:rFonts w:ascii="Times New Roman" w:hAnsi="Times New Roman" w:cs="Times New Roman"/>
          <w:i/>
          <w:iCs/>
          <w:sz w:val="24"/>
          <w:szCs w:val="24"/>
        </w:rPr>
        <w:t>∆VIXH</w:t>
      </w:r>
      <w:r w:rsidR="00D1157C" w:rsidRPr="00DB721F">
        <w:rPr>
          <w:rFonts w:ascii="Times New Roman" w:hAnsi="Times New Roman" w:cs="Times New Roman"/>
          <w:i/>
          <w:iCs/>
          <w:sz w:val="24"/>
          <w:szCs w:val="24"/>
          <w:vertAlign w:val="subscript"/>
        </w:rPr>
        <w:t>i,t</w:t>
      </w:r>
      <w:r w:rsidR="00D1157C" w:rsidRPr="00DB721F">
        <w:rPr>
          <w:rFonts w:ascii="Times New Roman" w:hAnsi="Times New Roman" w:cs="Times New Roman"/>
          <w:sz w:val="24"/>
          <w:szCs w:val="24"/>
        </w:rPr>
        <w:t xml:space="preserve"> is a dummy variable that measures change in VIX (uncertainty measure) over the studied period and takes the value 1 if the value of VIX increases over post announcement period (T+2 to T+60) or 0 otherwise.</w:t>
      </w:r>
      <w:r w:rsidR="00D1157C" w:rsidRPr="00DB721F">
        <w:rPr>
          <w:rFonts w:asciiTheme="majorBidi" w:hAnsiTheme="majorBidi" w:cstheme="majorBidi"/>
          <w:color w:val="000000"/>
          <w:sz w:val="24"/>
          <w:szCs w:val="24"/>
        </w:rPr>
        <w:t xml:space="preserve"> All variables are defined in Appendix I. The test for the equality of means uses Welch’s t-test.</w:t>
      </w:r>
    </w:p>
    <w:p w14:paraId="48EA57D3" w14:textId="77777777" w:rsidR="00372E64" w:rsidRPr="00372E64" w:rsidRDefault="00372E64" w:rsidP="00D1157C">
      <w:pPr>
        <w:pStyle w:val="ListParagraph"/>
        <w:tabs>
          <w:tab w:val="left" w:pos="567"/>
        </w:tabs>
        <w:spacing w:line="288" w:lineRule="auto"/>
        <w:ind w:left="0"/>
        <w:jc w:val="both"/>
        <w:rPr>
          <w:rFonts w:asciiTheme="majorBidi" w:hAnsiTheme="majorBidi" w:cstheme="majorBidi"/>
          <w:b/>
          <w:bCs/>
          <w:color w:val="000000"/>
          <w:sz w:val="12"/>
          <w:szCs w:val="12"/>
        </w:rPr>
      </w:pPr>
    </w:p>
    <w:p w14:paraId="0964F2CA" w14:textId="2495E59F" w:rsidR="00120A8A" w:rsidRPr="00D15BA1" w:rsidRDefault="00D15BA1" w:rsidP="00D15BA1">
      <w:pPr>
        <w:tabs>
          <w:tab w:val="left" w:pos="567"/>
        </w:tabs>
        <w:spacing w:after="0" w:line="288"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4.2 </w:t>
      </w:r>
      <w:r w:rsidR="008B0CB4">
        <w:rPr>
          <w:rFonts w:ascii="Times New Roman" w:hAnsi="Times New Roman" w:cs="Times New Roman"/>
          <w:b/>
          <w:bCs/>
          <w:sz w:val="24"/>
          <w:szCs w:val="24"/>
        </w:rPr>
        <w:t xml:space="preserve"> </w:t>
      </w:r>
      <w:r w:rsidR="00120A8A" w:rsidRPr="00D15BA1">
        <w:rPr>
          <w:rFonts w:ascii="Times New Roman" w:hAnsi="Times New Roman" w:cs="Times New Roman"/>
          <w:b/>
          <w:bCs/>
          <w:sz w:val="24"/>
          <w:szCs w:val="24"/>
        </w:rPr>
        <w:t>Earnings</w:t>
      </w:r>
      <w:proofErr w:type="gramEnd"/>
      <w:r w:rsidR="00120A8A" w:rsidRPr="00D15BA1">
        <w:rPr>
          <w:rFonts w:ascii="Times New Roman" w:hAnsi="Times New Roman" w:cs="Times New Roman"/>
          <w:b/>
          <w:bCs/>
          <w:sz w:val="24"/>
          <w:szCs w:val="24"/>
        </w:rPr>
        <w:t xml:space="preserve"> </w:t>
      </w:r>
      <w:r>
        <w:rPr>
          <w:rFonts w:ascii="Times New Roman" w:hAnsi="Times New Roman" w:cs="Times New Roman"/>
          <w:b/>
          <w:bCs/>
          <w:sz w:val="24"/>
          <w:szCs w:val="24"/>
        </w:rPr>
        <w:t>S</w:t>
      </w:r>
      <w:r w:rsidR="00120A8A" w:rsidRPr="00D15BA1">
        <w:rPr>
          <w:rFonts w:ascii="Times New Roman" w:hAnsi="Times New Roman" w:cs="Times New Roman"/>
          <w:b/>
          <w:bCs/>
          <w:sz w:val="24"/>
          <w:szCs w:val="24"/>
        </w:rPr>
        <w:t xml:space="preserve">urprises and </w:t>
      </w:r>
      <w:r w:rsidR="005E4A9C" w:rsidRPr="00D15BA1">
        <w:rPr>
          <w:rFonts w:ascii="Times New Roman" w:hAnsi="Times New Roman" w:cs="Times New Roman"/>
          <w:b/>
          <w:bCs/>
          <w:sz w:val="24"/>
          <w:szCs w:val="24"/>
        </w:rPr>
        <w:t xml:space="preserve">the </w:t>
      </w:r>
      <w:r w:rsidR="00120A8A" w:rsidRPr="00D15BA1">
        <w:rPr>
          <w:rFonts w:ascii="Times New Roman" w:hAnsi="Times New Roman" w:cs="Times New Roman"/>
          <w:b/>
          <w:bCs/>
          <w:sz w:val="24"/>
          <w:szCs w:val="24"/>
        </w:rPr>
        <w:t>PEAD</w:t>
      </w:r>
    </w:p>
    <w:p w14:paraId="00C2EDE1" w14:textId="02102D2F" w:rsidR="00120A8A" w:rsidRPr="00841CE3" w:rsidRDefault="00120A8A" w:rsidP="008F42C0">
      <w:pPr>
        <w:keepNext/>
        <w:tabs>
          <w:tab w:val="left" w:pos="567"/>
        </w:tabs>
        <w:spacing w:after="0" w:line="288" w:lineRule="auto"/>
        <w:jc w:val="both"/>
        <w:rPr>
          <w:rFonts w:ascii="Times New Roman" w:hAnsi="Times New Roman" w:cs="Times New Roman"/>
          <w:b/>
          <w:bCs/>
          <w:sz w:val="10"/>
          <w:szCs w:val="10"/>
        </w:rPr>
      </w:pPr>
    </w:p>
    <w:p w14:paraId="41DE1B17" w14:textId="0D890A63" w:rsidR="004A0ADC" w:rsidRDefault="004A0ADC" w:rsidP="008F42C0">
      <w:pPr>
        <w:keepNext/>
        <w:tabs>
          <w:tab w:val="left" w:pos="567"/>
        </w:tabs>
        <w:spacing w:after="0" w:line="288" w:lineRule="auto"/>
        <w:jc w:val="both"/>
        <w:rPr>
          <w:rFonts w:ascii="Times New Roman" w:hAnsi="Times New Roman" w:cs="Times New Roman"/>
          <w:sz w:val="24"/>
          <w:szCs w:val="24"/>
        </w:rPr>
      </w:pPr>
      <w:r w:rsidRPr="00D15BA1">
        <w:rPr>
          <w:rFonts w:ascii="Times New Roman" w:hAnsi="Times New Roman" w:cs="Times New Roman"/>
          <w:sz w:val="24"/>
          <w:szCs w:val="24"/>
        </w:rPr>
        <w:t xml:space="preserve">Table 2 </w:t>
      </w:r>
      <w:r>
        <w:rPr>
          <w:rFonts w:ascii="Times New Roman" w:hAnsi="Times New Roman" w:cs="Times New Roman"/>
          <w:sz w:val="24"/>
          <w:szCs w:val="24"/>
        </w:rPr>
        <w:t xml:space="preserve">provides the results of applying models 1a and 1b to our sample in order to highlight the nature of the response of the market to an earnings surprise, both at the time of the announcement and during the post-announcement period. The coefficients of NUE and PUE are positive and significant in both regressions indicating </w:t>
      </w:r>
      <w:r w:rsidR="00A07671">
        <w:rPr>
          <w:rFonts w:ascii="Times New Roman" w:hAnsi="Times New Roman" w:cs="Times New Roman"/>
          <w:sz w:val="24"/>
          <w:szCs w:val="24"/>
        </w:rPr>
        <w:t xml:space="preserve">an initial reaction </w:t>
      </w:r>
      <w:r>
        <w:rPr>
          <w:rFonts w:ascii="Times New Roman" w:hAnsi="Times New Roman" w:cs="Times New Roman"/>
          <w:sz w:val="24"/>
          <w:szCs w:val="24"/>
        </w:rPr>
        <w:t xml:space="preserve">to the announcement </w:t>
      </w:r>
      <w:r w:rsidR="00A07671">
        <w:rPr>
          <w:rFonts w:ascii="Times New Roman" w:hAnsi="Times New Roman" w:cs="Times New Roman"/>
          <w:sz w:val="24"/>
          <w:szCs w:val="24"/>
        </w:rPr>
        <w:t xml:space="preserve">followed by a further reaction in </w:t>
      </w:r>
      <w:r w:rsidR="005425E5">
        <w:rPr>
          <w:rFonts w:ascii="Times New Roman" w:hAnsi="Times New Roman" w:cs="Times New Roman"/>
          <w:sz w:val="24"/>
          <w:szCs w:val="24"/>
        </w:rPr>
        <w:t xml:space="preserve">the </w:t>
      </w:r>
      <w:r w:rsidR="00A07671">
        <w:rPr>
          <w:rFonts w:ascii="Times New Roman" w:hAnsi="Times New Roman" w:cs="Times New Roman"/>
          <w:sz w:val="24"/>
          <w:szCs w:val="24"/>
        </w:rPr>
        <w:t>post-announcement period (</w:t>
      </w:r>
      <w:r w:rsidR="00372E64">
        <w:rPr>
          <w:rFonts w:ascii="Times New Roman" w:hAnsi="Times New Roman" w:cs="Times New Roman"/>
          <w:sz w:val="24"/>
          <w:szCs w:val="24"/>
        </w:rPr>
        <w:t xml:space="preserve">that is, </w:t>
      </w:r>
      <w:r w:rsidR="00A07671">
        <w:rPr>
          <w:rFonts w:ascii="Times New Roman" w:hAnsi="Times New Roman" w:cs="Times New Roman"/>
          <w:sz w:val="24"/>
          <w:szCs w:val="24"/>
        </w:rPr>
        <w:t xml:space="preserve">PEAD). </w:t>
      </w:r>
      <w:r>
        <w:rPr>
          <w:rFonts w:ascii="Times New Roman" w:hAnsi="Times New Roman" w:cs="Times New Roman"/>
          <w:sz w:val="24"/>
          <w:szCs w:val="24"/>
        </w:rPr>
        <w:t xml:space="preserve">In the first regression, the coefficient of PUE (+0.0045) is </w:t>
      </w:r>
      <w:r w:rsidR="00612F89">
        <w:rPr>
          <w:rFonts w:ascii="Times New Roman" w:hAnsi="Times New Roman" w:cs="Times New Roman"/>
          <w:sz w:val="24"/>
          <w:szCs w:val="24"/>
        </w:rPr>
        <w:t>slightly</w:t>
      </w:r>
      <w:r>
        <w:rPr>
          <w:rFonts w:ascii="Times New Roman" w:hAnsi="Times New Roman" w:cs="Times New Roman"/>
          <w:sz w:val="24"/>
          <w:szCs w:val="24"/>
        </w:rPr>
        <w:t xml:space="preserve"> larger than</w:t>
      </w:r>
      <w:r w:rsidR="00612F89">
        <w:rPr>
          <w:rFonts w:ascii="Times New Roman" w:hAnsi="Times New Roman" w:cs="Times New Roman"/>
          <w:sz w:val="24"/>
          <w:szCs w:val="24"/>
        </w:rPr>
        <w:t xml:space="preserve"> that of </w:t>
      </w:r>
      <w:r>
        <w:rPr>
          <w:rFonts w:ascii="Times New Roman" w:hAnsi="Times New Roman" w:cs="Times New Roman"/>
          <w:sz w:val="24"/>
          <w:szCs w:val="24"/>
        </w:rPr>
        <w:t xml:space="preserve">NUE (+0.0039) suggesting a stronger initial reaction by investors to each unit of positive surprise as compared </w:t>
      </w:r>
      <w:r w:rsidR="00713785">
        <w:rPr>
          <w:rFonts w:ascii="Times New Roman" w:hAnsi="Times New Roman" w:cs="Times New Roman"/>
          <w:sz w:val="24"/>
          <w:szCs w:val="24"/>
        </w:rPr>
        <w:t>to</w:t>
      </w:r>
      <w:r>
        <w:rPr>
          <w:rFonts w:ascii="Times New Roman" w:hAnsi="Times New Roman" w:cs="Times New Roman"/>
          <w:sz w:val="24"/>
          <w:szCs w:val="24"/>
        </w:rPr>
        <w:t xml:space="preserve"> each unit of negative surprise. In the second regression, the sign and significance of </w:t>
      </w:r>
      <w:r w:rsidR="00612F89">
        <w:rPr>
          <w:rFonts w:ascii="Times New Roman" w:hAnsi="Times New Roman" w:cs="Times New Roman"/>
          <w:sz w:val="24"/>
          <w:szCs w:val="24"/>
        </w:rPr>
        <w:t xml:space="preserve">the coefficients attached to </w:t>
      </w:r>
      <w:r>
        <w:rPr>
          <w:rFonts w:ascii="Times New Roman" w:hAnsi="Times New Roman" w:cs="Times New Roman"/>
          <w:sz w:val="24"/>
          <w:szCs w:val="24"/>
        </w:rPr>
        <w:t xml:space="preserve">NUE (+0.0047) and PUE (+0.0034) confirm the existence of a </w:t>
      </w:r>
      <w:r w:rsidR="00612F89">
        <w:rPr>
          <w:rFonts w:ascii="Times New Roman" w:hAnsi="Times New Roman" w:cs="Times New Roman"/>
          <w:sz w:val="24"/>
          <w:szCs w:val="24"/>
        </w:rPr>
        <w:t xml:space="preserve">post-announcement </w:t>
      </w:r>
      <w:r>
        <w:rPr>
          <w:rFonts w:ascii="Times New Roman" w:hAnsi="Times New Roman" w:cs="Times New Roman"/>
          <w:sz w:val="24"/>
          <w:szCs w:val="24"/>
        </w:rPr>
        <w:t xml:space="preserve">drift for </w:t>
      </w:r>
      <w:r w:rsidR="00010F68">
        <w:rPr>
          <w:rFonts w:ascii="Times New Roman" w:hAnsi="Times New Roman" w:cs="Times New Roman"/>
          <w:sz w:val="24"/>
          <w:szCs w:val="24"/>
        </w:rPr>
        <w:t>both positive and negative surprise</w:t>
      </w:r>
      <w:r>
        <w:rPr>
          <w:rFonts w:ascii="Times New Roman" w:hAnsi="Times New Roman" w:cs="Times New Roman"/>
          <w:sz w:val="24"/>
          <w:szCs w:val="24"/>
        </w:rPr>
        <w:t xml:space="preserve">. We can also see that the coefficient for negative surprises is now significantly higher than that for positive surprises, which suggests the smaller </w:t>
      </w:r>
      <w:r w:rsidR="00267FC0">
        <w:rPr>
          <w:rFonts w:ascii="Times New Roman" w:hAnsi="Times New Roman" w:cs="Times New Roman"/>
          <w:sz w:val="24"/>
          <w:szCs w:val="24"/>
        </w:rPr>
        <w:t xml:space="preserve">initial </w:t>
      </w:r>
      <w:r>
        <w:rPr>
          <w:rFonts w:ascii="Times New Roman" w:hAnsi="Times New Roman" w:cs="Times New Roman"/>
          <w:sz w:val="24"/>
          <w:szCs w:val="24"/>
        </w:rPr>
        <w:t xml:space="preserve">reaction to </w:t>
      </w:r>
      <w:r w:rsidR="0051539C">
        <w:rPr>
          <w:rFonts w:ascii="Times New Roman" w:hAnsi="Times New Roman" w:cs="Times New Roman"/>
          <w:sz w:val="24"/>
          <w:szCs w:val="24"/>
        </w:rPr>
        <w:t xml:space="preserve">a </w:t>
      </w:r>
      <w:r w:rsidR="00267FC0">
        <w:rPr>
          <w:rFonts w:ascii="Times New Roman" w:hAnsi="Times New Roman" w:cs="Times New Roman"/>
          <w:sz w:val="24"/>
          <w:szCs w:val="24"/>
        </w:rPr>
        <w:t xml:space="preserve">to each unit of </w:t>
      </w:r>
      <w:r>
        <w:rPr>
          <w:rFonts w:ascii="Times New Roman" w:hAnsi="Times New Roman" w:cs="Times New Roman"/>
          <w:sz w:val="24"/>
          <w:szCs w:val="24"/>
        </w:rPr>
        <w:t xml:space="preserve">bad earnings </w:t>
      </w:r>
      <w:r w:rsidR="001422B1">
        <w:rPr>
          <w:rFonts w:ascii="Times New Roman" w:hAnsi="Times New Roman" w:cs="Times New Roman"/>
          <w:sz w:val="24"/>
          <w:szCs w:val="24"/>
        </w:rPr>
        <w:t>news</w:t>
      </w:r>
      <w:r>
        <w:rPr>
          <w:rFonts w:ascii="Times New Roman" w:hAnsi="Times New Roman" w:cs="Times New Roman"/>
          <w:sz w:val="24"/>
          <w:szCs w:val="24"/>
        </w:rPr>
        <w:t xml:space="preserve"> is followed by a larger PEAD. </w:t>
      </w:r>
    </w:p>
    <w:p w14:paraId="54E34465" w14:textId="3D1C8557" w:rsidR="00AA7196" w:rsidRDefault="00AA7196" w:rsidP="008F42C0">
      <w:pPr>
        <w:tabs>
          <w:tab w:val="left" w:pos="567"/>
        </w:tabs>
        <w:spacing w:after="0" w:line="288" w:lineRule="auto"/>
        <w:jc w:val="both"/>
        <w:rPr>
          <w:rFonts w:ascii="Times New Roman" w:hAnsi="Times New Roman" w:cs="Times New Roman"/>
          <w:sz w:val="24"/>
          <w:szCs w:val="24"/>
        </w:rPr>
      </w:pPr>
    </w:p>
    <w:p w14:paraId="117917D2" w14:textId="61380B79" w:rsidR="00372E64" w:rsidRDefault="00372E64" w:rsidP="00372E64">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Our findings for the control variables are somewhat as expected. The sign on size is negative and significant over each of the two periods indicating that smaller stocks outperform. In contrast, the sign on book to market is negative and significant indicating that the response for growth stocks is larger than that for value stocks. The positive sign of the variable measuring the number of forecasts (FORC) indicate a positive association with cumulative abnormal returns which suggests that such stocks are more heavily promoted at the time of the earnings release. Lastly, the variable for the length of time has the expected negative sign but it is insignificant.</w:t>
      </w:r>
    </w:p>
    <w:tbl>
      <w:tblPr>
        <w:tblStyle w:val="TableGrid"/>
        <w:tblW w:w="9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7"/>
        <w:gridCol w:w="2292"/>
        <w:gridCol w:w="1484"/>
      </w:tblGrid>
      <w:tr w:rsidR="009B66F8" w:rsidRPr="009159CB" w14:paraId="07CC5F33" w14:textId="77777777" w:rsidTr="00C80D1A">
        <w:trPr>
          <w:jc w:val="center"/>
        </w:trPr>
        <w:tc>
          <w:tcPr>
            <w:tcW w:w="9763" w:type="dxa"/>
            <w:gridSpan w:val="3"/>
            <w:vAlign w:val="center"/>
          </w:tcPr>
          <w:p w14:paraId="1D09BC83" w14:textId="77777777" w:rsidR="00C80D1A" w:rsidRDefault="00C80D1A" w:rsidP="009B66F8">
            <w:pPr>
              <w:tabs>
                <w:tab w:val="left" w:pos="567"/>
              </w:tabs>
              <w:jc w:val="center"/>
              <w:rPr>
                <w:rFonts w:asciiTheme="majorBidi" w:hAnsiTheme="majorBidi" w:cstheme="majorBidi"/>
                <w:b/>
                <w:bCs/>
                <w:color w:val="000000"/>
              </w:rPr>
            </w:pPr>
          </w:p>
          <w:p w14:paraId="05C8393A" w14:textId="77777777" w:rsidR="00C80D1A" w:rsidRPr="005409EA" w:rsidRDefault="00C80D1A" w:rsidP="009B66F8">
            <w:pPr>
              <w:tabs>
                <w:tab w:val="left" w:pos="567"/>
              </w:tabs>
              <w:jc w:val="center"/>
              <w:rPr>
                <w:rFonts w:asciiTheme="majorBidi" w:hAnsiTheme="majorBidi" w:cstheme="majorBidi"/>
                <w:b/>
                <w:bCs/>
                <w:color w:val="000000"/>
                <w:sz w:val="2"/>
                <w:szCs w:val="2"/>
              </w:rPr>
            </w:pPr>
          </w:p>
          <w:p w14:paraId="4A8C4254" w14:textId="1991B48D" w:rsidR="009B66F8" w:rsidRDefault="009B66F8" w:rsidP="009B66F8">
            <w:pPr>
              <w:tabs>
                <w:tab w:val="left" w:pos="567"/>
              </w:tabs>
              <w:jc w:val="center"/>
              <w:rPr>
                <w:rFonts w:asciiTheme="majorBidi" w:hAnsiTheme="majorBidi" w:cstheme="majorBidi"/>
                <w:b/>
                <w:bCs/>
                <w:color w:val="000000"/>
              </w:rPr>
            </w:pPr>
            <w:r w:rsidRPr="009B66F8">
              <w:rPr>
                <w:rFonts w:asciiTheme="majorBidi" w:hAnsiTheme="majorBidi" w:cstheme="majorBidi"/>
                <w:b/>
                <w:bCs/>
                <w:color w:val="000000"/>
              </w:rPr>
              <w:lastRenderedPageBreak/>
              <w:t>Table 2:</w:t>
            </w:r>
            <w:r>
              <w:rPr>
                <w:rFonts w:asciiTheme="majorBidi" w:hAnsiTheme="majorBidi" w:cstheme="majorBidi"/>
                <w:b/>
                <w:bCs/>
                <w:color w:val="000000"/>
              </w:rPr>
              <w:t xml:space="preserve"> </w:t>
            </w:r>
            <w:r w:rsidRPr="009B66F8">
              <w:rPr>
                <w:rFonts w:asciiTheme="majorBidi" w:hAnsiTheme="majorBidi" w:cstheme="majorBidi"/>
                <w:b/>
                <w:bCs/>
                <w:color w:val="000000"/>
              </w:rPr>
              <w:t xml:space="preserve">Multivariate Regressions of the Cumulative Abnormal Returns </w:t>
            </w:r>
          </w:p>
          <w:p w14:paraId="6509212F" w14:textId="20B13D60" w:rsidR="009B66F8" w:rsidRPr="00674186" w:rsidRDefault="009B66F8" w:rsidP="00C80D1A">
            <w:pPr>
              <w:pBdr>
                <w:bottom w:val="single" w:sz="4" w:space="1" w:color="auto"/>
              </w:pBdr>
              <w:tabs>
                <w:tab w:val="left" w:pos="567"/>
              </w:tabs>
              <w:jc w:val="center"/>
              <w:rPr>
                <w:rFonts w:asciiTheme="majorBidi" w:hAnsiTheme="majorBidi" w:cstheme="majorBidi"/>
                <w:color w:val="000000"/>
              </w:rPr>
            </w:pPr>
            <w:r w:rsidRPr="00674186">
              <w:rPr>
                <w:rFonts w:asciiTheme="majorBidi" w:hAnsiTheme="majorBidi" w:cstheme="majorBidi"/>
                <w:color w:val="000000"/>
              </w:rPr>
              <w:t>for the Announcement and Post-Announcement periods on the Standardized Unexpected Earnings</w:t>
            </w:r>
          </w:p>
          <w:p w14:paraId="1AF6C410" w14:textId="77777777" w:rsidR="009B66F8" w:rsidRPr="00C80D1A" w:rsidRDefault="009B66F8" w:rsidP="009B66F8">
            <w:pPr>
              <w:tabs>
                <w:tab w:val="left" w:pos="567"/>
              </w:tabs>
              <w:jc w:val="both"/>
              <w:rPr>
                <w:rFonts w:asciiTheme="majorBidi" w:hAnsiTheme="majorBidi" w:cstheme="majorBidi"/>
                <w:b/>
                <w:bCs/>
                <w:color w:val="000000"/>
                <w:sz w:val="4"/>
                <w:szCs w:val="4"/>
              </w:rPr>
            </w:pPr>
          </w:p>
        </w:tc>
      </w:tr>
      <w:tr w:rsidR="009B66F8" w:rsidRPr="002E1EC0" w14:paraId="75641962" w14:textId="77777777" w:rsidTr="00C80D1A">
        <w:trPr>
          <w:trHeight w:val="295"/>
          <w:jc w:val="center"/>
        </w:trPr>
        <w:tc>
          <w:tcPr>
            <w:tcW w:w="5987" w:type="dxa"/>
            <w:tcBorders>
              <w:bottom w:val="single" w:sz="4" w:space="0" w:color="auto"/>
            </w:tcBorders>
            <w:vAlign w:val="center"/>
          </w:tcPr>
          <w:p w14:paraId="466CE2A5" w14:textId="77777777" w:rsidR="009B66F8" w:rsidRPr="00CD3D5F" w:rsidRDefault="009B66F8" w:rsidP="008B0CB4">
            <w:pPr>
              <w:tabs>
                <w:tab w:val="left" w:pos="567"/>
              </w:tabs>
              <w:spacing w:before="20" w:after="60"/>
              <w:rPr>
                <w:rFonts w:asciiTheme="majorBidi" w:hAnsiTheme="majorBidi" w:cstheme="majorBidi"/>
                <w:color w:val="000000"/>
              </w:rPr>
            </w:pPr>
          </w:p>
        </w:tc>
        <w:tc>
          <w:tcPr>
            <w:tcW w:w="2292" w:type="dxa"/>
            <w:tcBorders>
              <w:bottom w:val="single" w:sz="4" w:space="0" w:color="auto"/>
            </w:tcBorders>
            <w:vAlign w:val="center"/>
          </w:tcPr>
          <w:p w14:paraId="5A3FB9D8" w14:textId="77777777" w:rsidR="009B66F8" w:rsidRPr="00CD3D5F" w:rsidRDefault="009B66F8" w:rsidP="008B0CB4">
            <w:pPr>
              <w:tabs>
                <w:tab w:val="left" w:pos="567"/>
              </w:tabs>
              <w:spacing w:before="20" w:after="60"/>
              <w:jc w:val="center"/>
              <w:rPr>
                <w:rFonts w:asciiTheme="majorBidi" w:hAnsiTheme="majorBidi" w:cstheme="majorBidi"/>
                <w:color w:val="000000"/>
              </w:rPr>
            </w:pPr>
            <w:r w:rsidRPr="00CD3D5F">
              <w:rPr>
                <w:rFonts w:asciiTheme="majorBidi" w:hAnsiTheme="majorBidi" w:cstheme="majorBidi"/>
                <w:color w:val="000000"/>
              </w:rPr>
              <w:t>(1)</w:t>
            </w:r>
          </w:p>
          <w:p w14:paraId="59C96E81" w14:textId="77777777" w:rsidR="009B66F8" w:rsidRPr="00CD3D5F" w:rsidRDefault="009B66F8" w:rsidP="008B0CB4">
            <w:pPr>
              <w:tabs>
                <w:tab w:val="left" w:pos="567"/>
              </w:tabs>
              <w:spacing w:before="20" w:after="60"/>
              <w:jc w:val="center"/>
              <w:rPr>
                <w:rFonts w:asciiTheme="majorBidi" w:hAnsiTheme="majorBidi" w:cstheme="majorBidi"/>
                <w:color w:val="000000"/>
              </w:rPr>
            </w:pPr>
            <w:r w:rsidRPr="00CD3D5F">
              <w:rPr>
                <w:rFonts w:asciiTheme="majorBidi" w:hAnsiTheme="majorBidi" w:cstheme="majorBidi"/>
                <w:color w:val="000000"/>
              </w:rPr>
              <w:t>CAR (0,1)</w:t>
            </w:r>
          </w:p>
        </w:tc>
        <w:tc>
          <w:tcPr>
            <w:tcW w:w="1484" w:type="dxa"/>
            <w:tcBorders>
              <w:bottom w:val="single" w:sz="4" w:space="0" w:color="auto"/>
            </w:tcBorders>
            <w:vAlign w:val="center"/>
          </w:tcPr>
          <w:p w14:paraId="1FA13F4E" w14:textId="77777777" w:rsidR="009B66F8" w:rsidRPr="00CD3D5F" w:rsidRDefault="009B66F8" w:rsidP="008B0CB4">
            <w:pPr>
              <w:tabs>
                <w:tab w:val="left" w:pos="567"/>
              </w:tabs>
              <w:spacing w:before="20" w:after="60"/>
              <w:jc w:val="center"/>
              <w:rPr>
                <w:rFonts w:asciiTheme="majorBidi" w:hAnsiTheme="majorBidi" w:cstheme="majorBidi"/>
                <w:color w:val="000000"/>
              </w:rPr>
            </w:pPr>
            <w:r w:rsidRPr="00CD3D5F">
              <w:rPr>
                <w:rFonts w:asciiTheme="majorBidi" w:hAnsiTheme="majorBidi" w:cstheme="majorBidi"/>
                <w:color w:val="000000"/>
              </w:rPr>
              <w:t>(2)</w:t>
            </w:r>
          </w:p>
          <w:p w14:paraId="08065128" w14:textId="77777777" w:rsidR="009B66F8" w:rsidRPr="00CD3D5F" w:rsidRDefault="009B66F8" w:rsidP="008B0CB4">
            <w:pPr>
              <w:tabs>
                <w:tab w:val="left" w:pos="567"/>
              </w:tabs>
              <w:spacing w:before="20" w:after="60"/>
              <w:jc w:val="center"/>
              <w:rPr>
                <w:rFonts w:asciiTheme="majorBidi" w:hAnsiTheme="majorBidi" w:cstheme="majorBidi"/>
                <w:color w:val="000000"/>
              </w:rPr>
            </w:pPr>
            <w:r w:rsidRPr="00CD3D5F">
              <w:rPr>
                <w:rFonts w:asciiTheme="majorBidi" w:hAnsiTheme="majorBidi" w:cstheme="majorBidi"/>
                <w:color w:val="000000"/>
              </w:rPr>
              <w:t>CAR (2,60)</w:t>
            </w:r>
          </w:p>
        </w:tc>
      </w:tr>
      <w:tr w:rsidR="009B66F8" w:rsidRPr="00564E31" w14:paraId="4DF2BE8C" w14:textId="77777777" w:rsidTr="00C80D1A">
        <w:trPr>
          <w:trHeight w:val="432"/>
          <w:jc w:val="center"/>
        </w:trPr>
        <w:tc>
          <w:tcPr>
            <w:tcW w:w="5987" w:type="dxa"/>
            <w:tcBorders>
              <w:top w:val="single" w:sz="4" w:space="0" w:color="auto"/>
            </w:tcBorders>
            <w:vAlign w:val="center"/>
          </w:tcPr>
          <w:p w14:paraId="1C2ECB1A" w14:textId="77777777" w:rsidR="009B66F8" w:rsidRPr="002E1EC0" w:rsidRDefault="009B66F8" w:rsidP="009B66F8">
            <w:pPr>
              <w:tabs>
                <w:tab w:val="left" w:pos="567"/>
              </w:tabs>
              <w:rPr>
                <w:rFonts w:asciiTheme="majorBidi" w:hAnsiTheme="majorBidi" w:cstheme="majorBidi"/>
              </w:rPr>
            </w:pPr>
            <w:r>
              <w:rPr>
                <w:rFonts w:asciiTheme="majorBidi" w:hAnsiTheme="majorBidi" w:cstheme="majorBidi"/>
              </w:rPr>
              <w:t>Intercept</w:t>
            </w:r>
          </w:p>
        </w:tc>
        <w:tc>
          <w:tcPr>
            <w:tcW w:w="2292" w:type="dxa"/>
            <w:tcBorders>
              <w:top w:val="single" w:sz="4" w:space="0" w:color="auto"/>
            </w:tcBorders>
            <w:shd w:val="clear" w:color="auto" w:fill="auto"/>
            <w:vAlign w:val="bottom"/>
          </w:tcPr>
          <w:p w14:paraId="4A3259B8"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0.0083**</w:t>
            </w:r>
            <w:r w:rsidRPr="005C7A82">
              <w:rPr>
                <w:rFonts w:asciiTheme="majorBidi" w:hAnsiTheme="majorBidi" w:cstheme="majorBidi"/>
              </w:rPr>
              <w:br/>
              <w:t>(1.990)</w:t>
            </w:r>
          </w:p>
        </w:tc>
        <w:tc>
          <w:tcPr>
            <w:tcW w:w="1484" w:type="dxa"/>
            <w:tcBorders>
              <w:top w:val="single" w:sz="4" w:space="0" w:color="auto"/>
            </w:tcBorders>
            <w:shd w:val="clear" w:color="auto" w:fill="auto"/>
            <w:vAlign w:val="bottom"/>
          </w:tcPr>
          <w:p w14:paraId="08A8C74E"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0.0019</w:t>
            </w:r>
            <w:r w:rsidRPr="005C7A82">
              <w:rPr>
                <w:rFonts w:asciiTheme="majorBidi" w:hAnsiTheme="majorBidi" w:cstheme="majorBidi"/>
              </w:rPr>
              <w:br/>
              <w:t>(0.220)</w:t>
            </w:r>
          </w:p>
        </w:tc>
      </w:tr>
      <w:tr w:rsidR="009B66F8" w:rsidRPr="00564E31" w14:paraId="19BE41DF" w14:textId="77777777" w:rsidTr="00C80D1A">
        <w:trPr>
          <w:trHeight w:val="432"/>
          <w:jc w:val="center"/>
        </w:trPr>
        <w:tc>
          <w:tcPr>
            <w:tcW w:w="5987" w:type="dxa"/>
            <w:vAlign w:val="center"/>
          </w:tcPr>
          <w:p w14:paraId="5F67A122" w14:textId="77777777" w:rsidR="008B0CB4" w:rsidRDefault="008B0CB4" w:rsidP="009B66F8">
            <w:pPr>
              <w:tabs>
                <w:tab w:val="left" w:pos="567"/>
              </w:tabs>
              <w:rPr>
                <w:rFonts w:asciiTheme="majorBidi" w:hAnsiTheme="majorBidi" w:cstheme="majorBidi"/>
              </w:rPr>
            </w:pPr>
          </w:p>
          <w:p w14:paraId="24F8CE61" w14:textId="77777777" w:rsidR="008B0CB4" w:rsidRDefault="008B0CB4" w:rsidP="009B66F8">
            <w:pPr>
              <w:tabs>
                <w:tab w:val="left" w:pos="567"/>
              </w:tabs>
              <w:rPr>
                <w:rFonts w:asciiTheme="majorBidi" w:hAnsiTheme="majorBidi" w:cstheme="majorBidi"/>
              </w:rPr>
            </w:pPr>
          </w:p>
          <w:p w14:paraId="7484D813" w14:textId="259D775C" w:rsidR="009B66F8" w:rsidRDefault="009B66F8" w:rsidP="009B66F8">
            <w:pPr>
              <w:tabs>
                <w:tab w:val="left" w:pos="567"/>
              </w:tabs>
              <w:rPr>
                <w:rFonts w:asciiTheme="majorBidi" w:hAnsiTheme="majorBidi" w:cstheme="majorBidi"/>
              </w:rPr>
            </w:pPr>
            <w:r>
              <w:rPr>
                <w:rFonts w:asciiTheme="majorBidi" w:hAnsiTheme="majorBidi" w:cstheme="majorBidi"/>
              </w:rPr>
              <w:t>NUE</w:t>
            </w:r>
          </w:p>
        </w:tc>
        <w:tc>
          <w:tcPr>
            <w:tcW w:w="2292" w:type="dxa"/>
            <w:shd w:val="clear" w:color="auto" w:fill="auto"/>
            <w:vAlign w:val="bottom"/>
          </w:tcPr>
          <w:p w14:paraId="27623B3A"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0.0039***</w:t>
            </w:r>
            <w:r w:rsidRPr="005C7A82">
              <w:rPr>
                <w:rFonts w:asciiTheme="majorBidi" w:hAnsiTheme="majorBidi" w:cstheme="majorBidi"/>
              </w:rPr>
              <w:br/>
              <w:t>(23.240)</w:t>
            </w:r>
          </w:p>
        </w:tc>
        <w:tc>
          <w:tcPr>
            <w:tcW w:w="1484" w:type="dxa"/>
            <w:shd w:val="clear" w:color="auto" w:fill="auto"/>
            <w:vAlign w:val="bottom"/>
          </w:tcPr>
          <w:p w14:paraId="7E86F051"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0.0047***</w:t>
            </w:r>
            <w:r w:rsidRPr="005C7A82">
              <w:rPr>
                <w:rFonts w:asciiTheme="majorBidi" w:hAnsiTheme="majorBidi" w:cstheme="majorBidi"/>
              </w:rPr>
              <w:br/>
              <w:t>(9.560)</w:t>
            </w:r>
          </w:p>
        </w:tc>
      </w:tr>
      <w:tr w:rsidR="009B66F8" w:rsidRPr="00564E31" w14:paraId="78AD9A18" w14:textId="77777777" w:rsidTr="00C80D1A">
        <w:trPr>
          <w:trHeight w:val="432"/>
          <w:jc w:val="center"/>
        </w:trPr>
        <w:tc>
          <w:tcPr>
            <w:tcW w:w="5987" w:type="dxa"/>
            <w:vAlign w:val="center"/>
          </w:tcPr>
          <w:p w14:paraId="69FFD5A8" w14:textId="77777777" w:rsidR="008B0CB4" w:rsidRDefault="008B0CB4" w:rsidP="009B66F8">
            <w:pPr>
              <w:tabs>
                <w:tab w:val="left" w:pos="567"/>
              </w:tabs>
              <w:rPr>
                <w:rFonts w:asciiTheme="majorBidi" w:hAnsiTheme="majorBidi" w:cstheme="majorBidi"/>
              </w:rPr>
            </w:pPr>
          </w:p>
          <w:p w14:paraId="259F3E0B" w14:textId="77777777" w:rsidR="008B0CB4" w:rsidRDefault="008B0CB4" w:rsidP="009B66F8">
            <w:pPr>
              <w:tabs>
                <w:tab w:val="left" w:pos="567"/>
              </w:tabs>
              <w:rPr>
                <w:rFonts w:asciiTheme="majorBidi" w:hAnsiTheme="majorBidi" w:cstheme="majorBidi"/>
              </w:rPr>
            </w:pPr>
          </w:p>
          <w:p w14:paraId="32F1D7F6" w14:textId="16B48000" w:rsidR="009B66F8" w:rsidRPr="008648E1" w:rsidRDefault="009B66F8" w:rsidP="009B66F8">
            <w:pPr>
              <w:tabs>
                <w:tab w:val="left" w:pos="567"/>
              </w:tabs>
              <w:rPr>
                <w:rFonts w:asciiTheme="majorBidi" w:hAnsiTheme="majorBidi" w:cstheme="majorBidi"/>
              </w:rPr>
            </w:pPr>
            <w:r>
              <w:rPr>
                <w:rFonts w:asciiTheme="majorBidi" w:hAnsiTheme="majorBidi" w:cstheme="majorBidi"/>
              </w:rPr>
              <w:t>PUE</w:t>
            </w:r>
          </w:p>
        </w:tc>
        <w:tc>
          <w:tcPr>
            <w:tcW w:w="2292" w:type="dxa"/>
            <w:shd w:val="clear" w:color="auto" w:fill="auto"/>
            <w:vAlign w:val="bottom"/>
          </w:tcPr>
          <w:p w14:paraId="02F6CAF1"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0.0045***</w:t>
            </w:r>
            <w:r w:rsidRPr="005C7A82">
              <w:rPr>
                <w:rFonts w:asciiTheme="majorBidi" w:hAnsiTheme="majorBidi" w:cstheme="majorBidi"/>
              </w:rPr>
              <w:br/>
              <w:t>(30.980)</w:t>
            </w:r>
          </w:p>
        </w:tc>
        <w:tc>
          <w:tcPr>
            <w:tcW w:w="1484" w:type="dxa"/>
            <w:shd w:val="clear" w:color="auto" w:fill="auto"/>
            <w:vAlign w:val="bottom"/>
          </w:tcPr>
          <w:p w14:paraId="50D43978"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0.0034***</w:t>
            </w:r>
            <w:r w:rsidRPr="005C7A82">
              <w:rPr>
                <w:rFonts w:asciiTheme="majorBidi" w:hAnsiTheme="majorBidi" w:cstheme="majorBidi"/>
              </w:rPr>
              <w:br/>
              <w:t>(15.340)</w:t>
            </w:r>
          </w:p>
        </w:tc>
      </w:tr>
      <w:tr w:rsidR="009B66F8" w:rsidRPr="00564E31" w14:paraId="2075D279" w14:textId="77777777" w:rsidTr="00C80D1A">
        <w:trPr>
          <w:trHeight w:val="432"/>
          <w:jc w:val="center"/>
        </w:trPr>
        <w:tc>
          <w:tcPr>
            <w:tcW w:w="5987" w:type="dxa"/>
            <w:vAlign w:val="center"/>
          </w:tcPr>
          <w:p w14:paraId="6FA35C3E" w14:textId="77777777" w:rsidR="008B0CB4" w:rsidRDefault="008B0CB4" w:rsidP="009B66F8">
            <w:pPr>
              <w:tabs>
                <w:tab w:val="left" w:pos="567"/>
              </w:tabs>
              <w:rPr>
                <w:rFonts w:asciiTheme="majorBidi" w:hAnsiTheme="majorBidi" w:cstheme="majorBidi"/>
              </w:rPr>
            </w:pPr>
          </w:p>
          <w:p w14:paraId="27DA0A68" w14:textId="77777777" w:rsidR="008B0CB4" w:rsidRDefault="008B0CB4" w:rsidP="009B66F8">
            <w:pPr>
              <w:tabs>
                <w:tab w:val="left" w:pos="567"/>
              </w:tabs>
              <w:rPr>
                <w:rFonts w:asciiTheme="majorBidi" w:hAnsiTheme="majorBidi" w:cstheme="majorBidi"/>
              </w:rPr>
            </w:pPr>
          </w:p>
          <w:p w14:paraId="36FD71F9" w14:textId="6916B992" w:rsidR="009B66F8" w:rsidRPr="008648E1" w:rsidRDefault="009B66F8" w:rsidP="009B66F8">
            <w:pPr>
              <w:tabs>
                <w:tab w:val="left" w:pos="567"/>
              </w:tabs>
              <w:rPr>
                <w:rFonts w:asciiTheme="majorBidi" w:hAnsiTheme="majorBidi" w:cstheme="majorBidi"/>
              </w:rPr>
            </w:pPr>
            <w:r>
              <w:rPr>
                <w:rFonts w:asciiTheme="majorBidi" w:hAnsiTheme="majorBidi" w:cstheme="majorBidi"/>
              </w:rPr>
              <w:t>SIZE</w:t>
            </w:r>
          </w:p>
        </w:tc>
        <w:tc>
          <w:tcPr>
            <w:tcW w:w="2292" w:type="dxa"/>
            <w:shd w:val="clear" w:color="auto" w:fill="auto"/>
            <w:vAlign w:val="bottom"/>
          </w:tcPr>
          <w:p w14:paraId="340A1C9F"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-0.0021***</w:t>
            </w:r>
            <w:r w:rsidRPr="005C7A82">
              <w:rPr>
                <w:rFonts w:asciiTheme="majorBidi" w:hAnsiTheme="majorBidi" w:cstheme="majorBidi"/>
              </w:rPr>
              <w:br/>
              <w:t>(-5.160)</w:t>
            </w:r>
          </w:p>
        </w:tc>
        <w:tc>
          <w:tcPr>
            <w:tcW w:w="1484" w:type="dxa"/>
            <w:shd w:val="clear" w:color="auto" w:fill="auto"/>
            <w:vAlign w:val="bottom"/>
          </w:tcPr>
          <w:p w14:paraId="02F8DE53"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-0.0015*</w:t>
            </w:r>
            <w:r w:rsidRPr="005C7A82">
              <w:rPr>
                <w:rFonts w:asciiTheme="majorBidi" w:hAnsiTheme="majorBidi" w:cstheme="majorBidi"/>
              </w:rPr>
              <w:br/>
              <w:t>(-1.70</w:t>
            </w:r>
            <w:r>
              <w:rPr>
                <w:rFonts w:asciiTheme="majorBidi" w:hAnsiTheme="majorBidi" w:cstheme="majorBidi"/>
              </w:rPr>
              <w:t>0</w:t>
            </w:r>
            <w:r w:rsidRPr="005C7A82">
              <w:rPr>
                <w:rFonts w:asciiTheme="majorBidi" w:hAnsiTheme="majorBidi" w:cstheme="majorBidi"/>
              </w:rPr>
              <w:t>)</w:t>
            </w:r>
          </w:p>
        </w:tc>
      </w:tr>
      <w:tr w:rsidR="009B66F8" w:rsidRPr="00564E31" w14:paraId="6DD1F41D" w14:textId="77777777" w:rsidTr="00C80D1A">
        <w:trPr>
          <w:trHeight w:val="432"/>
          <w:jc w:val="center"/>
        </w:trPr>
        <w:tc>
          <w:tcPr>
            <w:tcW w:w="5987" w:type="dxa"/>
            <w:vAlign w:val="center"/>
          </w:tcPr>
          <w:p w14:paraId="61486ED4" w14:textId="77777777" w:rsidR="008B0CB4" w:rsidRDefault="008B0CB4" w:rsidP="009B66F8">
            <w:pPr>
              <w:tabs>
                <w:tab w:val="left" w:pos="567"/>
              </w:tabs>
              <w:rPr>
                <w:rFonts w:asciiTheme="majorBidi" w:hAnsiTheme="majorBidi" w:cstheme="majorBidi"/>
              </w:rPr>
            </w:pPr>
          </w:p>
          <w:p w14:paraId="07D15CE3" w14:textId="77777777" w:rsidR="008B0CB4" w:rsidRDefault="008B0CB4" w:rsidP="009B66F8">
            <w:pPr>
              <w:tabs>
                <w:tab w:val="left" w:pos="567"/>
              </w:tabs>
              <w:rPr>
                <w:rFonts w:asciiTheme="majorBidi" w:hAnsiTheme="majorBidi" w:cstheme="majorBidi"/>
              </w:rPr>
            </w:pPr>
          </w:p>
          <w:p w14:paraId="631827E6" w14:textId="32D09ADA" w:rsidR="009B66F8" w:rsidRPr="008648E1" w:rsidRDefault="009B66F8" w:rsidP="009B66F8">
            <w:pPr>
              <w:tabs>
                <w:tab w:val="left" w:pos="567"/>
              </w:tabs>
              <w:rPr>
                <w:rFonts w:asciiTheme="majorBidi" w:hAnsiTheme="majorBidi" w:cstheme="majorBidi"/>
              </w:rPr>
            </w:pPr>
            <w:r>
              <w:rPr>
                <w:rFonts w:asciiTheme="majorBidi" w:hAnsiTheme="majorBidi" w:cstheme="majorBidi"/>
              </w:rPr>
              <w:t>BTMV</w:t>
            </w:r>
          </w:p>
        </w:tc>
        <w:tc>
          <w:tcPr>
            <w:tcW w:w="2292" w:type="dxa"/>
            <w:shd w:val="clear" w:color="auto" w:fill="auto"/>
            <w:vAlign w:val="bottom"/>
          </w:tcPr>
          <w:p w14:paraId="30BF9F63"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0.0048***</w:t>
            </w:r>
            <w:r w:rsidRPr="005C7A82">
              <w:rPr>
                <w:rFonts w:asciiTheme="majorBidi" w:hAnsiTheme="majorBidi" w:cstheme="majorBidi"/>
              </w:rPr>
              <w:br/>
              <w:t>(4.790)</w:t>
            </w:r>
          </w:p>
        </w:tc>
        <w:tc>
          <w:tcPr>
            <w:tcW w:w="1484" w:type="dxa"/>
            <w:shd w:val="clear" w:color="auto" w:fill="auto"/>
            <w:vAlign w:val="bottom"/>
          </w:tcPr>
          <w:p w14:paraId="425263F8"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0.0075***</w:t>
            </w:r>
            <w:r w:rsidRPr="005C7A82">
              <w:rPr>
                <w:rFonts w:asciiTheme="majorBidi" w:hAnsiTheme="majorBidi" w:cstheme="majorBidi"/>
              </w:rPr>
              <w:br/>
              <w:t>(3.520)</w:t>
            </w:r>
          </w:p>
        </w:tc>
      </w:tr>
      <w:tr w:rsidR="009B66F8" w:rsidRPr="00564E31" w14:paraId="15323022" w14:textId="77777777" w:rsidTr="00C80D1A">
        <w:trPr>
          <w:trHeight w:val="432"/>
          <w:jc w:val="center"/>
        </w:trPr>
        <w:tc>
          <w:tcPr>
            <w:tcW w:w="5987" w:type="dxa"/>
            <w:vAlign w:val="center"/>
          </w:tcPr>
          <w:p w14:paraId="44E54C19" w14:textId="77777777" w:rsidR="008B0CB4" w:rsidRDefault="008B0CB4" w:rsidP="009B66F8">
            <w:pPr>
              <w:tabs>
                <w:tab w:val="left" w:pos="567"/>
              </w:tabs>
              <w:rPr>
                <w:rFonts w:asciiTheme="majorBidi" w:hAnsiTheme="majorBidi" w:cstheme="majorBidi"/>
              </w:rPr>
            </w:pPr>
          </w:p>
          <w:p w14:paraId="7D958043" w14:textId="77777777" w:rsidR="008B0CB4" w:rsidRDefault="008B0CB4" w:rsidP="009B66F8">
            <w:pPr>
              <w:tabs>
                <w:tab w:val="left" w:pos="567"/>
              </w:tabs>
              <w:rPr>
                <w:rFonts w:asciiTheme="majorBidi" w:hAnsiTheme="majorBidi" w:cstheme="majorBidi"/>
              </w:rPr>
            </w:pPr>
          </w:p>
          <w:p w14:paraId="2A8EE044" w14:textId="2BA54003" w:rsidR="009B66F8" w:rsidRDefault="009B66F8" w:rsidP="009B66F8">
            <w:pPr>
              <w:tabs>
                <w:tab w:val="left" w:pos="567"/>
              </w:tabs>
              <w:rPr>
                <w:rFonts w:asciiTheme="majorBidi" w:hAnsiTheme="majorBidi" w:cstheme="majorBidi"/>
              </w:rPr>
            </w:pPr>
            <w:r>
              <w:rPr>
                <w:rFonts w:asciiTheme="majorBidi" w:hAnsiTheme="majorBidi" w:cstheme="majorBidi"/>
              </w:rPr>
              <w:t>RLAG</w:t>
            </w:r>
          </w:p>
        </w:tc>
        <w:tc>
          <w:tcPr>
            <w:tcW w:w="2292" w:type="dxa"/>
            <w:shd w:val="clear" w:color="auto" w:fill="auto"/>
            <w:vAlign w:val="bottom"/>
          </w:tcPr>
          <w:p w14:paraId="463E618D"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-0.0000</w:t>
            </w:r>
            <w:r w:rsidRPr="005C7A82">
              <w:rPr>
                <w:rFonts w:asciiTheme="majorBidi" w:hAnsiTheme="majorBidi" w:cstheme="majorBidi"/>
              </w:rPr>
              <w:br/>
              <w:t>(-0.120)</w:t>
            </w:r>
          </w:p>
        </w:tc>
        <w:tc>
          <w:tcPr>
            <w:tcW w:w="1484" w:type="dxa"/>
            <w:shd w:val="clear" w:color="auto" w:fill="auto"/>
            <w:vAlign w:val="bottom"/>
          </w:tcPr>
          <w:p w14:paraId="623137AF"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-0.0000</w:t>
            </w:r>
            <w:r w:rsidRPr="005C7A82">
              <w:rPr>
                <w:rFonts w:asciiTheme="majorBidi" w:hAnsiTheme="majorBidi" w:cstheme="majorBidi"/>
              </w:rPr>
              <w:br/>
              <w:t>(-0.080)</w:t>
            </w:r>
          </w:p>
        </w:tc>
      </w:tr>
      <w:tr w:rsidR="009B66F8" w:rsidRPr="00564E31" w14:paraId="2AF94D49" w14:textId="77777777" w:rsidTr="00C80D1A">
        <w:trPr>
          <w:trHeight w:val="432"/>
          <w:jc w:val="center"/>
        </w:trPr>
        <w:tc>
          <w:tcPr>
            <w:tcW w:w="5987" w:type="dxa"/>
            <w:vAlign w:val="center"/>
          </w:tcPr>
          <w:p w14:paraId="5862024B" w14:textId="77777777" w:rsidR="008B0CB4" w:rsidRDefault="008B0CB4" w:rsidP="009B66F8">
            <w:pPr>
              <w:tabs>
                <w:tab w:val="left" w:pos="567"/>
              </w:tabs>
              <w:rPr>
                <w:rFonts w:asciiTheme="majorBidi" w:hAnsiTheme="majorBidi" w:cstheme="majorBidi"/>
              </w:rPr>
            </w:pPr>
          </w:p>
          <w:p w14:paraId="45FB3B67" w14:textId="77777777" w:rsidR="008B0CB4" w:rsidRDefault="008B0CB4" w:rsidP="009B66F8">
            <w:pPr>
              <w:tabs>
                <w:tab w:val="left" w:pos="567"/>
              </w:tabs>
              <w:rPr>
                <w:rFonts w:asciiTheme="majorBidi" w:hAnsiTheme="majorBidi" w:cstheme="majorBidi"/>
              </w:rPr>
            </w:pPr>
          </w:p>
          <w:p w14:paraId="416D4FFC" w14:textId="42FED9ED" w:rsidR="009B66F8" w:rsidRDefault="009B66F8" w:rsidP="009B66F8">
            <w:pPr>
              <w:tabs>
                <w:tab w:val="left" w:pos="567"/>
              </w:tabs>
              <w:rPr>
                <w:rFonts w:asciiTheme="majorBidi" w:hAnsiTheme="majorBidi" w:cstheme="majorBidi"/>
              </w:rPr>
            </w:pPr>
            <w:r>
              <w:rPr>
                <w:rFonts w:asciiTheme="majorBidi" w:hAnsiTheme="majorBidi" w:cstheme="majorBidi"/>
              </w:rPr>
              <w:t>FORC</w:t>
            </w:r>
          </w:p>
        </w:tc>
        <w:tc>
          <w:tcPr>
            <w:tcW w:w="2292" w:type="dxa"/>
            <w:shd w:val="clear" w:color="auto" w:fill="auto"/>
            <w:vAlign w:val="bottom"/>
          </w:tcPr>
          <w:p w14:paraId="19A242E7" w14:textId="77777777" w:rsidR="009B66F8" w:rsidRPr="00C32CA7" w:rsidRDefault="009B66F8" w:rsidP="00CD3D5F">
            <w:pPr>
              <w:tabs>
                <w:tab w:val="decimal" w:pos="880"/>
              </w:tabs>
              <w:rPr>
                <w:rFonts w:asciiTheme="majorBidi" w:hAnsiTheme="majorBidi" w:cstheme="majorBidi"/>
              </w:rPr>
            </w:pPr>
            <w:r w:rsidRPr="005C7A82">
              <w:rPr>
                <w:rFonts w:asciiTheme="majorBidi" w:hAnsiTheme="majorBidi" w:cstheme="majorBidi"/>
              </w:rPr>
              <w:t>0.0002***</w:t>
            </w:r>
            <w:r w:rsidRPr="005C7A82">
              <w:rPr>
                <w:rFonts w:asciiTheme="majorBidi" w:hAnsiTheme="majorBidi" w:cstheme="majorBidi"/>
              </w:rPr>
              <w:br/>
              <w:t>(2.860)</w:t>
            </w:r>
          </w:p>
        </w:tc>
        <w:tc>
          <w:tcPr>
            <w:tcW w:w="1484" w:type="dxa"/>
            <w:shd w:val="clear" w:color="auto" w:fill="auto"/>
            <w:vAlign w:val="bottom"/>
          </w:tcPr>
          <w:p w14:paraId="00ED4EEB" w14:textId="77777777" w:rsidR="009B66F8" w:rsidRPr="00564E31" w:rsidRDefault="009B66F8" w:rsidP="00CD3D5F">
            <w:pPr>
              <w:tabs>
                <w:tab w:val="decimal" w:pos="457"/>
              </w:tabs>
              <w:rPr>
                <w:rFonts w:asciiTheme="majorBidi" w:hAnsiTheme="majorBidi" w:cstheme="majorBidi"/>
              </w:rPr>
            </w:pPr>
            <w:r w:rsidRPr="005C7A82">
              <w:rPr>
                <w:rFonts w:asciiTheme="majorBidi" w:hAnsiTheme="majorBidi" w:cstheme="majorBidi"/>
              </w:rPr>
              <w:t>0.0004***</w:t>
            </w:r>
            <w:r w:rsidRPr="005C7A82">
              <w:rPr>
                <w:rFonts w:asciiTheme="majorBidi" w:hAnsiTheme="majorBidi" w:cstheme="majorBidi"/>
              </w:rPr>
              <w:br/>
              <w:t>(2.70</w:t>
            </w:r>
            <w:r>
              <w:rPr>
                <w:rFonts w:asciiTheme="majorBidi" w:hAnsiTheme="majorBidi" w:cstheme="majorBidi"/>
              </w:rPr>
              <w:t>0</w:t>
            </w:r>
            <w:r w:rsidRPr="005C7A82">
              <w:rPr>
                <w:rFonts w:asciiTheme="majorBidi" w:hAnsiTheme="majorBidi" w:cstheme="majorBidi"/>
              </w:rPr>
              <w:t>)</w:t>
            </w:r>
          </w:p>
        </w:tc>
      </w:tr>
      <w:tr w:rsidR="009B66F8" w:rsidRPr="008A23A5" w14:paraId="4A0F2443" w14:textId="77777777" w:rsidTr="00C80D1A">
        <w:trPr>
          <w:trHeight w:val="20"/>
          <w:jc w:val="center"/>
        </w:trPr>
        <w:tc>
          <w:tcPr>
            <w:tcW w:w="5987" w:type="dxa"/>
            <w:vAlign w:val="center"/>
          </w:tcPr>
          <w:p w14:paraId="3916C10A" w14:textId="77777777" w:rsidR="009B66F8" w:rsidRPr="008A23A5" w:rsidRDefault="009B66F8" w:rsidP="009B66F8">
            <w:pPr>
              <w:tabs>
                <w:tab w:val="left" w:pos="567"/>
              </w:tabs>
              <w:rPr>
                <w:rFonts w:asciiTheme="majorBidi" w:hAnsiTheme="majorBidi" w:cstheme="majorBidi"/>
                <w:sz w:val="10"/>
                <w:szCs w:val="10"/>
              </w:rPr>
            </w:pPr>
          </w:p>
        </w:tc>
        <w:tc>
          <w:tcPr>
            <w:tcW w:w="2292" w:type="dxa"/>
            <w:shd w:val="clear" w:color="auto" w:fill="auto"/>
            <w:vAlign w:val="bottom"/>
          </w:tcPr>
          <w:p w14:paraId="38F8619B" w14:textId="77777777" w:rsidR="009B66F8" w:rsidRPr="008A23A5" w:rsidRDefault="009B66F8" w:rsidP="009B66F8">
            <w:pPr>
              <w:tabs>
                <w:tab w:val="left" w:pos="567"/>
              </w:tabs>
              <w:jc w:val="center"/>
              <w:rPr>
                <w:rFonts w:asciiTheme="majorBidi" w:hAnsiTheme="majorBidi" w:cstheme="majorBidi"/>
                <w:sz w:val="10"/>
                <w:szCs w:val="10"/>
              </w:rPr>
            </w:pPr>
          </w:p>
        </w:tc>
        <w:tc>
          <w:tcPr>
            <w:tcW w:w="1484" w:type="dxa"/>
            <w:shd w:val="clear" w:color="auto" w:fill="auto"/>
            <w:vAlign w:val="bottom"/>
          </w:tcPr>
          <w:p w14:paraId="2BC545AF" w14:textId="77777777" w:rsidR="009B66F8" w:rsidRPr="008A23A5" w:rsidRDefault="009B66F8" w:rsidP="009B66F8">
            <w:pPr>
              <w:tabs>
                <w:tab w:val="left" w:pos="567"/>
              </w:tabs>
              <w:jc w:val="center"/>
              <w:rPr>
                <w:rFonts w:asciiTheme="majorBidi" w:hAnsiTheme="majorBidi" w:cstheme="majorBidi"/>
                <w:sz w:val="10"/>
                <w:szCs w:val="10"/>
              </w:rPr>
            </w:pPr>
          </w:p>
        </w:tc>
      </w:tr>
      <w:tr w:rsidR="009B66F8" w14:paraId="5356007F" w14:textId="77777777" w:rsidTr="00C80D1A">
        <w:trPr>
          <w:trHeight w:val="288"/>
          <w:jc w:val="center"/>
        </w:trPr>
        <w:tc>
          <w:tcPr>
            <w:tcW w:w="5987" w:type="dxa"/>
            <w:vAlign w:val="center"/>
          </w:tcPr>
          <w:p w14:paraId="41EF0870" w14:textId="22F1917E" w:rsidR="009B66F8" w:rsidRPr="009B66F8" w:rsidRDefault="009B66F8" w:rsidP="009B66F8">
            <w:pPr>
              <w:tabs>
                <w:tab w:val="left" w:pos="567"/>
              </w:tabs>
              <w:rPr>
                <w:rFonts w:asciiTheme="majorBidi" w:hAnsiTheme="majorBidi" w:cstheme="majorBidi"/>
              </w:rPr>
            </w:pPr>
            <w:r w:rsidRPr="009B66F8">
              <w:rPr>
                <w:rFonts w:asciiTheme="majorBidi" w:hAnsiTheme="majorBidi" w:cstheme="majorBidi"/>
              </w:rPr>
              <w:t xml:space="preserve">Test of </w:t>
            </w:r>
            <w:r w:rsidR="00CD3D5F">
              <w:rPr>
                <w:rFonts w:asciiTheme="majorBidi" w:hAnsiTheme="majorBidi" w:cstheme="majorBidi"/>
              </w:rPr>
              <w:t>D</w:t>
            </w:r>
            <w:r w:rsidRPr="009B66F8">
              <w:rPr>
                <w:rFonts w:asciiTheme="majorBidi" w:hAnsiTheme="majorBidi" w:cstheme="majorBidi"/>
              </w:rPr>
              <w:t>ifference</w:t>
            </w:r>
          </w:p>
        </w:tc>
        <w:tc>
          <w:tcPr>
            <w:tcW w:w="2292" w:type="dxa"/>
            <w:shd w:val="clear" w:color="auto" w:fill="auto"/>
            <w:vAlign w:val="center"/>
          </w:tcPr>
          <w:p w14:paraId="0A239253" w14:textId="77777777" w:rsidR="009B66F8" w:rsidRDefault="009B66F8" w:rsidP="009B66F8">
            <w:pPr>
              <w:tabs>
                <w:tab w:val="left" w:pos="567"/>
              </w:tabs>
              <w:jc w:val="center"/>
              <w:rPr>
                <w:rFonts w:asciiTheme="majorBidi" w:hAnsiTheme="majorBidi" w:cstheme="majorBidi"/>
              </w:rPr>
            </w:pPr>
            <w:r>
              <w:rPr>
                <w:rFonts w:asciiTheme="majorBidi" w:hAnsiTheme="majorBidi" w:cstheme="majorBidi"/>
              </w:rPr>
              <w:t>NUE &lt; PUE**</w:t>
            </w:r>
          </w:p>
        </w:tc>
        <w:tc>
          <w:tcPr>
            <w:tcW w:w="1484" w:type="dxa"/>
            <w:shd w:val="clear" w:color="auto" w:fill="auto"/>
            <w:vAlign w:val="bottom"/>
          </w:tcPr>
          <w:p w14:paraId="11B12145" w14:textId="77777777" w:rsidR="009B66F8" w:rsidRDefault="009B66F8" w:rsidP="009B66F8">
            <w:pPr>
              <w:tabs>
                <w:tab w:val="left" w:pos="567"/>
              </w:tabs>
              <w:jc w:val="center"/>
              <w:rPr>
                <w:rFonts w:asciiTheme="majorBidi" w:hAnsiTheme="majorBidi" w:cstheme="majorBidi"/>
              </w:rPr>
            </w:pPr>
            <w:r>
              <w:rPr>
                <w:rFonts w:asciiTheme="majorBidi" w:hAnsiTheme="majorBidi" w:cstheme="majorBidi"/>
              </w:rPr>
              <w:t>NUE &gt; PUE***</w:t>
            </w:r>
          </w:p>
        </w:tc>
      </w:tr>
      <w:tr w:rsidR="009B66F8" w:rsidRPr="002E1EC0" w14:paraId="166A4F7F" w14:textId="77777777" w:rsidTr="00C80D1A">
        <w:trPr>
          <w:trHeight w:val="288"/>
          <w:jc w:val="center"/>
        </w:trPr>
        <w:tc>
          <w:tcPr>
            <w:tcW w:w="5987" w:type="dxa"/>
            <w:vAlign w:val="center"/>
          </w:tcPr>
          <w:p w14:paraId="255DFD54" w14:textId="1CC43EA8" w:rsidR="009B66F8" w:rsidRPr="009B66F8" w:rsidRDefault="009B66F8" w:rsidP="009B66F8">
            <w:pPr>
              <w:tabs>
                <w:tab w:val="left" w:pos="567"/>
              </w:tabs>
              <w:rPr>
                <w:rFonts w:asciiTheme="majorBidi" w:hAnsiTheme="majorBidi" w:cstheme="majorBidi"/>
              </w:rPr>
            </w:pPr>
            <w:r w:rsidRPr="009B66F8">
              <w:rPr>
                <w:rFonts w:asciiTheme="majorBidi" w:hAnsiTheme="majorBidi" w:cstheme="majorBidi"/>
              </w:rPr>
              <w:t>N</w:t>
            </w:r>
            <w:r w:rsidR="00CD3D5F">
              <w:rPr>
                <w:rFonts w:asciiTheme="majorBidi" w:hAnsiTheme="majorBidi" w:cstheme="majorBidi"/>
              </w:rPr>
              <w:t>umber</w:t>
            </w:r>
            <w:r w:rsidRPr="009B66F8">
              <w:rPr>
                <w:rFonts w:asciiTheme="majorBidi" w:hAnsiTheme="majorBidi" w:cstheme="majorBidi"/>
              </w:rPr>
              <w:t xml:space="preserve"> of </w:t>
            </w:r>
            <w:r w:rsidR="00CD3D5F">
              <w:rPr>
                <w:rFonts w:asciiTheme="majorBidi" w:hAnsiTheme="majorBidi" w:cstheme="majorBidi"/>
              </w:rPr>
              <w:t>O</w:t>
            </w:r>
            <w:r w:rsidRPr="009B66F8">
              <w:rPr>
                <w:rFonts w:asciiTheme="majorBidi" w:hAnsiTheme="majorBidi" w:cstheme="majorBidi"/>
              </w:rPr>
              <w:t>bservations</w:t>
            </w:r>
          </w:p>
        </w:tc>
        <w:tc>
          <w:tcPr>
            <w:tcW w:w="2292" w:type="dxa"/>
            <w:vAlign w:val="center"/>
          </w:tcPr>
          <w:p w14:paraId="21CC364A" w14:textId="77777777" w:rsidR="009B66F8" w:rsidRPr="002E1EC0" w:rsidRDefault="009B66F8" w:rsidP="009B66F8">
            <w:pPr>
              <w:tabs>
                <w:tab w:val="left" w:pos="567"/>
              </w:tabs>
              <w:jc w:val="center"/>
              <w:rPr>
                <w:rFonts w:asciiTheme="majorBidi" w:hAnsiTheme="majorBidi" w:cstheme="majorBidi"/>
              </w:rPr>
            </w:pPr>
            <w:r>
              <w:rPr>
                <w:rFonts w:asciiTheme="majorBidi" w:hAnsiTheme="majorBidi" w:cstheme="majorBidi"/>
              </w:rPr>
              <w:t>21,692</w:t>
            </w:r>
          </w:p>
        </w:tc>
        <w:tc>
          <w:tcPr>
            <w:tcW w:w="1484" w:type="dxa"/>
            <w:vAlign w:val="center"/>
          </w:tcPr>
          <w:p w14:paraId="324B8642" w14:textId="77777777" w:rsidR="009B66F8" w:rsidRPr="002E1EC0" w:rsidRDefault="009B66F8" w:rsidP="009B66F8">
            <w:pPr>
              <w:tabs>
                <w:tab w:val="left" w:pos="567"/>
              </w:tabs>
              <w:jc w:val="center"/>
              <w:rPr>
                <w:rFonts w:asciiTheme="majorBidi" w:hAnsiTheme="majorBidi" w:cstheme="majorBidi"/>
              </w:rPr>
            </w:pPr>
            <w:r>
              <w:rPr>
                <w:rFonts w:asciiTheme="majorBidi" w:hAnsiTheme="majorBidi" w:cstheme="majorBidi"/>
              </w:rPr>
              <w:t>21,692</w:t>
            </w:r>
          </w:p>
        </w:tc>
      </w:tr>
      <w:tr w:rsidR="009B66F8" w14:paraId="6FB969D8" w14:textId="77777777" w:rsidTr="00C80D1A">
        <w:trPr>
          <w:trHeight w:val="288"/>
          <w:jc w:val="center"/>
        </w:trPr>
        <w:tc>
          <w:tcPr>
            <w:tcW w:w="5987" w:type="dxa"/>
            <w:tcBorders>
              <w:bottom w:val="single" w:sz="4" w:space="0" w:color="auto"/>
            </w:tcBorders>
            <w:vAlign w:val="center"/>
          </w:tcPr>
          <w:p w14:paraId="0778737D" w14:textId="007086BF" w:rsidR="009B66F8" w:rsidRPr="009B66F8" w:rsidRDefault="009B66F8" w:rsidP="009B66F8">
            <w:pPr>
              <w:tabs>
                <w:tab w:val="left" w:pos="567"/>
              </w:tabs>
              <w:rPr>
                <w:rFonts w:asciiTheme="majorBidi" w:hAnsiTheme="majorBidi" w:cstheme="majorBidi"/>
              </w:rPr>
            </w:pPr>
            <w:r w:rsidRPr="009B66F8">
              <w:rPr>
                <w:rFonts w:asciiTheme="majorBidi" w:hAnsiTheme="majorBidi" w:cstheme="majorBidi"/>
              </w:rPr>
              <w:t>Year/Industry</w:t>
            </w:r>
            <w:r w:rsidR="006A5C09">
              <w:rPr>
                <w:rFonts w:asciiTheme="majorBidi" w:hAnsiTheme="majorBidi" w:cstheme="majorBidi"/>
              </w:rPr>
              <w:t xml:space="preserve"> </w:t>
            </w:r>
            <w:r w:rsidR="00CD3D5F">
              <w:rPr>
                <w:rFonts w:asciiTheme="majorBidi" w:hAnsiTheme="majorBidi" w:cstheme="majorBidi"/>
              </w:rPr>
              <w:t>D</w:t>
            </w:r>
            <w:r w:rsidRPr="009B66F8">
              <w:rPr>
                <w:rFonts w:asciiTheme="majorBidi" w:hAnsiTheme="majorBidi" w:cstheme="majorBidi"/>
              </w:rPr>
              <w:t>ummies</w:t>
            </w:r>
          </w:p>
        </w:tc>
        <w:tc>
          <w:tcPr>
            <w:tcW w:w="2292" w:type="dxa"/>
            <w:tcBorders>
              <w:bottom w:val="single" w:sz="4" w:space="0" w:color="auto"/>
            </w:tcBorders>
            <w:vAlign w:val="center"/>
          </w:tcPr>
          <w:p w14:paraId="32F3264D" w14:textId="77777777" w:rsidR="009B66F8" w:rsidRDefault="009B66F8" w:rsidP="009B66F8">
            <w:pPr>
              <w:tabs>
                <w:tab w:val="left" w:pos="567"/>
              </w:tabs>
              <w:jc w:val="center"/>
              <w:rPr>
                <w:rFonts w:asciiTheme="majorBidi" w:hAnsiTheme="majorBidi" w:cstheme="majorBidi"/>
              </w:rPr>
            </w:pPr>
            <w:r>
              <w:rPr>
                <w:rFonts w:asciiTheme="majorBidi" w:hAnsiTheme="majorBidi" w:cstheme="majorBidi"/>
              </w:rPr>
              <w:t>YES</w:t>
            </w:r>
          </w:p>
        </w:tc>
        <w:tc>
          <w:tcPr>
            <w:tcW w:w="1484" w:type="dxa"/>
            <w:tcBorders>
              <w:bottom w:val="single" w:sz="4" w:space="0" w:color="auto"/>
            </w:tcBorders>
            <w:vAlign w:val="center"/>
          </w:tcPr>
          <w:p w14:paraId="3511320A" w14:textId="77777777" w:rsidR="009B66F8" w:rsidRDefault="009B66F8" w:rsidP="009B66F8">
            <w:pPr>
              <w:tabs>
                <w:tab w:val="left" w:pos="567"/>
              </w:tabs>
              <w:jc w:val="center"/>
              <w:rPr>
                <w:rFonts w:asciiTheme="majorBidi" w:hAnsiTheme="majorBidi" w:cstheme="majorBidi"/>
              </w:rPr>
            </w:pPr>
            <w:r>
              <w:rPr>
                <w:rFonts w:asciiTheme="majorBidi" w:hAnsiTheme="majorBidi" w:cstheme="majorBidi"/>
              </w:rPr>
              <w:t>YES</w:t>
            </w:r>
          </w:p>
        </w:tc>
      </w:tr>
    </w:tbl>
    <w:p w14:paraId="79984C3F" w14:textId="2596D323" w:rsidR="00F533E2" w:rsidRPr="00F533E2" w:rsidRDefault="00F533E2" w:rsidP="00AC2FAB">
      <w:pPr>
        <w:tabs>
          <w:tab w:val="left" w:pos="567"/>
        </w:tabs>
        <w:spacing w:before="60" w:after="0" w:line="240" w:lineRule="auto"/>
        <w:jc w:val="both"/>
        <w:rPr>
          <w:rFonts w:asciiTheme="majorBidi" w:hAnsiTheme="majorBidi" w:cstheme="majorBidi"/>
          <w:i/>
          <w:iCs/>
          <w:color w:val="000000"/>
          <w:sz w:val="20"/>
          <w:szCs w:val="20"/>
        </w:rPr>
      </w:pPr>
      <w:r>
        <w:rPr>
          <w:rFonts w:asciiTheme="majorBidi" w:hAnsiTheme="majorBidi" w:cstheme="majorBidi"/>
          <w:i/>
          <w:iCs/>
          <w:color w:val="000000"/>
          <w:sz w:val="20"/>
          <w:szCs w:val="20"/>
        </w:rPr>
        <w:t>Note</w:t>
      </w:r>
    </w:p>
    <w:p w14:paraId="17170517" w14:textId="4B1ED9DA" w:rsidR="00AC2FAB" w:rsidRPr="00AC2FAB" w:rsidRDefault="00AC2FAB" w:rsidP="00AC2FAB">
      <w:pPr>
        <w:tabs>
          <w:tab w:val="left" w:pos="567"/>
        </w:tabs>
        <w:spacing w:before="60" w:after="0" w:line="240" w:lineRule="auto"/>
        <w:jc w:val="both"/>
        <w:rPr>
          <w:rFonts w:asciiTheme="majorBidi" w:hAnsiTheme="majorBidi" w:cstheme="majorBidi"/>
          <w:color w:val="000000"/>
          <w:sz w:val="20"/>
          <w:szCs w:val="20"/>
        </w:rPr>
      </w:pPr>
      <w:r w:rsidRPr="00AC2FAB">
        <w:rPr>
          <w:rFonts w:asciiTheme="majorBidi" w:hAnsiTheme="majorBidi" w:cstheme="majorBidi"/>
          <w:color w:val="000000"/>
          <w:sz w:val="20"/>
          <w:szCs w:val="20"/>
        </w:rPr>
        <w:t xml:space="preserve">*Significant at the 10% level. **Significant at the 5% level. ***Significant at the 1% level. </w:t>
      </w:r>
    </w:p>
    <w:p w14:paraId="3B9B3441" w14:textId="77777777" w:rsidR="00AC2FAB" w:rsidRDefault="00AC2FAB" w:rsidP="00AC2FAB">
      <w:pPr>
        <w:tabs>
          <w:tab w:val="left" w:pos="567"/>
        </w:tabs>
        <w:spacing w:line="288" w:lineRule="auto"/>
        <w:jc w:val="both"/>
        <w:rPr>
          <w:rFonts w:asciiTheme="majorBidi" w:hAnsiTheme="majorBidi" w:cstheme="majorBidi"/>
          <w:color w:val="000000"/>
          <w:sz w:val="24"/>
          <w:szCs w:val="24"/>
        </w:rPr>
      </w:pPr>
    </w:p>
    <w:p w14:paraId="0E4D65AA" w14:textId="4C308531" w:rsidR="009B66F8" w:rsidRPr="00AC2FAB" w:rsidRDefault="00AC2FAB" w:rsidP="00AC2FAB">
      <w:pPr>
        <w:tabs>
          <w:tab w:val="left" w:pos="567"/>
        </w:tabs>
        <w:spacing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9B66F8" w:rsidRPr="00AC2FAB">
        <w:rPr>
          <w:rFonts w:asciiTheme="majorBidi" w:hAnsiTheme="majorBidi" w:cstheme="majorBidi"/>
          <w:color w:val="000000"/>
          <w:sz w:val="24"/>
          <w:szCs w:val="24"/>
        </w:rPr>
        <w:t>T</w:t>
      </w:r>
      <w:r w:rsidRPr="00AC2FAB">
        <w:rPr>
          <w:rFonts w:asciiTheme="majorBidi" w:hAnsiTheme="majorBidi" w:cstheme="majorBidi"/>
          <w:color w:val="000000"/>
          <w:sz w:val="24"/>
          <w:szCs w:val="24"/>
        </w:rPr>
        <w:t xml:space="preserve">able 2 </w:t>
      </w:r>
      <w:r w:rsidR="009B66F8" w:rsidRPr="00AC2FAB">
        <w:rPr>
          <w:rFonts w:asciiTheme="majorBidi" w:hAnsiTheme="majorBidi" w:cstheme="majorBidi"/>
          <w:color w:val="000000"/>
          <w:sz w:val="24"/>
          <w:szCs w:val="24"/>
        </w:rPr>
        <w:t xml:space="preserve">presents the results of running ordinary least squares regressions using models 1a and 1b. The dependent variable, </w:t>
      </w:r>
      <w:r w:rsidR="009B66F8" w:rsidRPr="00AC2FAB">
        <w:rPr>
          <w:rFonts w:ascii="Times New Roman" w:hAnsi="Times New Roman" w:cs="Times New Roman"/>
          <w:i/>
          <w:iCs/>
          <w:sz w:val="24"/>
          <w:szCs w:val="24"/>
        </w:rPr>
        <w:t>CAR</w:t>
      </w:r>
      <w:r w:rsidR="009B66F8" w:rsidRPr="00AC2FAB">
        <w:rPr>
          <w:rFonts w:ascii="Times New Roman" w:hAnsi="Times New Roman" w:cs="Times New Roman"/>
          <w:i/>
          <w:iCs/>
          <w:sz w:val="24"/>
          <w:szCs w:val="24"/>
          <w:vertAlign w:val="subscript"/>
        </w:rPr>
        <w:t>i,t</w:t>
      </w:r>
      <w:r w:rsidR="009B66F8" w:rsidRPr="00AC2FAB">
        <w:rPr>
          <w:rFonts w:ascii="Times New Roman" w:hAnsi="Times New Roman" w:cs="Times New Roman"/>
          <w:i/>
          <w:iCs/>
          <w:sz w:val="24"/>
          <w:szCs w:val="24"/>
        </w:rPr>
        <w:t xml:space="preserve">, </w:t>
      </w:r>
      <w:r w:rsidR="009B66F8" w:rsidRPr="00AC2FAB">
        <w:rPr>
          <w:rFonts w:ascii="Times New Roman" w:hAnsi="Times New Roman" w:cs="Times New Roman"/>
          <w:sz w:val="24"/>
          <w:szCs w:val="24"/>
        </w:rPr>
        <w:t>is the cumulative abnormal return calculated for the period specified in the brackets.</w:t>
      </w:r>
      <w:r w:rsidR="009B66F8" w:rsidRPr="00AC2FAB">
        <w:rPr>
          <w:rFonts w:ascii="Times New Roman" w:hAnsi="Times New Roman" w:cs="Times New Roman"/>
          <w:i/>
          <w:iCs/>
          <w:sz w:val="24"/>
          <w:szCs w:val="24"/>
        </w:rPr>
        <w:t xml:space="preserve"> NUE</w:t>
      </w:r>
      <w:r w:rsidR="009B66F8" w:rsidRPr="00AC2FAB">
        <w:rPr>
          <w:rFonts w:ascii="Times New Roman" w:hAnsi="Times New Roman" w:cs="Times New Roman"/>
          <w:i/>
          <w:iCs/>
          <w:sz w:val="24"/>
          <w:szCs w:val="24"/>
          <w:vertAlign w:val="subscript"/>
        </w:rPr>
        <w:t>i,t</w:t>
      </w:r>
      <w:r w:rsidR="009B66F8" w:rsidRPr="00AC2FAB">
        <w:rPr>
          <w:rFonts w:ascii="Times New Roman" w:hAnsi="Times New Roman" w:cs="Times New Roman"/>
          <w:i/>
          <w:iCs/>
          <w:sz w:val="24"/>
          <w:szCs w:val="24"/>
        </w:rPr>
        <w:t xml:space="preserve"> </w:t>
      </w:r>
      <w:r w:rsidR="009B66F8" w:rsidRPr="00AC2FAB">
        <w:rPr>
          <w:rFonts w:ascii="Times New Roman" w:hAnsi="Times New Roman" w:cs="Times New Roman"/>
          <w:sz w:val="24"/>
          <w:szCs w:val="24"/>
        </w:rPr>
        <w:t>(</w:t>
      </w:r>
      <w:r w:rsidR="009B66F8" w:rsidRPr="00AC2FAB">
        <w:rPr>
          <w:rFonts w:ascii="Times New Roman" w:hAnsi="Times New Roman" w:cs="Times New Roman"/>
          <w:i/>
          <w:iCs/>
          <w:sz w:val="24"/>
          <w:szCs w:val="24"/>
        </w:rPr>
        <w:t>PUE</w:t>
      </w:r>
      <w:r w:rsidR="009B66F8" w:rsidRPr="00AC2FAB">
        <w:rPr>
          <w:rFonts w:ascii="Times New Roman" w:hAnsi="Times New Roman" w:cs="Times New Roman"/>
          <w:i/>
          <w:iCs/>
          <w:sz w:val="24"/>
          <w:szCs w:val="24"/>
          <w:vertAlign w:val="subscript"/>
        </w:rPr>
        <w:t>i,t</w:t>
      </w:r>
      <w:r w:rsidR="009B66F8" w:rsidRPr="00AC2FAB">
        <w:rPr>
          <w:rFonts w:ascii="Times New Roman" w:hAnsi="Times New Roman" w:cs="Times New Roman"/>
          <w:sz w:val="24"/>
          <w:szCs w:val="24"/>
        </w:rPr>
        <w:t xml:space="preserve">) is the negative (positive) UE measure which takes the value of SUE when it is negative (positive) or 0 otherwise. All variables are defined in </w:t>
      </w:r>
      <w:r w:rsidR="009B66F8" w:rsidRPr="00AC2FAB">
        <w:rPr>
          <w:rFonts w:ascii="Times New Roman" w:hAnsi="Times New Roman" w:cs="Times New Roman"/>
          <w:i/>
          <w:iCs/>
          <w:sz w:val="24"/>
          <w:szCs w:val="24"/>
        </w:rPr>
        <w:t>Appendix I</w:t>
      </w:r>
      <w:r w:rsidR="009B66F8" w:rsidRPr="00AC2FAB">
        <w:rPr>
          <w:rFonts w:asciiTheme="majorBidi" w:hAnsiTheme="majorBidi" w:cstheme="majorBidi"/>
          <w:color w:val="000000"/>
          <w:sz w:val="24"/>
          <w:szCs w:val="24"/>
        </w:rPr>
        <w:t xml:space="preserve">. The t-Statistics are reported in the parentheses. The standard errors are clustered across firm and time. </w:t>
      </w:r>
    </w:p>
    <w:p w14:paraId="676F82E8" w14:textId="77777777" w:rsidR="00674186" w:rsidRPr="00674186" w:rsidRDefault="00674186" w:rsidP="00674186">
      <w:pPr>
        <w:tabs>
          <w:tab w:val="left" w:pos="567"/>
        </w:tabs>
        <w:jc w:val="both"/>
        <w:rPr>
          <w:rFonts w:asciiTheme="majorBidi" w:hAnsiTheme="majorBidi" w:cstheme="majorBidi"/>
          <w:color w:val="000000"/>
        </w:rPr>
      </w:pPr>
    </w:p>
    <w:p w14:paraId="4B5DA32B" w14:textId="0B76ED4B" w:rsidR="001D507E" w:rsidRDefault="00841CE3" w:rsidP="00674186">
      <w:pPr>
        <w:tabs>
          <w:tab w:val="left" w:pos="567"/>
        </w:tabs>
        <w:spacing w:after="0" w:line="288" w:lineRule="auto"/>
        <w:rPr>
          <w:rFonts w:ascii="Times New Roman" w:hAnsi="Times New Roman" w:cs="Times New Roman"/>
          <w:b/>
          <w:bCs/>
          <w:sz w:val="24"/>
          <w:szCs w:val="24"/>
        </w:rPr>
      </w:pPr>
      <w:r>
        <w:rPr>
          <w:rFonts w:ascii="Times New Roman" w:hAnsi="Times New Roman" w:cs="Times New Roman"/>
          <w:b/>
          <w:bCs/>
          <w:sz w:val="24"/>
          <w:szCs w:val="24"/>
        </w:rPr>
        <w:t xml:space="preserve">4.3. </w:t>
      </w:r>
      <w:r w:rsidR="00C926D0" w:rsidRPr="00841CE3">
        <w:rPr>
          <w:rFonts w:ascii="Times New Roman" w:hAnsi="Times New Roman" w:cs="Times New Roman"/>
          <w:b/>
          <w:bCs/>
          <w:sz w:val="24"/>
          <w:szCs w:val="24"/>
        </w:rPr>
        <w:t xml:space="preserve">Governance, </w:t>
      </w:r>
      <w:r>
        <w:rPr>
          <w:rFonts w:ascii="Times New Roman" w:hAnsi="Times New Roman" w:cs="Times New Roman"/>
          <w:b/>
          <w:bCs/>
          <w:sz w:val="24"/>
          <w:szCs w:val="24"/>
        </w:rPr>
        <w:t>U</w:t>
      </w:r>
      <w:r w:rsidR="00C926D0" w:rsidRPr="00841CE3">
        <w:rPr>
          <w:rFonts w:ascii="Times New Roman" w:hAnsi="Times New Roman" w:cs="Times New Roman"/>
          <w:b/>
          <w:bCs/>
          <w:sz w:val="24"/>
          <w:szCs w:val="24"/>
        </w:rPr>
        <w:t xml:space="preserve">ncertainty, </w:t>
      </w:r>
      <w:r>
        <w:rPr>
          <w:rFonts w:ascii="Times New Roman" w:hAnsi="Times New Roman" w:cs="Times New Roman"/>
          <w:b/>
          <w:bCs/>
          <w:sz w:val="24"/>
          <w:szCs w:val="24"/>
        </w:rPr>
        <w:t>S</w:t>
      </w:r>
      <w:r w:rsidR="00C926D0" w:rsidRPr="00841CE3">
        <w:rPr>
          <w:rFonts w:ascii="Times New Roman" w:hAnsi="Times New Roman" w:cs="Times New Roman"/>
          <w:b/>
          <w:bCs/>
          <w:sz w:val="24"/>
          <w:szCs w:val="24"/>
        </w:rPr>
        <w:t xml:space="preserve">entiment and </w:t>
      </w:r>
      <w:r>
        <w:rPr>
          <w:rFonts w:ascii="Times New Roman" w:hAnsi="Times New Roman" w:cs="Times New Roman"/>
          <w:b/>
          <w:bCs/>
          <w:sz w:val="24"/>
          <w:szCs w:val="24"/>
        </w:rPr>
        <w:t>E</w:t>
      </w:r>
      <w:r w:rsidR="00C926D0" w:rsidRPr="00841CE3">
        <w:rPr>
          <w:rFonts w:ascii="Times New Roman" w:hAnsi="Times New Roman" w:cs="Times New Roman"/>
          <w:b/>
          <w:bCs/>
          <w:sz w:val="24"/>
          <w:szCs w:val="24"/>
        </w:rPr>
        <w:t xml:space="preserve">arnings </w:t>
      </w:r>
      <w:r>
        <w:rPr>
          <w:rFonts w:ascii="Times New Roman" w:hAnsi="Times New Roman" w:cs="Times New Roman"/>
          <w:b/>
          <w:bCs/>
          <w:sz w:val="24"/>
          <w:szCs w:val="24"/>
        </w:rPr>
        <w:t>A</w:t>
      </w:r>
      <w:r w:rsidR="00C926D0" w:rsidRPr="00841CE3">
        <w:rPr>
          <w:rFonts w:ascii="Times New Roman" w:hAnsi="Times New Roman" w:cs="Times New Roman"/>
          <w:b/>
          <w:bCs/>
          <w:sz w:val="24"/>
          <w:szCs w:val="24"/>
        </w:rPr>
        <w:t>nnouncements</w:t>
      </w:r>
    </w:p>
    <w:p w14:paraId="6C79FC28" w14:textId="77777777" w:rsidR="00674186" w:rsidRPr="00674186" w:rsidRDefault="00674186" w:rsidP="00674186">
      <w:pPr>
        <w:tabs>
          <w:tab w:val="left" w:pos="567"/>
        </w:tabs>
        <w:spacing w:after="0" w:line="288" w:lineRule="auto"/>
        <w:rPr>
          <w:rFonts w:ascii="Times New Roman" w:hAnsi="Times New Roman" w:cs="Times New Roman"/>
          <w:b/>
          <w:bCs/>
          <w:sz w:val="12"/>
          <w:szCs w:val="12"/>
        </w:rPr>
      </w:pPr>
    </w:p>
    <w:p w14:paraId="039739D5" w14:textId="1CDB7FC7" w:rsidR="00891F86" w:rsidRDefault="00891F86" w:rsidP="008F42C0">
      <w:pPr>
        <w:keepNext/>
        <w:tabs>
          <w:tab w:val="left" w:pos="567"/>
        </w:tabs>
        <w:spacing w:after="0" w:line="288" w:lineRule="auto"/>
        <w:jc w:val="both"/>
        <w:rPr>
          <w:rFonts w:ascii="Times New Roman" w:hAnsi="Times New Roman" w:cs="Times New Roman"/>
          <w:i/>
          <w:iCs/>
          <w:sz w:val="24"/>
          <w:szCs w:val="24"/>
        </w:rPr>
      </w:pPr>
      <w:r>
        <w:rPr>
          <w:rFonts w:ascii="Times New Roman" w:hAnsi="Times New Roman" w:cs="Times New Roman"/>
          <w:sz w:val="24"/>
          <w:szCs w:val="24"/>
        </w:rPr>
        <w:t xml:space="preserve">In </w:t>
      </w:r>
      <w:r w:rsidRPr="00134380">
        <w:rPr>
          <w:rFonts w:ascii="Times New Roman" w:hAnsi="Times New Roman" w:cs="Times New Roman"/>
          <w:sz w:val="24"/>
          <w:szCs w:val="24"/>
        </w:rPr>
        <w:t xml:space="preserve">Table 3 </w:t>
      </w:r>
      <w:r>
        <w:rPr>
          <w:rFonts w:ascii="Times New Roman" w:hAnsi="Times New Roman" w:cs="Times New Roman"/>
          <w:sz w:val="24"/>
          <w:szCs w:val="24"/>
        </w:rPr>
        <w:t>we report</w:t>
      </w:r>
      <w:r w:rsidR="005425E5">
        <w:rPr>
          <w:rFonts w:ascii="Times New Roman" w:hAnsi="Times New Roman" w:cs="Times New Roman"/>
          <w:sz w:val="24"/>
          <w:szCs w:val="24"/>
        </w:rPr>
        <w:t xml:space="preserve"> the</w:t>
      </w:r>
      <w:r>
        <w:rPr>
          <w:rFonts w:ascii="Times New Roman" w:hAnsi="Times New Roman" w:cs="Times New Roman"/>
          <w:sz w:val="24"/>
          <w:szCs w:val="24"/>
        </w:rPr>
        <w:t xml:space="preserve"> finding</w:t>
      </w:r>
      <w:r w:rsidR="005425E5">
        <w:rPr>
          <w:rFonts w:ascii="Times New Roman" w:hAnsi="Times New Roman" w:cs="Times New Roman"/>
          <w:sz w:val="24"/>
          <w:szCs w:val="24"/>
        </w:rPr>
        <w:t>s</w:t>
      </w:r>
      <w:r>
        <w:rPr>
          <w:rFonts w:ascii="Times New Roman" w:hAnsi="Times New Roman" w:cs="Times New Roman"/>
          <w:sz w:val="24"/>
          <w:szCs w:val="24"/>
        </w:rPr>
        <w:t xml:space="preserve"> relating to our first two research questions </w:t>
      </w:r>
      <w:r w:rsidR="00CE656C">
        <w:rPr>
          <w:rFonts w:ascii="Times New Roman" w:hAnsi="Times New Roman" w:cs="Times New Roman"/>
          <w:sz w:val="24"/>
          <w:szCs w:val="24"/>
        </w:rPr>
        <w:t>concerning the</w:t>
      </w:r>
      <w:r>
        <w:rPr>
          <w:rFonts w:ascii="Times New Roman" w:hAnsi="Times New Roman" w:cs="Times New Roman"/>
          <w:sz w:val="24"/>
          <w:szCs w:val="24"/>
        </w:rPr>
        <w:t xml:space="preserve"> impact of corporate governance on the market response to earnings announcement both at the time of the announcement and during the post-announcement period. </w:t>
      </w:r>
      <w:r>
        <w:rPr>
          <w:rFonts w:ascii="Times New Roman" w:hAnsi="Times New Roman" w:cs="Times New Roman"/>
          <w:i/>
          <w:iCs/>
          <w:sz w:val="24"/>
          <w:szCs w:val="24"/>
        </w:rPr>
        <w:t xml:space="preserve"> </w:t>
      </w:r>
    </w:p>
    <w:p w14:paraId="7E10295F" w14:textId="3BFDFE8F" w:rsidR="00674186" w:rsidRDefault="00674186">
      <w:pPr>
        <w:rPr>
          <w:rFonts w:ascii="Times New Roman" w:hAnsi="Times New Roman" w:cs="Times New Roman"/>
          <w:i/>
          <w:iCs/>
          <w:sz w:val="24"/>
          <w:szCs w:val="24"/>
        </w:rPr>
      </w:pPr>
      <w:r>
        <w:rPr>
          <w:rFonts w:ascii="Times New Roman" w:hAnsi="Times New Roman" w:cs="Times New Roman"/>
          <w:i/>
          <w:iCs/>
          <w:sz w:val="24"/>
          <w:szCs w:val="24"/>
        </w:rPr>
        <w:br w:type="page"/>
      </w:r>
    </w:p>
    <w:tbl>
      <w:tblPr>
        <w:tblStyle w:val="TableGrid"/>
        <w:tblW w:w="10925" w:type="dxa"/>
        <w:jc w:val="center"/>
        <w:tblLayout w:type="fixed"/>
        <w:tblLook w:val="04A0" w:firstRow="1" w:lastRow="0" w:firstColumn="1" w:lastColumn="0" w:noHBand="0" w:noVBand="1"/>
      </w:tblPr>
      <w:tblGrid>
        <w:gridCol w:w="4050"/>
        <w:gridCol w:w="3102"/>
        <w:gridCol w:w="3766"/>
        <w:gridCol w:w="7"/>
      </w:tblGrid>
      <w:tr w:rsidR="004A5C88" w:rsidRPr="002E1EC0" w14:paraId="7638D172" w14:textId="77777777" w:rsidTr="00AC2FAB">
        <w:trPr>
          <w:trHeight w:val="749"/>
          <w:jc w:val="center"/>
        </w:trPr>
        <w:tc>
          <w:tcPr>
            <w:tcW w:w="10925" w:type="dxa"/>
            <w:gridSpan w:val="4"/>
            <w:tcBorders>
              <w:top w:val="nil"/>
              <w:left w:val="nil"/>
              <w:bottom w:val="single" w:sz="8" w:space="0" w:color="auto"/>
              <w:right w:val="nil"/>
            </w:tcBorders>
            <w:vAlign w:val="center"/>
          </w:tcPr>
          <w:p w14:paraId="694A6367" w14:textId="77777777" w:rsidR="004A5C88" w:rsidRPr="00DB3A4E" w:rsidRDefault="004A5C88" w:rsidP="00DB3A4E">
            <w:pPr>
              <w:tabs>
                <w:tab w:val="left" w:pos="567"/>
              </w:tabs>
              <w:jc w:val="center"/>
              <w:rPr>
                <w:rFonts w:asciiTheme="majorBidi" w:hAnsiTheme="majorBidi" w:cstheme="majorBidi"/>
                <w:b/>
                <w:bCs/>
                <w:color w:val="000000"/>
                <w:sz w:val="20"/>
                <w:szCs w:val="20"/>
              </w:rPr>
            </w:pPr>
            <w:r w:rsidRPr="00DB3A4E">
              <w:rPr>
                <w:rFonts w:asciiTheme="majorBidi" w:hAnsiTheme="majorBidi" w:cstheme="majorBidi"/>
                <w:b/>
                <w:bCs/>
                <w:color w:val="000000"/>
                <w:sz w:val="20"/>
                <w:szCs w:val="20"/>
              </w:rPr>
              <w:lastRenderedPageBreak/>
              <w:t xml:space="preserve">Table 3: Multivariate Regressions of the Cumulative Abnormal Returns </w:t>
            </w:r>
          </w:p>
          <w:p w14:paraId="65D4517D" w14:textId="77777777" w:rsidR="004A5C88" w:rsidRPr="00DB3A4E" w:rsidRDefault="004A5C88" w:rsidP="00DB3A4E">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 xml:space="preserve">for the Announcement and Post-Announcement Periods on the Standardized Unexpected Earnings </w:t>
            </w:r>
          </w:p>
          <w:p w14:paraId="4B6CDD8C" w14:textId="46D95E37" w:rsidR="004A5C88" w:rsidRPr="00DB3A4E" w:rsidRDefault="004A5C88" w:rsidP="00DB3A4E">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 xml:space="preserve">and Governance, Uncertainty and Sentiment Dummies </w:t>
            </w:r>
          </w:p>
          <w:p w14:paraId="2A7C1B87" w14:textId="77777777" w:rsidR="004A5C88" w:rsidRPr="00AC2FAB" w:rsidRDefault="004A5C88" w:rsidP="00DF6C6A">
            <w:pPr>
              <w:tabs>
                <w:tab w:val="left" w:pos="567"/>
              </w:tabs>
              <w:jc w:val="center"/>
              <w:rPr>
                <w:rFonts w:asciiTheme="majorBidi" w:hAnsiTheme="majorBidi" w:cstheme="majorBidi"/>
                <w:b/>
                <w:bCs/>
                <w:color w:val="000000"/>
                <w:sz w:val="6"/>
                <w:szCs w:val="6"/>
              </w:rPr>
            </w:pPr>
          </w:p>
        </w:tc>
      </w:tr>
      <w:tr w:rsidR="004A5C88" w14:paraId="472A334E" w14:textId="77777777" w:rsidTr="00AC2FAB">
        <w:trPr>
          <w:gridAfter w:val="1"/>
          <w:wAfter w:w="7" w:type="dxa"/>
          <w:trHeight w:val="292"/>
          <w:jc w:val="center"/>
        </w:trPr>
        <w:tc>
          <w:tcPr>
            <w:tcW w:w="4050" w:type="dxa"/>
            <w:tcBorders>
              <w:top w:val="nil"/>
              <w:left w:val="nil"/>
              <w:bottom w:val="nil"/>
              <w:right w:val="nil"/>
            </w:tcBorders>
            <w:vAlign w:val="center"/>
          </w:tcPr>
          <w:p w14:paraId="7CC80696" w14:textId="77777777" w:rsidR="004A5C88" w:rsidRPr="00DB3A4E" w:rsidRDefault="004A5C88" w:rsidP="00DF6C6A">
            <w:pPr>
              <w:tabs>
                <w:tab w:val="left" w:pos="567"/>
              </w:tabs>
              <w:rPr>
                <w:rFonts w:asciiTheme="majorBidi" w:hAnsiTheme="majorBidi" w:cstheme="majorBidi"/>
                <w:color w:val="000000"/>
                <w:sz w:val="20"/>
                <w:szCs w:val="20"/>
              </w:rPr>
            </w:pPr>
          </w:p>
        </w:tc>
        <w:tc>
          <w:tcPr>
            <w:tcW w:w="3102" w:type="dxa"/>
            <w:tcBorders>
              <w:top w:val="nil"/>
              <w:left w:val="nil"/>
              <w:bottom w:val="nil"/>
              <w:right w:val="nil"/>
            </w:tcBorders>
            <w:vAlign w:val="center"/>
          </w:tcPr>
          <w:p w14:paraId="20B19238" w14:textId="7C1419DC" w:rsidR="004A5C88" w:rsidRPr="00DB3A4E" w:rsidRDefault="00DB3A4E" w:rsidP="00DF6C6A">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 xml:space="preserve">(1) </w:t>
            </w:r>
            <w:r w:rsidR="004A5C88" w:rsidRPr="00DB3A4E">
              <w:rPr>
                <w:rFonts w:asciiTheme="majorBidi" w:hAnsiTheme="majorBidi" w:cstheme="majorBidi"/>
                <w:color w:val="000000"/>
                <w:sz w:val="20"/>
                <w:szCs w:val="20"/>
              </w:rPr>
              <w:t>Model 2</w:t>
            </w:r>
          </w:p>
        </w:tc>
        <w:tc>
          <w:tcPr>
            <w:tcW w:w="3766" w:type="dxa"/>
            <w:tcBorders>
              <w:top w:val="nil"/>
              <w:left w:val="nil"/>
              <w:bottom w:val="nil"/>
              <w:right w:val="nil"/>
            </w:tcBorders>
            <w:vAlign w:val="center"/>
          </w:tcPr>
          <w:p w14:paraId="57432D35" w14:textId="260400CE" w:rsidR="004A5C88" w:rsidRPr="00DB3A4E" w:rsidRDefault="00DB3A4E" w:rsidP="00DF6C6A">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 xml:space="preserve">(2) </w:t>
            </w:r>
            <w:r w:rsidR="004A5C88" w:rsidRPr="00DB3A4E">
              <w:rPr>
                <w:rFonts w:asciiTheme="majorBidi" w:hAnsiTheme="majorBidi" w:cstheme="majorBidi"/>
                <w:color w:val="000000"/>
                <w:sz w:val="20"/>
                <w:szCs w:val="20"/>
              </w:rPr>
              <w:t>Model 3</w:t>
            </w:r>
          </w:p>
        </w:tc>
      </w:tr>
      <w:tr w:rsidR="004A5C88" w14:paraId="56306DF1" w14:textId="77777777" w:rsidTr="00AC2FAB">
        <w:trPr>
          <w:gridAfter w:val="1"/>
          <w:wAfter w:w="7" w:type="dxa"/>
          <w:trHeight w:val="292"/>
          <w:jc w:val="center"/>
        </w:trPr>
        <w:tc>
          <w:tcPr>
            <w:tcW w:w="4050" w:type="dxa"/>
            <w:tcBorders>
              <w:top w:val="nil"/>
              <w:left w:val="nil"/>
              <w:bottom w:val="single" w:sz="8" w:space="0" w:color="auto"/>
              <w:right w:val="nil"/>
            </w:tcBorders>
            <w:vAlign w:val="center"/>
          </w:tcPr>
          <w:p w14:paraId="38FF0423" w14:textId="77777777" w:rsidR="004A5C88" w:rsidRPr="00DB3A4E" w:rsidRDefault="004A5C88" w:rsidP="00DF6C6A">
            <w:pPr>
              <w:tabs>
                <w:tab w:val="left" w:pos="567"/>
              </w:tabs>
              <w:rPr>
                <w:rFonts w:asciiTheme="majorBidi" w:hAnsiTheme="majorBidi" w:cstheme="majorBidi"/>
                <w:color w:val="000000"/>
                <w:sz w:val="20"/>
                <w:szCs w:val="20"/>
              </w:rPr>
            </w:pPr>
          </w:p>
        </w:tc>
        <w:tc>
          <w:tcPr>
            <w:tcW w:w="3102" w:type="dxa"/>
            <w:tcBorders>
              <w:top w:val="nil"/>
              <w:left w:val="nil"/>
              <w:bottom w:val="single" w:sz="8" w:space="0" w:color="auto"/>
              <w:right w:val="nil"/>
            </w:tcBorders>
            <w:vAlign w:val="center"/>
          </w:tcPr>
          <w:p w14:paraId="237E493C" w14:textId="77777777" w:rsidR="004A5C88" w:rsidRPr="00DB3A4E" w:rsidRDefault="004A5C88" w:rsidP="00DF6C6A">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CAR (0,1)</w:t>
            </w:r>
          </w:p>
        </w:tc>
        <w:tc>
          <w:tcPr>
            <w:tcW w:w="3766" w:type="dxa"/>
            <w:tcBorders>
              <w:top w:val="nil"/>
              <w:left w:val="nil"/>
              <w:bottom w:val="single" w:sz="8" w:space="0" w:color="auto"/>
              <w:right w:val="nil"/>
            </w:tcBorders>
            <w:vAlign w:val="center"/>
          </w:tcPr>
          <w:p w14:paraId="3B480D3B" w14:textId="77777777" w:rsidR="004A5C88" w:rsidRPr="00DB3A4E" w:rsidRDefault="004A5C88" w:rsidP="00DF6C6A">
            <w:pPr>
              <w:tabs>
                <w:tab w:val="left" w:pos="567"/>
              </w:tabs>
              <w:jc w:val="center"/>
              <w:rPr>
                <w:rFonts w:asciiTheme="majorBidi" w:hAnsiTheme="majorBidi" w:cstheme="majorBidi"/>
                <w:color w:val="000000"/>
                <w:sz w:val="20"/>
                <w:szCs w:val="20"/>
              </w:rPr>
            </w:pPr>
            <w:r w:rsidRPr="00DB3A4E">
              <w:rPr>
                <w:rFonts w:asciiTheme="majorBidi" w:hAnsiTheme="majorBidi" w:cstheme="majorBidi"/>
                <w:color w:val="000000"/>
                <w:sz w:val="20"/>
                <w:szCs w:val="20"/>
              </w:rPr>
              <w:t>CAR (2,60)</w:t>
            </w:r>
          </w:p>
        </w:tc>
      </w:tr>
      <w:tr w:rsidR="004A5C88" w14:paraId="392674EE" w14:textId="77777777" w:rsidTr="00AC2FAB">
        <w:trPr>
          <w:gridAfter w:val="1"/>
          <w:wAfter w:w="7" w:type="dxa"/>
          <w:trHeight w:val="428"/>
          <w:jc w:val="center"/>
        </w:trPr>
        <w:tc>
          <w:tcPr>
            <w:tcW w:w="4050" w:type="dxa"/>
            <w:tcBorders>
              <w:top w:val="single" w:sz="8" w:space="0" w:color="auto"/>
              <w:left w:val="nil"/>
              <w:bottom w:val="nil"/>
              <w:right w:val="nil"/>
            </w:tcBorders>
            <w:vAlign w:val="center"/>
          </w:tcPr>
          <w:p w14:paraId="1AF6AAC4"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Intercept</w:t>
            </w:r>
          </w:p>
        </w:tc>
        <w:tc>
          <w:tcPr>
            <w:tcW w:w="3102" w:type="dxa"/>
            <w:tcBorders>
              <w:top w:val="single" w:sz="8" w:space="0" w:color="auto"/>
              <w:left w:val="nil"/>
              <w:bottom w:val="nil"/>
              <w:right w:val="nil"/>
            </w:tcBorders>
            <w:shd w:val="clear" w:color="auto" w:fill="auto"/>
            <w:vAlign w:val="bottom"/>
          </w:tcPr>
          <w:p w14:paraId="0401F07B"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0.0086**</w:t>
            </w:r>
            <w:r w:rsidRPr="00DB3A4E">
              <w:rPr>
                <w:rFonts w:asciiTheme="majorBidi" w:hAnsiTheme="majorBidi" w:cstheme="majorBidi"/>
                <w:sz w:val="20"/>
                <w:szCs w:val="20"/>
              </w:rPr>
              <w:br/>
              <w:t>(1.970)</w:t>
            </w:r>
          </w:p>
        </w:tc>
        <w:tc>
          <w:tcPr>
            <w:tcW w:w="3766" w:type="dxa"/>
            <w:tcBorders>
              <w:top w:val="single" w:sz="8" w:space="0" w:color="auto"/>
              <w:left w:val="nil"/>
              <w:bottom w:val="nil"/>
              <w:right w:val="nil"/>
            </w:tcBorders>
            <w:shd w:val="clear" w:color="auto" w:fill="auto"/>
            <w:vAlign w:val="bottom"/>
          </w:tcPr>
          <w:p w14:paraId="597358E7"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-0.0007</w:t>
            </w:r>
            <w:r w:rsidRPr="00DB3A4E">
              <w:rPr>
                <w:rFonts w:asciiTheme="majorBidi" w:hAnsiTheme="majorBidi" w:cstheme="majorBidi"/>
                <w:sz w:val="20"/>
                <w:szCs w:val="20"/>
              </w:rPr>
              <w:br/>
              <w:t>(-0.080)</w:t>
            </w:r>
          </w:p>
        </w:tc>
      </w:tr>
      <w:tr w:rsidR="004A5C88" w14:paraId="1246A69F" w14:textId="77777777" w:rsidTr="00AC2FAB">
        <w:trPr>
          <w:gridAfter w:val="1"/>
          <w:wAfter w:w="7" w:type="dxa"/>
          <w:trHeight w:val="428"/>
          <w:jc w:val="center"/>
        </w:trPr>
        <w:tc>
          <w:tcPr>
            <w:tcW w:w="4050" w:type="dxa"/>
            <w:tcBorders>
              <w:top w:val="nil"/>
              <w:left w:val="nil"/>
              <w:bottom w:val="nil"/>
              <w:right w:val="nil"/>
            </w:tcBorders>
            <w:vAlign w:val="center"/>
          </w:tcPr>
          <w:p w14:paraId="13608E3A"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NUE</w:t>
            </w:r>
          </w:p>
        </w:tc>
        <w:tc>
          <w:tcPr>
            <w:tcW w:w="3102" w:type="dxa"/>
            <w:tcBorders>
              <w:top w:val="nil"/>
              <w:left w:val="nil"/>
              <w:bottom w:val="nil"/>
              <w:right w:val="nil"/>
            </w:tcBorders>
            <w:shd w:val="clear" w:color="auto" w:fill="auto"/>
            <w:vAlign w:val="bottom"/>
          </w:tcPr>
          <w:p w14:paraId="7A3D10A6"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0.0049***</w:t>
            </w:r>
            <w:r w:rsidRPr="00DB3A4E">
              <w:rPr>
                <w:rFonts w:asciiTheme="majorBidi" w:hAnsiTheme="majorBidi" w:cstheme="majorBidi"/>
                <w:sz w:val="20"/>
                <w:szCs w:val="20"/>
              </w:rPr>
              <w:br/>
              <w:t>(12.060)</w:t>
            </w:r>
          </w:p>
        </w:tc>
        <w:tc>
          <w:tcPr>
            <w:tcW w:w="3766" w:type="dxa"/>
            <w:tcBorders>
              <w:top w:val="nil"/>
              <w:left w:val="nil"/>
              <w:bottom w:val="nil"/>
              <w:right w:val="nil"/>
            </w:tcBorders>
            <w:shd w:val="clear" w:color="auto" w:fill="auto"/>
            <w:vAlign w:val="bottom"/>
          </w:tcPr>
          <w:p w14:paraId="13B49862"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0.0036***</w:t>
            </w:r>
            <w:r w:rsidRPr="00DB3A4E">
              <w:rPr>
                <w:rFonts w:asciiTheme="majorBidi" w:hAnsiTheme="majorBidi" w:cstheme="majorBidi"/>
                <w:sz w:val="20"/>
                <w:szCs w:val="20"/>
              </w:rPr>
              <w:br/>
              <w:t>(4.70)</w:t>
            </w:r>
          </w:p>
        </w:tc>
      </w:tr>
      <w:tr w:rsidR="004A5C88" w14:paraId="3D9F84DA" w14:textId="77777777" w:rsidTr="00AC2FAB">
        <w:trPr>
          <w:gridAfter w:val="1"/>
          <w:wAfter w:w="7" w:type="dxa"/>
          <w:trHeight w:val="428"/>
          <w:jc w:val="center"/>
        </w:trPr>
        <w:tc>
          <w:tcPr>
            <w:tcW w:w="4050" w:type="dxa"/>
            <w:tcBorders>
              <w:top w:val="nil"/>
              <w:left w:val="nil"/>
              <w:bottom w:val="nil"/>
              <w:right w:val="nil"/>
            </w:tcBorders>
            <w:vAlign w:val="center"/>
          </w:tcPr>
          <w:p w14:paraId="3B72CC06"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PUE</w:t>
            </w:r>
          </w:p>
        </w:tc>
        <w:tc>
          <w:tcPr>
            <w:tcW w:w="3102" w:type="dxa"/>
            <w:tcBorders>
              <w:top w:val="nil"/>
              <w:left w:val="nil"/>
              <w:bottom w:val="nil"/>
              <w:right w:val="nil"/>
            </w:tcBorders>
            <w:shd w:val="clear" w:color="auto" w:fill="auto"/>
            <w:vAlign w:val="bottom"/>
          </w:tcPr>
          <w:p w14:paraId="3E09C6BD"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0.0035***</w:t>
            </w:r>
            <w:r w:rsidRPr="00DB3A4E">
              <w:rPr>
                <w:rFonts w:asciiTheme="majorBidi" w:hAnsiTheme="majorBidi" w:cstheme="majorBidi"/>
                <w:sz w:val="20"/>
                <w:szCs w:val="20"/>
              </w:rPr>
              <w:br/>
              <w:t>(9.230)</w:t>
            </w:r>
          </w:p>
        </w:tc>
        <w:tc>
          <w:tcPr>
            <w:tcW w:w="3766" w:type="dxa"/>
            <w:tcBorders>
              <w:top w:val="nil"/>
              <w:left w:val="nil"/>
              <w:bottom w:val="nil"/>
              <w:right w:val="nil"/>
            </w:tcBorders>
            <w:shd w:val="clear" w:color="auto" w:fill="auto"/>
            <w:vAlign w:val="bottom"/>
          </w:tcPr>
          <w:p w14:paraId="181A2238"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0.0056***</w:t>
            </w:r>
            <w:r w:rsidRPr="00DB3A4E">
              <w:rPr>
                <w:rFonts w:asciiTheme="majorBidi" w:hAnsiTheme="majorBidi" w:cstheme="majorBidi"/>
                <w:sz w:val="20"/>
                <w:szCs w:val="20"/>
              </w:rPr>
              <w:br/>
              <w:t>(6.370)</w:t>
            </w:r>
          </w:p>
        </w:tc>
      </w:tr>
      <w:tr w:rsidR="004A5C88" w14:paraId="7D2168DD" w14:textId="77777777" w:rsidTr="00AC2FAB">
        <w:trPr>
          <w:gridAfter w:val="1"/>
          <w:wAfter w:w="7" w:type="dxa"/>
          <w:trHeight w:val="428"/>
          <w:jc w:val="center"/>
        </w:trPr>
        <w:tc>
          <w:tcPr>
            <w:tcW w:w="4050" w:type="dxa"/>
            <w:tcBorders>
              <w:top w:val="nil"/>
              <w:left w:val="nil"/>
              <w:bottom w:val="nil"/>
              <w:right w:val="nil"/>
            </w:tcBorders>
            <w:vAlign w:val="center"/>
          </w:tcPr>
          <w:p w14:paraId="2BB8761D"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GOVH</w:t>
            </w:r>
          </w:p>
        </w:tc>
        <w:tc>
          <w:tcPr>
            <w:tcW w:w="3102" w:type="dxa"/>
            <w:tcBorders>
              <w:top w:val="nil"/>
              <w:left w:val="nil"/>
              <w:bottom w:val="nil"/>
              <w:right w:val="nil"/>
            </w:tcBorders>
            <w:shd w:val="clear" w:color="auto" w:fill="auto"/>
            <w:vAlign w:val="bottom"/>
          </w:tcPr>
          <w:p w14:paraId="5E9804FC"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0.0023**</w:t>
            </w:r>
            <w:r w:rsidRPr="00DB3A4E">
              <w:rPr>
                <w:rFonts w:asciiTheme="majorBidi" w:hAnsiTheme="majorBidi" w:cstheme="majorBidi"/>
                <w:sz w:val="20"/>
                <w:szCs w:val="20"/>
              </w:rPr>
              <w:br/>
              <w:t>(2.250)</w:t>
            </w:r>
          </w:p>
        </w:tc>
        <w:tc>
          <w:tcPr>
            <w:tcW w:w="3766" w:type="dxa"/>
            <w:tcBorders>
              <w:top w:val="nil"/>
              <w:left w:val="nil"/>
              <w:bottom w:val="nil"/>
              <w:right w:val="nil"/>
            </w:tcBorders>
            <w:shd w:val="clear" w:color="auto" w:fill="auto"/>
            <w:vAlign w:val="bottom"/>
          </w:tcPr>
          <w:p w14:paraId="09041835"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0.0004*</w:t>
            </w:r>
            <w:r w:rsidRPr="00DB3A4E">
              <w:rPr>
                <w:rFonts w:asciiTheme="majorBidi" w:hAnsiTheme="majorBidi" w:cstheme="majorBidi"/>
                <w:sz w:val="20"/>
                <w:szCs w:val="20"/>
              </w:rPr>
              <w:br/>
              <w:t>(1.910)</w:t>
            </w:r>
          </w:p>
        </w:tc>
      </w:tr>
      <w:tr w:rsidR="004A5C88" w14:paraId="63888A24" w14:textId="77777777" w:rsidTr="00AC2FAB">
        <w:trPr>
          <w:gridAfter w:val="1"/>
          <w:wAfter w:w="7" w:type="dxa"/>
          <w:trHeight w:val="428"/>
          <w:jc w:val="center"/>
        </w:trPr>
        <w:tc>
          <w:tcPr>
            <w:tcW w:w="4050" w:type="dxa"/>
            <w:tcBorders>
              <w:top w:val="nil"/>
              <w:left w:val="nil"/>
              <w:bottom w:val="nil"/>
              <w:right w:val="nil"/>
            </w:tcBorders>
            <w:vAlign w:val="center"/>
          </w:tcPr>
          <w:p w14:paraId="05C0EEA9"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SMIP</w:t>
            </w:r>
          </w:p>
        </w:tc>
        <w:tc>
          <w:tcPr>
            <w:tcW w:w="3102" w:type="dxa"/>
            <w:tcBorders>
              <w:top w:val="nil"/>
              <w:left w:val="nil"/>
              <w:bottom w:val="nil"/>
              <w:right w:val="nil"/>
            </w:tcBorders>
            <w:shd w:val="clear" w:color="auto" w:fill="auto"/>
            <w:vAlign w:val="bottom"/>
          </w:tcPr>
          <w:p w14:paraId="55906CFC"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(0.680)</w:t>
            </w:r>
          </w:p>
        </w:tc>
        <w:tc>
          <w:tcPr>
            <w:tcW w:w="3766" w:type="dxa"/>
            <w:tcBorders>
              <w:top w:val="nil"/>
              <w:left w:val="nil"/>
              <w:bottom w:val="nil"/>
              <w:right w:val="nil"/>
            </w:tcBorders>
            <w:shd w:val="clear" w:color="auto" w:fill="auto"/>
            <w:vAlign w:val="bottom"/>
          </w:tcPr>
          <w:p w14:paraId="20B1E41A"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13104948" w14:textId="77777777" w:rsidTr="00AC2FAB">
        <w:trPr>
          <w:gridAfter w:val="1"/>
          <w:wAfter w:w="7" w:type="dxa"/>
          <w:trHeight w:val="428"/>
          <w:jc w:val="center"/>
        </w:trPr>
        <w:tc>
          <w:tcPr>
            <w:tcW w:w="4050" w:type="dxa"/>
            <w:tcBorders>
              <w:top w:val="nil"/>
              <w:left w:val="nil"/>
              <w:bottom w:val="nil"/>
              <w:right w:val="nil"/>
            </w:tcBorders>
            <w:vAlign w:val="center"/>
          </w:tcPr>
          <w:p w14:paraId="082878F9"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w:t>
            </w:r>
          </w:p>
        </w:tc>
        <w:tc>
          <w:tcPr>
            <w:tcW w:w="3102" w:type="dxa"/>
            <w:tcBorders>
              <w:top w:val="nil"/>
              <w:left w:val="nil"/>
              <w:bottom w:val="nil"/>
              <w:right w:val="nil"/>
            </w:tcBorders>
            <w:shd w:val="clear" w:color="auto" w:fill="auto"/>
            <w:vAlign w:val="bottom"/>
          </w:tcPr>
          <w:p w14:paraId="13B59F88"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(0.700)</w:t>
            </w:r>
          </w:p>
        </w:tc>
        <w:tc>
          <w:tcPr>
            <w:tcW w:w="3766" w:type="dxa"/>
            <w:tcBorders>
              <w:top w:val="nil"/>
              <w:left w:val="nil"/>
              <w:bottom w:val="nil"/>
              <w:right w:val="nil"/>
            </w:tcBorders>
            <w:shd w:val="clear" w:color="auto" w:fill="auto"/>
            <w:vAlign w:val="bottom"/>
          </w:tcPr>
          <w:p w14:paraId="39B5EB4A"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325359DF" w14:textId="77777777" w:rsidTr="00AC2FAB">
        <w:trPr>
          <w:gridAfter w:val="1"/>
          <w:wAfter w:w="7" w:type="dxa"/>
          <w:trHeight w:val="428"/>
          <w:jc w:val="center"/>
        </w:trPr>
        <w:tc>
          <w:tcPr>
            <w:tcW w:w="4050" w:type="dxa"/>
            <w:tcBorders>
              <w:top w:val="nil"/>
              <w:left w:val="nil"/>
              <w:bottom w:val="nil"/>
              <w:right w:val="nil"/>
            </w:tcBorders>
            <w:vAlign w:val="center"/>
          </w:tcPr>
          <w:p w14:paraId="72D80900"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PSMIP</w:t>
            </w:r>
          </w:p>
        </w:tc>
        <w:tc>
          <w:tcPr>
            <w:tcW w:w="3102" w:type="dxa"/>
            <w:tcBorders>
              <w:top w:val="nil"/>
              <w:left w:val="nil"/>
              <w:bottom w:val="nil"/>
              <w:right w:val="nil"/>
            </w:tcBorders>
            <w:shd w:val="clear" w:color="auto" w:fill="auto"/>
            <w:vAlign w:val="bottom"/>
          </w:tcPr>
          <w:p w14:paraId="64DE2787"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399F60DA"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0.0093***</w:t>
            </w:r>
            <w:r w:rsidRPr="00DB3A4E">
              <w:rPr>
                <w:rFonts w:asciiTheme="majorBidi" w:hAnsiTheme="majorBidi" w:cstheme="majorBidi"/>
                <w:sz w:val="20"/>
                <w:szCs w:val="20"/>
              </w:rPr>
              <w:br/>
              <w:t>(3.010)</w:t>
            </w:r>
          </w:p>
        </w:tc>
      </w:tr>
      <w:tr w:rsidR="004A5C88" w14:paraId="66131010" w14:textId="77777777" w:rsidTr="00AC2FAB">
        <w:trPr>
          <w:gridAfter w:val="1"/>
          <w:wAfter w:w="7" w:type="dxa"/>
          <w:trHeight w:val="428"/>
          <w:jc w:val="center"/>
        </w:trPr>
        <w:tc>
          <w:tcPr>
            <w:tcW w:w="4050" w:type="dxa"/>
            <w:tcBorders>
              <w:top w:val="nil"/>
              <w:left w:val="nil"/>
              <w:bottom w:val="nil"/>
              <w:right w:val="nil"/>
            </w:tcBorders>
            <w:vAlign w:val="center"/>
          </w:tcPr>
          <w:p w14:paraId="42AB8F36"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w:t>
            </w:r>
          </w:p>
        </w:tc>
        <w:tc>
          <w:tcPr>
            <w:tcW w:w="3102" w:type="dxa"/>
            <w:tcBorders>
              <w:top w:val="nil"/>
              <w:left w:val="nil"/>
              <w:bottom w:val="nil"/>
              <w:right w:val="nil"/>
            </w:tcBorders>
            <w:shd w:val="clear" w:color="auto" w:fill="auto"/>
            <w:vAlign w:val="bottom"/>
          </w:tcPr>
          <w:p w14:paraId="4AA1E43B"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3FBD8E90"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-0.0004</w:t>
            </w:r>
            <w:r w:rsidRPr="00DB3A4E">
              <w:rPr>
                <w:rFonts w:asciiTheme="majorBidi" w:hAnsiTheme="majorBidi" w:cstheme="majorBidi"/>
                <w:sz w:val="20"/>
                <w:szCs w:val="20"/>
              </w:rPr>
              <w:br/>
              <w:t>(-0.150)</w:t>
            </w:r>
          </w:p>
        </w:tc>
      </w:tr>
      <w:tr w:rsidR="004A5C88" w14:paraId="7ACC2734" w14:textId="77777777" w:rsidTr="00AC2FAB">
        <w:trPr>
          <w:gridAfter w:val="1"/>
          <w:wAfter w:w="7" w:type="dxa"/>
          <w:trHeight w:val="428"/>
          <w:jc w:val="center"/>
        </w:trPr>
        <w:tc>
          <w:tcPr>
            <w:tcW w:w="4050" w:type="dxa"/>
            <w:tcBorders>
              <w:top w:val="nil"/>
              <w:left w:val="nil"/>
              <w:bottom w:val="nil"/>
              <w:right w:val="nil"/>
            </w:tcBorders>
            <w:vAlign w:val="center"/>
          </w:tcPr>
          <w:p w14:paraId="045C2948"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GOVH×NUE</w:t>
            </w:r>
          </w:p>
        </w:tc>
        <w:tc>
          <w:tcPr>
            <w:tcW w:w="3102" w:type="dxa"/>
            <w:tcBorders>
              <w:top w:val="nil"/>
              <w:left w:val="nil"/>
              <w:bottom w:val="nil"/>
              <w:right w:val="nil"/>
            </w:tcBorders>
            <w:shd w:val="clear" w:color="auto" w:fill="auto"/>
            <w:vAlign w:val="bottom"/>
          </w:tcPr>
          <w:p w14:paraId="5EA85F1C"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0.0075***</w:t>
            </w:r>
            <w:r w:rsidRPr="00DB3A4E">
              <w:rPr>
                <w:rFonts w:asciiTheme="majorBidi" w:hAnsiTheme="majorBidi" w:cstheme="majorBidi"/>
                <w:sz w:val="20"/>
                <w:szCs w:val="20"/>
              </w:rPr>
              <w:br/>
              <w:t>(2.890)</w:t>
            </w:r>
          </w:p>
        </w:tc>
        <w:tc>
          <w:tcPr>
            <w:tcW w:w="3766" w:type="dxa"/>
            <w:tcBorders>
              <w:top w:val="nil"/>
              <w:left w:val="nil"/>
              <w:bottom w:val="nil"/>
              <w:right w:val="nil"/>
            </w:tcBorders>
            <w:shd w:val="clear" w:color="auto" w:fill="auto"/>
            <w:vAlign w:val="bottom"/>
          </w:tcPr>
          <w:p w14:paraId="7C559899"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(0.710)</w:t>
            </w:r>
          </w:p>
        </w:tc>
      </w:tr>
      <w:tr w:rsidR="004A5C88" w14:paraId="6CA20D1A" w14:textId="77777777" w:rsidTr="00AC2FAB">
        <w:trPr>
          <w:gridAfter w:val="1"/>
          <w:wAfter w:w="7" w:type="dxa"/>
          <w:trHeight w:val="428"/>
          <w:jc w:val="center"/>
        </w:trPr>
        <w:tc>
          <w:tcPr>
            <w:tcW w:w="4050" w:type="dxa"/>
            <w:tcBorders>
              <w:top w:val="nil"/>
              <w:left w:val="nil"/>
              <w:bottom w:val="nil"/>
              <w:right w:val="nil"/>
            </w:tcBorders>
            <w:vAlign w:val="center"/>
          </w:tcPr>
          <w:p w14:paraId="0508FF63"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GOVH×PUE</w:t>
            </w:r>
          </w:p>
        </w:tc>
        <w:tc>
          <w:tcPr>
            <w:tcW w:w="3102" w:type="dxa"/>
            <w:tcBorders>
              <w:top w:val="nil"/>
              <w:left w:val="nil"/>
              <w:bottom w:val="nil"/>
              <w:right w:val="nil"/>
            </w:tcBorders>
            <w:shd w:val="clear" w:color="auto" w:fill="auto"/>
            <w:vAlign w:val="bottom"/>
          </w:tcPr>
          <w:p w14:paraId="453A386E"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0.0082***</w:t>
            </w:r>
            <w:r w:rsidRPr="00DB3A4E">
              <w:rPr>
                <w:rFonts w:asciiTheme="majorBidi" w:hAnsiTheme="majorBidi" w:cstheme="majorBidi"/>
                <w:sz w:val="20"/>
                <w:szCs w:val="20"/>
              </w:rPr>
              <w:br/>
              <w:t>(5.850)</w:t>
            </w:r>
          </w:p>
        </w:tc>
        <w:tc>
          <w:tcPr>
            <w:tcW w:w="3766" w:type="dxa"/>
            <w:tcBorders>
              <w:top w:val="nil"/>
              <w:left w:val="nil"/>
              <w:bottom w:val="nil"/>
              <w:right w:val="nil"/>
            </w:tcBorders>
            <w:shd w:val="clear" w:color="auto" w:fill="auto"/>
            <w:vAlign w:val="bottom"/>
          </w:tcPr>
          <w:p w14:paraId="6593A807"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(0.830)</w:t>
            </w:r>
          </w:p>
        </w:tc>
      </w:tr>
      <w:tr w:rsidR="004A5C88" w14:paraId="424A47FE" w14:textId="77777777" w:rsidTr="00AC2FAB">
        <w:trPr>
          <w:gridAfter w:val="1"/>
          <w:wAfter w:w="7" w:type="dxa"/>
          <w:trHeight w:val="428"/>
          <w:jc w:val="center"/>
        </w:trPr>
        <w:tc>
          <w:tcPr>
            <w:tcW w:w="4050" w:type="dxa"/>
            <w:tcBorders>
              <w:top w:val="nil"/>
              <w:left w:val="nil"/>
              <w:bottom w:val="nil"/>
              <w:right w:val="nil"/>
            </w:tcBorders>
            <w:vAlign w:val="center"/>
          </w:tcPr>
          <w:p w14:paraId="1FDD8241"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SMIP×NUE</w:t>
            </w:r>
          </w:p>
        </w:tc>
        <w:tc>
          <w:tcPr>
            <w:tcW w:w="3102" w:type="dxa"/>
            <w:tcBorders>
              <w:top w:val="nil"/>
              <w:left w:val="nil"/>
              <w:bottom w:val="nil"/>
              <w:right w:val="nil"/>
            </w:tcBorders>
            <w:shd w:val="clear" w:color="auto" w:fill="auto"/>
            <w:vAlign w:val="bottom"/>
          </w:tcPr>
          <w:p w14:paraId="0FDAA8FF"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-0.0024***</w:t>
            </w:r>
            <w:r w:rsidRPr="00DB3A4E">
              <w:rPr>
                <w:rFonts w:asciiTheme="majorBidi" w:hAnsiTheme="majorBidi" w:cstheme="majorBidi"/>
                <w:sz w:val="20"/>
                <w:szCs w:val="20"/>
              </w:rPr>
              <w:br/>
              <w:t>(-6.300)</w:t>
            </w:r>
          </w:p>
        </w:tc>
        <w:tc>
          <w:tcPr>
            <w:tcW w:w="3766" w:type="dxa"/>
            <w:tcBorders>
              <w:top w:val="nil"/>
              <w:left w:val="nil"/>
              <w:bottom w:val="nil"/>
              <w:right w:val="nil"/>
            </w:tcBorders>
            <w:shd w:val="clear" w:color="auto" w:fill="auto"/>
            <w:vAlign w:val="bottom"/>
          </w:tcPr>
          <w:p w14:paraId="5291E6A6"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23DE692B" w14:textId="77777777" w:rsidTr="00AC2FAB">
        <w:trPr>
          <w:gridAfter w:val="1"/>
          <w:wAfter w:w="7" w:type="dxa"/>
          <w:trHeight w:val="428"/>
          <w:jc w:val="center"/>
        </w:trPr>
        <w:tc>
          <w:tcPr>
            <w:tcW w:w="4050" w:type="dxa"/>
            <w:tcBorders>
              <w:top w:val="nil"/>
              <w:left w:val="nil"/>
              <w:bottom w:val="nil"/>
              <w:right w:val="nil"/>
            </w:tcBorders>
            <w:vAlign w:val="center"/>
          </w:tcPr>
          <w:p w14:paraId="36B8C55F"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SMIP×PUE</w:t>
            </w:r>
          </w:p>
        </w:tc>
        <w:tc>
          <w:tcPr>
            <w:tcW w:w="3102" w:type="dxa"/>
            <w:tcBorders>
              <w:top w:val="nil"/>
              <w:left w:val="nil"/>
              <w:bottom w:val="nil"/>
              <w:right w:val="nil"/>
            </w:tcBorders>
            <w:shd w:val="clear" w:color="auto" w:fill="auto"/>
            <w:vAlign w:val="bottom"/>
          </w:tcPr>
          <w:p w14:paraId="6978AF24"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0.0006**</w:t>
            </w:r>
            <w:r w:rsidRPr="00DB3A4E">
              <w:rPr>
                <w:rFonts w:asciiTheme="majorBidi" w:hAnsiTheme="majorBidi" w:cstheme="majorBidi"/>
                <w:sz w:val="20"/>
                <w:szCs w:val="20"/>
              </w:rPr>
              <w:br/>
              <w:t>(2.470)</w:t>
            </w:r>
          </w:p>
        </w:tc>
        <w:tc>
          <w:tcPr>
            <w:tcW w:w="3766" w:type="dxa"/>
            <w:tcBorders>
              <w:top w:val="nil"/>
              <w:left w:val="nil"/>
              <w:bottom w:val="nil"/>
              <w:right w:val="nil"/>
            </w:tcBorders>
            <w:shd w:val="clear" w:color="auto" w:fill="auto"/>
            <w:vAlign w:val="bottom"/>
          </w:tcPr>
          <w:p w14:paraId="55E3EBEB"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2AC4901A" w14:textId="77777777" w:rsidTr="00AC2FAB">
        <w:trPr>
          <w:gridAfter w:val="1"/>
          <w:wAfter w:w="7" w:type="dxa"/>
          <w:trHeight w:val="428"/>
          <w:jc w:val="center"/>
        </w:trPr>
        <w:tc>
          <w:tcPr>
            <w:tcW w:w="4050" w:type="dxa"/>
            <w:tcBorders>
              <w:top w:val="nil"/>
              <w:left w:val="nil"/>
              <w:bottom w:val="nil"/>
              <w:right w:val="nil"/>
            </w:tcBorders>
            <w:vAlign w:val="center"/>
          </w:tcPr>
          <w:p w14:paraId="26756573"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VIXH×NUE</w:t>
            </w:r>
          </w:p>
        </w:tc>
        <w:tc>
          <w:tcPr>
            <w:tcW w:w="3102" w:type="dxa"/>
            <w:tcBorders>
              <w:top w:val="nil"/>
              <w:left w:val="nil"/>
              <w:bottom w:val="nil"/>
              <w:right w:val="nil"/>
            </w:tcBorders>
            <w:shd w:val="clear" w:color="auto" w:fill="auto"/>
            <w:vAlign w:val="bottom"/>
          </w:tcPr>
          <w:p w14:paraId="00C1A38E"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0.0005*</w:t>
            </w:r>
            <w:r w:rsidRPr="00DB3A4E">
              <w:rPr>
                <w:rFonts w:asciiTheme="majorBidi" w:hAnsiTheme="majorBidi" w:cstheme="majorBidi"/>
                <w:sz w:val="20"/>
                <w:szCs w:val="20"/>
              </w:rPr>
              <w:br/>
              <w:t>(1.700)</w:t>
            </w:r>
          </w:p>
        </w:tc>
        <w:tc>
          <w:tcPr>
            <w:tcW w:w="3766" w:type="dxa"/>
            <w:tcBorders>
              <w:top w:val="nil"/>
              <w:left w:val="nil"/>
              <w:bottom w:val="nil"/>
              <w:right w:val="nil"/>
            </w:tcBorders>
            <w:shd w:val="clear" w:color="auto" w:fill="auto"/>
            <w:vAlign w:val="bottom"/>
          </w:tcPr>
          <w:p w14:paraId="1FAC2999"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008A0C74" w14:textId="77777777" w:rsidTr="00AC2FAB">
        <w:trPr>
          <w:gridAfter w:val="1"/>
          <w:wAfter w:w="7" w:type="dxa"/>
          <w:trHeight w:val="428"/>
          <w:jc w:val="center"/>
        </w:trPr>
        <w:tc>
          <w:tcPr>
            <w:tcW w:w="4050" w:type="dxa"/>
            <w:tcBorders>
              <w:top w:val="nil"/>
              <w:left w:val="nil"/>
              <w:bottom w:val="nil"/>
              <w:right w:val="nil"/>
            </w:tcBorders>
            <w:vAlign w:val="center"/>
          </w:tcPr>
          <w:p w14:paraId="51D8F94B"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VIXH×PUE</w:t>
            </w:r>
          </w:p>
        </w:tc>
        <w:tc>
          <w:tcPr>
            <w:tcW w:w="3102" w:type="dxa"/>
            <w:tcBorders>
              <w:top w:val="nil"/>
              <w:left w:val="nil"/>
              <w:bottom w:val="nil"/>
              <w:right w:val="nil"/>
            </w:tcBorders>
            <w:shd w:val="clear" w:color="auto" w:fill="auto"/>
            <w:vAlign w:val="bottom"/>
          </w:tcPr>
          <w:p w14:paraId="0BE08B27"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-0.0003*</w:t>
            </w:r>
            <w:r w:rsidRPr="00DB3A4E">
              <w:rPr>
                <w:rFonts w:asciiTheme="majorBidi" w:hAnsiTheme="majorBidi" w:cstheme="majorBidi"/>
                <w:sz w:val="20"/>
                <w:szCs w:val="20"/>
              </w:rPr>
              <w:br/>
              <w:t>(-1.910)</w:t>
            </w:r>
          </w:p>
        </w:tc>
        <w:tc>
          <w:tcPr>
            <w:tcW w:w="3766" w:type="dxa"/>
            <w:tcBorders>
              <w:top w:val="nil"/>
              <w:left w:val="nil"/>
              <w:bottom w:val="nil"/>
              <w:right w:val="nil"/>
            </w:tcBorders>
            <w:shd w:val="clear" w:color="auto" w:fill="auto"/>
            <w:vAlign w:val="bottom"/>
          </w:tcPr>
          <w:p w14:paraId="40470B52" w14:textId="77777777" w:rsidR="004A5C88" w:rsidRPr="00DB3A4E" w:rsidRDefault="004A5C88" w:rsidP="004A5C88">
            <w:pPr>
              <w:tabs>
                <w:tab w:val="left" w:pos="567"/>
              </w:tabs>
              <w:jc w:val="center"/>
              <w:rPr>
                <w:rFonts w:asciiTheme="majorBidi" w:hAnsiTheme="majorBidi" w:cstheme="majorBidi"/>
                <w:sz w:val="20"/>
                <w:szCs w:val="20"/>
              </w:rPr>
            </w:pPr>
          </w:p>
        </w:tc>
      </w:tr>
      <w:tr w:rsidR="004A5C88" w14:paraId="39682221" w14:textId="77777777" w:rsidTr="00AC2FAB">
        <w:trPr>
          <w:gridAfter w:val="1"/>
          <w:wAfter w:w="7" w:type="dxa"/>
          <w:trHeight w:val="428"/>
          <w:jc w:val="center"/>
        </w:trPr>
        <w:tc>
          <w:tcPr>
            <w:tcW w:w="4050" w:type="dxa"/>
            <w:tcBorders>
              <w:top w:val="nil"/>
              <w:left w:val="nil"/>
              <w:bottom w:val="nil"/>
              <w:right w:val="nil"/>
            </w:tcBorders>
            <w:vAlign w:val="center"/>
          </w:tcPr>
          <w:p w14:paraId="4B0C7271"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PSMIP×NUE</w:t>
            </w:r>
          </w:p>
        </w:tc>
        <w:tc>
          <w:tcPr>
            <w:tcW w:w="3102" w:type="dxa"/>
            <w:tcBorders>
              <w:top w:val="nil"/>
              <w:left w:val="nil"/>
              <w:bottom w:val="nil"/>
              <w:right w:val="nil"/>
            </w:tcBorders>
            <w:shd w:val="clear" w:color="auto" w:fill="auto"/>
            <w:vAlign w:val="bottom"/>
          </w:tcPr>
          <w:p w14:paraId="378F2AA6"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0A640032"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-0.0026***</w:t>
            </w:r>
            <w:r w:rsidRPr="00DB3A4E">
              <w:rPr>
                <w:rFonts w:asciiTheme="majorBidi" w:hAnsiTheme="majorBidi" w:cstheme="majorBidi"/>
                <w:sz w:val="20"/>
                <w:szCs w:val="20"/>
              </w:rPr>
              <w:br/>
              <w:t>(-3.190)</w:t>
            </w:r>
          </w:p>
        </w:tc>
      </w:tr>
      <w:tr w:rsidR="004A5C88" w14:paraId="74D56BF2" w14:textId="77777777" w:rsidTr="00AC2FAB">
        <w:trPr>
          <w:gridAfter w:val="1"/>
          <w:wAfter w:w="7" w:type="dxa"/>
          <w:trHeight w:val="428"/>
          <w:jc w:val="center"/>
        </w:trPr>
        <w:tc>
          <w:tcPr>
            <w:tcW w:w="4050" w:type="dxa"/>
            <w:tcBorders>
              <w:top w:val="nil"/>
              <w:left w:val="nil"/>
              <w:bottom w:val="nil"/>
              <w:right w:val="nil"/>
            </w:tcBorders>
            <w:vAlign w:val="center"/>
          </w:tcPr>
          <w:p w14:paraId="6AF22D05"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PSMIP×PUE</w:t>
            </w:r>
          </w:p>
        </w:tc>
        <w:tc>
          <w:tcPr>
            <w:tcW w:w="3102" w:type="dxa"/>
            <w:tcBorders>
              <w:top w:val="nil"/>
              <w:left w:val="nil"/>
              <w:bottom w:val="nil"/>
              <w:right w:val="nil"/>
            </w:tcBorders>
            <w:shd w:val="clear" w:color="auto" w:fill="auto"/>
            <w:vAlign w:val="bottom"/>
          </w:tcPr>
          <w:p w14:paraId="67B5FB45"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4B7579FB"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(0.030)</w:t>
            </w:r>
          </w:p>
        </w:tc>
      </w:tr>
      <w:tr w:rsidR="004A5C88" w14:paraId="5C6D7C1E" w14:textId="77777777" w:rsidTr="00AC2FAB">
        <w:trPr>
          <w:gridAfter w:val="1"/>
          <w:wAfter w:w="7" w:type="dxa"/>
          <w:trHeight w:val="428"/>
          <w:jc w:val="center"/>
        </w:trPr>
        <w:tc>
          <w:tcPr>
            <w:tcW w:w="4050" w:type="dxa"/>
            <w:tcBorders>
              <w:top w:val="nil"/>
              <w:left w:val="nil"/>
              <w:bottom w:val="nil"/>
              <w:right w:val="nil"/>
            </w:tcBorders>
            <w:vAlign w:val="center"/>
          </w:tcPr>
          <w:p w14:paraId="3A9B13FB"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∆VIXH×NUE</w:t>
            </w:r>
          </w:p>
        </w:tc>
        <w:tc>
          <w:tcPr>
            <w:tcW w:w="3102" w:type="dxa"/>
            <w:tcBorders>
              <w:top w:val="nil"/>
              <w:left w:val="nil"/>
              <w:bottom w:val="nil"/>
              <w:right w:val="nil"/>
            </w:tcBorders>
            <w:shd w:val="clear" w:color="auto" w:fill="auto"/>
            <w:vAlign w:val="bottom"/>
          </w:tcPr>
          <w:p w14:paraId="6A5A61C4"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28659763"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0.0039***</w:t>
            </w:r>
            <w:r w:rsidRPr="00DB3A4E">
              <w:rPr>
                <w:rFonts w:asciiTheme="majorBidi" w:hAnsiTheme="majorBidi" w:cstheme="majorBidi"/>
                <w:sz w:val="20"/>
                <w:szCs w:val="20"/>
              </w:rPr>
              <w:br/>
              <w:t>(4.090)</w:t>
            </w:r>
          </w:p>
        </w:tc>
      </w:tr>
      <w:tr w:rsidR="004A5C88" w14:paraId="26397E80" w14:textId="77777777" w:rsidTr="00AC2FAB">
        <w:trPr>
          <w:gridAfter w:val="1"/>
          <w:wAfter w:w="7" w:type="dxa"/>
          <w:trHeight w:val="428"/>
          <w:jc w:val="center"/>
        </w:trPr>
        <w:tc>
          <w:tcPr>
            <w:tcW w:w="4050" w:type="dxa"/>
            <w:tcBorders>
              <w:top w:val="nil"/>
              <w:left w:val="nil"/>
              <w:bottom w:val="nil"/>
              <w:right w:val="nil"/>
            </w:tcBorders>
            <w:vAlign w:val="center"/>
          </w:tcPr>
          <w:p w14:paraId="6F3F6BDA"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∆VIXH×PUE</w:t>
            </w:r>
          </w:p>
        </w:tc>
        <w:tc>
          <w:tcPr>
            <w:tcW w:w="3102" w:type="dxa"/>
            <w:tcBorders>
              <w:top w:val="nil"/>
              <w:left w:val="nil"/>
              <w:bottom w:val="nil"/>
              <w:right w:val="nil"/>
            </w:tcBorders>
            <w:shd w:val="clear" w:color="auto" w:fill="auto"/>
            <w:vAlign w:val="bottom"/>
          </w:tcPr>
          <w:p w14:paraId="6F198C0B" w14:textId="77777777" w:rsidR="004A5C88" w:rsidRPr="00DB3A4E" w:rsidRDefault="004A5C88" w:rsidP="004A5C88">
            <w:pPr>
              <w:tabs>
                <w:tab w:val="left" w:pos="567"/>
              </w:tabs>
              <w:jc w:val="center"/>
              <w:rPr>
                <w:rFonts w:asciiTheme="majorBidi" w:hAnsiTheme="majorBidi" w:cstheme="majorBidi"/>
                <w:sz w:val="20"/>
                <w:szCs w:val="20"/>
              </w:rPr>
            </w:pPr>
          </w:p>
        </w:tc>
        <w:tc>
          <w:tcPr>
            <w:tcW w:w="3766" w:type="dxa"/>
            <w:tcBorders>
              <w:top w:val="nil"/>
              <w:left w:val="nil"/>
              <w:bottom w:val="nil"/>
              <w:right w:val="nil"/>
            </w:tcBorders>
            <w:shd w:val="clear" w:color="auto" w:fill="auto"/>
            <w:vAlign w:val="bottom"/>
          </w:tcPr>
          <w:p w14:paraId="421E79F5"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-0.0028***</w:t>
            </w:r>
            <w:r w:rsidRPr="00DB3A4E">
              <w:rPr>
                <w:rFonts w:asciiTheme="majorBidi" w:hAnsiTheme="majorBidi" w:cstheme="majorBidi"/>
                <w:sz w:val="20"/>
                <w:szCs w:val="20"/>
              </w:rPr>
              <w:br/>
              <w:t>(-3.800)</w:t>
            </w:r>
          </w:p>
        </w:tc>
      </w:tr>
      <w:tr w:rsidR="004A5C88" w14:paraId="579209E1" w14:textId="77777777" w:rsidTr="00AC2FAB">
        <w:trPr>
          <w:gridAfter w:val="1"/>
          <w:wAfter w:w="7" w:type="dxa"/>
          <w:trHeight w:val="428"/>
          <w:jc w:val="center"/>
        </w:trPr>
        <w:tc>
          <w:tcPr>
            <w:tcW w:w="4050" w:type="dxa"/>
            <w:tcBorders>
              <w:top w:val="nil"/>
              <w:left w:val="nil"/>
              <w:bottom w:val="nil"/>
              <w:right w:val="nil"/>
            </w:tcBorders>
            <w:vAlign w:val="center"/>
          </w:tcPr>
          <w:p w14:paraId="06B6CDD1"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SIZE</w:t>
            </w:r>
          </w:p>
        </w:tc>
        <w:tc>
          <w:tcPr>
            <w:tcW w:w="3102" w:type="dxa"/>
            <w:tcBorders>
              <w:top w:val="nil"/>
              <w:left w:val="nil"/>
              <w:bottom w:val="nil"/>
              <w:right w:val="nil"/>
            </w:tcBorders>
            <w:shd w:val="clear" w:color="auto" w:fill="auto"/>
            <w:vAlign w:val="bottom"/>
          </w:tcPr>
          <w:p w14:paraId="2E02922F"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-0.0021***</w:t>
            </w:r>
            <w:r w:rsidRPr="00DB3A4E">
              <w:rPr>
                <w:rFonts w:asciiTheme="majorBidi" w:hAnsiTheme="majorBidi" w:cstheme="majorBidi"/>
                <w:sz w:val="20"/>
                <w:szCs w:val="20"/>
              </w:rPr>
              <w:br/>
              <w:t>(-5.040)</w:t>
            </w:r>
          </w:p>
        </w:tc>
        <w:tc>
          <w:tcPr>
            <w:tcW w:w="3766" w:type="dxa"/>
            <w:tcBorders>
              <w:top w:val="nil"/>
              <w:left w:val="nil"/>
              <w:bottom w:val="nil"/>
              <w:right w:val="nil"/>
            </w:tcBorders>
            <w:shd w:val="clear" w:color="auto" w:fill="auto"/>
            <w:vAlign w:val="bottom"/>
          </w:tcPr>
          <w:p w14:paraId="33AEE4F3"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-0.0012*</w:t>
            </w:r>
            <w:r w:rsidRPr="00DB3A4E">
              <w:rPr>
                <w:rFonts w:asciiTheme="majorBidi" w:hAnsiTheme="majorBidi" w:cstheme="majorBidi"/>
                <w:sz w:val="20"/>
                <w:szCs w:val="20"/>
              </w:rPr>
              <w:br/>
              <w:t>(-1.810)</w:t>
            </w:r>
          </w:p>
        </w:tc>
      </w:tr>
      <w:tr w:rsidR="004A5C88" w14:paraId="5DAE3914" w14:textId="77777777" w:rsidTr="00AC2FAB">
        <w:trPr>
          <w:gridAfter w:val="1"/>
          <w:wAfter w:w="7" w:type="dxa"/>
          <w:trHeight w:val="428"/>
          <w:jc w:val="center"/>
        </w:trPr>
        <w:tc>
          <w:tcPr>
            <w:tcW w:w="4050" w:type="dxa"/>
            <w:tcBorders>
              <w:top w:val="nil"/>
              <w:left w:val="nil"/>
              <w:bottom w:val="nil"/>
              <w:right w:val="nil"/>
            </w:tcBorders>
            <w:vAlign w:val="center"/>
          </w:tcPr>
          <w:p w14:paraId="1891E125"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BTMV</w:t>
            </w:r>
          </w:p>
        </w:tc>
        <w:tc>
          <w:tcPr>
            <w:tcW w:w="3102" w:type="dxa"/>
            <w:tcBorders>
              <w:top w:val="nil"/>
              <w:left w:val="nil"/>
              <w:bottom w:val="nil"/>
              <w:right w:val="nil"/>
            </w:tcBorders>
            <w:shd w:val="clear" w:color="auto" w:fill="auto"/>
            <w:vAlign w:val="bottom"/>
          </w:tcPr>
          <w:p w14:paraId="2F770B34"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0.0048***</w:t>
            </w:r>
            <w:r w:rsidRPr="00DB3A4E">
              <w:rPr>
                <w:rFonts w:asciiTheme="majorBidi" w:hAnsiTheme="majorBidi" w:cstheme="majorBidi"/>
                <w:sz w:val="20"/>
                <w:szCs w:val="20"/>
              </w:rPr>
              <w:br/>
              <w:t>(4.760)</w:t>
            </w:r>
          </w:p>
        </w:tc>
        <w:tc>
          <w:tcPr>
            <w:tcW w:w="3766" w:type="dxa"/>
            <w:tcBorders>
              <w:top w:val="nil"/>
              <w:left w:val="nil"/>
              <w:bottom w:val="nil"/>
              <w:right w:val="nil"/>
            </w:tcBorders>
            <w:shd w:val="clear" w:color="auto" w:fill="auto"/>
            <w:vAlign w:val="bottom"/>
          </w:tcPr>
          <w:p w14:paraId="04F59DAA"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0.0068***</w:t>
            </w:r>
            <w:r w:rsidRPr="00DB3A4E">
              <w:rPr>
                <w:rFonts w:asciiTheme="majorBidi" w:hAnsiTheme="majorBidi" w:cstheme="majorBidi"/>
                <w:sz w:val="20"/>
                <w:szCs w:val="20"/>
              </w:rPr>
              <w:br/>
              <w:t>(3.190)</w:t>
            </w:r>
          </w:p>
        </w:tc>
      </w:tr>
      <w:tr w:rsidR="004A5C88" w14:paraId="34C39194" w14:textId="77777777" w:rsidTr="00AC2FAB">
        <w:trPr>
          <w:gridAfter w:val="1"/>
          <w:wAfter w:w="7" w:type="dxa"/>
          <w:trHeight w:val="428"/>
          <w:jc w:val="center"/>
        </w:trPr>
        <w:tc>
          <w:tcPr>
            <w:tcW w:w="4050" w:type="dxa"/>
            <w:tcBorders>
              <w:top w:val="nil"/>
              <w:left w:val="nil"/>
              <w:bottom w:val="nil"/>
              <w:right w:val="nil"/>
            </w:tcBorders>
            <w:vAlign w:val="center"/>
          </w:tcPr>
          <w:p w14:paraId="7FD0A88D"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RLAG</w:t>
            </w:r>
          </w:p>
        </w:tc>
        <w:tc>
          <w:tcPr>
            <w:tcW w:w="3102" w:type="dxa"/>
            <w:tcBorders>
              <w:top w:val="nil"/>
              <w:left w:val="nil"/>
              <w:bottom w:val="nil"/>
              <w:right w:val="nil"/>
            </w:tcBorders>
            <w:shd w:val="clear" w:color="auto" w:fill="auto"/>
            <w:vAlign w:val="bottom"/>
          </w:tcPr>
          <w:p w14:paraId="02DF25D5"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(-0.050)</w:t>
            </w:r>
          </w:p>
        </w:tc>
        <w:tc>
          <w:tcPr>
            <w:tcW w:w="3766" w:type="dxa"/>
            <w:tcBorders>
              <w:top w:val="nil"/>
              <w:left w:val="nil"/>
              <w:bottom w:val="nil"/>
              <w:right w:val="nil"/>
            </w:tcBorders>
            <w:shd w:val="clear" w:color="auto" w:fill="auto"/>
            <w:vAlign w:val="bottom"/>
          </w:tcPr>
          <w:p w14:paraId="45BB128D"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-0.0000</w:t>
            </w:r>
            <w:r w:rsidRPr="00DB3A4E">
              <w:rPr>
                <w:rFonts w:asciiTheme="majorBidi" w:hAnsiTheme="majorBidi" w:cstheme="majorBidi"/>
                <w:sz w:val="20"/>
                <w:szCs w:val="20"/>
              </w:rPr>
              <w:br/>
              <w:t>(-0.050)</w:t>
            </w:r>
          </w:p>
        </w:tc>
      </w:tr>
      <w:tr w:rsidR="004A5C88" w14:paraId="4FEE0DA2" w14:textId="77777777" w:rsidTr="00AC2FAB">
        <w:trPr>
          <w:gridAfter w:val="1"/>
          <w:wAfter w:w="7" w:type="dxa"/>
          <w:trHeight w:val="428"/>
          <w:jc w:val="center"/>
        </w:trPr>
        <w:tc>
          <w:tcPr>
            <w:tcW w:w="4050" w:type="dxa"/>
            <w:tcBorders>
              <w:top w:val="nil"/>
              <w:left w:val="nil"/>
              <w:bottom w:val="nil"/>
              <w:right w:val="nil"/>
            </w:tcBorders>
          </w:tcPr>
          <w:p w14:paraId="4DB4A9E4"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FORC</w:t>
            </w:r>
          </w:p>
        </w:tc>
        <w:tc>
          <w:tcPr>
            <w:tcW w:w="3102" w:type="dxa"/>
            <w:tcBorders>
              <w:top w:val="nil"/>
              <w:left w:val="nil"/>
              <w:bottom w:val="nil"/>
              <w:right w:val="nil"/>
            </w:tcBorders>
            <w:shd w:val="clear" w:color="auto" w:fill="auto"/>
          </w:tcPr>
          <w:p w14:paraId="26E6627A"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0.0002***</w:t>
            </w:r>
            <w:r w:rsidRPr="00DB3A4E">
              <w:rPr>
                <w:rFonts w:asciiTheme="majorBidi" w:hAnsiTheme="majorBidi" w:cstheme="majorBidi"/>
                <w:sz w:val="20"/>
                <w:szCs w:val="20"/>
              </w:rPr>
              <w:br/>
              <w:t>(2.620)</w:t>
            </w:r>
          </w:p>
        </w:tc>
        <w:tc>
          <w:tcPr>
            <w:tcW w:w="3766" w:type="dxa"/>
            <w:tcBorders>
              <w:top w:val="nil"/>
              <w:left w:val="nil"/>
              <w:bottom w:val="nil"/>
              <w:right w:val="nil"/>
            </w:tcBorders>
            <w:shd w:val="clear" w:color="auto" w:fill="auto"/>
          </w:tcPr>
          <w:p w14:paraId="6F5CA335"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0.0005***</w:t>
            </w:r>
            <w:r w:rsidRPr="00DB3A4E">
              <w:rPr>
                <w:rFonts w:asciiTheme="majorBidi" w:hAnsiTheme="majorBidi" w:cstheme="majorBidi"/>
                <w:sz w:val="20"/>
                <w:szCs w:val="20"/>
              </w:rPr>
              <w:br/>
              <w:t>(2.970)</w:t>
            </w:r>
          </w:p>
        </w:tc>
      </w:tr>
      <w:tr w:rsidR="004A5C88" w:rsidRPr="002E1EC0" w14:paraId="19C83F4F" w14:textId="77777777" w:rsidTr="00AC2FAB">
        <w:trPr>
          <w:gridAfter w:val="1"/>
          <w:wAfter w:w="7" w:type="dxa"/>
          <w:trHeight w:val="285"/>
          <w:jc w:val="center"/>
        </w:trPr>
        <w:tc>
          <w:tcPr>
            <w:tcW w:w="4050" w:type="dxa"/>
            <w:tcBorders>
              <w:top w:val="nil"/>
              <w:left w:val="nil"/>
              <w:bottom w:val="nil"/>
              <w:right w:val="nil"/>
            </w:tcBorders>
          </w:tcPr>
          <w:p w14:paraId="3EB29C2F"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Number of Observations</w:t>
            </w:r>
          </w:p>
        </w:tc>
        <w:tc>
          <w:tcPr>
            <w:tcW w:w="3102" w:type="dxa"/>
            <w:tcBorders>
              <w:top w:val="nil"/>
              <w:left w:val="nil"/>
              <w:bottom w:val="nil"/>
              <w:right w:val="nil"/>
            </w:tcBorders>
          </w:tcPr>
          <w:p w14:paraId="651E9748"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21,692</w:t>
            </w:r>
          </w:p>
        </w:tc>
        <w:tc>
          <w:tcPr>
            <w:tcW w:w="3766" w:type="dxa"/>
            <w:tcBorders>
              <w:top w:val="nil"/>
              <w:left w:val="nil"/>
              <w:bottom w:val="nil"/>
              <w:right w:val="nil"/>
            </w:tcBorders>
          </w:tcPr>
          <w:p w14:paraId="619E87AF"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21,692</w:t>
            </w:r>
          </w:p>
        </w:tc>
      </w:tr>
      <w:tr w:rsidR="004A5C88" w:rsidRPr="002E1EC0" w14:paraId="01031C3B" w14:textId="77777777" w:rsidTr="006A5C09">
        <w:trPr>
          <w:gridAfter w:val="1"/>
          <w:wAfter w:w="7" w:type="dxa"/>
          <w:trHeight w:val="285"/>
          <w:jc w:val="center"/>
        </w:trPr>
        <w:tc>
          <w:tcPr>
            <w:tcW w:w="4050" w:type="dxa"/>
            <w:tcBorders>
              <w:top w:val="nil"/>
              <w:left w:val="nil"/>
              <w:bottom w:val="nil"/>
              <w:right w:val="nil"/>
            </w:tcBorders>
          </w:tcPr>
          <w:p w14:paraId="32318168" w14:textId="77777777" w:rsidR="004A5C88" w:rsidRPr="00DB3A4E" w:rsidRDefault="004A5C88" w:rsidP="004A5C88">
            <w:pPr>
              <w:tabs>
                <w:tab w:val="left" w:pos="567"/>
              </w:tabs>
              <w:rPr>
                <w:rFonts w:asciiTheme="majorBidi" w:hAnsiTheme="majorBidi" w:cstheme="majorBidi"/>
                <w:sz w:val="20"/>
                <w:szCs w:val="20"/>
              </w:rPr>
            </w:pPr>
            <w:r w:rsidRPr="00DB3A4E">
              <w:rPr>
                <w:rFonts w:asciiTheme="majorBidi" w:hAnsiTheme="majorBidi" w:cstheme="majorBidi"/>
                <w:sz w:val="20"/>
                <w:szCs w:val="20"/>
              </w:rPr>
              <w:t>Year/Industry Dummies</w:t>
            </w:r>
          </w:p>
        </w:tc>
        <w:tc>
          <w:tcPr>
            <w:tcW w:w="3102" w:type="dxa"/>
            <w:tcBorders>
              <w:top w:val="nil"/>
              <w:left w:val="nil"/>
              <w:bottom w:val="nil"/>
              <w:right w:val="nil"/>
            </w:tcBorders>
          </w:tcPr>
          <w:p w14:paraId="303E461A" w14:textId="77777777" w:rsidR="004A5C88" w:rsidRPr="00DB3A4E" w:rsidRDefault="004A5C88" w:rsidP="004A5C88">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YES</w:t>
            </w:r>
          </w:p>
        </w:tc>
        <w:tc>
          <w:tcPr>
            <w:tcW w:w="3766" w:type="dxa"/>
            <w:tcBorders>
              <w:top w:val="nil"/>
              <w:left w:val="nil"/>
              <w:bottom w:val="nil"/>
              <w:right w:val="nil"/>
            </w:tcBorders>
          </w:tcPr>
          <w:p w14:paraId="60142CAF" w14:textId="26207D34" w:rsidR="002C688A" w:rsidRPr="00DB3A4E" w:rsidRDefault="004A5C88" w:rsidP="008B22F3">
            <w:pPr>
              <w:tabs>
                <w:tab w:val="left" w:pos="567"/>
              </w:tabs>
              <w:jc w:val="center"/>
              <w:rPr>
                <w:rFonts w:asciiTheme="majorBidi" w:hAnsiTheme="majorBidi" w:cstheme="majorBidi"/>
                <w:sz w:val="20"/>
                <w:szCs w:val="20"/>
              </w:rPr>
            </w:pPr>
            <w:r w:rsidRPr="00DB3A4E">
              <w:rPr>
                <w:rFonts w:asciiTheme="majorBidi" w:hAnsiTheme="majorBidi" w:cstheme="majorBidi"/>
                <w:sz w:val="20"/>
                <w:szCs w:val="20"/>
              </w:rPr>
              <w:t>YES</w:t>
            </w:r>
          </w:p>
        </w:tc>
      </w:tr>
      <w:tr w:rsidR="008B22F3" w:rsidRPr="00486141" w14:paraId="3072126C" w14:textId="77777777" w:rsidTr="005409EA">
        <w:trPr>
          <w:gridAfter w:val="1"/>
          <w:wAfter w:w="7" w:type="dxa"/>
          <w:trHeight w:val="79"/>
          <w:jc w:val="center"/>
        </w:trPr>
        <w:tc>
          <w:tcPr>
            <w:tcW w:w="10918" w:type="dxa"/>
            <w:gridSpan w:val="3"/>
            <w:tcBorders>
              <w:top w:val="nil"/>
              <w:left w:val="nil"/>
              <w:bottom w:val="nil"/>
              <w:right w:val="nil"/>
            </w:tcBorders>
          </w:tcPr>
          <w:p w14:paraId="740D3A80" w14:textId="77777777" w:rsidR="008B22F3" w:rsidRPr="008B22F3" w:rsidRDefault="008B22F3" w:rsidP="008B22F3">
            <w:pPr>
              <w:keepNext/>
              <w:tabs>
                <w:tab w:val="left" w:pos="567"/>
              </w:tabs>
              <w:jc w:val="both"/>
              <w:rPr>
                <w:rFonts w:asciiTheme="majorBidi" w:hAnsiTheme="majorBidi" w:cstheme="majorBidi"/>
                <w:color w:val="000000"/>
                <w:sz w:val="20"/>
                <w:szCs w:val="20"/>
              </w:rPr>
            </w:pPr>
          </w:p>
          <w:p w14:paraId="3A8A2534" w14:textId="77777777" w:rsidR="008B22F3" w:rsidRPr="008B22F3" w:rsidRDefault="008B22F3" w:rsidP="008B22F3">
            <w:pPr>
              <w:keepNext/>
              <w:tabs>
                <w:tab w:val="left" w:pos="567"/>
              </w:tabs>
              <w:jc w:val="both"/>
              <w:rPr>
                <w:rFonts w:ascii="Times New Roman" w:hAnsi="Times New Roman" w:cs="Times New Roman"/>
                <w:i/>
                <w:iCs/>
                <w:sz w:val="16"/>
                <w:szCs w:val="16"/>
              </w:rPr>
            </w:pPr>
            <w:r w:rsidRPr="008B22F3">
              <w:rPr>
                <w:rFonts w:asciiTheme="majorBidi" w:hAnsiTheme="majorBidi" w:cstheme="majorBidi"/>
                <w:color w:val="000000"/>
                <w:sz w:val="20"/>
                <w:szCs w:val="20"/>
              </w:rPr>
              <w:t>*Significant at the 10% level. **Significant at the 5% level. ***Significant at the 1% level</w:t>
            </w:r>
          </w:p>
          <w:p w14:paraId="1F9EF6E3" w14:textId="77777777" w:rsidR="008B22F3" w:rsidRPr="008B22F3" w:rsidRDefault="008B22F3" w:rsidP="008B22F3">
            <w:pPr>
              <w:tabs>
                <w:tab w:val="left" w:pos="567"/>
              </w:tabs>
              <w:jc w:val="center"/>
              <w:rPr>
                <w:rFonts w:asciiTheme="majorBidi" w:hAnsiTheme="majorBidi" w:cstheme="majorBidi"/>
                <w:sz w:val="4"/>
                <w:szCs w:val="4"/>
              </w:rPr>
            </w:pPr>
          </w:p>
        </w:tc>
      </w:tr>
      <w:tr w:rsidR="002C688A" w:rsidRPr="00486141" w14:paraId="302BEA29" w14:textId="77777777" w:rsidTr="006A5C09">
        <w:trPr>
          <w:gridAfter w:val="1"/>
          <w:wAfter w:w="7" w:type="dxa"/>
          <w:trHeight w:val="66"/>
          <w:jc w:val="center"/>
        </w:trPr>
        <w:tc>
          <w:tcPr>
            <w:tcW w:w="4050" w:type="dxa"/>
            <w:tcBorders>
              <w:top w:val="nil"/>
              <w:left w:val="nil"/>
              <w:bottom w:val="single" w:sz="8" w:space="0" w:color="000000"/>
              <w:right w:val="nil"/>
            </w:tcBorders>
          </w:tcPr>
          <w:p w14:paraId="0EC6C8FE" w14:textId="77777777" w:rsidR="002C688A" w:rsidRPr="00486141" w:rsidRDefault="002C688A" w:rsidP="004A5C88">
            <w:pPr>
              <w:tabs>
                <w:tab w:val="left" w:pos="567"/>
              </w:tabs>
              <w:rPr>
                <w:rFonts w:asciiTheme="majorBidi" w:hAnsiTheme="majorBidi" w:cstheme="majorBidi"/>
                <w:sz w:val="8"/>
                <w:szCs w:val="8"/>
              </w:rPr>
            </w:pPr>
          </w:p>
        </w:tc>
        <w:tc>
          <w:tcPr>
            <w:tcW w:w="3102" w:type="dxa"/>
            <w:tcBorders>
              <w:top w:val="nil"/>
              <w:left w:val="nil"/>
              <w:bottom w:val="single" w:sz="8" w:space="0" w:color="000000"/>
              <w:right w:val="nil"/>
            </w:tcBorders>
            <w:vAlign w:val="center"/>
          </w:tcPr>
          <w:p w14:paraId="7B1975B6" w14:textId="77777777" w:rsidR="002C688A" w:rsidRPr="00486141" w:rsidRDefault="002C688A" w:rsidP="004A5C88">
            <w:pPr>
              <w:tabs>
                <w:tab w:val="left" w:pos="567"/>
              </w:tabs>
              <w:jc w:val="center"/>
              <w:rPr>
                <w:rFonts w:asciiTheme="majorBidi" w:hAnsiTheme="majorBidi" w:cstheme="majorBidi"/>
                <w:sz w:val="8"/>
                <w:szCs w:val="8"/>
              </w:rPr>
            </w:pPr>
          </w:p>
        </w:tc>
        <w:tc>
          <w:tcPr>
            <w:tcW w:w="3766" w:type="dxa"/>
            <w:tcBorders>
              <w:top w:val="nil"/>
              <w:left w:val="nil"/>
              <w:bottom w:val="single" w:sz="8" w:space="0" w:color="000000"/>
              <w:right w:val="nil"/>
            </w:tcBorders>
            <w:vAlign w:val="center"/>
          </w:tcPr>
          <w:p w14:paraId="1AC5C539" w14:textId="77777777" w:rsidR="002C688A" w:rsidRPr="00486141" w:rsidRDefault="002C688A" w:rsidP="004A5C88">
            <w:pPr>
              <w:tabs>
                <w:tab w:val="left" w:pos="567"/>
              </w:tabs>
              <w:jc w:val="center"/>
              <w:rPr>
                <w:rFonts w:asciiTheme="majorBidi" w:hAnsiTheme="majorBidi" w:cstheme="majorBidi"/>
                <w:sz w:val="8"/>
                <w:szCs w:val="8"/>
              </w:rPr>
            </w:pPr>
          </w:p>
        </w:tc>
      </w:tr>
    </w:tbl>
    <w:p w14:paraId="4AB38495" w14:textId="044819FE" w:rsidR="00DB3A4E" w:rsidRDefault="00DB3A4E" w:rsidP="008F42C0">
      <w:pPr>
        <w:keepNext/>
        <w:tabs>
          <w:tab w:val="left" w:pos="567"/>
        </w:tabs>
        <w:spacing w:after="0" w:line="288" w:lineRule="auto"/>
        <w:jc w:val="both"/>
        <w:rPr>
          <w:rFonts w:asciiTheme="majorBidi" w:hAnsiTheme="majorBidi" w:cstheme="majorBidi"/>
          <w:color w:val="000000"/>
          <w:sz w:val="24"/>
          <w:szCs w:val="24"/>
        </w:rPr>
      </w:pPr>
      <w:r>
        <w:rPr>
          <w:rFonts w:asciiTheme="majorBidi" w:hAnsiTheme="majorBidi" w:cstheme="majorBidi"/>
          <w:color w:val="000000"/>
        </w:rPr>
        <w:lastRenderedPageBreak/>
        <w:tab/>
      </w:r>
      <w:r w:rsidR="00AC2FAB" w:rsidRPr="002C688A">
        <w:rPr>
          <w:rFonts w:asciiTheme="majorBidi" w:hAnsiTheme="majorBidi" w:cstheme="majorBidi"/>
          <w:color w:val="000000"/>
          <w:sz w:val="24"/>
          <w:szCs w:val="24"/>
        </w:rPr>
        <w:t>Table 3</w:t>
      </w:r>
      <w:r w:rsidRPr="002C688A">
        <w:rPr>
          <w:rFonts w:asciiTheme="majorBidi" w:hAnsiTheme="majorBidi" w:cstheme="majorBidi"/>
          <w:color w:val="000000"/>
          <w:sz w:val="24"/>
          <w:szCs w:val="24"/>
        </w:rPr>
        <w:t xml:space="preserve"> presents the results of running ordinary least squares regressions using Models 2 and 3. Refer to the text for full explanation of the models. The dependent variable, </w:t>
      </w:r>
      <w:r w:rsidRPr="002C688A">
        <w:rPr>
          <w:rFonts w:ascii="Times New Roman" w:hAnsi="Times New Roman" w:cs="Times New Roman"/>
          <w:i/>
          <w:iCs/>
          <w:sz w:val="24"/>
          <w:szCs w:val="24"/>
        </w:rPr>
        <w:t>CAR</w:t>
      </w:r>
      <w:r w:rsidRPr="002C688A">
        <w:rPr>
          <w:rFonts w:ascii="Times New Roman" w:hAnsi="Times New Roman" w:cs="Times New Roman"/>
          <w:i/>
          <w:iCs/>
          <w:sz w:val="24"/>
          <w:szCs w:val="24"/>
          <w:vertAlign w:val="subscript"/>
        </w:rPr>
        <w:t>i,t</w:t>
      </w:r>
      <w:r w:rsidRPr="002C688A">
        <w:rPr>
          <w:rFonts w:ascii="Times New Roman" w:hAnsi="Times New Roman" w:cs="Times New Roman"/>
          <w:i/>
          <w:iCs/>
          <w:sz w:val="24"/>
          <w:szCs w:val="24"/>
        </w:rPr>
        <w:t xml:space="preserve">, </w:t>
      </w:r>
      <w:r w:rsidRPr="002C688A">
        <w:rPr>
          <w:rFonts w:ascii="Times New Roman" w:hAnsi="Times New Roman" w:cs="Times New Roman"/>
          <w:sz w:val="24"/>
          <w:szCs w:val="24"/>
        </w:rPr>
        <w:t>is the cumulative abnormal return calculated for the period specified in the brackets.</w:t>
      </w:r>
      <w:r w:rsidRPr="002C688A">
        <w:rPr>
          <w:rFonts w:ascii="Times New Roman" w:hAnsi="Times New Roman" w:cs="Times New Roman"/>
          <w:i/>
          <w:iCs/>
          <w:sz w:val="24"/>
          <w:szCs w:val="24"/>
        </w:rPr>
        <w:t xml:space="preserve"> NUE</w:t>
      </w:r>
      <w:r w:rsidRPr="002C688A">
        <w:rPr>
          <w:rFonts w:ascii="Times New Roman" w:hAnsi="Times New Roman" w:cs="Times New Roman"/>
          <w:i/>
          <w:iCs/>
          <w:sz w:val="24"/>
          <w:szCs w:val="24"/>
          <w:vertAlign w:val="subscript"/>
        </w:rPr>
        <w:t>i,t</w:t>
      </w:r>
      <w:r w:rsidRPr="002C688A">
        <w:rPr>
          <w:rFonts w:ascii="Times New Roman" w:hAnsi="Times New Roman" w:cs="Times New Roman"/>
          <w:i/>
          <w:iCs/>
          <w:sz w:val="24"/>
          <w:szCs w:val="24"/>
        </w:rPr>
        <w:t xml:space="preserve"> </w:t>
      </w:r>
      <w:r w:rsidRPr="002C688A">
        <w:rPr>
          <w:rFonts w:ascii="Times New Roman" w:hAnsi="Times New Roman" w:cs="Times New Roman"/>
          <w:sz w:val="24"/>
          <w:szCs w:val="24"/>
        </w:rPr>
        <w:t>(</w:t>
      </w:r>
      <w:r w:rsidRPr="002C688A">
        <w:rPr>
          <w:rFonts w:ascii="Times New Roman" w:hAnsi="Times New Roman" w:cs="Times New Roman"/>
          <w:i/>
          <w:iCs/>
          <w:sz w:val="24"/>
          <w:szCs w:val="24"/>
        </w:rPr>
        <w:t>PUE</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the negative (positive) UE measure which takes the value of SUE when it is negative (positive) or 0 otherwise. </w:t>
      </w:r>
      <w:r w:rsidRPr="002C688A">
        <w:rPr>
          <w:rFonts w:ascii="Times New Roman" w:hAnsi="Times New Roman" w:cs="Times New Roman"/>
          <w:i/>
          <w:iCs/>
          <w:sz w:val="24"/>
          <w:szCs w:val="24"/>
        </w:rPr>
        <w:t>GOVH</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a dummy variable which takes the value 1 if the governance index value for the announcement year is above the median value for all other observations or 0 otherwise. </w:t>
      </w:r>
      <w:r w:rsidRPr="002C688A">
        <w:rPr>
          <w:rFonts w:ascii="Times New Roman" w:hAnsi="Times New Roman" w:cs="Times New Roman"/>
          <w:i/>
          <w:iCs/>
          <w:sz w:val="24"/>
          <w:szCs w:val="24"/>
        </w:rPr>
        <w:t>SMIP</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a dummy variable which takes the value 1 if the cumulative return on S&amp;P 1500 (sentiment measure) five-days prior to the announcement is positive or 0 otherwise. </w:t>
      </w:r>
      <w:r w:rsidRPr="002C688A">
        <w:rPr>
          <w:rFonts w:ascii="Times New Roman" w:hAnsi="Times New Roman" w:cs="Times New Roman"/>
          <w:i/>
          <w:iCs/>
          <w:sz w:val="24"/>
          <w:szCs w:val="24"/>
        </w:rPr>
        <w:t>VIXH</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a dummy variable which takes the value 1 if the VIX (uncertainty measure) value one day prior to the announcement is above the median value for all VIX observations or 0 otherwise. </w:t>
      </w:r>
      <w:r w:rsidRPr="002C688A">
        <w:rPr>
          <w:rFonts w:ascii="Times New Roman" w:hAnsi="Times New Roman" w:cs="Times New Roman"/>
          <w:i/>
          <w:iCs/>
          <w:sz w:val="24"/>
          <w:szCs w:val="24"/>
        </w:rPr>
        <w:t>PSMIP</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a dummy variable which takes the value 1 if the sum of the daily returns on the market index (sentiment measure) over the post-announcement period is positive or 0 otherwise, while </w:t>
      </w:r>
      <w:r w:rsidRPr="002C688A">
        <w:rPr>
          <w:rFonts w:ascii="Times New Roman" w:hAnsi="Times New Roman" w:cs="Times New Roman"/>
          <w:i/>
          <w:iCs/>
          <w:sz w:val="24"/>
          <w:szCs w:val="24"/>
        </w:rPr>
        <w:t>∆VIXH</w:t>
      </w:r>
      <w:r w:rsidRPr="002C688A">
        <w:rPr>
          <w:rFonts w:ascii="Times New Roman" w:hAnsi="Times New Roman" w:cs="Times New Roman"/>
          <w:i/>
          <w:iCs/>
          <w:sz w:val="24"/>
          <w:szCs w:val="24"/>
          <w:vertAlign w:val="subscript"/>
        </w:rPr>
        <w:t>i,t</w:t>
      </w:r>
      <w:r w:rsidRPr="002C688A">
        <w:rPr>
          <w:rFonts w:ascii="Times New Roman" w:hAnsi="Times New Roman" w:cs="Times New Roman"/>
          <w:sz w:val="24"/>
          <w:szCs w:val="24"/>
        </w:rPr>
        <w:t xml:space="preserve"> is a dummy variable that measures change in VIX (uncertainty measure) over the studied period and takes the value 1 if the value of VIX increases over the post-announcement period (T+2 to T+60) or 0 otherwise. All variables are defined in Appendix I</w:t>
      </w:r>
      <w:r w:rsidRPr="002C688A">
        <w:rPr>
          <w:rFonts w:asciiTheme="majorBidi" w:hAnsiTheme="majorBidi" w:cstheme="majorBidi"/>
          <w:color w:val="000000"/>
          <w:sz w:val="24"/>
          <w:szCs w:val="24"/>
        </w:rPr>
        <w:t xml:space="preserve">. The t-Statistics are reported in parentheses. The standard errors are clustered across firm and time. </w:t>
      </w:r>
    </w:p>
    <w:p w14:paraId="6E465DB6" w14:textId="77777777" w:rsidR="00DB3A4E" w:rsidRPr="002C688A" w:rsidRDefault="00DB3A4E" w:rsidP="008F42C0">
      <w:pPr>
        <w:keepNext/>
        <w:tabs>
          <w:tab w:val="left" w:pos="567"/>
        </w:tabs>
        <w:spacing w:after="0" w:line="288" w:lineRule="auto"/>
        <w:jc w:val="both"/>
        <w:rPr>
          <w:rFonts w:ascii="Times New Roman" w:hAnsi="Times New Roman" w:cs="Times New Roman"/>
          <w:i/>
          <w:iCs/>
          <w:sz w:val="24"/>
          <w:szCs w:val="24"/>
        </w:rPr>
      </w:pPr>
    </w:p>
    <w:p w14:paraId="5B92635D" w14:textId="1354CC1F" w:rsidR="00891F86" w:rsidRPr="00C96DCC" w:rsidRDefault="00C96DCC" w:rsidP="00C96DCC">
      <w:p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4.3.1</w:t>
      </w:r>
      <w:r w:rsidR="00080661">
        <w:rPr>
          <w:rFonts w:ascii="Times New Roman" w:hAnsi="Times New Roman" w:cs="Times New Roman"/>
          <w:b/>
          <w:bCs/>
          <w:sz w:val="24"/>
          <w:szCs w:val="24"/>
        </w:rPr>
        <w:t>.</w:t>
      </w:r>
      <w:r>
        <w:rPr>
          <w:rFonts w:ascii="Times New Roman" w:hAnsi="Times New Roman" w:cs="Times New Roman"/>
          <w:b/>
          <w:bCs/>
          <w:sz w:val="24"/>
          <w:szCs w:val="24"/>
        </w:rPr>
        <w:t xml:space="preserve"> </w:t>
      </w:r>
      <w:r w:rsidR="00891F86" w:rsidRPr="00C96DCC">
        <w:rPr>
          <w:rFonts w:ascii="Times New Roman" w:hAnsi="Times New Roman" w:cs="Times New Roman"/>
          <w:b/>
          <w:bCs/>
          <w:sz w:val="24"/>
          <w:szCs w:val="24"/>
        </w:rPr>
        <w:t xml:space="preserve">At the </w:t>
      </w:r>
      <w:r w:rsidR="00DB3A4E">
        <w:rPr>
          <w:rFonts w:ascii="Times New Roman" w:hAnsi="Times New Roman" w:cs="Times New Roman"/>
          <w:b/>
          <w:bCs/>
          <w:sz w:val="24"/>
          <w:szCs w:val="24"/>
        </w:rPr>
        <w:t>T</w:t>
      </w:r>
      <w:r w:rsidR="00891F86" w:rsidRPr="00C96DCC">
        <w:rPr>
          <w:rFonts w:ascii="Times New Roman" w:hAnsi="Times New Roman" w:cs="Times New Roman"/>
          <w:b/>
          <w:bCs/>
          <w:sz w:val="24"/>
          <w:szCs w:val="24"/>
        </w:rPr>
        <w:t xml:space="preserve">ime of the </w:t>
      </w:r>
      <w:r w:rsidRPr="00C96DCC">
        <w:rPr>
          <w:rFonts w:ascii="Times New Roman" w:hAnsi="Times New Roman" w:cs="Times New Roman"/>
          <w:b/>
          <w:bCs/>
          <w:sz w:val="24"/>
          <w:szCs w:val="24"/>
        </w:rPr>
        <w:t>A</w:t>
      </w:r>
      <w:r w:rsidR="00891F86" w:rsidRPr="00C96DCC">
        <w:rPr>
          <w:rFonts w:ascii="Times New Roman" w:hAnsi="Times New Roman" w:cs="Times New Roman"/>
          <w:b/>
          <w:bCs/>
          <w:sz w:val="24"/>
          <w:szCs w:val="24"/>
        </w:rPr>
        <w:t>nnouncement</w:t>
      </w:r>
    </w:p>
    <w:p w14:paraId="7C4C796F" w14:textId="4F00C7B7" w:rsidR="00134380" w:rsidRPr="002C688A" w:rsidRDefault="00134380" w:rsidP="008F42C0">
      <w:pPr>
        <w:keepNext/>
        <w:tabs>
          <w:tab w:val="left" w:pos="567"/>
        </w:tabs>
        <w:spacing w:after="0" w:line="288" w:lineRule="auto"/>
        <w:jc w:val="both"/>
        <w:rPr>
          <w:rFonts w:ascii="Times New Roman" w:hAnsi="Times New Roman" w:cs="Times New Roman"/>
          <w:sz w:val="6"/>
          <w:szCs w:val="6"/>
        </w:rPr>
      </w:pPr>
      <w:bookmarkStart w:id="12" w:name="_Hlk34681284"/>
    </w:p>
    <w:p w14:paraId="6FB8EC95" w14:textId="77777777" w:rsidR="0070203A" w:rsidRDefault="00891F86"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apply model 2 to our sample to address the initial impact of corporate governance and report our findings in the first column of </w:t>
      </w:r>
      <w:r w:rsidR="00D23615" w:rsidRPr="008D4AFE">
        <w:rPr>
          <w:rFonts w:ascii="Times New Roman" w:hAnsi="Times New Roman" w:cs="Times New Roman"/>
          <w:sz w:val="24"/>
          <w:szCs w:val="24"/>
        </w:rPr>
        <w:t>T</w:t>
      </w:r>
      <w:r w:rsidRPr="008D4AFE">
        <w:rPr>
          <w:rFonts w:ascii="Times New Roman" w:hAnsi="Times New Roman" w:cs="Times New Roman"/>
          <w:sz w:val="24"/>
          <w:szCs w:val="24"/>
        </w:rPr>
        <w:t>able 3.</w:t>
      </w:r>
      <w:r>
        <w:rPr>
          <w:rFonts w:ascii="Times New Roman" w:hAnsi="Times New Roman" w:cs="Times New Roman"/>
          <w:sz w:val="24"/>
          <w:szCs w:val="24"/>
        </w:rPr>
        <w:t xml:space="preserve"> </w:t>
      </w:r>
      <w:bookmarkEnd w:id="12"/>
      <w:r>
        <w:rPr>
          <w:rFonts w:ascii="Times New Roman" w:hAnsi="Times New Roman" w:cs="Times New Roman"/>
          <w:sz w:val="24"/>
          <w:szCs w:val="24"/>
        </w:rPr>
        <w:t xml:space="preserve">The critical coefficients on which to focus are </w:t>
      </w:r>
      <w:r>
        <w:rPr>
          <w:rFonts w:ascii="Times New Roman" w:hAnsi="Times New Roman" w:cs="Times New Roman"/>
          <w:i/>
          <w:iCs/>
          <w:sz w:val="24"/>
          <w:szCs w:val="24"/>
        </w:rPr>
        <w:t>β</w:t>
      </w:r>
      <w:r>
        <w:rPr>
          <w:rFonts w:ascii="Times New Roman" w:hAnsi="Times New Roman" w:cs="Times New Roman"/>
          <w:i/>
          <w:iCs/>
          <w:sz w:val="24"/>
          <w:szCs w:val="24"/>
          <w:vertAlign w:val="subscript"/>
        </w:rPr>
        <w:t xml:space="preserve">6 </w:t>
      </w:r>
      <w:r w:rsidRPr="00366E4B">
        <w:rPr>
          <w:rFonts w:ascii="Times New Roman" w:hAnsi="Times New Roman" w:cs="Times New Roman"/>
          <w:sz w:val="24"/>
          <w:szCs w:val="24"/>
        </w:rPr>
        <w:t>and</w:t>
      </w:r>
      <w:r>
        <w:rPr>
          <w:rFonts w:ascii="Times New Roman" w:hAnsi="Times New Roman" w:cs="Times New Roman"/>
          <w:i/>
          <w:iCs/>
          <w:sz w:val="24"/>
          <w:szCs w:val="24"/>
          <w:vertAlign w:val="subscript"/>
        </w:rPr>
        <w:t xml:space="preserve"> </w:t>
      </w:r>
      <w:r>
        <w:rPr>
          <w:rFonts w:ascii="Times New Roman" w:hAnsi="Times New Roman" w:cs="Times New Roman"/>
          <w:i/>
          <w:iCs/>
          <w:sz w:val="24"/>
          <w:szCs w:val="24"/>
        </w:rPr>
        <w:t>β</w:t>
      </w:r>
      <w:r>
        <w:rPr>
          <w:rFonts w:ascii="Times New Roman" w:hAnsi="Times New Roman" w:cs="Times New Roman"/>
          <w:i/>
          <w:iCs/>
          <w:sz w:val="24"/>
          <w:szCs w:val="24"/>
          <w:vertAlign w:val="subscript"/>
        </w:rPr>
        <w:t>7</w:t>
      </w:r>
      <w:r>
        <w:rPr>
          <w:rFonts w:ascii="Times New Roman" w:hAnsi="Times New Roman" w:cs="Times New Roman"/>
          <w:sz w:val="24"/>
          <w:szCs w:val="24"/>
        </w:rPr>
        <w:t xml:space="preserve"> which measure the difference between the impact of a quantum of unexpected earnings </w:t>
      </w:r>
      <w:r w:rsidR="00267FC0">
        <w:rPr>
          <w:rFonts w:ascii="Times New Roman" w:hAnsi="Times New Roman" w:cs="Times New Roman"/>
          <w:sz w:val="24"/>
          <w:szCs w:val="24"/>
        </w:rPr>
        <w:t xml:space="preserve">news </w:t>
      </w:r>
      <w:r>
        <w:rPr>
          <w:rFonts w:ascii="Times New Roman" w:hAnsi="Times New Roman" w:cs="Times New Roman"/>
          <w:sz w:val="24"/>
          <w:szCs w:val="24"/>
        </w:rPr>
        <w:t xml:space="preserve">on the valuation of a firm with high corporate governance as compared with one with low corporate governance. For both negative earnings surprises and positive earnings surprises, these coefficients are positive and significant (0.0075*** for NUE and 0.0082*** for PUE) indicating that an earnings surprise has a much larger impact on the valuation of a firm that enjoys a high level of corporate governance. From this we can conclude that the level of corporate governance influences how investors react to earnings information flowing from a firm. </w:t>
      </w:r>
    </w:p>
    <w:p w14:paraId="0328946E" w14:textId="77777777" w:rsidR="0070203A" w:rsidRDefault="0070203A" w:rsidP="008F42C0">
      <w:pPr>
        <w:keepNext/>
        <w:tabs>
          <w:tab w:val="left" w:pos="567"/>
        </w:tabs>
        <w:spacing w:after="0" w:line="288" w:lineRule="auto"/>
        <w:jc w:val="both"/>
        <w:rPr>
          <w:rFonts w:ascii="Times New Roman" w:hAnsi="Times New Roman" w:cs="Times New Roman"/>
          <w:sz w:val="24"/>
          <w:szCs w:val="24"/>
        </w:rPr>
      </w:pPr>
    </w:p>
    <w:p w14:paraId="19FACF76" w14:textId="46D2EDF8" w:rsidR="00891F86" w:rsidRDefault="0070203A"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91F86">
        <w:rPr>
          <w:rFonts w:ascii="Times New Roman" w:hAnsi="Times New Roman" w:cs="Times New Roman"/>
          <w:sz w:val="24"/>
          <w:szCs w:val="24"/>
        </w:rPr>
        <w:t>The fact that stronger corporate governance results in a greater reaction suggests that the investors might give more credibility to information being released by firms with high levels of corporate governance which is a proposition that we will consider in more detail in the next section. It is also worth noting that</w:t>
      </w:r>
      <w:r w:rsidR="00B22DDA">
        <w:rPr>
          <w:rFonts w:ascii="Times New Roman" w:hAnsi="Times New Roman" w:cs="Times New Roman"/>
          <w:sz w:val="24"/>
          <w:szCs w:val="24"/>
        </w:rPr>
        <w:t xml:space="preserve"> the</w:t>
      </w:r>
      <w:r w:rsidR="00891F86">
        <w:rPr>
          <w:rFonts w:ascii="Times New Roman" w:hAnsi="Times New Roman" w:cs="Times New Roman"/>
          <w:sz w:val="24"/>
          <w:szCs w:val="24"/>
        </w:rPr>
        <w:t xml:space="preserve"> coefficient measuring the direct relationship between corporate governance and firm valuation (</w:t>
      </w:r>
      <w:r w:rsidR="00891F86" w:rsidRPr="00C92FD2">
        <w:rPr>
          <w:rFonts w:ascii="Times New Roman" w:hAnsi="Times New Roman" w:cs="Times New Roman"/>
          <w:i/>
          <w:iCs/>
          <w:sz w:val="24"/>
          <w:szCs w:val="24"/>
        </w:rPr>
        <w:t>β</w:t>
      </w:r>
      <w:r w:rsidR="00891F86" w:rsidRPr="00366E4B">
        <w:rPr>
          <w:rFonts w:ascii="Times New Roman" w:hAnsi="Times New Roman" w:cs="Times New Roman"/>
          <w:i/>
          <w:iCs/>
          <w:sz w:val="24"/>
          <w:szCs w:val="24"/>
          <w:vertAlign w:val="subscript"/>
        </w:rPr>
        <w:t>3</w:t>
      </w:r>
      <w:r w:rsidR="00891F86" w:rsidRPr="00366E4B">
        <w:rPr>
          <w:rFonts w:ascii="Times New Roman" w:hAnsi="Times New Roman" w:cs="Times New Roman"/>
          <w:sz w:val="24"/>
          <w:szCs w:val="24"/>
        </w:rPr>
        <w:t>)</w:t>
      </w:r>
      <w:r w:rsidR="00891F86">
        <w:rPr>
          <w:rFonts w:ascii="Times New Roman" w:hAnsi="Times New Roman" w:cs="Times New Roman"/>
          <w:i/>
          <w:iCs/>
          <w:sz w:val="24"/>
          <w:szCs w:val="24"/>
        </w:rPr>
        <w:t xml:space="preserve"> </w:t>
      </w:r>
      <w:r w:rsidR="00891F86" w:rsidRPr="00366E4B">
        <w:rPr>
          <w:rFonts w:ascii="Times New Roman" w:hAnsi="Times New Roman" w:cs="Times New Roman"/>
          <w:sz w:val="24"/>
          <w:szCs w:val="24"/>
        </w:rPr>
        <w:t>is al</w:t>
      </w:r>
      <w:r w:rsidR="00891F86">
        <w:rPr>
          <w:rFonts w:ascii="Times New Roman" w:hAnsi="Times New Roman" w:cs="Times New Roman"/>
          <w:sz w:val="24"/>
          <w:szCs w:val="24"/>
        </w:rPr>
        <w:t>s</w:t>
      </w:r>
      <w:r w:rsidR="00891F86" w:rsidRPr="00366E4B">
        <w:rPr>
          <w:rFonts w:ascii="Times New Roman" w:hAnsi="Times New Roman" w:cs="Times New Roman"/>
          <w:sz w:val="24"/>
          <w:szCs w:val="24"/>
        </w:rPr>
        <w:t xml:space="preserve">o significant and positive, </w:t>
      </w:r>
      <w:r w:rsidR="00891F86">
        <w:rPr>
          <w:rFonts w:ascii="Times New Roman" w:hAnsi="Times New Roman" w:cs="Times New Roman"/>
          <w:sz w:val="24"/>
          <w:szCs w:val="24"/>
        </w:rPr>
        <w:t xml:space="preserve">confirming the findings of previous studies that firms with strong corporate governance are more highly valued by the market. </w:t>
      </w:r>
    </w:p>
    <w:p w14:paraId="1027922C" w14:textId="77777777" w:rsidR="00134380" w:rsidRPr="002C688A" w:rsidRDefault="00134380" w:rsidP="008F42C0">
      <w:pPr>
        <w:keepNext/>
        <w:tabs>
          <w:tab w:val="left" w:pos="567"/>
        </w:tabs>
        <w:spacing w:after="0" w:line="288" w:lineRule="auto"/>
        <w:jc w:val="both"/>
        <w:rPr>
          <w:rFonts w:ascii="Times New Roman" w:hAnsi="Times New Roman" w:cs="Times New Roman"/>
          <w:sz w:val="16"/>
          <w:szCs w:val="16"/>
        </w:rPr>
      </w:pPr>
    </w:p>
    <w:p w14:paraId="5ABCA0AC" w14:textId="2E39EF97" w:rsidR="00134380" w:rsidRDefault="00134380"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91F86">
        <w:rPr>
          <w:rFonts w:ascii="Times New Roman" w:hAnsi="Times New Roman" w:cs="Times New Roman"/>
          <w:sz w:val="24"/>
          <w:szCs w:val="24"/>
        </w:rPr>
        <w:t>Our finding</w:t>
      </w:r>
      <w:r w:rsidR="005425E5">
        <w:rPr>
          <w:rFonts w:ascii="Times New Roman" w:hAnsi="Times New Roman" w:cs="Times New Roman"/>
          <w:sz w:val="24"/>
          <w:szCs w:val="24"/>
        </w:rPr>
        <w:t>s</w:t>
      </w:r>
      <w:r w:rsidR="00891F86">
        <w:rPr>
          <w:rFonts w:ascii="Times New Roman" w:hAnsi="Times New Roman" w:cs="Times New Roman"/>
          <w:sz w:val="24"/>
          <w:szCs w:val="24"/>
        </w:rPr>
        <w:t xml:space="preserve"> for both uncertainty and sentiment are consistent with the findings of other papers</w:t>
      </w:r>
      <w:r w:rsidR="0054722B">
        <w:rPr>
          <w:rFonts w:ascii="Times New Roman" w:hAnsi="Times New Roman" w:cs="Times New Roman"/>
          <w:sz w:val="24"/>
          <w:szCs w:val="24"/>
        </w:rPr>
        <w:t xml:space="preserve"> </w:t>
      </w:r>
      <w:r w:rsidR="00891F86">
        <w:rPr>
          <w:rFonts w:ascii="Times New Roman" w:hAnsi="Times New Roman" w:cs="Times New Roman"/>
          <w:sz w:val="24"/>
          <w:szCs w:val="24"/>
        </w:rPr>
        <w:t xml:space="preserve">with the market response to good earnings news being greatest when uncertainty is low and sentiment is high, while the response to bad earnings news is greatest when uncertainty is </w:t>
      </w:r>
      <w:r w:rsidR="00891F86">
        <w:rPr>
          <w:rFonts w:ascii="Times New Roman" w:hAnsi="Times New Roman" w:cs="Times New Roman"/>
          <w:sz w:val="24"/>
          <w:szCs w:val="24"/>
        </w:rPr>
        <w:lastRenderedPageBreak/>
        <w:t>high and sentiment is low</w:t>
      </w:r>
      <w:r w:rsidR="0054722B">
        <w:rPr>
          <w:rFonts w:ascii="Times New Roman" w:hAnsi="Times New Roman" w:cs="Times New Roman"/>
          <w:sz w:val="24"/>
          <w:szCs w:val="24"/>
        </w:rPr>
        <w:t xml:space="preserve"> (</w:t>
      </w:r>
      <w:r w:rsidR="0054722B" w:rsidRPr="005224E8">
        <w:rPr>
          <w:rFonts w:ascii="Times New Roman" w:hAnsi="Times New Roman" w:cs="Times New Roman"/>
          <w:sz w:val="24"/>
          <w:szCs w:val="24"/>
        </w:rPr>
        <w:t>Bird and Yeung</w:t>
      </w:r>
      <w:r>
        <w:rPr>
          <w:rFonts w:ascii="Times New Roman" w:hAnsi="Times New Roman" w:cs="Times New Roman"/>
          <w:sz w:val="24"/>
          <w:szCs w:val="24"/>
        </w:rPr>
        <w:t xml:space="preserve"> </w:t>
      </w:r>
      <w:r w:rsidR="0054722B" w:rsidRPr="005224E8">
        <w:rPr>
          <w:rFonts w:ascii="Times New Roman" w:hAnsi="Times New Roman" w:cs="Times New Roman"/>
          <w:sz w:val="24"/>
          <w:szCs w:val="24"/>
        </w:rPr>
        <w:t>2012</w:t>
      </w:r>
      <w:r>
        <w:rPr>
          <w:rFonts w:ascii="Times New Roman" w:hAnsi="Times New Roman" w:cs="Times New Roman"/>
          <w:sz w:val="24"/>
          <w:szCs w:val="24"/>
        </w:rPr>
        <w:t>,</w:t>
      </w:r>
      <w:r w:rsidR="0054722B" w:rsidRPr="005224E8">
        <w:rPr>
          <w:rFonts w:ascii="Times New Roman" w:hAnsi="Times New Roman" w:cs="Times New Roman"/>
          <w:sz w:val="24"/>
          <w:szCs w:val="24"/>
        </w:rPr>
        <w:t xml:space="preserve"> Bird </w:t>
      </w:r>
      <w:r w:rsidR="0054722B" w:rsidRPr="00134380">
        <w:rPr>
          <w:rFonts w:ascii="Times New Roman" w:hAnsi="Times New Roman" w:cs="Times New Roman"/>
          <w:i/>
          <w:iCs/>
          <w:sz w:val="24"/>
          <w:szCs w:val="24"/>
        </w:rPr>
        <w:t>et al.</w:t>
      </w:r>
      <w:r w:rsidR="0054722B">
        <w:rPr>
          <w:rFonts w:ascii="Times New Roman" w:hAnsi="Times New Roman" w:cs="Times New Roman"/>
          <w:sz w:val="24"/>
          <w:szCs w:val="24"/>
        </w:rPr>
        <w:t xml:space="preserve"> </w:t>
      </w:r>
      <w:r w:rsidR="0054722B" w:rsidRPr="005224E8">
        <w:rPr>
          <w:rFonts w:ascii="Times New Roman" w:hAnsi="Times New Roman" w:cs="Times New Roman"/>
          <w:sz w:val="24"/>
          <w:szCs w:val="24"/>
        </w:rPr>
        <w:t>2014</w:t>
      </w:r>
      <w:r w:rsidR="0054722B">
        <w:rPr>
          <w:rFonts w:ascii="Times New Roman" w:hAnsi="Times New Roman" w:cs="Times New Roman"/>
          <w:sz w:val="24"/>
          <w:szCs w:val="24"/>
        </w:rPr>
        <w:t>)</w:t>
      </w:r>
      <w:r w:rsidR="00891F86">
        <w:rPr>
          <w:rFonts w:ascii="Times New Roman" w:hAnsi="Times New Roman" w:cs="Times New Roman"/>
          <w:sz w:val="24"/>
          <w:szCs w:val="24"/>
        </w:rPr>
        <w:t xml:space="preserve">. </w:t>
      </w:r>
      <w:r w:rsidR="00267FC0">
        <w:rPr>
          <w:rFonts w:ascii="Times New Roman" w:hAnsi="Times New Roman" w:cs="Times New Roman"/>
          <w:sz w:val="24"/>
          <w:szCs w:val="24"/>
        </w:rPr>
        <w:t xml:space="preserve">We find that greater uncertainty </w:t>
      </w:r>
      <w:r w:rsidR="00AD2324">
        <w:rPr>
          <w:rFonts w:ascii="Times New Roman" w:hAnsi="Times New Roman" w:cs="Times New Roman"/>
          <w:sz w:val="24"/>
          <w:szCs w:val="24"/>
        </w:rPr>
        <w:t xml:space="preserve">causes investors to take a more pessimistic view when confronted with new information causing them to react more to bad news and less to good news. Investor sentiment has the opposite effect of causing investors to take a more optimistic stance when analysing new information resulting in them </w:t>
      </w:r>
      <w:r w:rsidR="00BE2406">
        <w:rPr>
          <w:rFonts w:ascii="Times New Roman" w:hAnsi="Times New Roman" w:cs="Times New Roman"/>
          <w:sz w:val="24"/>
          <w:szCs w:val="24"/>
        </w:rPr>
        <w:t xml:space="preserve">reacting more to good news and less to bad news. </w:t>
      </w:r>
      <w:r w:rsidR="00AD2324">
        <w:rPr>
          <w:rFonts w:ascii="Times New Roman" w:hAnsi="Times New Roman" w:cs="Times New Roman"/>
          <w:sz w:val="24"/>
          <w:szCs w:val="24"/>
        </w:rPr>
        <w:t xml:space="preserve">Hence it is obvious that governance works in a different way to both uncertainty and sentiment </w:t>
      </w:r>
      <w:r w:rsidR="00BE2406">
        <w:rPr>
          <w:rFonts w:ascii="Times New Roman" w:hAnsi="Times New Roman" w:cs="Times New Roman"/>
          <w:sz w:val="24"/>
          <w:szCs w:val="24"/>
        </w:rPr>
        <w:t xml:space="preserve">in affecting investor response to new information </w:t>
      </w:r>
      <w:r w:rsidR="00AD2324">
        <w:rPr>
          <w:rFonts w:ascii="Times New Roman" w:hAnsi="Times New Roman" w:cs="Times New Roman"/>
          <w:sz w:val="24"/>
          <w:szCs w:val="24"/>
        </w:rPr>
        <w:t xml:space="preserve">as a higher level of governance cause investors to respond more to </w:t>
      </w:r>
      <w:r w:rsidR="00B22DDA">
        <w:rPr>
          <w:rFonts w:ascii="Times New Roman" w:hAnsi="Times New Roman" w:cs="Times New Roman"/>
          <w:sz w:val="24"/>
          <w:szCs w:val="24"/>
        </w:rPr>
        <w:t>both</w:t>
      </w:r>
      <w:r w:rsidR="00AD2324">
        <w:rPr>
          <w:rFonts w:ascii="Times New Roman" w:hAnsi="Times New Roman" w:cs="Times New Roman"/>
          <w:sz w:val="24"/>
          <w:szCs w:val="24"/>
        </w:rPr>
        <w:t xml:space="preserve"> good and bad earnings news. </w:t>
      </w:r>
      <w:r w:rsidR="00BE2406">
        <w:rPr>
          <w:rFonts w:ascii="Times New Roman" w:hAnsi="Times New Roman" w:cs="Times New Roman"/>
          <w:sz w:val="24"/>
          <w:szCs w:val="24"/>
        </w:rPr>
        <w:t xml:space="preserve">We would propose this difference reflects </w:t>
      </w:r>
      <w:r w:rsidR="00FE5EB7">
        <w:rPr>
          <w:rFonts w:ascii="Times New Roman" w:hAnsi="Times New Roman" w:cs="Times New Roman"/>
          <w:sz w:val="24"/>
          <w:szCs w:val="24"/>
        </w:rPr>
        <w:t xml:space="preserve">that corporate governance works through a different path to both uncertainty and sentiment in terms of influencing how investors respond to information signals. </w:t>
      </w:r>
    </w:p>
    <w:p w14:paraId="18930E5B" w14:textId="77777777" w:rsidR="00134380" w:rsidRPr="002C688A" w:rsidRDefault="00134380" w:rsidP="008F42C0">
      <w:pPr>
        <w:keepNext/>
        <w:tabs>
          <w:tab w:val="left" w:pos="567"/>
        </w:tabs>
        <w:spacing w:after="0" w:line="288" w:lineRule="auto"/>
        <w:jc w:val="both"/>
        <w:rPr>
          <w:rFonts w:ascii="Times New Roman" w:hAnsi="Times New Roman" w:cs="Times New Roman"/>
          <w:sz w:val="16"/>
          <w:szCs w:val="16"/>
        </w:rPr>
      </w:pPr>
    </w:p>
    <w:p w14:paraId="69003575" w14:textId="698C1672" w:rsidR="00E71A69" w:rsidRDefault="00134380"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FE5EB7">
        <w:rPr>
          <w:rFonts w:ascii="Times New Roman" w:hAnsi="Times New Roman" w:cs="Times New Roman"/>
          <w:sz w:val="24"/>
          <w:szCs w:val="24"/>
        </w:rPr>
        <w:t>B</w:t>
      </w:r>
      <w:r w:rsidR="00BE2406">
        <w:rPr>
          <w:rFonts w:ascii="Times New Roman" w:hAnsi="Times New Roman" w:cs="Times New Roman"/>
          <w:sz w:val="24"/>
          <w:szCs w:val="24"/>
        </w:rPr>
        <w:t xml:space="preserve">oth uncertainty and sentiment work more on the state of mind of the investors and impact on the expectations that </w:t>
      </w:r>
      <w:r w:rsidR="00FE5EB7">
        <w:rPr>
          <w:rFonts w:ascii="Times New Roman" w:hAnsi="Times New Roman" w:cs="Times New Roman"/>
          <w:sz w:val="24"/>
          <w:szCs w:val="24"/>
        </w:rPr>
        <w:t>investors’</w:t>
      </w:r>
      <w:r w:rsidR="00BE2406">
        <w:rPr>
          <w:rFonts w:ascii="Times New Roman" w:hAnsi="Times New Roman" w:cs="Times New Roman"/>
          <w:sz w:val="24"/>
          <w:szCs w:val="24"/>
        </w:rPr>
        <w:t xml:space="preserve"> form based on their analysis of the information</w:t>
      </w:r>
      <w:r w:rsidR="00FE5EB7">
        <w:rPr>
          <w:rFonts w:ascii="Times New Roman" w:hAnsi="Times New Roman" w:cs="Times New Roman"/>
          <w:sz w:val="24"/>
          <w:szCs w:val="24"/>
        </w:rPr>
        <w:t>. In contrast,</w:t>
      </w:r>
      <w:r w:rsidR="00BE2406">
        <w:rPr>
          <w:rFonts w:ascii="Times New Roman" w:hAnsi="Times New Roman" w:cs="Times New Roman"/>
          <w:sz w:val="24"/>
          <w:szCs w:val="24"/>
        </w:rPr>
        <w:t xml:space="preserve"> governance impacts on the credibility that investors attribute to the information causing them to be less conservative when adjusting their expectations in response to new information. </w:t>
      </w:r>
      <w:r w:rsidR="00891F86">
        <w:rPr>
          <w:rFonts w:ascii="Times New Roman" w:hAnsi="Times New Roman" w:cs="Times New Roman"/>
          <w:sz w:val="24"/>
          <w:szCs w:val="24"/>
        </w:rPr>
        <w:t xml:space="preserve">Another observation that we would make is that corporate governance has a much larger impact on how investors </w:t>
      </w:r>
      <w:r w:rsidR="00B43237">
        <w:rPr>
          <w:rFonts w:ascii="Times New Roman" w:hAnsi="Times New Roman" w:cs="Times New Roman"/>
          <w:sz w:val="24"/>
          <w:szCs w:val="24"/>
        </w:rPr>
        <w:t xml:space="preserve">initially </w:t>
      </w:r>
      <w:r w:rsidR="00891F86">
        <w:rPr>
          <w:rFonts w:ascii="Times New Roman" w:hAnsi="Times New Roman" w:cs="Times New Roman"/>
          <w:sz w:val="24"/>
          <w:szCs w:val="24"/>
        </w:rPr>
        <w:t>react to earnings announcements than does either uncertainty or sentiment. We see that for each quantum of good and bad news th</w:t>
      </w:r>
      <w:r w:rsidR="00CE656C">
        <w:rPr>
          <w:rFonts w:ascii="Times New Roman" w:hAnsi="Times New Roman" w:cs="Times New Roman"/>
          <w:sz w:val="24"/>
          <w:szCs w:val="24"/>
        </w:rPr>
        <w:t>e</w:t>
      </w:r>
      <w:r w:rsidR="00891F86">
        <w:rPr>
          <w:rFonts w:ascii="Times New Roman" w:hAnsi="Times New Roman" w:cs="Times New Roman"/>
          <w:sz w:val="24"/>
          <w:szCs w:val="24"/>
        </w:rPr>
        <w:t xml:space="preserve"> share price of firms with above-median governance increase</w:t>
      </w:r>
      <w:r w:rsidR="00CE656C">
        <w:rPr>
          <w:rFonts w:ascii="Times New Roman" w:hAnsi="Times New Roman" w:cs="Times New Roman"/>
          <w:sz w:val="24"/>
          <w:szCs w:val="24"/>
        </w:rPr>
        <w:t>s</w:t>
      </w:r>
      <w:r w:rsidR="00891F86">
        <w:rPr>
          <w:rFonts w:ascii="Times New Roman" w:hAnsi="Times New Roman" w:cs="Times New Roman"/>
          <w:sz w:val="24"/>
          <w:szCs w:val="24"/>
        </w:rPr>
        <w:t xml:space="preserve"> by about 0.8</w:t>
      </w:r>
      <w:r w:rsidR="008D4AFE">
        <w:rPr>
          <w:rFonts w:ascii="Times New Roman" w:hAnsi="Times New Roman" w:cs="Times New Roman"/>
          <w:sz w:val="24"/>
          <w:szCs w:val="24"/>
        </w:rPr>
        <w:t xml:space="preserve"> percent </w:t>
      </w:r>
      <w:r w:rsidR="00891F86">
        <w:rPr>
          <w:rFonts w:ascii="Times New Roman" w:hAnsi="Times New Roman" w:cs="Times New Roman"/>
          <w:sz w:val="24"/>
          <w:szCs w:val="24"/>
        </w:rPr>
        <w:t>more than does the share price of firms with below-median governance. In contrast, both uncertainty and sentiment have a much smaller impact on investor response, which is very minimal in the case of sentiment. In summary, corporate governance has been shown to have a greater influence on the initial reaction to earnings announcements than does both uncertainty and sentiment, and to work through a different channel</w:t>
      </w:r>
      <w:r w:rsidR="000E1807">
        <w:rPr>
          <w:rFonts w:ascii="Times New Roman" w:hAnsi="Times New Roman" w:cs="Times New Roman"/>
          <w:sz w:val="24"/>
          <w:szCs w:val="24"/>
        </w:rPr>
        <w:t>.</w:t>
      </w:r>
    </w:p>
    <w:p w14:paraId="3E4612B8" w14:textId="0546A483" w:rsidR="005409EA" w:rsidRDefault="005409EA" w:rsidP="008F42C0">
      <w:pPr>
        <w:keepNext/>
        <w:tabs>
          <w:tab w:val="left" w:pos="567"/>
        </w:tabs>
        <w:spacing w:after="0" w:line="288" w:lineRule="auto"/>
        <w:jc w:val="both"/>
        <w:rPr>
          <w:rFonts w:ascii="Times New Roman" w:hAnsi="Times New Roman" w:cs="Times New Roman"/>
          <w:sz w:val="24"/>
          <w:szCs w:val="24"/>
        </w:rPr>
      </w:pPr>
    </w:p>
    <w:p w14:paraId="0221DF2E" w14:textId="77777777" w:rsidR="005409EA" w:rsidRDefault="005409EA" w:rsidP="008F42C0">
      <w:pPr>
        <w:keepNext/>
        <w:tabs>
          <w:tab w:val="left" w:pos="567"/>
        </w:tabs>
        <w:spacing w:after="0" w:line="288" w:lineRule="auto"/>
        <w:jc w:val="both"/>
        <w:rPr>
          <w:rFonts w:ascii="Times New Roman" w:hAnsi="Times New Roman" w:cs="Times New Roman"/>
          <w:sz w:val="24"/>
          <w:szCs w:val="24"/>
        </w:rPr>
      </w:pPr>
    </w:p>
    <w:p w14:paraId="38854B41" w14:textId="39D5392D" w:rsidR="005409EA" w:rsidRPr="00BA14B0" w:rsidRDefault="006A5C09" w:rsidP="00BA14B0">
      <w:pPr>
        <w:pStyle w:val="ListParagraph"/>
        <w:numPr>
          <w:ilvl w:val="2"/>
          <w:numId w:val="37"/>
        </w:num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09EA" w:rsidRPr="00BA14B0">
        <w:rPr>
          <w:rFonts w:ascii="Times New Roman" w:hAnsi="Times New Roman" w:cs="Times New Roman"/>
          <w:b/>
          <w:bCs/>
          <w:sz w:val="24"/>
          <w:szCs w:val="24"/>
        </w:rPr>
        <w:t>During the Post-Announcement Period</w:t>
      </w:r>
    </w:p>
    <w:p w14:paraId="6CA4CC42" w14:textId="77777777" w:rsidR="005409EA" w:rsidRPr="0070203A" w:rsidRDefault="005409EA" w:rsidP="005409EA">
      <w:pPr>
        <w:keepNext/>
        <w:tabs>
          <w:tab w:val="left" w:pos="567"/>
        </w:tabs>
        <w:spacing w:after="0" w:line="288" w:lineRule="auto"/>
        <w:jc w:val="both"/>
        <w:rPr>
          <w:rFonts w:ascii="Times New Roman" w:hAnsi="Times New Roman" w:cs="Times New Roman"/>
          <w:sz w:val="6"/>
          <w:szCs w:val="6"/>
        </w:rPr>
      </w:pPr>
    </w:p>
    <w:p w14:paraId="2E073008" w14:textId="77777777" w:rsidR="005409EA" w:rsidRDefault="005409EA" w:rsidP="005409EA">
      <w:pPr>
        <w:keepNext/>
        <w:tabs>
          <w:tab w:val="left" w:pos="567"/>
        </w:tabs>
        <w:spacing w:after="0" w:line="288" w:lineRule="auto"/>
        <w:jc w:val="both"/>
        <w:rPr>
          <w:rFonts w:ascii="Times New Roman" w:hAnsi="Times New Roman" w:cs="Times New Roman"/>
          <w:sz w:val="24"/>
          <w:szCs w:val="24"/>
        </w:rPr>
      </w:pPr>
      <w:r w:rsidRPr="00366E4B">
        <w:rPr>
          <w:rFonts w:ascii="Times New Roman" w:hAnsi="Times New Roman" w:cs="Times New Roman"/>
          <w:sz w:val="24"/>
          <w:szCs w:val="24"/>
        </w:rPr>
        <w:t xml:space="preserve">We apply </w:t>
      </w:r>
      <w:r>
        <w:rPr>
          <w:rFonts w:ascii="Times New Roman" w:hAnsi="Times New Roman" w:cs="Times New Roman"/>
          <w:sz w:val="24"/>
          <w:szCs w:val="24"/>
        </w:rPr>
        <w:t>M</w:t>
      </w:r>
      <w:r w:rsidRPr="00366E4B">
        <w:rPr>
          <w:rFonts w:ascii="Times New Roman" w:hAnsi="Times New Roman" w:cs="Times New Roman"/>
          <w:sz w:val="24"/>
          <w:szCs w:val="24"/>
        </w:rPr>
        <w:t xml:space="preserve">odel </w:t>
      </w:r>
      <w:r>
        <w:rPr>
          <w:rFonts w:ascii="Times New Roman" w:hAnsi="Times New Roman" w:cs="Times New Roman"/>
          <w:sz w:val="24"/>
          <w:szCs w:val="24"/>
        </w:rPr>
        <w:t>3</w:t>
      </w:r>
      <w:r w:rsidRPr="00366E4B">
        <w:rPr>
          <w:rFonts w:ascii="Times New Roman" w:hAnsi="Times New Roman" w:cs="Times New Roman"/>
          <w:sz w:val="24"/>
          <w:szCs w:val="24"/>
        </w:rPr>
        <w:t xml:space="preserve"> to our sample to address the impact of corporate governance </w:t>
      </w:r>
      <w:r>
        <w:rPr>
          <w:rFonts w:ascii="Times New Roman" w:hAnsi="Times New Roman" w:cs="Times New Roman"/>
          <w:sz w:val="24"/>
          <w:szCs w:val="24"/>
        </w:rPr>
        <w:t xml:space="preserve">over the post-announcement period </w:t>
      </w:r>
      <w:r w:rsidRPr="00366E4B">
        <w:rPr>
          <w:rFonts w:ascii="Times New Roman" w:hAnsi="Times New Roman" w:cs="Times New Roman"/>
          <w:sz w:val="24"/>
          <w:szCs w:val="24"/>
        </w:rPr>
        <w:t xml:space="preserve">and report our findings in the </w:t>
      </w:r>
      <w:r>
        <w:rPr>
          <w:rFonts w:ascii="Times New Roman" w:hAnsi="Times New Roman" w:cs="Times New Roman"/>
          <w:sz w:val="24"/>
          <w:szCs w:val="24"/>
        </w:rPr>
        <w:t>second</w:t>
      </w:r>
      <w:r w:rsidRPr="00366E4B">
        <w:rPr>
          <w:rFonts w:ascii="Times New Roman" w:hAnsi="Times New Roman" w:cs="Times New Roman"/>
          <w:sz w:val="24"/>
          <w:szCs w:val="24"/>
        </w:rPr>
        <w:t xml:space="preserve"> column of </w:t>
      </w:r>
      <w:r w:rsidRPr="008D4AFE">
        <w:rPr>
          <w:rFonts w:ascii="Times New Roman" w:hAnsi="Times New Roman" w:cs="Times New Roman"/>
          <w:sz w:val="24"/>
          <w:szCs w:val="24"/>
        </w:rPr>
        <w:t>Table 3.</w:t>
      </w:r>
      <w:r w:rsidRPr="00366E4B">
        <w:rPr>
          <w:rFonts w:ascii="Times New Roman" w:hAnsi="Times New Roman" w:cs="Times New Roman"/>
          <w:sz w:val="24"/>
          <w:szCs w:val="24"/>
        </w:rPr>
        <w:t xml:space="preserve"> </w:t>
      </w:r>
      <w:r w:rsidRPr="00C92FD2">
        <w:rPr>
          <w:rFonts w:ascii="Times New Roman" w:hAnsi="Times New Roman" w:cs="Times New Roman"/>
          <w:sz w:val="24"/>
          <w:szCs w:val="24"/>
        </w:rPr>
        <w:t>Undoubtedly</w:t>
      </w:r>
      <w:r w:rsidRPr="00366E4B">
        <w:rPr>
          <w:rFonts w:ascii="Times New Roman" w:hAnsi="Times New Roman" w:cs="Times New Roman"/>
          <w:sz w:val="24"/>
          <w:szCs w:val="24"/>
        </w:rPr>
        <w:t xml:space="preserve">, our major finding is that </w:t>
      </w:r>
      <w:r>
        <w:rPr>
          <w:rFonts w:ascii="Times New Roman" w:hAnsi="Times New Roman" w:cs="Times New Roman"/>
          <w:sz w:val="24"/>
          <w:szCs w:val="24"/>
        </w:rPr>
        <w:t xml:space="preserve">the extent of a firm’s corporate governance does not play a role in explaining the drift that typically occurs during the post-announcement period (i.e. the PEAD). In contrast, the change in the level of uncertainty plays a major role in explaining the PEAD, several times the magnitude of what uncertainty contributed to price movement at the time of the announcement. </w:t>
      </w:r>
    </w:p>
    <w:p w14:paraId="4690C386" w14:textId="77777777" w:rsidR="005409EA" w:rsidRDefault="005409EA" w:rsidP="005409EA">
      <w:pPr>
        <w:keepNext/>
        <w:tabs>
          <w:tab w:val="left" w:pos="567"/>
        </w:tabs>
        <w:spacing w:after="0" w:line="288" w:lineRule="auto"/>
        <w:jc w:val="both"/>
        <w:rPr>
          <w:rFonts w:ascii="Times New Roman" w:hAnsi="Times New Roman" w:cs="Times New Roman"/>
          <w:sz w:val="24"/>
          <w:szCs w:val="24"/>
        </w:rPr>
      </w:pPr>
    </w:p>
    <w:p w14:paraId="093D0368" w14:textId="3AA9D34E" w:rsidR="005409EA" w:rsidRDefault="005409EA" w:rsidP="005409EA">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We also find that the prevailing sentiment over the post-announcement period also influences the magnitude of the PEAD but only in the instance of a reaction to a negative earnings surprise as sentiment is not found to influence the magnitude of the PEAD in the case of a positive earnings surprise. It is interesting to observe that this is in line with the influence of </w:t>
      </w:r>
      <w:r>
        <w:rPr>
          <w:rFonts w:ascii="Times New Roman" w:hAnsi="Times New Roman" w:cs="Times New Roman"/>
          <w:sz w:val="24"/>
          <w:szCs w:val="24"/>
        </w:rPr>
        <w:lastRenderedPageBreak/>
        <w:t xml:space="preserve">sentiment on the initial reaction to the earnings news, which was much greater for bad news than it was for good news. </w:t>
      </w:r>
    </w:p>
    <w:p w14:paraId="04EAA33F" w14:textId="77777777" w:rsidR="005409EA" w:rsidRDefault="005409EA" w:rsidP="008F42C0">
      <w:pPr>
        <w:keepNext/>
        <w:tabs>
          <w:tab w:val="left" w:pos="567"/>
        </w:tabs>
        <w:spacing w:after="0" w:line="288" w:lineRule="auto"/>
        <w:jc w:val="both"/>
        <w:rPr>
          <w:rFonts w:ascii="Times New Roman" w:hAnsi="Times New Roman" w:cs="Times New Roman"/>
          <w:sz w:val="24"/>
          <w:szCs w:val="24"/>
        </w:rPr>
      </w:pPr>
    </w:p>
    <w:p w14:paraId="1D4E7673" w14:textId="45D3B7B1" w:rsidR="00891F86" w:rsidRDefault="00134380" w:rsidP="008F42C0">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91F86">
        <w:rPr>
          <w:rFonts w:ascii="Times New Roman" w:hAnsi="Times New Roman" w:cs="Times New Roman"/>
          <w:sz w:val="24"/>
          <w:szCs w:val="24"/>
        </w:rPr>
        <w:t xml:space="preserve">The question </w:t>
      </w:r>
      <w:r w:rsidR="00DE6396">
        <w:rPr>
          <w:rFonts w:ascii="Times New Roman" w:hAnsi="Times New Roman" w:cs="Times New Roman"/>
          <w:sz w:val="24"/>
          <w:szCs w:val="24"/>
        </w:rPr>
        <w:t>this raises</w:t>
      </w:r>
      <w:r w:rsidR="00891F86">
        <w:rPr>
          <w:rFonts w:ascii="Times New Roman" w:hAnsi="Times New Roman" w:cs="Times New Roman"/>
          <w:sz w:val="24"/>
          <w:szCs w:val="24"/>
        </w:rPr>
        <w:t xml:space="preserve"> is why does the level of governance play such an important role in explaining the initial market reaction to an earnings announcement but no role in explaining any drift in the post-announcement period? The answer we suggest lies in the proposition that corporate governance </w:t>
      </w:r>
      <w:r w:rsidR="00A33027">
        <w:rPr>
          <w:rFonts w:ascii="Times New Roman" w:hAnsi="Times New Roman" w:cs="Times New Roman"/>
          <w:sz w:val="24"/>
          <w:szCs w:val="24"/>
        </w:rPr>
        <w:t>influences</w:t>
      </w:r>
      <w:r w:rsidR="00891F86">
        <w:rPr>
          <w:rFonts w:ascii="Times New Roman" w:hAnsi="Times New Roman" w:cs="Times New Roman"/>
          <w:sz w:val="24"/>
          <w:szCs w:val="24"/>
        </w:rPr>
        <w:t xml:space="preserve"> </w:t>
      </w:r>
      <w:r w:rsidR="00236FC9">
        <w:rPr>
          <w:rFonts w:ascii="Times New Roman" w:hAnsi="Times New Roman" w:cs="Times New Roman"/>
          <w:sz w:val="24"/>
          <w:szCs w:val="24"/>
        </w:rPr>
        <w:t>the s</w:t>
      </w:r>
      <w:r w:rsidR="00891F86">
        <w:rPr>
          <w:rFonts w:ascii="Times New Roman" w:hAnsi="Times New Roman" w:cs="Times New Roman"/>
          <w:sz w:val="24"/>
          <w:szCs w:val="24"/>
        </w:rPr>
        <w:t>hare price</w:t>
      </w:r>
      <w:r w:rsidR="00236FC9">
        <w:rPr>
          <w:rFonts w:ascii="Times New Roman" w:hAnsi="Times New Roman" w:cs="Times New Roman"/>
          <w:sz w:val="24"/>
          <w:szCs w:val="24"/>
        </w:rPr>
        <w:t xml:space="preserve"> response</w:t>
      </w:r>
      <w:r w:rsidR="00891F86">
        <w:rPr>
          <w:rFonts w:ascii="Times New Roman" w:hAnsi="Times New Roman" w:cs="Times New Roman"/>
          <w:sz w:val="24"/>
          <w:szCs w:val="24"/>
        </w:rPr>
        <w:t xml:space="preserve"> through the impact that it has on</w:t>
      </w:r>
      <w:r w:rsidR="00236FC9">
        <w:rPr>
          <w:rFonts w:ascii="Times New Roman" w:hAnsi="Times New Roman" w:cs="Times New Roman"/>
          <w:sz w:val="24"/>
          <w:szCs w:val="24"/>
        </w:rPr>
        <w:t xml:space="preserve"> investors’ perceived credibility of the information being provided.</w:t>
      </w:r>
      <w:r w:rsidR="00891F86">
        <w:rPr>
          <w:rFonts w:ascii="Times New Roman" w:hAnsi="Times New Roman" w:cs="Times New Roman"/>
          <w:sz w:val="24"/>
          <w:szCs w:val="24"/>
        </w:rPr>
        <w:t xml:space="preserve"> </w:t>
      </w:r>
      <w:r w:rsidR="000633F5">
        <w:rPr>
          <w:rFonts w:ascii="Times New Roman" w:hAnsi="Times New Roman" w:cs="Times New Roman"/>
          <w:sz w:val="24"/>
          <w:szCs w:val="24"/>
        </w:rPr>
        <w:t>Hence the greater the credibility, the greater the initial response to the earnings announcement</w:t>
      </w:r>
      <w:r w:rsidR="00EB2998">
        <w:rPr>
          <w:rFonts w:ascii="Times New Roman" w:hAnsi="Times New Roman" w:cs="Times New Roman"/>
          <w:sz w:val="24"/>
          <w:szCs w:val="24"/>
        </w:rPr>
        <w:t>.</w:t>
      </w:r>
      <w:r w:rsidR="000633F5">
        <w:rPr>
          <w:rFonts w:ascii="Times New Roman" w:hAnsi="Times New Roman" w:cs="Times New Roman"/>
          <w:sz w:val="24"/>
          <w:szCs w:val="24"/>
        </w:rPr>
        <w:t xml:space="preserve"> </w:t>
      </w:r>
      <w:r w:rsidR="00EB2998">
        <w:rPr>
          <w:rFonts w:ascii="Times New Roman" w:hAnsi="Times New Roman" w:cs="Times New Roman"/>
          <w:sz w:val="24"/>
          <w:szCs w:val="24"/>
        </w:rPr>
        <w:t xml:space="preserve">The question then becomes </w:t>
      </w:r>
      <w:r w:rsidR="00891F86">
        <w:rPr>
          <w:rFonts w:ascii="Times New Roman" w:hAnsi="Times New Roman" w:cs="Times New Roman"/>
          <w:sz w:val="24"/>
          <w:szCs w:val="24"/>
        </w:rPr>
        <w:t>what would cause investor</w:t>
      </w:r>
      <w:r w:rsidR="00EB2998">
        <w:rPr>
          <w:rFonts w:ascii="Times New Roman" w:hAnsi="Times New Roman" w:cs="Times New Roman"/>
          <w:sz w:val="24"/>
          <w:szCs w:val="24"/>
        </w:rPr>
        <w:t>s</w:t>
      </w:r>
      <w:r w:rsidR="001243B0">
        <w:rPr>
          <w:rFonts w:ascii="Times New Roman" w:hAnsi="Times New Roman" w:cs="Times New Roman"/>
          <w:sz w:val="24"/>
          <w:szCs w:val="24"/>
        </w:rPr>
        <w:t xml:space="preserve"> to</w:t>
      </w:r>
      <w:r w:rsidR="00891F86">
        <w:rPr>
          <w:rFonts w:ascii="Times New Roman" w:hAnsi="Times New Roman" w:cs="Times New Roman"/>
          <w:sz w:val="24"/>
          <w:szCs w:val="24"/>
        </w:rPr>
        <w:t xml:space="preserve"> reassess </w:t>
      </w:r>
      <w:r w:rsidR="00EB2998">
        <w:rPr>
          <w:rFonts w:ascii="Times New Roman" w:hAnsi="Times New Roman" w:cs="Times New Roman"/>
          <w:sz w:val="24"/>
          <w:szCs w:val="24"/>
        </w:rPr>
        <w:t>their</w:t>
      </w:r>
      <w:r w:rsidR="00891F86">
        <w:rPr>
          <w:rFonts w:ascii="Times New Roman" w:hAnsi="Times New Roman" w:cs="Times New Roman"/>
          <w:sz w:val="24"/>
          <w:szCs w:val="24"/>
        </w:rPr>
        <w:t xml:space="preserve"> initial response to </w:t>
      </w:r>
      <w:r w:rsidR="00EB2998">
        <w:rPr>
          <w:rFonts w:ascii="Times New Roman" w:hAnsi="Times New Roman" w:cs="Times New Roman"/>
          <w:sz w:val="24"/>
          <w:szCs w:val="24"/>
        </w:rPr>
        <w:t>the earnings announcement</w:t>
      </w:r>
      <w:r w:rsidR="00891F86">
        <w:rPr>
          <w:rFonts w:ascii="Times New Roman" w:hAnsi="Times New Roman" w:cs="Times New Roman"/>
          <w:sz w:val="24"/>
          <w:szCs w:val="24"/>
        </w:rPr>
        <w:t xml:space="preserve">? The answer </w:t>
      </w:r>
      <w:r w:rsidR="00EB2998">
        <w:rPr>
          <w:rFonts w:ascii="Times New Roman" w:hAnsi="Times New Roman" w:cs="Times New Roman"/>
          <w:sz w:val="24"/>
          <w:szCs w:val="24"/>
        </w:rPr>
        <w:t xml:space="preserve">that we would put forward </w:t>
      </w:r>
      <w:r w:rsidR="001D0779">
        <w:rPr>
          <w:rFonts w:ascii="Times New Roman" w:hAnsi="Times New Roman" w:cs="Times New Roman"/>
          <w:sz w:val="24"/>
          <w:szCs w:val="24"/>
        </w:rPr>
        <w:t>is that</w:t>
      </w:r>
      <w:r w:rsidR="00891F86">
        <w:rPr>
          <w:rFonts w:ascii="Times New Roman" w:hAnsi="Times New Roman" w:cs="Times New Roman"/>
          <w:sz w:val="24"/>
          <w:szCs w:val="24"/>
        </w:rPr>
        <w:t xml:space="preserve"> </w:t>
      </w:r>
      <w:r w:rsidR="000633F5">
        <w:rPr>
          <w:rFonts w:ascii="Times New Roman" w:hAnsi="Times New Roman" w:cs="Times New Roman"/>
          <w:sz w:val="24"/>
          <w:szCs w:val="24"/>
        </w:rPr>
        <w:t xml:space="preserve">any perceived change in the credibility of the information would require investors to go back and reassess their initial response to the announcement </w:t>
      </w:r>
      <w:r w:rsidR="00891F86">
        <w:rPr>
          <w:rFonts w:ascii="Times New Roman" w:hAnsi="Times New Roman" w:cs="Times New Roman"/>
          <w:sz w:val="24"/>
          <w:szCs w:val="24"/>
        </w:rPr>
        <w:t>but supposedly this would require a non-trivial change in the f</w:t>
      </w:r>
      <w:r w:rsidR="004A27C6">
        <w:rPr>
          <w:rFonts w:ascii="Times New Roman" w:hAnsi="Times New Roman" w:cs="Times New Roman"/>
          <w:sz w:val="24"/>
          <w:szCs w:val="24"/>
        </w:rPr>
        <w:t>i</w:t>
      </w:r>
      <w:r w:rsidR="00891F86">
        <w:rPr>
          <w:rFonts w:ascii="Times New Roman" w:hAnsi="Times New Roman" w:cs="Times New Roman"/>
          <w:sz w:val="24"/>
          <w:szCs w:val="24"/>
        </w:rPr>
        <w:t xml:space="preserve">rm’s governance characteristics. </w:t>
      </w:r>
      <w:r w:rsidR="008A46A9">
        <w:rPr>
          <w:rFonts w:ascii="Times New Roman" w:hAnsi="Times New Roman" w:cs="Times New Roman"/>
          <w:sz w:val="24"/>
          <w:szCs w:val="24"/>
        </w:rPr>
        <w:t xml:space="preserve">Since corporate governance changes very little overtime, there is no reason </w:t>
      </w:r>
      <w:r w:rsidR="00EB2998">
        <w:rPr>
          <w:rFonts w:ascii="Times New Roman" w:hAnsi="Times New Roman" w:cs="Times New Roman"/>
          <w:sz w:val="24"/>
          <w:szCs w:val="24"/>
        </w:rPr>
        <w:t xml:space="preserve">to believe that </w:t>
      </w:r>
      <w:r w:rsidR="008A46A9">
        <w:rPr>
          <w:rFonts w:ascii="Times New Roman" w:hAnsi="Times New Roman" w:cs="Times New Roman"/>
          <w:sz w:val="24"/>
          <w:szCs w:val="24"/>
        </w:rPr>
        <w:t>it would play a</w:t>
      </w:r>
      <w:r w:rsidR="00891F86">
        <w:rPr>
          <w:rFonts w:ascii="Times New Roman" w:hAnsi="Times New Roman" w:cs="Times New Roman"/>
          <w:sz w:val="24"/>
          <w:szCs w:val="24"/>
        </w:rPr>
        <w:t xml:space="preserve"> role in explaining the PEAD. </w:t>
      </w:r>
      <w:r w:rsidR="00713785">
        <w:rPr>
          <w:rFonts w:ascii="Times New Roman" w:hAnsi="Times New Roman" w:cs="Times New Roman"/>
          <w:sz w:val="24"/>
          <w:szCs w:val="24"/>
        </w:rPr>
        <w:t>Our findings would suggest that</w:t>
      </w:r>
      <w:r w:rsidR="00891F86">
        <w:rPr>
          <w:rFonts w:ascii="Times New Roman" w:hAnsi="Times New Roman" w:cs="Times New Roman"/>
          <w:sz w:val="24"/>
          <w:szCs w:val="24"/>
        </w:rPr>
        <w:t xml:space="preserve"> the PEAD is at least partially driven by changes in some of the factors that influenced the initial response to the earnings release. We have seen that change</w:t>
      </w:r>
      <w:r w:rsidR="00E64E8D">
        <w:rPr>
          <w:rFonts w:ascii="Times New Roman" w:hAnsi="Times New Roman" w:cs="Times New Roman"/>
          <w:sz w:val="24"/>
          <w:szCs w:val="24"/>
        </w:rPr>
        <w:t>s</w:t>
      </w:r>
      <w:r w:rsidR="00891F86">
        <w:rPr>
          <w:rFonts w:ascii="Times New Roman" w:hAnsi="Times New Roman" w:cs="Times New Roman"/>
          <w:sz w:val="24"/>
          <w:szCs w:val="24"/>
        </w:rPr>
        <w:t xml:space="preserve"> in uncertainty over the announcement period and the sentiment prevailing during this period are both important factors that </w:t>
      </w:r>
      <w:r w:rsidR="00E64E8D">
        <w:rPr>
          <w:rFonts w:ascii="Times New Roman" w:hAnsi="Times New Roman" w:cs="Times New Roman"/>
          <w:sz w:val="24"/>
          <w:szCs w:val="24"/>
        </w:rPr>
        <w:t xml:space="preserve">cause investors to reassess their initial response to an earnings announcement and thus </w:t>
      </w:r>
      <w:r w:rsidR="00A33027">
        <w:rPr>
          <w:rFonts w:ascii="Times New Roman" w:hAnsi="Times New Roman" w:cs="Times New Roman"/>
          <w:sz w:val="24"/>
          <w:szCs w:val="24"/>
        </w:rPr>
        <w:t xml:space="preserve">both </w:t>
      </w:r>
      <w:r w:rsidR="00891F86">
        <w:rPr>
          <w:rFonts w:ascii="Times New Roman" w:hAnsi="Times New Roman" w:cs="Times New Roman"/>
          <w:sz w:val="24"/>
          <w:szCs w:val="24"/>
        </w:rPr>
        <w:t>impact on the magnitude and direction of the PEAD.</w:t>
      </w:r>
    </w:p>
    <w:p w14:paraId="7EF26A7D" w14:textId="77777777" w:rsidR="00134380" w:rsidRDefault="00134380" w:rsidP="008F42C0">
      <w:pPr>
        <w:keepNext/>
        <w:tabs>
          <w:tab w:val="left" w:pos="567"/>
        </w:tabs>
        <w:spacing w:after="0" w:line="288" w:lineRule="auto"/>
        <w:jc w:val="both"/>
        <w:rPr>
          <w:rFonts w:ascii="Times New Roman" w:hAnsi="Times New Roman" w:cs="Times New Roman"/>
          <w:sz w:val="24"/>
          <w:szCs w:val="24"/>
        </w:rPr>
      </w:pPr>
    </w:p>
    <w:p w14:paraId="4A9AE398" w14:textId="643E1741" w:rsidR="001A4AEC" w:rsidRPr="00BA14B0" w:rsidRDefault="007653C7" w:rsidP="00BA14B0">
      <w:pPr>
        <w:pStyle w:val="ListParagraph"/>
        <w:numPr>
          <w:ilvl w:val="1"/>
          <w:numId w:val="37"/>
        </w:numPr>
        <w:tabs>
          <w:tab w:val="left" w:pos="567"/>
        </w:tabs>
        <w:spacing w:after="0" w:line="288" w:lineRule="auto"/>
        <w:jc w:val="both"/>
        <w:rPr>
          <w:rFonts w:ascii="Times New Roman" w:hAnsi="Times New Roman" w:cs="Times New Roman"/>
          <w:b/>
          <w:bCs/>
          <w:sz w:val="24"/>
          <w:szCs w:val="24"/>
        </w:rPr>
      </w:pPr>
      <w:r w:rsidRPr="00BA14B0">
        <w:rPr>
          <w:rFonts w:ascii="Times New Roman" w:hAnsi="Times New Roman" w:cs="Times New Roman"/>
          <w:b/>
          <w:bCs/>
          <w:sz w:val="24"/>
          <w:szCs w:val="24"/>
        </w:rPr>
        <w:t>Information uncertainty</w:t>
      </w:r>
      <w:r w:rsidR="001A4AEC" w:rsidRPr="00BA14B0">
        <w:rPr>
          <w:rFonts w:ascii="Times New Roman" w:hAnsi="Times New Roman" w:cs="Times New Roman"/>
          <w:b/>
          <w:bCs/>
          <w:sz w:val="24"/>
          <w:szCs w:val="24"/>
        </w:rPr>
        <w:t xml:space="preserve"> </w:t>
      </w:r>
      <w:r w:rsidRPr="00BA14B0">
        <w:rPr>
          <w:rFonts w:ascii="Times New Roman" w:hAnsi="Times New Roman" w:cs="Times New Roman"/>
          <w:b/>
          <w:bCs/>
          <w:sz w:val="24"/>
          <w:szCs w:val="24"/>
        </w:rPr>
        <w:t>(IU)</w:t>
      </w:r>
      <w:r w:rsidR="001A4AEC" w:rsidRPr="00BA14B0">
        <w:rPr>
          <w:rFonts w:ascii="Times New Roman" w:hAnsi="Times New Roman" w:cs="Times New Roman"/>
          <w:b/>
          <w:bCs/>
          <w:sz w:val="24"/>
          <w:szCs w:val="24"/>
        </w:rPr>
        <w:t xml:space="preserve"> as a </w:t>
      </w:r>
      <w:r w:rsidR="008D4AFE" w:rsidRPr="00BA14B0">
        <w:rPr>
          <w:rFonts w:ascii="Times New Roman" w:hAnsi="Times New Roman" w:cs="Times New Roman"/>
          <w:b/>
          <w:bCs/>
          <w:sz w:val="24"/>
          <w:szCs w:val="24"/>
        </w:rPr>
        <w:t>P</w:t>
      </w:r>
      <w:r w:rsidR="001A4AEC" w:rsidRPr="00BA14B0">
        <w:rPr>
          <w:rFonts w:ascii="Times New Roman" w:hAnsi="Times New Roman" w:cs="Times New Roman"/>
          <w:b/>
          <w:bCs/>
          <w:sz w:val="24"/>
          <w:szCs w:val="24"/>
        </w:rPr>
        <w:t xml:space="preserve">otential </w:t>
      </w:r>
      <w:r w:rsidR="008D4AFE" w:rsidRPr="00BA14B0">
        <w:rPr>
          <w:rFonts w:ascii="Times New Roman" w:hAnsi="Times New Roman" w:cs="Times New Roman"/>
          <w:b/>
          <w:bCs/>
          <w:sz w:val="24"/>
          <w:szCs w:val="24"/>
        </w:rPr>
        <w:t>E</w:t>
      </w:r>
      <w:r w:rsidR="001A4AEC" w:rsidRPr="00BA14B0">
        <w:rPr>
          <w:rFonts w:ascii="Times New Roman" w:hAnsi="Times New Roman" w:cs="Times New Roman"/>
          <w:b/>
          <w:bCs/>
          <w:sz w:val="24"/>
          <w:szCs w:val="24"/>
        </w:rPr>
        <w:t>xplanation</w:t>
      </w:r>
      <w:r w:rsidR="009804F1" w:rsidRPr="00BA14B0">
        <w:rPr>
          <w:rFonts w:ascii="Times New Roman" w:hAnsi="Times New Roman" w:cs="Times New Roman"/>
          <w:b/>
          <w:bCs/>
          <w:sz w:val="24"/>
          <w:szCs w:val="24"/>
        </w:rPr>
        <w:t xml:space="preserve"> for the </w:t>
      </w:r>
      <w:r w:rsidR="008D4AFE" w:rsidRPr="00BA14B0">
        <w:rPr>
          <w:rFonts w:ascii="Times New Roman" w:hAnsi="Times New Roman" w:cs="Times New Roman"/>
          <w:b/>
          <w:bCs/>
          <w:sz w:val="24"/>
          <w:szCs w:val="24"/>
        </w:rPr>
        <w:t>R</w:t>
      </w:r>
      <w:r w:rsidR="009804F1" w:rsidRPr="00BA14B0">
        <w:rPr>
          <w:rFonts w:ascii="Times New Roman" w:hAnsi="Times New Roman" w:cs="Times New Roman"/>
          <w:b/>
          <w:bCs/>
          <w:sz w:val="24"/>
          <w:szCs w:val="24"/>
        </w:rPr>
        <w:t xml:space="preserve">ole of </w:t>
      </w:r>
      <w:r w:rsidR="008D4AFE" w:rsidRPr="00BA14B0">
        <w:rPr>
          <w:rFonts w:ascii="Times New Roman" w:hAnsi="Times New Roman" w:cs="Times New Roman"/>
          <w:b/>
          <w:bCs/>
          <w:sz w:val="24"/>
          <w:szCs w:val="24"/>
        </w:rPr>
        <w:t>G</w:t>
      </w:r>
      <w:r w:rsidR="009804F1" w:rsidRPr="00BA14B0">
        <w:rPr>
          <w:rFonts w:ascii="Times New Roman" w:hAnsi="Times New Roman" w:cs="Times New Roman"/>
          <w:b/>
          <w:bCs/>
          <w:sz w:val="24"/>
          <w:szCs w:val="24"/>
        </w:rPr>
        <w:t>overnance</w:t>
      </w:r>
    </w:p>
    <w:p w14:paraId="46144880" w14:textId="77777777" w:rsidR="00134380" w:rsidRPr="00B57484" w:rsidRDefault="00134380" w:rsidP="008F42C0">
      <w:pPr>
        <w:tabs>
          <w:tab w:val="left" w:pos="567"/>
        </w:tabs>
        <w:spacing w:after="0" w:line="288" w:lineRule="auto"/>
        <w:jc w:val="both"/>
        <w:rPr>
          <w:rFonts w:ascii="Times New Roman" w:hAnsi="Times New Roman" w:cs="Times New Roman"/>
          <w:sz w:val="6"/>
          <w:szCs w:val="6"/>
        </w:rPr>
      </w:pPr>
    </w:p>
    <w:p w14:paraId="65ACE285" w14:textId="2CC1AE88" w:rsidR="00D2314D" w:rsidRDefault="006A321A"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have proposed that an important reason for corporate governance influencing the market response to information is because of the impact it has on the credibility of the information being provided. The third </w:t>
      </w:r>
      <w:r w:rsidR="00A33027">
        <w:rPr>
          <w:rFonts w:ascii="Times New Roman" w:hAnsi="Times New Roman" w:cs="Times New Roman"/>
          <w:sz w:val="24"/>
          <w:szCs w:val="24"/>
        </w:rPr>
        <w:t xml:space="preserve">research </w:t>
      </w:r>
      <w:r>
        <w:rPr>
          <w:rFonts w:ascii="Times New Roman" w:hAnsi="Times New Roman" w:cs="Times New Roman"/>
          <w:sz w:val="24"/>
          <w:szCs w:val="24"/>
        </w:rPr>
        <w:t xml:space="preserve">question relates to </w:t>
      </w:r>
      <w:r w:rsidR="008B7F6D">
        <w:rPr>
          <w:rFonts w:ascii="Times New Roman" w:hAnsi="Times New Roman" w:cs="Times New Roman"/>
          <w:sz w:val="24"/>
          <w:szCs w:val="24"/>
        </w:rPr>
        <w:t>identifying</w:t>
      </w:r>
      <w:r w:rsidR="001F00BF">
        <w:rPr>
          <w:rFonts w:ascii="Times New Roman" w:hAnsi="Times New Roman" w:cs="Times New Roman"/>
          <w:sz w:val="24"/>
          <w:szCs w:val="24"/>
        </w:rPr>
        <w:t xml:space="preserve"> the </w:t>
      </w:r>
      <w:r w:rsidR="00A33027">
        <w:rPr>
          <w:rFonts w:ascii="Times New Roman" w:hAnsi="Times New Roman" w:cs="Times New Roman"/>
          <w:sz w:val="24"/>
          <w:szCs w:val="24"/>
        </w:rPr>
        <w:t xml:space="preserve">major </w:t>
      </w:r>
      <w:r w:rsidR="001F00BF">
        <w:rPr>
          <w:rFonts w:ascii="Times New Roman" w:hAnsi="Times New Roman" w:cs="Times New Roman"/>
          <w:sz w:val="24"/>
          <w:szCs w:val="24"/>
        </w:rPr>
        <w:t xml:space="preserve">channel through which corporate governance </w:t>
      </w:r>
      <w:r>
        <w:rPr>
          <w:rFonts w:ascii="Times New Roman" w:hAnsi="Times New Roman" w:cs="Times New Roman"/>
          <w:sz w:val="24"/>
          <w:szCs w:val="24"/>
        </w:rPr>
        <w:t>works to</w:t>
      </w:r>
      <w:r w:rsidR="00D2314D" w:rsidRPr="00D2314D">
        <w:rPr>
          <w:rFonts w:ascii="Times New Roman" w:hAnsi="Times New Roman" w:cs="Times New Roman"/>
          <w:sz w:val="24"/>
          <w:szCs w:val="24"/>
        </w:rPr>
        <w:t xml:space="preserve"> influence how investors react to earnings announcements</w:t>
      </w:r>
      <w:r w:rsidR="001F00BF">
        <w:rPr>
          <w:rFonts w:ascii="Times New Roman" w:hAnsi="Times New Roman" w:cs="Times New Roman"/>
          <w:sz w:val="24"/>
          <w:szCs w:val="24"/>
        </w:rPr>
        <w:t>?</w:t>
      </w:r>
      <w:r w:rsidR="00D2314D" w:rsidRPr="00D2314D">
        <w:rPr>
          <w:rFonts w:ascii="Times New Roman" w:hAnsi="Times New Roman" w:cs="Times New Roman"/>
          <w:sz w:val="24"/>
          <w:szCs w:val="24"/>
        </w:rPr>
        <w:t xml:space="preserve"> We have proposed that </w:t>
      </w:r>
      <w:r w:rsidR="001F00BF">
        <w:rPr>
          <w:rFonts w:ascii="Times New Roman" w:hAnsi="Times New Roman" w:cs="Times New Roman"/>
          <w:sz w:val="24"/>
          <w:szCs w:val="24"/>
        </w:rPr>
        <w:t>a major</w:t>
      </w:r>
      <w:r w:rsidR="00D2314D" w:rsidRPr="00D2314D">
        <w:rPr>
          <w:rFonts w:ascii="Times New Roman" w:hAnsi="Times New Roman" w:cs="Times New Roman"/>
          <w:sz w:val="24"/>
          <w:szCs w:val="24"/>
        </w:rPr>
        <w:t xml:space="preserve"> way </w:t>
      </w:r>
      <w:r w:rsidR="001F00BF">
        <w:rPr>
          <w:rFonts w:ascii="Times New Roman" w:hAnsi="Times New Roman" w:cs="Times New Roman"/>
          <w:sz w:val="24"/>
          <w:szCs w:val="24"/>
        </w:rPr>
        <w:t>by which</w:t>
      </w:r>
      <w:r w:rsidR="00D2314D" w:rsidRPr="00D2314D">
        <w:rPr>
          <w:rFonts w:ascii="Times New Roman" w:hAnsi="Times New Roman" w:cs="Times New Roman"/>
          <w:sz w:val="24"/>
          <w:szCs w:val="24"/>
        </w:rPr>
        <w:t xml:space="preserve"> governance works is through reducing information uncertainty and so </w:t>
      </w:r>
      <w:r w:rsidR="001F00BF">
        <w:rPr>
          <w:rFonts w:ascii="Times New Roman" w:hAnsi="Times New Roman" w:cs="Times New Roman"/>
          <w:sz w:val="24"/>
          <w:szCs w:val="24"/>
        </w:rPr>
        <w:t>contributing to the credibility of the information being provided</w:t>
      </w:r>
      <w:r w:rsidR="00D2314D" w:rsidRPr="00D2314D">
        <w:rPr>
          <w:rFonts w:ascii="Times New Roman" w:hAnsi="Times New Roman" w:cs="Times New Roman"/>
          <w:sz w:val="24"/>
          <w:szCs w:val="24"/>
        </w:rPr>
        <w:t xml:space="preserve">. We investigate this in two steps: first establishing the link between corporate governance and information uncertainty and then </w:t>
      </w:r>
      <w:r w:rsidR="00A33027">
        <w:rPr>
          <w:rFonts w:ascii="Times New Roman" w:hAnsi="Times New Roman" w:cs="Times New Roman"/>
          <w:sz w:val="24"/>
          <w:szCs w:val="24"/>
        </w:rPr>
        <w:t xml:space="preserve">investigating the extent to which the relationship between corporate governance and the market response to </w:t>
      </w:r>
      <w:r w:rsidR="00D2314D" w:rsidRPr="00D2314D">
        <w:rPr>
          <w:rFonts w:ascii="Times New Roman" w:hAnsi="Times New Roman" w:cs="Times New Roman"/>
          <w:sz w:val="24"/>
          <w:szCs w:val="24"/>
        </w:rPr>
        <w:t>earnings announcements</w:t>
      </w:r>
      <w:r w:rsidR="00A33027">
        <w:rPr>
          <w:rFonts w:ascii="Times New Roman" w:hAnsi="Times New Roman" w:cs="Times New Roman"/>
          <w:sz w:val="24"/>
          <w:szCs w:val="24"/>
        </w:rPr>
        <w:t xml:space="preserve"> is explained by the information uncertainty channel. </w:t>
      </w:r>
      <w:r w:rsidR="00D2314D" w:rsidRPr="00D2314D">
        <w:rPr>
          <w:rFonts w:ascii="Times New Roman" w:hAnsi="Times New Roman" w:cs="Times New Roman"/>
          <w:sz w:val="24"/>
          <w:szCs w:val="24"/>
        </w:rPr>
        <w:t xml:space="preserve"> </w:t>
      </w:r>
    </w:p>
    <w:p w14:paraId="1D51640F" w14:textId="77777777" w:rsidR="00B57484" w:rsidRPr="002C688A" w:rsidRDefault="00B57484" w:rsidP="008F42C0">
      <w:pPr>
        <w:tabs>
          <w:tab w:val="left" w:pos="567"/>
        </w:tabs>
        <w:spacing w:after="0" w:line="288" w:lineRule="auto"/>
        <w:jc w:val="both"/>
        <w:rPr>
          <w:rFonts w:ascii="Times New Roman" w:hAnsi="Times New Roman" w:cs="Times New Roman"/>
          <w:sz w:val="24"/>
          <w:szCs w:val="24"/>
        </w:rPr>
      </w:pPr>
    </w:p>
    <w:p w14:paraId="7C75AFE2" w14:textId="349B032A" w:rsidR="00D2314D" w:rsidRPr="00891F86" w:rsidRDefault="006A5C09" w:rsidP="00BA14B0">
      <w:pPr>
        <w:pStyle w:val="ListParagraph"/>
        <w:numPr>
          <w:ilvl w:val="2"/>
          <w:numId w:val="38"/>
        </w:numPr>
        <w:tabs>
          <w:tab w:val="left" w:pos="567"/>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2314D">
        <w:rPr>
          <w:rFonts w:ascii="Times New Roman" w:hAnsi="Times New Roman" w:cs="Times New Roman"/>
          <w:b/>
          <w:bCs/>
          <w:sz w:val="24"/>
          <w:szCs w:val="24"/>
        </w:rPr>
        <w:t xml:space="preserve">Corporate </w:t>
      </w:r>
      <w:r w:rsidR="008D4AFE">
        <w:rPr>
          <w:rFonts w:ascii="Times New Roman" w:hAnsi="Times New Roman" w:cs="Times New Roman"/>
          <w:b/>
          <w:bCs/>
          <w:sz w:val="24"/>
          <w:szCs w:val="24"/>
        </w:rPr>
        <w:t>G</w:t>
      </w:r>
      <w:r w:rsidR="00D2314D">
        <w:rPr>
          <w:rFonts w:ascii="Times New Roman" w:hAnsi="Times New Roman" w:cs="Times New Roman"/>
          <w:b/>
          <w:bCs/>
          <w:sz w:val="24"/>
          <w:szCs w:val="24"/>
        </w:rPr>
        <w:t xml:space="preserve">overnance and </w:t>
      </w:r>
      <w:r w:rsidR="008D4AFE">
        <w:rPr>
          <w:rFonts w:ascii="Times New Roman" w:hAnsi="Times New Roman" w:cs="Times New Roman"/>
          <w:b/>
          <w:bCs/>
          <w:sz w:val="24"/>
          <w:szCs w:val="24"/>
        </w:rPr>
        <w:t>I</w:t>
      </w:r>
      <w:r w:rsidR="00D2314D">
        <w:rPr>
          <w:rFonts w:ascii="Times New Roman" w:hAnsi="Times New Roman" w:cs="Times New Roman"/>
          <w:b/>
          <w:bCs/>
          <w:sz w:val="24"/>
          <w:szCs w:val="24"/>
        </w:rPr>
        <w:t xml:space="preserve">nformation </w:t>
      </w:r>
      <w:r w:rsidR="008D4AFE">
        <w:rPr>
          <w:rFonts w:ascii="Times New Roman" w:hAnsi="Times New Roman" w:cs="Times New Roman"/>
          <w:b/>
          <w:bCs/>
          <w:sz w:val="24"/>
          <w:szCs w:val="24"/>
        </w:rPr>
        <w:t>U</w:t>
      </w:r>
      <w:r w:rsidR="00D2314D">
        <w:rPr>
          <w:rFonts w:ascii="Times New Roman" w:hAnsi="Times New Roman" w:cs="Times New Roman"/>
          <w:b/>
          <w:bCs/>
          <w:sz w:val="24"/>
          <w:szCs w:val="24"/>
        </w:rPr>
        <w:t>ncertainty</w:t>
      </w:r>
    </w:p>
    <w:p w14:paraId="4687B034" w14:textId="3D62AACD" w:rsidR="0025154B" w:rsidRPr="002C688A" w:rsidRDefault="0025154B" w:rsidP="0025154B">
      <w:pPr>
        <w:keepNext/>
        <w:tabs>
          <w:tab w:val="left" w:pos="567"/>
        </w:tabs>
        <w:spacing w:after="0" w:line="288" w:lineRule="auto"/>
        <w:jc w:val="both"/>
        <w:rPr>
          <w:rFonts w:ascii="Times New Roman" w:hAnsi="Times New Roman" w:cs="Times New Roman"/>
          <w:b/>
          <w:bCs/>
          <w:sz w:val="12"/>
          <w:szCs w:val="12"/>
        </w:rPr>
      </w:pPr>
      <w:bookmarkStart w:id="13" w:name="_Hlk536591903"/>
    </w:p>
    <w:p w14:paraId="471D4FAE" w14:textId="5E7FA25D" w:rsidR="00D2314D" w:rsidRDefault="005F35EE" w:rsidP="0025154B">
      <w:pPr>
        <w:keepNext/>
        <w:tabs>
          <w:tab w:val="left" w:pos="567"/>
        </w:tabs>
        <w:spacing w:after="0" w:line="288" w:lineRule="auto"/>
        <w:jc w:val="both"/>
        <w:rPr>
          <w:rFonts w:ascii="Times New Roman" w:hAnsi="Times New Roman" w:cs="Times New Roman"/>
          <w:sz w:val="24"/>
          <w:szCs w:val="24"/>
        </w:rPr>
      </w:pPr>
      <w:r w:rsidRPr="00AC26A3">
        <w:rPr>
          <w:rFonts w:ascii="Times New Roman" w:hAnsi="Times New Roman" w:cs="Times New Roman"/>
          <w:sz w:val="24"/>
          <w:szCs w:val="24"/>
        </w:rPr>
        <w:t xml:space="preserve">We rank our firms </w:t>
      </w:r>
      <w:r w:rsidR="00D97F41" w:rsidRPr="00AC26A3">
        <w:rPr>
          <w:rFonts w:ascii="Times New Roman" w:hAnsi="Times New Roman" w:cs="Times New Roman"/>
          <w:sz w:val="24"/>
          <w:szCs w:val="24"/>
        </w:rPr>
        <w:t>based on</w:t>
      </w:r>
      <w:r>
        <w:rPr>
          <w:rFonts w:ascii="Times New Roman" w:hAnsi="Times New Roman" w:cs="Times New Roman"/>
          <w:sz w:val="24"/>
          <w:szCs w:val="24"/>
        </w:rPr>
        <w:t xml:space="preserve"> their corporate governance score and then divide the sample into quintiles giving us five sub-samples ranking from those with the lowest corporate governance to those with the highest level of corporate governance. In </w:t>
      </w:r>
      <w:r w:rsidRPr="008D4AFE">
        <w:rPr>
          <w:rFonts w:ascii="Times New Roman" w:hAnsi="Times New Roman" w:cs="Times New Roman"/>
          <w:sz w:val="24"/>
          <w:szCs w:val="24"/>
        </w:rPr>
        <w:t>Table 4</w:t>
      </w:r>
      <w:r>
        <w:rPr>
          <w:rFonts w:ascii="Times New Roman" w:hAnsi="Times New Roman" w:cs="Times New Roman"/>
          <w:sz w:val="24"/>
          <w:szCs w:val="24"/>
        </w:rPr>
        <w:t xml:space="preserve"> we report the median value for each of our proxies for information uncertainty for each of the five sub-samples. Our findings clearly indicate </w:t>
      </w:r>
      <w:r w:rsidR="00800FD2">
        <w:rPr>
          <w:rFonts w:ascii="Times New Roman" w:hAnsi="Times New Roman" w:cs="Times New Roman"/>
          <w:sz w:val="24"/>
          <w:szCs w:val="24"/>
        </w:rPr>
        <w:t>a monotonic</w:t>
      </w:r>
      <w:r>
        <w:rPr>
          <w:rFonts w:ascii="Times New Roman" w:hAnsi="Times New Roman" w:cs="Times New Roman"/>
          <w:sz w:val="24"/>
          <w:szCs w:val="24"/>
        </w:rPr>
        <w:t xml:space="preserve"> relationship with information </w:t>
      </w:r>
      <w:r w:rsidR="005E4339">
        <w:rPr>
          <w:rFonts w:ascii="Times New Roman" w:hAnsi="Times New Roman" w:cs="Times New Roman"/>
          <w:sz w:val="24"/>
          <w:szCs w:val="24"/>
        </w:rPr>
        <w:t>uncertainty de</w:t>
      </w:r>
      <w:r>
        <w:rPr>
          <w:rFonts w:ascii="Times New Roman" w:hAnsi="Times New Roman" w:cs="Times New Roman"/>
          <w:sz w:val="24"/>
          <w:szCs w:val="24"/>
        </w:rPr>
        <w:t xml:space="preserve">creasing as we proceed </w:t>
      </w:r>
      <w:r>
        <w:rPr>
          <w:rFonts w:ascii="Times New Roman" w:hAnsi="Times New Roman" w:cs="Times New Roman"/>
          <w:sz w:val="24"/>
          <w:szCs w:val="24"/>
        </w:rPr>
        <w:lastRenderedPageBreak/>
        <w:t>from the lowest governance quintile to the highest governance quintile. We see for each of the three proxies, there is a very significant difference between the median values for each proxy for the lowest and highest governance quintiles. The conclusion that we draw is that there is a link between the level of corporate governance practiced within a firm and the level of uncertainty associated with information flowing from the firm</w:t>
      </w:r>
      <w:r w:rsidR="00D2314D">
        <w:rPr>
          <w:rFonts w:ascii="Times New Roman" w:hAnsi="Times New Roman" w:cs="Times New Roman"/>
          <w:sz w:val="24"/>
          <w:szCs w:val="24"/>
        </w:rPr>
        <w:t>.</w:t>
      </w:r>
    </w:p>
    <w:p w14:paraId="25F96A51" w14:textId="201C3932" w:rsidR="007F0707" w:rsidRDefault="007F0707" w:rsidP="008F42C0">
      <w:pPr>
        <w:tabs>
          <w:tab w:val="left" w:pos="567"/>
        </w:tabs>
        <w:spacing w:after="0" w:line="288" w:lineRule="auto"/>
        <w:jc w:val="both"/>
        <w:rPr>
          <w:rFonts w:ascii="Times New Roman" w:hAnsi="Times New Roman" w:cs="Times New Roman"/>
          <w:sz w:val="24"/>
          <w:szCs w:val="24"/>
        </w:rPr>
      </w:pPr>
    </w:p>
    <w:tbl>
      <w:tblPr>
        <w:tblStyle w:val="TableGrid"/>
        <w:tblW w:w="10980" w:type="dxa"/>
        <w:jc w:val="center"/>
        <w:tblLayout w:type="fixed"/>
        <w:tblLook w:val="04A0" w:firstRow="1" w:lastRow="0" w:firstColumn="1" w:lastColumn="0" w:noHBand="0" w:noVBand="1"/>
      </w:tblPr>
      <w:tblGrid>
        <w:gridCol w:w="526"/>
        <w:gridCol w:w="3970"/>
        <w:gridCol w:w="2042"/>
        <w:gridCol w:w="2218"/>
        <w:gridCol w:w="2218"/>
        <w:gridCol w:w="6"/>
      </w:tblGrid>
      <w:tr w:rsidR="007F0707" w:rsidRPr="002E1EC0" w14:paraId="2D80B3DE" w14:textId="77777777" w:rsidTr="00DF6C6A">
        <w:trPr>
          <w:jc w:val="center"/>
        </w:trPr>
        <w:tc>
          <w:tcPr>
            <w:tcW w:w="10980" w:type="dxa"/>
            <w:gridSpan w:val="6"/>
            <w:tcBorders>
              <w:top w:val="nil"/>
              <w:left w:val="nil"/>
              <w:bottom w:val="single" w:sz="8" w:space="0" w:color="auto"/>
              <w:right w:val="nil"/>
            </w:tcBorders>
            <w:vAlign w:val="center"/>
          </w:tcPr>
          <w:p w14:paraId="1A30DF15" w14:textId="77777777" w:rsidR="00A3396A" w:rsidRDefault="007F0707" w:rsidP="00DF6C6A">
            <w:pPr>
              <w:tabs>
                <w:tab w:val="left" w:pos="567"/>
              </w:tabs>
              <w:spacing w:line="288" w:lineRule="auto"/>
              <w:jc w:val="center"/>
              <w:rPr>
                <w:rFonts w:asciiTheme="majorBidi" w:hAnsiTheme="majorBidi" w:cstheme="majorBidi"/>
                <w:b/>
                <w:bCs/>
                <w:color w:val="000000"/>
              </w:rPr>
            </w:pPr>
            <w:r w:rsidRPr="0025154B">
              <w:rPr>
                <w:rFonts w:asciiTheme="majorBidi" w:hAnsiTheme="majorBidi" w:cstheme="majorBidi"/>
                <w:b/>
                <w:bCs/>
                <w:color w:val="000000"/>
              </w:rPr>
              <w:t>Table 4:</w:t>
            </w:r>
            <w:r w:rsidR="0025154B">
              <w:rPr>
                <w:rFonts w:asciiTheme="majorBidi" w:hAnsiTheme="majorBidi" w:cstheme="majorBidi"/>
                <w:b/>
                <w:bCs/>
                <w:color w:val="000000"/>
              </w:rPr>
              <w:t xml:space="preserve"> </w:t>
            </w:r>
            <w:r w:rsidRPr="0025154B">
              <w:rPr>
                <w:rFonts w:asciiTheme="majorBidi" w:hAnsiTheme="majorBidi" w:cstheme="majorBidi"/>
                <w:b/>
                <w:bCs/>
                <w:color w:val="000000"/>
              </w:rPr>
              <w:t xml:space="preserve">Median Information Uncertainty (IU) Measures Values </w:t>
            </w:r>
          </w:p>
          <w:p w14:paraId="3700FB67" w14:textId="4D4CE66E" w:rsidR="007F0707" w:rsidRPr="00A3396A" w:rsidRDefault="007F0707" w:rsidP="00DF6C6A">
            <w:pPr>
              <w:tabs>
                <w:tab w:val="left" w:pos="567"/>
              </w:tabs>
              <w:spacing w:line="288" w:lineRule="auto"/>
              <w:jc w:val="center"/>
              <w:rPr>
                <w:rFonts w:asciiTheme="majorBidi" w:hAnsiTheme="majorBidi" w:cstheme="majorBidi"/>
                <w:color w:val="000000"/>
              </w:rPr>
            </w:pPr>
            <w:r w:rsidRPr="00A3396A">
              <w:rPr>
                <w:rFonts w:asciiTheme="majorBidi" w:hAnsiTheme="majorBidi" w:cstheme="majorBidi"/>
                <w:color w:val="000000"/>
              </w:rPr>
              <w:t>Based on the Governance Index Scores</w:t>
            </w:r>
          </w:p>
          <w:p w14:paraId="54F3F166" w14:textId="77777777" w:rsidR="007F0707" w:rsidRPr="0058599E" w:rsidRDefault="007F0707" w:rsidP="0025154B">
            <w:pPr>
              <w:tabs>
                <w:tab w:val="left" w:pos="567"/>
              </w:tabs>
              <w:spacing w:line="288" w:lineRule="auto"/>
              <w:jc w:val="both"/>
              <w:rPr>
                <w:rFonts w:asciiTheme="majorBidi" w:hAnsiTheme="majorBidi" w:cstheme="majorBidi"/>
                <w:b/>
                <w:bCs/>
                <w:color w:val="000000"/>
                <w:sz w:val="6"/>
                <w:szCs w:val="6"/>
              </w:rPr>
            </w:pPr>
          </w:p>
        </w:tc>
      </w:tr>
      <w:tr w:rsidR="007F0707" w:rsidRPr="004745EF" w14:paraId="2E7CD20D" w14:textId="77777777" w:rsidTr="006A5C09">
        <w:trPr>
          <w:gridBefore w:val="1"/>
          <w:gridAfter w:val="1"/>
          <w:wBefore w:w="526" w:type="dxa"/>
          <w:wAfter w:w="6" w:type="dxa"/>
          <w:trHeight w:val="295"/>
          <w:jc w:val="center"/>
        </w:trPr>
        <w:tc>
          <w:tcPr>
            <w:tcW w:w="3970" w:type="dxa"/>
            <w:tcBorders>
              <w:top w:val="single" w:sz="4" w:space="0" w:color="auto"/>
              <w:left w:val="nil"/>
              <w:bottom w:val="single" w:sz="8" w:space="0" w:color="auto"/>
              <w:right w:val="nil"/>
            </w:tcBorders>
            <w:vAlign w:val="center"/>
          </w:tcPr>
          <w:p w14:paraId="3D810F02" w14:textId="1D762010" w:rsidR="007F0707" w:rsidRPr="004745EF" w:rsidRDefault="007F0707" w:rsidP="006A5C09">
            <w:pPr>
              <w:tabs>
                <w:tab w:val="left" w:pos="567"/>
              </w:tabs>
              <w:spacing w:before="80" w:after="80"/>
              <w:rPr>
                <w:rFonts w:asciiTheme="majorBidi" w:hAnsiTheme="majorBidi" w:cstheme="majorBidi"/>
                <w:color w:val="000000"/>
              </w:rPr>
            </w:pPr>
            <w:r w:rsidRPr="004745EF">
              <w:rPr>
                <w:rFonts w:asciiTheme="majorBidi" w:hAnsiTheme="majorBidi" w:cstheme="majorBidi"/>
                <w:color w:val="000000"/>
              </w:rPr>
              <w:t xml:space="preserve">Quintile </w:t>
            </w:r>
            <w:r w:rsidR="006A5C09">
              <w:rPr>
                <w:rFonts w:asciiTheme="majorBidi" w:hAnsiTheme="majorBidi" w:cstheme="majorBidi"/>
                <w:color w:val="000000"/>
              </w:rPr>
              <w:t>B</w:t>
            </w:r>
            <w:r w:rsidRPr="004745EF">
              <w:rPr>
                <w:rFonts w:asciiTheme="majorBidi" w:hAnsiTheme="majorBidi" w:cstheme="majorBidi"/>
                <w:color w:val="000000"/>
              </w:rPr>
              <w:t>ased on the Governance Index</w:t>
            </w:r>
          </w:p>
        </w:tc>
        <w:tc>
          <w:tcPr>
            <w:tcW w:w="2042" w:type="dxa"/>
            <w:tcBorders>
              <w:top w:val="single" w:sz="4" w:space="0" w:color="auto"/>
              <w:left w:val="nil"/>
              <w:bottom w:val="single" w:sz="8" w:space="0" w:color="auto"/>
              <w:right w:val="nil"/>
            </w:tcBorders>
            <w:vAlign w:val="center"/>
          </w:tcPr>
          <w:p w14:paraId="1B29A4E2" w14:textId="77777777" w:rsidR="007F0707" w:rsidRPr="004745EF" w:rsidRDefault="007F0707" w:rsidP="006A5C09">
            <w:pPr>
              <w:tabs>
                <w:tab w:val="left" w:pos="567"/>
              </w:tabs>
              <w:spacing w:before="80" w:after="80"/>
              <w:jc w:val="center"/>
              <w:rPr>
                <w:rFonts w:asciiTheme="majorBidi" w:hAnsiTheme="majorBidi" w:cstheme="majorBidi"/>
                <w:color w:val="000000"/>
              </w:rPr>
            </w:pPr>
            <w:r w:rsidRPr="004745EF">
              <w:rPr>
                <w:rFonts w:asciiTheme="majorBidi" w:hAnsiTheme="majorBidi" w:cstheme="majorBidi"/>
                <w:color w:val="000000"/>
              </w:rPr>
              <w:t>VOLT</w:t>
            </w:r>
          </w:p>
        </w:tc>
        <w:tc>
          <w:tcPr>
            <w:tcW w:w="2218" w:type="dxa"/>
            <w:tcBorders>
              <w:top w:val="single" w:sz="4" w:space="0" w:color="auto"/>
              <w:left w:val="nil"/>
              <w:bottom w:val="single" w:sz="8" w:space="0" w:color="auto"/>
              <w:right w:val="nil"/>
            </w:tcBorders>
            <w:vAlign w:val="center"/>
          </w:tcPr>
          <w:p w14:paraId="27A72DD2" w14:textId="77777777" w:rsidR="007F0707" w:rsidRPr="004745EF" w:rsidRDefault="007F0707" w:rsidP="006A5C09">
            <w:pPr>
              <w:tabs>
                <w:tab w:val="left" w:pos="567"/>
              </w:tabs>
              <w:spacing w:before="80" w:after="80"/>
              <w:jc w:val="center"/>
              <w:rPr>
                <w:rFonts w:asciiTheme="majorBidi" w:hAnsiTheme="majorBidi" w:cstheme="majorBidi"/>
                <w:color w:val="000000"/>
              </w:rPr>
            </w:pPr>
            <w:r w:rsidRPr="004745EF">
              <w:rPr>
                <w:rFonts w:asciiTheme="majorBidi" w:hAnsiTheme="majorBidi" w:cstheme="majorBidi"/>
                <w:color w:val="000000"/>
              </w:rPr>
              <w:t>VOLM</w:t>
            </w:r>
          </w:p>
        </w:tc>
        <w:tc>
          <w:tcPr>
            <w:tcW w:w="2218" w:type="dxa"/>
            <w:tcBorders>
              <w:top w:val="single" w:sz="4" w:space="0" w:color="auto"/>
              <w:left w:val="nil"/>
              <w:bottom w:val="single" w:sz="8" w:space="0" w:color="auto"/>
              <w:right w:val="nil"/>
            </w:tcBorders>
            <w:vAlign w:val="center"/>
          </w:tcPr>
          <w:p w14:paraId="5395A236" w14:textId="77777777" w:rsidR="007F0707" w:rsidRPr="004745EF" w:rsidRDefault="007F0707" w:rsidP="006A5C09">
            <w:pPr>
              <w:tabs>
                <w:tab w:val="left" w:pos="567"/>
              </w:tabs>
              <w:spacing w:before="80" w:after="80"/>
              <w:jc w:val="center"/>
              <w:rPr>
                <w:rFonts w:asciiTheme="majorBidi" w:hAnsiTheme="majorBidi" w:cstheme="majorBidi"/>
                <w:color w:val="000000"/>
              </w:rPr>
            </w:pPr>
            <w:r w:rsidRPr="004745EF">
              <w:rPr>
                <w:rFonts w:asciiTheme="majorBidi" w:hAnsiTheme="majorBidi" w:cstheme="majorBidi"/>
                <w:color w:val="000000"/>
              </w:rPr>
              <w:t>FCDP</w:t>
            </w:r>
          </w:p>
        </w:tc>
      </w:tr>
      <w:tr w:rsidR="007F0707" w14:paraId="6DFB3C16" w14:textId="77777777" w:rsidTr="006A5C09">
        <w:trPr>
          <w:gridBefore w:val="1"/>
          <w:gridAfter w:val="1"/>
          <w:wBefore w:w="526" w:type="dxa"/>
          <w:wAfter w:w="6" w:type="dxa"/>
          <w:trHeight w:val="432"/>
          <w:jc w:val="center"/>
        </w:trPr>
        <w:tc>
          <w:tcPr>
            <w:tcW w:w="3970" w:type="dxa"/>
            <w:tcBorders>
              <w:top w:val="single" w:sz="8" w:space="0" w:color="auto"/>
              <w:left w:val="nil"/>
              <w:bottom w:val="nil"/>
              <w:right w:val="nil"/>
            </w:tcBorders>
            <w:vAlign w:val="center"/>
          </w:tcPr>
          <w:p w14:paraId="05930DCD" w14:textId="77777777" w:rsidR="007F0707" w:rsidRPr="002E1EC0" w:rsidRDefault="007F0707" w:rsidP="00DF6C6A">
            <w:pPr>
              <w:tabs>
                <w:tab w:val="left" w:pos="567"/>
              </w:tabs>
              <w:spacing w:line="288" w:lineRule="auto"/>
              <w:rPr>
                <w:rFonts w:asciiTheme="majorBidi" w:hAnsiTheme="majorBidi" w:cstheme="majorBidi"/>
              </w:rPr>
            </w:pPr>
            <w:r>
              <w:rPr>
                <w:rFonts w:asciiTheme="majorBidi" w:hAnsiTheme="majorBidi" w:cstheme="majorBidi"/>
              </w:rPr>
              <w:t>Quintile 1 (</w:t>
            </w:r>
            <w:r>
              <w:rPr>
                <w:rFonts w:asciiTheme="majorBidi" w:hAnsiTheme="majorBidi" w:cstheme="majorBidi"/>
                <w:i/>
                <w:iCs/>
              </w:rPr>
              <w:t>weakest</w:t>
            </w:r>
            <w:r w:rsidRPr="00A46540">
              <w:rPr>
                <w:rFonts w:asciiTheme="majorBidi" w:hAnsiTheme="majorBidi" w:cstheme="majorBidi"/>
                <w:i/>
                <w:iCs/>
              </w:rPr>
              <w:t xml:space="preserve"> governance</w:t>
            </w:r>
            <w:r>
              <w:rPr>
                <w:rFonts w:asciiTheme="majorBidi" w:hAnsiTheme="majorBidi" w:cstheme="majorBidi"/>
              </w:rPr>
              <w:t>)</w:t>
            </w:r>
          </w:p>
        </w:tc>
        <w:tc>
          <w:tcPr>
            <w:tcW w:w="2042" w:type="dxa"/>
            <w:tcBorders>
              <w:top w:val="single" w:sz="8" w:space="0" w:color="auto"/>
              <w:left w:val="nil"/>
              <w:bottom w:val="nil"/>
              <w:right w:val="nil"/>
            </w:tcBorders>
            <w:vAlign w:val="center"/>
          </w:tcPr>
          <w:p w14:paraId="7585131D" w14:textId="77777777" w:rsidR="007F0707" w:rsidRPr="002E1EC0"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0.0215</w:t>
            </w:r>
          </w:p>
        </w:tc>
        <w:tc>
          <w:tcPr>
            <w:tcW w:w="2218" w:type="dxa"/>
            <w:tcBorders>
              <w:top w:val="single" w:sz="8" w:space="0" w:color="auto"/>
              <w:left w:val="nil"/>
              <w:bottom w:val="nil"/>
              <w:right w:val="nil"/>
            </w:tcBorders>
            <w:shd w:val="clear" w:color="auto" w:fill="auto"/>
            <w:vAlign w:val="center"/>
          </w:tcPr>
          <w:p w14:paraId="0D3B2EBB" w14:textId="77777777" w:rsidR="007F0707" w:rsidRPr="00C32CA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-0.0006</w:t>
            </w:r>
          </w:p>
        </w:tc>
        <w:tc>
          <w:tcPr>
            <w:tcW w:w="2218" w:type="dxa"/>
            <w:tcBorders>
              <w:top w:val="single" w:sz="8" w:space="0" w:color="auto"/>
              <w:left w:val="nil"/>
              <w:bottom w:val="nil"/>
              <w:right w:val="nil"/>
            </w:tcBorders>
            <w:shd w:val="clear" w:color="auto" w:fill="auto"/>
            <w:vAlign w:val="center"/>
          </w:tcPr>
          <w:p w14:paraId="327C84B1" w14:textId="77777777" w:rsidR="007F0707" w:rsidRPr="00564E3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0.0519</w:t>
            </w:r>
          </w:p>
        </w:tc>
      </w:tr>
      <w:tr w:rsidR="007F0707" w14:paraId="505DB591" w14:textId="77777777" w:rsidTr="006A5C09">
        <w:trPr>
          <w:gridBefore w:val="1"/>
          <w:gridAfter w:val="1"/>
          <w:wBefore w:w="526" w:type="dxa"/>
          <w:wAfter w:w="6" w:type="dxa"/>
          <w:trHeight w:val="432"/>
          <w:jc w:val="center"/>
        </w:trPr>
        <w:tc>
          <w:tcPr>
            <w:tcW w:w="3970" w:type="dxa"/>
            <w:tcBorders>
              <w:top w:val="nil"/>
              <w:left w:val="nil"/>
              <w:bottom w:val="nil"/>
              <w:right w:val="nil"/>
            </w:tcBorders>
            <w:vAlign w:val="center"/>
          </w:tcPr>
          <w:p w14:paraId="5A3D0443" w14:textId="77777777" w:rsidR="007F0707" w:rsidRDefault="007F0707" w:rsidP="00DF6C6A">
            <w:pPr>
              <w:tabs>
                <w:tab w:val="left" w:pos="567"/>
              </w:tabs>
              <w:spacing w:line="288" w:lineRule="auto"/>
              <w:rPr>
                <w:rFonts w:asciiTheme="majorBidi" w:hAnsiTheme="majorBidi" w:cstheme="majorBidi"/>
              </w:rPr>
            </w:pPr>
            <w:r>
              <w:rPr>
                <w:rFonts w:asciiTheme="majorBidi" w:hAnsiTheme="majorBidi" w:cstheme="majorBidi"/>
              </w:rPr>
              <w:t>Quintile 2</w:t>
            </w:r>
          </w:p>
        </w:tc>
        <w:tc>
          <w:tcPr>
            <w:tcW w:w="2042" w:type="dxa"/>
            <w:tcBorders>
              <w:top w:val="nil"/>
              <w:left w:val="nil"/>
              <w:bottom w:val="nil"/>
              <w:right w:val="nil"/>
            </w:tcBorders>
            <w:vAlign w:val="center"/>
          </w:tcPr>
          <w:p w14:paraId="71D96A4F" w14:textId="77777777" w:rsidR="007F070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0.0212</w:t>
            </w:r>
          </w:p>
        </w:tc>
        <w:tc>
          <w:tcPr>
            <w:tcW w:w="2218" w:type="dxa"/>
            <w:tcBorders>
              <w:top w:val="nil"/>
              <w:left w:val="nil"/>
              <w:bottom w:val="nil"/>
              <w:right w:val="nil"/>
            </w:tcBorders>
            <w:shd w:val="clear" w:color="auto" w:fill="auto"/>
            <w:vAlign w:val="center"/>
          </w:tcPr>
          <w:p w14:paraId="3CD04F16" w14:textId="77777777" w:rsidR="007F0707" w:rsidRPr="00C32CA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-0.0011</w:t>
            </w:r>
          </w:p>
        </w:tc>
        <w:tc>
          <w:tcPr>
            <w:tcW w:w="2218" w:type="dxa"/>
            <w:tcBorders>
              <w:top w:val="nil"/>
              <w:left w:val="nil"/>
              <w:bottom w:val="nil"/>
              <w:right w:val="nil"/>
            </w:tcBorders>
            <w:shd w:val="clear" w:color="auto" w:fill="auto"/>
            <w:vAlign w:val="center"/>
          </w:tcPr>
          <w:p w14:paraId="1E76D889" w14:textId="77777777" w:rsidR="007F0707" w:rsidRPr="00564E3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0.0476</w:t>
            </w:r>
          </w:p>
        </w:tc>
      </w:tr>
      <w:tr w:rsidR="007F0707" w14:paraId="2BF4244D" w14:textId="77777777" w:rsidTr="006A5C09">
        <w:trPr>
          <w:gridBefore w:val="1"/>
          <w:gridAfter w:val="1"/>
          <w:wBefore w:w="526" w:type="dxa"/>
          <w:wAfter w:w="6" w:type="dxa"/>
          <w:trHeight w:val="432"/>
          <w:jc w:val="center"/>
        </w:trPr>
        <w:tc>
          <w:tcPr>
            <w:tcW w:w="3970" w:type="dxa"/>
            <w:tcBorders>
              <w:top w:val="nil"/>
              <w:left w:val="nil"/>
              <w:bottom w:val="nil"/>
              <w:right w:val="nil"/>
            </w:tcBorders>
            <w:vAlign w:val="center"/>
          </w:tcPr>
          <w:p w14:paraId="360B658D" w14:textId="77777777" w:rsidR="007F0707" w:rsidRPr="008648E1" w:rsidRDefault="007F0707" w:rsidP="00DF6C6A">
            <w:pPr>
              <w:tabs>
                <w:tab w:val="left" w:pos="567"/>
              </w:tabs>
              <w:spacing w:line="288" w:lineRule="auto"/>
              <w:rPr>
                <w:rFonts w:asciiTheme="majorBidi" w:hAnsiTheme="majorBidi" w:cstheme="majorBidi"/>
              </w:rPr>
            </w:pPr>
            <w:r>
              <w:rPr>
                <w:rFonts w:asciiTheme="majorBidi" w:hAnsiTheme="majorBidi" w:cstheme="majorBidi"/>
              </w:rPr>
              <w:t>Quintile 3</w:t>
            </w:r>
          </w:p>
        </w:tc>
        <w:tc>
          <w:tcPr>
            <w:tcW w:w="2042" w:type="dxa"/>
            <w:tcBorders>
              <w:top w:val="nil"/>
              <w:left w:val="nil"/>
              <w:bottom w:val="nil"/>
              <w:right w:val="nil"/>
            </w:tcBorders>
            <w:vAlign w:val="center"/>
          </w:tcPr>
          <w:p w14:paraId="6E439EF2" w14:textId="77777777" w:rsidR="007F0707" w:rsidRPr="008648E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0.0201</w:t>
            </w:r>
          </w:p>
        </w:tc>
        <w:tc>
          <w:tcPr>
            <w:tcW w:w="2218" w:type="dxa"/>
            <w:tcBorders>
              <w:top w:val="nil"/>
              <w:left w:val="nil"/>
              <w:bottom w:val="nil"/>
              <w:right w:val="nil"/>
            </w:tcBorders>
            <w:shd w:val="clear" w:color="auto" w:fill="auto"/>
            <w:vAlign w:val="center"/>
          </w:tcPr>
          <w:p w14:paraId="3335AA1E" w14:textId="77777777" w:rsidR="007F0707" w:rsidRPr="00C32CA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-0.0014</w:t>
            </w:r>
          </w:p>
        </w:tc>
        <w:tc>
          <w:tcPr>
            <w:tcW w:w="2218" w:type="dxa"/>
            <w:tcBorders>
              <w:top w:val="nil"/>
              <w:left w:val="nil"/>
              <w:bottom w:val="nil"/>
              <w:right w:val="nil"/>
            </w:tcBorders>
            <w:shd w:val="clear" w:color="auto" w:fill="auto"/>
            <w:vAlign w:val="center"/>
          </w:tcPr>
          <w:p w14:paraId="2CCC12A6" w14:textId="77777777" w:rsidR="007F0707" w:rsidRPr="00564E3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0.0458</w:t>
            </w:r>
          </w:p>
        </w:tc>
      </w:tr>
      <w:tr w:rsidR="007F0707" w14:paraId="74EB242B" w14:textId="77777777" w:rsidTr="006A5C09">
        <w:trPr>
          <w:gridBefore w:val="1"/>
          <w:gridAfter w:val="1"/>
          <w:wBefore w:w="526" w:type="dxa"/>
          <w:wAfter w:w="6" w:type="dxa"/>
          <w:trHeight w:val="432"/>
          <w:jc w:val="center"/>
        </w:trPr>
        <w:tc>
          <w:tcPr>
            <w:tcW w:w="3970" w:type="dxa"/>
            <w:tcBorders>
              <w:top w:val="nil"/>
              <w:left w:val="nil"/>
              <w:bottom w:val="nil"/>
              <w:right w:val="nil"/>
            </w:tcBorders>
            <w:vAlign w:val="center"/>
          </w:tcPr>
          <w:p w14:paraId="50216813" w14:textId="77777777" w:rsidR="007F0707" w:rsidRPr="008648E1" w:rsidRDefault="007F0707" w:rsidP="00DF6C6A">
            <w:pPr>
              <w:tabs>
                <w:tab w:val="left" w:pos="567"/>
              </w:tabs>
              <w:spacing w:line="288" w:lineRule="auto"/>
              <w:rPr>
                <w:rFonts w:asciiTheme="majorBidi" w:hAnsiTheme="majorBidi" w:cstheme="majorBidi"/>
              </w:rPr>
            </w:pPr>
            <w:r>
              <w:rPr>
                <w:rFonts w:asciiTheme="majorBidi" w:hAnsiTheme="majorBidi" w:cstheme="majorBidi"/>
              </w:rPr>
              <w:t>Quintile 4</w:t>
            </w:r>
          </w:p>
        </w:tc>
        <w:tc>
          <w:tcPr>
            <w:tcW w:w="2042" w:type="dxa"/>
            <w:tcBorders>
              <w:top w:val="nil"/>
              <w:left w:val="nil"/>
              <w:bottom w:val="nil"/>
              <w:right w:val="nil"/>
            </w:tcBorders>
            <w:vAlign w:val="center"/>
          </w:tcPr>
          <w:p w14:paraId="2CA29365" w14:textId="77777777" w:rsidR="007F0707" w:rsidRPr="008648E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0.0196</w:t>
            </w:r>
          </w:p>
        </w:tc>
        <w:tc>
          <w:tcPr>
            <w:tcW w:w="2218" w:type="dxa"/>
            <w:tcBorders>
              <w:top w:val="nil"/>
              <w:left w:val="nil"/>
              <w:bottom w:val="nil"/>
              <w:right w:val="nil"/>
            </w:tcBorders>
            <w:shd w:val="clear" w:color="auto" w:fill="auto"/>
            <w:vAlign w:val="center"/>
          </w:tcPr>
          <w:p w14:paraId="73FD5225" w14:textId="77777777" w:rsidR="007F0707" w:rsidRPr="00C32CA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-0.0024</w:t>
            </w:r>
          </w:p>
        </w:tc>
        <w:tc>
          <w:tcPr>
            <w:tcW w:w="2218" w:type="dxa"/>
            <w:tcBorders>
              <w:top w:val="nil"/>
              <w:left w:val="nil"/>
              <w:bottom w:val="nil"/>
              <w:right w:val="nil"/>
            </w:tcBorders>
            <w:shd w:val="clear" w:color="auto" w:fill="auto"/>
            <w:vAlign w:val="center"/>
          </w:tcPr>
          <w:p w14:paraId="58454815" w14:textId="77777777" w:rsidR="007F0707" w:rsidRPr="00564E3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0.0417</w:t>
            </w:r>
          </w:p>
        </w:tc>
      </w:tr>
      <w:tr w:rsidR="007F0707" w14:paraId="1AE729AA" w14:textId="77777777" w:rsidTr="006A5C09">
        <w:trPr>
          <w:gridBefore w:val="1"/>
          <w:gridAfter w:val="1"/>
          <w:wBefore w:w="526" w:type="dxa"/>
          <w:wAfter w:w="6" w:type="dxa"/>
          <w:trHeight w:val="432"/>
          <w:jc w:val="center"/>
        </w:trPr>
        <w:tc>
          <w:tcPr>
            <w:tcW w:w="3970" w:type="dxa"/>
            <w:tcBorders>
              <w:top w:val="nil"/>
              <w:left w:val="nil"/>
              <w:bottom w:val="nil"/>
              <w:right w:val="nil"/>
            </w:tcBorders>
            <w:vAlign w:val="center"/>
          </w:tcPr>
          <w:p w14:paraId="7BD77DF4" w14:textId="77777777" w:rsidR="007F0707" w:rsidRPr="008648E1" w:rsidRDefault="007F0707" w:rsidP="00DF6C6A">
            <w:pPr>
              <w:tabs>
                <w:tab w:val="left" w:pos="567"/>
              </w:tabs>
              <w:spacing w:line="288" w:lineRule="auto"/>
              <w:rPr>
                <w:rFonts w:asciiTheme="majorBidi" w:hAnsiTheme="majorBidi" w:cstheme="majorBidi"/>
              </w:rPr>
            </w:pPr>
            <w:r>
              <w:rPr>
                <w:rFonts w:asciiTheme="majorBidi" w:hAnsiTheme="majorBidi" w:cstheme="majorBidi"/>
              </w:rPr>
              <w:t>Quintile 5 (</w:t>
            </w:r>
            <w:r>
              <w:rPr>
                <w:rFonts w:asciiTheme="majorBidi" w:hAnsiTheme="majorBidi" w:cstheme="majorBidi"/>
                <w:i/>
                <w:iCs/>
              </w:rPr>
              <w:t>strongest</w:t>
            </w:r>
            <w:r w:rsidRPr="00A46540">
              <w:rPr>
                <w:rFonts w:asciiTheme="majorBidi" w:hAnsiTheme="majorBidi" w:cstheme="majorBidi"/>
                <w:i/>
                <w:iCs/>
              </w:rPr>
              <w:t xml:space="preserve"> governance</w:t>
            </w:r>
            <w:r>
              <w:rPr>
                <w:rFonts w:asciiTheme="majorBidi" w:hAnsiTheme="majorBidi" w:cstheme="majorBidi"/>
              </w:rPr>
              <w:t>)</w:t>
            </w:r>
          </w:p>
        </w:tc>
        <w:tc>
          <w:tcPr>
            <w:tcW w:w="2042" w:type="dxa"/>
            <w:tcBorders>
              <w:top w:val="nil"/>
              <w:left w:val="nil"/>
              <w:bottom w:val="nil"/>
              <w:right w:val="nil"/>
            </w:tcBorders>
            <w:vAlign w:val="center"/>
          </w:tcPr>
          <w:p w14:paraId="1507EF0E" w14:textId="77777777" w:rsidR="007F0707" w:rsidRPr="008648E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0.0188</w:t>
            </w:r>
          </w:p>
        </w:tc>
        <w:tc>
          <w:tcPr>
            <w:tcW w:w="2218" w:type="dxa"/>
            <w:tcBorders>
              <w:top w:val="nil"/>
              <w:left w:val="nil"/>
              <w:bottom w:val="nil"/>
              <w:right w:val="nil"/>
            </w:tcBorders>
            <w:shd w:val="clear" w:color="auto" w:fill="auto"/>
            <w:vAlign w:val="center"/>
          </w:tcPr>
          <w:p w14:paraId="6C6AB7D6" w14:textId="77777777" w:rsidR="007F0707" w:rsidRPr="00C32CA7"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-0.0061</w:t>
            </w:r>
          </w:p>
        </w:tc>
        <w:tc>
          <w:tcPr>
            <w:tcW w:w="2218" w:type="dxa"/>
            <w:tcBorders>
              <w:top w:val="nil"/>
              <w:left w:val="nil"/>
              <w:bottom w:val="nil"/>
              <w:right w:val="nil"/>
            </w:tcBorders>
            <w:shd w:val="clear" w:color="auto" w:fill="auto"/>
            <w:vAlign w:val="center"/>
          </w:tcPr>
          <w:p w14:paraId="551B7F15" w14:textId="77777777" w:rsidR="007F0707" w:rsidRPr="00564E31" w:rsidRDefault="007F0707" w:rsidP="00DF6C6A">
            <w:pPr>
              <w:tabs>
                <w:tab w:val="left" w:pos="567"/>
              </w:tabs>
              <w:spacing w:line="288" w:lineRule="auto"/>
              <w:jc w:val="center"/>
              <w:rPr>
                <w:rFonts w:asciiTheme="majorBidi" w:hAnsiTheme="majorBidi" w:cstheme="majorBidi"/>
              </w:rPr>
            </w:pPr>
            <w:r w:rsidRPr="00ED69F4">
              <w:rPr>
                <w:rFonts w:asciiTheme="majorBidi" w:hAnsiTheme="majorBidi" w:cstheme="majorBidi"/>
              </w:rPr>
              <w:t>0.0385</w:t>
            </w:r>
          </w:p>
        </w:tc>
      </w:tr>
      <w:tr w:rsidR="007F0707" w:rsidRPr="008A23A5" w14:paraId="0E90151F" w14:textId="77777777" w:rsidTr="006A5C09">
        <w:trPr>
          <w:gridBefore w:val="1"/>
          <w:gridAfter w:val="1"/>
          <w:wBefore w:w="526" w:type="dxa"/>
          <w:wAfter w:w="6" w:type="dxa"/>
          <w:trHeight w:val="20"/>
          <w:jc w:val="center"/>
        </w:trPr>
        <w:tc>
          <w:tcPr>
            <w:tcW w:w="3970" w:type="dxa"/>
            <w:tcBorders>
              <w:top w:val="nil"/>
              <w:left w:val="nil"/>
              <w:bottom w:val="nil"/>
              <w:right w:val="nil"/>
            </w:tcBorders>
            <w:vAlign w:val="center"/>
          </w:tcPr>
          <w:p w14:paraId="31361ADA" w14:textId="77777777" w:rsidR="007F0707" w:rsidRPr="008A23A5" w:rsidRDefault="007F0707" w:rsidP="00DF6C6A">
            <w:pPr>
              <w:tabs>
                <w:tab w:val="left" w:pos="567"/>
              </w:tabs>
              <w:spacing w:line="288" w:lineRule="auto"/>
              <w:rPr>
                <w:rFonts w:asciiTheme="majorBidi" w:hAnsiTheme="majorBidi" w:cstheme="majorBidi"/>
                <w:sz w:val="10"/>
                <w:szCs w:val="10"/>
              </w:rPr>
            </w:pPr>
          </w:p>
        </w:tc>
        <w:tc>
          <w:tcPr>
            <w:tcW w:w="2042" w:type="dxa"/>
            <w:tcBorders>
              <w:top w:val="nil"/>
              <w:left w:val="nil"/>
              <w:bottom w:val="nil"/>
              <w:right w:val="nil"/>
            </w:tcBorders>
            <w:vAlign w:val="center"/>
          </w:tcPr>
          <w:p w14:paraId="03B0EA9A" w14:textId="77777777" w:rsidR="007F0707" w:rsidRPr="008A23A5" w:rsidRDefault="007F0707" w:rsidP="00DF6C6A">
            <w:pPr>
              <w:tabs>
                <w:tab w:val="left" w:pos="567"/>
              </w:tabs>
              <w:spacing w:line="288" w:lineRule="auto"/>
              <w:jc w:val="center"/>
              <w:rPr>
                <w:rFonts w:asciiTheme="majorBidi" w:hAnsiTheme="majorBidi" w:cstheme="majorBidi"/>
                <w:sz w:val="10"/>
                <w:szCs w:val="10"/>
              </w:rPr>
            </w:pPr>
          </w:p>
        </w:tc>
        <w:tc>
          <w:tcPr>
            <w:tcW w:w="2218" w:type="dxa"/>
            <w:tcBorders>
              <w:top w:val="nil"/>
              <w:left w:val="nil"/>
              <w:bottom w:val="nil"/>
              <w:right w:val="nil"/>
            </w:tcBorders>
            <w:shd w:val="clear" w:color="auto" w:fill="auto"/>
            <w:vAlign w:val="bottom"/>
          </w:tcPr>
          <w:p w14:paraId="3524BB69" w14:textId="77777777" w:rsidR="007F0707" w:rsidRPr="008A23A5" w:rsidRDefault="007F0707" w:rsidP="00DF6C6A">
            <w:pPr>
              <w:tabs>
                <w:tab w:val="left" w:pos="567"/>
              </w:tabs>
              <w:spacing w:line="288" w:lineRule="auto"/>
              <w:jc w:val="center"/>
              <w:rPr>
                <w:rFonts w:asciiTheme="majorBidi" w:hAnsiTheme="majorBidi" w:cstheme="majorBidi"/>
                <w:sz w:val="10"/>
                <w:szCs w:val="10"/>
              </w:rPr>
            </w:pPr>
          </w:p>
        </w:tc>
        <w:tc>
          <w:tcPr>
            <w:tcW w:w="2218" w:type="dxa"/>
            <w:tcBorders>
              <w:top w:val="nil"/>
              <w:left w:val="nil"/>
              <w:bottom w:val="nil"/>
              <w:right w:val="nil"/>
            </w:tcBorders>
            <w:shd w:val="clear" w:color="auto" w:fill="auto"/>
            <w:vAlign w:val="bottom"/>
          </w:tcPr>
          <w:p w14:paraId="5D367E17" w14:textId="77777777" w:rsidR="007F0707" w:rsidRPr="008A23A5" w:rsidRDefault="007F0707" w:rsidP="00DF6C6A">
            <w:pPr>
              <w:tabs>
                <w:tab w:val="left" w:pos="567"/>
              </w:tabs>
              <w:spacing w:line="288" w:lineRule="auto"/>
              <w:jc w:val="center"/>
              <w:rPr>
                <w:rFonts w:asciiTheme="majorBidi" w:hAnsiTheme="majorBidi" w:cstheme="majorBidi"/>
                <w:sz w:val="10"/>
                <w:szCs w:val="10"/>
              </w:rPr>
            </w:pPr>
          </w:p>
        </w:tc>
      </w:tr>
      <w:tr w:rsidR="007F0707" w:rsidRPr="00683D28" w14:paraId="3DAC9684" w14:textId="77777777" w:rsidTr="006A5C09">
        <w:trPr>
          <w:gridBefore w:val="1"/>
          <w:gridAfter w:val="1"/>
          <w:wBefore w:w="526" w:type="dxa"/>
          <w:wAfter w:w="6" w:type="dxa"/>
          <w:trHeight w:val="288"/>
          <w:jc w:val="center"/>
        </w:trPr>
        <w:tc>
          <w:tcPr>
            <w:tcW w:w="3970" w:type="dxa"/>
            <w:tcBorders>
              <w:top w:val="nil"/>
              <w:left w:val="nil"/>
              <w:bottom w:val="nil"/>
              <w:right w:val="nil"/>
            </w:tcBorders>
            <w:vAlign w:val="center"/>
          </w:tcPr>
          <w:p w14:paraId="4886F4CB" w14:textId="77777777" w:rsidR="007F0707" w:rsidRPr="00C477CE" w:rsidRDefault="007F0707" w:rsidP="00DF6C6A">
            <w:pPr>
              <w:tabs>
                <w:tab w:val="left" w:pos="567"/>
              </w:tabs>
              <w:spacing w:line="288" w:lineRule="auto"/>
              <w:rPr>
                <w:rFonts w:asciiTheme="majorBidi" w:hAnsiTheme="majorBidi" w:cstheme="majorBidi"/>
              </w:rPr>
            </w:pPr>
            <w:r w:rsidRPr="00C477CE">
              <w:rPr>
                <w:rFonts w:asciiTheme="majorBidi" w:hAnsiTheme="majorBidi" w:cstheme="majorBidi"/>
              </w:rPr>
              <w:t>Q5 (strongest) versus Q1 (weakest)</w:t>
            </w:r>
          </w:p>
        </w:tc>
        <w:tc>
          <w:tcPr>
            <w:tcW w:w="2042" w:type="dxa"/>
            <w:tcBorders>
              <w:top w:val="nil"/>
              <w:left w:val="nil"/>
              <w:bottom w:val="nil"/>
              <w:right w:val="nil"/>
            </w:tcBorders>
            <w:vAlign w:val="center"/>
          </w:tcPr>
          <w:p w14:paraId="7C69E1DD" w14:textId="77777777" w:rsidR="007F0707" w:rsidRPr="00424D94" w:rsidRDefault="007F0707" w:rsidP="00DF6C6A">
            <w:pPr>
              <w:tabs>
                <w:tab w:val="left" w:pos="567"/>
              </w:tabs>
              <w:spacing w:line="288" w:lineRule="auto"/>
              <w:jc w:val="center"/>
              <w:rPr>
                <w:rFonts w:asciiTheme="majorBidi" w:hAnsiTheme="majorBidi" w:cstheme="majorBidi"/>
                <w:b/>
                <w:bCs/>
              </w:rPr>
            </w:pPr>
            <w:r>
              <w:rPr>
                <w:rFonts w:asciiTheme="majorBidi" w:hAnsiTheme="majorBidi" w:cstheme="majorBidi"/>
              </w:rPr>
              <w:t>Q5 &lt; Q1***</w:t>
            </w:r>
          </w:p>
        </w:tc>
        <w:tc>
          <w:tcPr>
            <w:tcW w:w="2218" w:type="dxa"/>
            <w:tcBorders>
              <w:top w:val="nil"/>
              <w:left w:val="nil"/>
              <w:bottom w:val="nil"/>
              <w:right w:val="nil"/>
            </w:tcBorders>
            <w:shd w:val="clear" w:color="auto" w:fill="auto"/>
            <w:vAlign w:val="center"/>
          </w:tcPr>
          <w:p w14:paraId="050ADE7D" w14:textId="77777777" w:rsidR="007F0707" w:rsidRDefault="007F0707" w:rsidP="00DF6C6A">
            <w:pPr>
              <w:tabs>
                <w:tab w:val="left" w:pos="567"/>
              </w:tabs>
              <w:spacing w:line="288" w:lineRule="auto"/>
              <w:jc w:val="center"/>
              <w:rPr>
                <w:rFonts w:asciiTheme="majorBidi" w:hAnsiTheme="majorBidi" w:cstheme="majorBidi"/>
              </w:rPr>
            </w:pPr>
            <w:r>
              <w:rPr>
                <w:rFonts w:asciiTheme="majorBidi" w:hAnsiTheme="majorBidi" w:cstheme="majorBidi"/>
              </w:rPr>
              <w:t>Q5 &lt; Q1***</w:t>
            </w:r>
          </w:p>
        </w:tc>
        <w:tc>
          <w:tcPr>
            <w:tcW w:w="2218" w:type="dxa"/>
            <w:tcBorders>
              <w:top w:val="nil"/>
              <w:left w:val="nil"/>
              <w:bottom w:val="nil"/>
              <w:right w:val="nil"/>
            </w:tcBorders>
            <w:shd w:val="clear" w:color="auto" w:fill="auto"/>
            <w:vAlign w:val="bottom"/>
          </w:tcPr>
          <w:p w14:paraId="0D0616FD" w14:textId="77777777" w:rsidR="007F0707" w:rsidRDefault="007F0707" w:rsidP="00DF6C6A">
            <w:pPr>
              <w:tabs>
                <w:tab w:val="left" w:pos="567"/>
              </w:tabs>
              <w:spacing w:line="288" w:lineRule="auto"/>
              <w:jc w:val="center"/>
              <w:rPr>
                <w:rFonts w:asciiTheme="majorBidi" w:hAnsiTheme="majorBidi" w:cstheme="majorBidi"/>
              </w:rPr>
            </w:pPr>
            <w:r>
              <w:rPr>
                <w:rFonts w:asciiTheme="majorBidi" w:hAnsiTheme="majorBidi" w:cstheme="majorBidi"/>
              </w:rPr>
              <w:t>Q5 &lt; Q1***</w:t>
            </w:r>
          </w:p>
        </w:tc>
      </w:tr>
      <w:tr w:rsidR="007F0707" w:rsidRPr="002E1EC0" w14:paraId="169786BE" w14:textId="77777777" w:rsidTr="006A5C09">
        <w:trPr>
          <w:gridBefore w:val="1"/>
          <w:gridAfter w:val="1"/>
          <w:wBefore w:w="526" w:type="dxa"/>
          <w:wAfter w:w="6" w:type="dxa"/>
          <w:trHeight w:val="288"/>
          <w:jc w:val="center"/>
        </w:trPr>
        <w:tc>
          <w:tcPr>
            <w:tcW w:w="3970" w:type="dxa"/>
            <w:tcBorders>
              <w:top w:val="nil"/>
              <w:left w:val="nil"/>
              <w:bottom w:val="nil"/>
              <w:right w:val="nil"/>
            </w:tcBorders>
            <w:vAlign w:val="center"/>
          </w:tcPr>
          <w:p w14:paraId="21171F0C" w14:textId="77777777" w:rsidR="007F0707" w:rsidRPr="00C477CE" w:rsidRDefault="007F0707" w:rsidP="00DF6C6A">
            <w:pPr>
              <w:tabs>
                <w:tab w:val="left" w:pos="567"/>
              </w:tabs>
              <w:spacing w:line="288" w:lineRule="auto"/>
              <w:rPr>
                <w:rFonts w:asciiTheme="majorBidi" w:hAnsiTheme="majorBidi" w:cstheme="majorBidi"/>
              </w:rPr>
            </w:pPr>
            <w:r w:rsidRPr="00C477CE">
              <w:rPr>
                <w:rFonts w:asciiTheme="majorBidi" w:hAnsiTheme="majorBidi" w:cstheme="majorBidi"/>
              </w:rPr>
              <w:t>N</w:t>
            </w:r>
            <w:r>
              <w:rPr>
                <w:rFonts w:asciiTheme="majorBidi" w:hAnsiTheme="majorBidi" w:cstheme="majorBidi"/>
              </w:rPr>
              <w:t xml:space="preserve">umber </w:t>
            </w:r>
            <w:r w:rsidRPr="00C477CE">
              <w:rPr>
                <w:rFonts w:asciiTheme="majorBidi" w:hAnsiTheme="majorBidi" w:cstheme="majorBidi"/>
              </w:rPr>
              <w:t xml:space="preserve">of </w:t>
            </w:r>
            <w:r>
              <w:rPr>
                <w:rFonts w:asciiTheme="majorBidi" w:hAnsiTheme="majorBidi" w:cstheme="majorBidi"/>
              </w:rPr>
              <w:t>O</w:t>
            </w:r>
            <w:r w:rsidRPr="00C477CE">
              <w:rPr>
                <w:rFonts w:asciiTheme="majorBidi" w:hAnsiTheme="majorBidi" w:cstheme="majorBidi"/>
              </w:rPr>
              <w:t>bservations</w:t>
            </w:r>
          </w:p>
        </w:tc>
        <w:tc>
          <w:tcPr>
            <w:tcW w:w="2042" w:type="dxa"/>
            <w:tcBorders>
              <w:top w:val="nil"/>
              <w:left w:val="nil"/>
              <w:bottom w:val="nil"/>
              <w:right w:val="nil"/>
            </w:tcBorders>
            <w:vAlign w:val="center"/>
          </w:tcPr>
          <w:p w14:paraId="0F0EC1B7" w14:textId="77777777" w:rsidR="007F0707" w:rsidRPr="00424D94" w:rsidRDefault="007F0707" w:rsidP="00DF6C6A">
            <w:pPr>
              <w:tabs>
                <w:tab w:val="left" w:pos="567"/>
              </w:tabs>
              <w:spacing w:line="288" w:lineRule="auto"/>
              <w:jc w:val="center"/>
              <w:rPr>
                <w:rFonts w:asciiTheme="majorBidi" w:hAnsiTheme="majorBidi" w:cstheme="majorBidi"/>
                <w:b/>
                <w:bCs/>
              </w:rPr>
            </w:pPr>
            <w:r>
              <w:rPr>
                <w:rFonts w:asciiTheme="majorBidi" w:hAnsiTheme="majorBidi" w:cstheme="majorBidi"/>
              </w:rPr>
              <w:t>21,692</w:t>
            </w:r>
          </w:p>
        </w:tc>
        <w:tc>
          <w:tcPr>
            <w:tcW w:w="2218" w:type="dxa"/>
            <w:tcBorders>
              <w:top w:val="nil"/>
              <w:left w:val="nil"/>
              <w:bottom w:val="nil"/>
              <w:right w:val="nil"/>
            </w:tcBorders>
            <w:vAlign w:val="center"/>
          </w:tcPr>
          <w:p w14:paraId="442A3F5B" w14:textId="77777777" w:rsidR="007F0707" w:rsidRPr="002E1EC0" w:rsidRDefault="007F0707" w:rsidP="00DF6C6A">
            <w:pPr>
              <w:tabs>
                <w:tab w:val="left" w:pos="567"/>
              </w:tabs>
              <w:spacing w:line="288" w:lineRule="auto"/>
              <w:jc w:val="center"/>
              <w:rPr>
                <w:rFonts w:asciiTheme="majorBidi" w:hAnsiTheme="majorBidi" w:cstheme="majorBidi"/>
              </w:rPr>
            </w:pPr>
            <w:r>
              <w:rPr>
                <w:rFonts w:asciiTheme="majorBidi" w:hAnsiTheme="majorBidi" w:cstheme="majorBidi"/>
              </w:rPr>
              <w:t>21,692</w:t>
            </w:r>
          </w:p>
        </w:tc>
        <w:tc>
          <w:tcPr>
            <w:tcW w:w="2218" w:type="dxa"/>
            <w:tcBorders>
              <w:top w:val="nil"/>
              <w:left w:val="nil"/>
              <w:bottom w:val="nil"/>
              <w:right w:val="nil"/>
            </w:tcBorders>
            <w:vAlign w:val="center"/>
          </w:tcPr>
          <w:p w14:paraId="23CD508A" w14:textId="77777777" w:rsidR="007F0707" w:rsidRPr="002E1EC0" w:rsidRDefault="007F0707" w:rsidP="00DF6C6A">
            <w:pPr>
              <w:tabs>
                <w:tab w:val="left" w:pos="567"/>
              </w:tabs>
              <w:spacing w:line="288" w:lineRule="auto"/>
              <w:jc w:val="center"/>
              <w:rPr>
                <w:rFonts w:asciiTheme="majorBidi" w:hAnsiTheme="majorBidi" w:cstheme="majorBidi"/>
              </w:rPr>
            </w:pPr>
            <w:r>
              <w:rPr>
                <w:rFonts w:asciiTheme="majorBidi" w:hAnsiTheme="majorBidi" w:cstheme="majorBidi"/>
              </w:rPr>
              <w:t>21,692</w:t>
            </w:r>
          </w:p>
        </w:tc>
      </w:tr>
      <w:tr w:rsidR="007F0707" w:rsidRPr="00486141" w14:paraId="13AC660C" w14:textId="77777777" w:rsidTr="006A5C09">
        <w:trPr>
          <w:gridAfter w:val="1"/>
          <w:wAfter w:w="6" w:type="dxa"/>
          <w:trHeight w:val="80"/>
          <w:jc w:val="center"/>
        </w:trPr>
        <w:tc>
          <w:tcPr>
            <w:tcW w:w="4496" w:type="dxa"/>
            <w:gridSpan w:val="2"/>
            <w:tcBorders>
              <w:top w:val="nil"/>
              <w:left w:val="nil"/>
              <w:bottom w:val="single" w:sz="12" w:space="0" w:color="auto"/>
              <w:right w:val="nil"/>
            </w:tcBorders>
          </w:tcPr>
          <w:p w14:paraId="4E18DAE0" w14:textId="77777777" w:rsidR="007F0707" w:rsidRPr="00486141" w:rsidRDefault="007F0707" w:rsidP="00DF6C6A">
            <w:pPr>
              <w:tabs>
                <w:tab w:val="left" w:pos="567"/>
              </w:tabs>
              <w:spacing w:line="288" w:lineRule="auto"/>
              <w:rPr>
                <w:rFonts w:asciiTheme="majorBidi" w:hAnsiTheme="majorBidi" w:cstheme="majorBidi"/>
                <w:sz w:val="8"/>
                <w:szCs w:val="8"/>
              </w:rPr>
            </w:pPr>
          </w:p>
        </w:tc>
        <w:tc>
          <w:tcPr>
            <w:tcW w:w="2042" w:type="dxa"/>
            <w:tcBorders>
              <w:top w:val="nil"/>
              <w:left w:val="nil"/>
              <w:bottom w:val="single" w:sz="12" w:space="0" w:color="auto"/>
              <w:right w:val="nil"/>
            </w:tcBorders>
            <w:vAlign w:val="center"/>
          </w:tcPr>
          <w:p w14:paraId="2A919187" w14:textId="77777777" w:rsidR="007F0707" w:rsidRPr="00486141" w:rsidRDefault="007F0707" w:rsidP="00DF6C6A">
            <w:pPr>
              <w:tabs>
                <w:tab w:val="left" w:pos="567"/>
              </w:tabs>
              <w:spacing w:line="288" w:lineRule="auto"/>
              <w:jc w:val="center"/>
              <w:rPr>
                <w:rFonts w:asciiTheme="majorBidi" w:hAnsiTheme="majorBidi" w:cstheme="majorBidi"/>
                <w:sz w:val="8"/>
                <w:szCs w:val="8"/>
              </w:rPr>
            </w:pPr>
          </w:p>
        </w:tc>
        <w:tc>
          <w:tcPr>
            <w:tcW w:w="2218" w:type="dxa"/>
            <w:tcBorders>
              <w:top w:val="nil"/>
              <w:left w:val="nil"/>
              <w:bottom w:val="single" w:sz="12" w:space="0" w:color="auto"/>
              <w:right w:val="nil"/>
            </w:tcBorders>
            <w:vAlign w:val="center"/>
          </w:tcPr>
          <w:p w14:paraId="2D88ACD4" w14:textId="77777777" w:rsidR="007F0707" w:rsidRPr="00486141" w:rsidRDefault="007F0707" w:rsidP="00DF6C6A">
            <w:pPr>
              <w:tabs>
                <w:tab w:val="left" w:pos="567"/>
              </w:tabs>
              <w:spacing w:line="288" w:lineRule="auto"/>
              <w:jc w:val="center"/>
              <w:rPr>
                <w:rFonts w:asciiTheme="majorBidi" w:hAnsiTheme="majorBidi" w:cstheme="majorBidi"/>
                <w:sz w:val="8"/>
                <w:szCs w:val="8"/>
              </w:rPr>
            </w:pPr>
          </w:p>
        </w:tc>
        <w:tc>
          <w:tcPr>
            <w:tcW w:w="2218" w:type="dxa"/>
            <w:tcBorders>
              <w:top w:val="nil"/>
              <w:left w:val="nil"/>
              <w:bottom w:val="single" w:sz="12" w:space="0" w:color="auto"/>
              <w:right w:val="nil"/>
            </w:tcBorders>
            <w:vAlign w:val="center"/>
          </w:tcPr>
          <w:p w14:paraId="6F5B111D" w14:textId="77777777" w:rsidR="007F0707" w:rsidRPr="00486141" w:rsidRDefault="007F0707" w:rsidP="00DF6C6A">
            <w:pPr>
              <w:tabs>
                <w:tab w:val="left" w:pos="567"/>
              </w:tabs>
              <w:spacing w:line="288" w:lineRule="auto"/>
              <w:jc w:val="center"/>
              <w:rPr>
                <w:rFonts w:asciiTheme="majorBidi" w:hAnsiTheme="majorBidi" w:cstheme="majorBidi"/>
                <w:sz w:val="8"/>
                <w:szCs w:val="8"/>
              </w:rPr>
            </w:pPr>
          </w:p>
        </w:tc>
      </w:tr>
    </w:tbl>
    <w:p w14:paraId="1E036976" w14:textId="5E0DF779" w:rsidR="009521A9" w:rsidRDefault="009521A9" w:rsidP="0025154B">
      <w:pPr>
        <w:tabs>
          <w:tab w:val="left" w:pos="567"/>
        </w:tabs>
        <w:spacing w:line="288" w:lineRule="auto"/>
        <w:jc w:val="both"/>
        <w:rPr>
          <w:rFonts w:asciiTheme="majorBidi" w:hAnsiTheme="majorBidi" w:cstheme="majorBidi"/>
          <w:color w:val="000000"/>
          <w:sz w:val="24"/>
          <w:szCs w:val="24"/>
        </w:rPr>
      </w:pPr>
      <w:r w:rsidRPr="009C3E31">
        <w:rPr>
          <w:rFonts w:asciiTheme="majorBidi" w:hAnsiTheme="majorBidi" w:cstheme="majorBidi"/>
          <w:color w:val="000000"/>
          <w:sz w:val="24"/>
          <w:szCs w:val="24"/>
        </w:rPr>
        <w:t>*Significant at the 10% level. **Significant at the 5% level. ***Significant at the 1% level.</w:t>
      </w:r>
    </w:p>
    <w:p w14:paraId="0A7DBCC3" w14:textId="77E8F823" w:rsidR="004745EF" w:rsidRPr="009C3E31" w:rsidRDefault="0058599E" w:rsidP="0025154B">
      <w:pPr>
        <w:tabs>
          <w:tab w:val="left" w:pos="567"/>
        </w:tabs>
        <w:spacing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25154B" w:rsidRPr="009C3E31">
        <w:rPr>
          <w:rFonts w:asciiTheme="majorBidi" w:hAnsiTheme="majorBidi" w:cstheme="majorBidi"/>
          <w:color w:val="000000"/>
          <w:sz w:val="24"/>
          <w:szCs w:val="24"/>
        </w:rPr>
        <w:t>T</w:t>
      </w:r>
      <w:r w:rsidR="009521A9">
        <w:rPr>
          <w:rFonts w:asciiTheme="majorBidi" w:hAnsiTheme="majorBidi" w:cstheme="majorBidi"/>
          <w:color w:val="000000"/>
          <w:sz w:val="24"/>
          <w:szCs w:val="24"/>
        </w:rPr>
        <w:t xml:space="preserve">able 4 </w:t>
      </w:r>
      <w:r w:rsidR="0025154B" w:rsidRPr="009C3E31">
        <w:rPr>
          <w:rFonts w:asciiTheme="majorBidi" w:hAnsiTheme="majorBidi" w:cstheme="majorBidi"/>
          <w:color w:val="000000"/>
          <w:sz w:val="24"/>
          <w:szCs w:val="24"/>
        </w:rPr>
        <w:t xml:space="preserve">presents the median values of the different proxies of IU </w:t>
      </w:r>
      <w:r w:rsidR="0025154B" w:rsidRPr="009C3E31">
        <w:rPr>
          <w:rFonts w:ascii="Times New Roman" w:hAnsi="Times New Roman" w:cs="Times New Roman"/>
          <w:sz w:val="24"/>
          <w:szCs w:val="24"/>
        </w:rPr>
        <w:t xml:space="preserve">(defined in </w:t>
      </w:r>
      <w:r w:rsidR="0025154B" w:rsidRPr="009C3E31">
        <w:rPr>
          <w:rFonts w:ascii="Times New Roman" w:hAnsi="Times New Roman" w:cs="Times New Roman"/>
          <w:i/>
          <w:iCs/>
          <w:sz w:val="24"/>
          <w:szCs w:val="24"/>
        </w:rPr>
        <w:t>Table I</w:t>
      </w:r>
      <w:r w:rsidR="0025154B" w:rsidRPr="009C3E31">
        <w:rPr>
          <w:rFonts w:ascii="Times New Roman" w:hAnsi="Times New Roman" w:cs="Times New Roman"/>
          <w:sz w:val="24"/>
          <w:szCs w:val="24"/>
        </w:rPr>
        <w:t>) for each quintile of corporate governance scores. The five quintiles are based on the scores of the governance index with the highest quintile (Quintile 5) having the observations with the highest governance scores (</w:t>
      </w:r>
      <w:r w:rsidR="009C3E31">
        <w:rPr>
          <w:rFonts w:ascii="Times New Roman" w:hAnsi="Times New Roman" w:cs="Times New Roman"/>
          <w:sz w:val="24"/>
          <w:szCs w:val="24"/>
        </w:rPr>
        <w:t xml:space="preserve">that is, </w:t>
      </w:r>
      <w:r w:rsidR="0025154B" w:rsidRPr="009C3E31">
        <w:rPr>
          <w:rFonts w:ascii="Times New Roman" w:hAnsi="Times New Roman" w:cs="Times New Roman"/>
          <w:sz w:val="24"/>
          <w:szCs w:val="24"/>
        </w:rPr>
        <w:t>strongest governance framework). The different IU proxies were constructed so that higher values indicate higher IU</w:t>
      </w:r>
      <w:r w:rsidR="0025154B" w:rsidRPr="009C3E31">
        <w:rPr>
          <w:rFonts w:asciiTheme="majorBidi" w:hAnsiTheme="majorBidi" w:cstheme="majorBidi"/>
          <w:color w:val="000000"/>
          <w:sz w:val="24"/>
          <w:szCs w:val="24"/>
        </w:rPr>
        <w:t xml:space="preserve">. All variables are defined in Appendix I. </w:t>
      </w:r>
    </w:p>
    <w:p w14:paraId="773048FE" w14:textId="4A70BD80" w:rsidR="0025154B" w:rsidRDefault="0025154B" w:rsidP="0025154B">
      <w:pPr>
        <w:tabs>
          <w:tab w:val="left" w:pos="567"/>
        </w:tabs>
        <w:spacing w:line="288" w:lineRule="auto"/>
        <w:jc w:val="both"/>
        <w:rPr>
          <w:rFonts w:asciiTheme="majorBidi" w:hAnsiTheme="majorBidi" w:cstheme="majorBidi"/>
          <w:color w:val="000000"/>
          <w:sz w:val="24"/>
          <w:szCs w:val="24"/>
        </w:rPr>
      </w:pPr>
    </w:p>
    <w:p w14:paraId="623E44A3" w14:textId="252C4EE4" w:rsidR="00B5471A" w:rsidRPr="00B57484" w:rsidRDefault="0070203A" w:rsidP="00BA14B0">
      <w:pPr>
        <w:pStyle w:val="ListParagraph"/>
        <w:numPr>
          <w:ilvl w:val="2"/>
          <w:numId w:val="38"/>
        </w:numPr>
        <w:tabs>
          <w:tab w:val="left" w:pos="567"/>
        </w:tabs>
        <w:spacing w:after="0" w:line="288"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2314D">
        <w:rPr>
          <w:rFonts w:ascii="Times New Roman" w:hAnsi="Times New Roman" w:cs="Times New Roman"/>
          <w:b/>
          <w:bCs/>
          <w:sz w:val="24"/>
          <w:szCs w:val="24"/>
        </w:rPr>
        <w:t xml:space="preserve">Information </w:t>
      </w:r>
      <w:r w:rsidR="00B57484">
        <w:rPr>
          <w:rFonts w:ascii="Times New Roman" w:hAnsi="Times New Roman" w:cs="Times New Roman"/>
          <w:b/>
          <w:bCs/>
          <w:sz w:val="24"/>
          <w:szCs w:val="24"/>
        </w:rPr>
        <w:t>U</w:t>
      </w:r>
      <w:r w:rsidR="00D2314D">
        <w:rPr>
          <w:rFonts w:ascii="Times New Roman" w:hAnsi="Times New Roman" w:cs="Times New Roman"/>
          <w:b/>
          <w:bCs/>
          <w:sz w:val="24"/>
          <w:szCs w:val="24"/>
        </w:rPr>
        <w:t xml:space="preserve">ncertainty and </w:t>
      </w:r>
      <w:r w:rsidR="00B57484">
        <w:rPr>
          <w:rFonts w:ascii="Times New Roman" w:hAnsi="Times New Roman" w:cs="Times New Roman"/>
          <w:b/>
          <w:bCs/>
          <w:sz w:val="24"/>
          <w:szCs w:val="24"/>
        </w:rPr>
        <w:t>E</w:t>
      </w:r>
      <w:r w:rsidR="00D2314D">
        <w:rPr>
          <w:rFonts w:ascii="Times New Roman" w:hAnsi="Times New Roman" w:cs="Times New Roman"/>
          <w:b/>
          <w:bCs/>
          <w:sz w:val="24"/>
          <w:szCs w:val="24"/>
        </w:rPr>
        <w:t xml:space="preserve">arnings </w:t>
      </w:r>
      <w:r w:rsidR="00B57484">
        <w:rPr>
          <w:rFonts w:ascii="Times New Roman" w:hAnsi="Times New Roman" w:cs="Times New Roman"/>
          <w:b/>
          <w:bCs/>
          <w:sz w:val="24"/>
          <w:szCs w:val="24"/>
        </w:rPr>
        <w:t>R</w:t>
      </w:r>
      <w:r w:rsidR="00D2314D">
        <w:rPr>
          <w:rFonts w:ascii="Times New Roman" w:hAnsi="Times New Roman" w:cs="Times New Roman"/>
          <w:b/>
          <w:bCs/>
          <w:sz w:val="24"/>
          <w:szCs w:val="24"/>
        </w:rPr>
        <w:t>esponse</w:t>
      </w:r>
      <w:bookmarkEnd w:id="13"/>
    </w:p>
    <w:p w14:paraId="20412C5E" w14:textId="77777777" w:rsidR="00B57484" w:rsidRPr="00B57484" w:rsidRDefault="00B57484" w:rsidP="008F42C0">
      <w:pPr>
        <w:keepNext/>
        <w:tabs>
          <w:tab w:val="left" w:pos="567"/>
        </w:tabs>
        <w:spacing w:after="0" w:line="288" w:lineRule="auto"/>
        <w:jc w:val="both"/>
        <w:rPr>
          <w:rFonts w:ascii="Times New Roman" w:hAnsi="Times New Roman" w:cs="Times New Roman"/>
          <w:sz w:val="12"/>
          <w:szCs w:val="12"/>
        </w:rPr>
      </w:pPr>
      <w:r>
        <w:rPr>
          <w:rFonts w:ascii="Times New Roman" w:hAnsi="Times New Roman" w:cs="Times New Roman"/>
          <w:sz w:val="24"/>
          <w:szCs w:val="24"/>
        </w:rPr>
        <w:tab/>
      </w:r>
    </w:p>
    <w:p w14:paraId="505704C4" w14:textId="26903463" w:rsidR="00B57484" w:rsidRDefault="00B5471A" w:rsidP="0070203A">
      <w:pPr>
        <w:keepNext/>
        <w:tabs>
          <w:tab w:val="left" w:pos="567"/>
        </w:tabs>
        <w:spacing w:after="0" w:line="276" w:lineRule="auto"/>
        <w:jc w:val="both"/>
        <w:rPr>
          <w:rFonts w:asciiTheme="majorBidi" w:hAnsiTheme="majorBidi" w:cstheme="majorBidi"/>
          <w:color w:val="000000"/>
          <w:sz w:val="24"/>
          <w:szCs w:val="24"/>
        </w:rPr>
      </w:pPr>
      <w:r>
        <w:rPr>
          <w:rFonts w:ascii="Times New Roman" w:hAnsi="Times New Roman" w:cs="Times New Roman"/>
          <w:sz w:val="24"/>
          <w:szCs w:val="24"/>
        </w:rPr>
        <w:t xml:space="preserve">The results are to be found </w:t>
      </w:r>
      <w:r w:rsidR="00C4006F" w:rsidRPr="0073794E">
        <w:rPr>
          <w:rFonts w:ascii="Times New Roman" w:hAnsi="Times New Roman" w:cs="Times New Roman"/>
          <w:sz w:val="24"/>
          <w:szCs w:val="24"/>
        </w:rPr>
        <w:t>in</w:t>
      </w:r>
      <w:r w:rsidR="00C4006F">
        <w:rPr>
          <w:rFonts w:ascii="Times New Roman" w:hAnsi="Times New Roman" w:cs="Times New Roman"/>
          <w:i/>
          <w:iCs/>
          <w:sz w:val="24"/>
          <w:szCs w:val="24"/>
        </w:rPr>
        <w:t xml:space="preserve"> </w:t>
      </w:r>
      <w:r w:rsidR="00C4006F" w:rsidRPr="008D4AFE">
        <w:rPr>
          <w:rFonts w:ascii="Times New Roman" w:hAnsi="Times New Roman" w:cs="Times New Roman"/>
          <w:sz w:val="24"/>
          <w:szCs w:val="24"/>
        </w:rPr>
        <w:t>Table 5</w:t>
      </w:r>
      <w:r w:rsidR="00C4006F">
        <w:rPr>
          <w:rFonts w:ascii="Times New Roman" w:hAnsi="Times New Roman" w:cs="Times New Roman"/>
          <w:sz w:val="24"/>
          <w:szCs w:val="24"/>
        </w:rPr>
        <w:t xml:space="preserve"> from applyi</w:t>
      </w:r>
      <w:r w:rsidR="00C4006F" w:rsidRPr="00D73FB3">
        <w:rPr>
          <w:rFonts w:ascii="Times New Roman" w:hAnsi="Times New Roman" w:cs="Times New Roman"/>
          <w:sz w:val="24"/>
          <w:szCs w:val="24"/>
        </w:rPr>
        <w:t>ng model</w:t>
      </w:r>
      <w:r w:rsidR="00322BD2">
        <w:rPr>
          <w:rFonts w:ascii="Times New Roman" w:hAnsi="Times New Roman" w:cs="Times New Roman"/>
          <w:sz w:val="24"/>
          <w:szCs w:val="24"/>
        </w:rPr>
        <w:t>s</w:t>
      </w:r>
      <w:r w:rsidR="00C4006F" w:rsidRPr="00D73FB3">
        <w:rPr>
          <w:rFonts w:ascii="Times New Roman" w:hAnsi="Times New Roman" w:cs="Times New Roman"/>
          <w:sz w:val="24"/>
          <w:szCs w:val="24"/>
        </w:rPr>
        <w:t xml:space="preserve"> 4</w:t>
      </w:r>
      <w:r w:rsidR="00AA72FF">
        <w:rPr>
          <w:rFonts w:ascii="Times New Roman" w:hAnsi="Times New Roman" w:cs="Times New Roman"/>
          <w:sz w:val="24"/>
          <w:szCs w:val="24"/>
        </w:rPr>
        <w:t>a</w:t>
      </w:r>
      <w:r w:rsidR="00322BD2">
        <w:rPr>
          <w:rFonts w:ascii="Times New Roman" w:hAnsi="Times New Roman" w:cs="Times New Roman"/>
          <w:sz w:val="24"/>
          <w:szCs w:val="24"/>
        </w:rPr>
        <w:t>-4</w:t>
      </w:r>
      <w:r w:rsidR="001B6881">
        <w:rPr>
          <w:rFonts w:ascii="Times New Roman" w:hAnsi="Times New Roman" w:cs="Times New Roman"/>
          <w:sz w:val="24"/>
          <w:szCs w:val="24"/>
        </w:rPr>
        <w:t>d</w:t>
      </w:r>
      <w:r w:rsidR="00C4006F" w:rsidRPr="00D73FB3">
        <w:rPr>
          <w:rFonts w:ascii="Times New Roman" w:hAnsi="Times New Roman" w:cs="Times New Roman"/>
          <w:sz w:val="24"/>
          <w:szCs w:val="24"/>
        </w:rPr>
        <w:t xml:space="preserve"> using structural equation modelling (see </w:t>
      </w:r>
      <w:r w:rsidR="00C4006F" w:rsidRPr="008D4AFE">
        <w:rPr>
          <w:rFonts w:ascii="Times New Roman" w:hAnsi="Times New Roman" w:cs="Times New Roman"/>
          <w:sz w:val="24"/>
          <w:szCs w:val="24"/>
        </w:rPr>
        <w:t>Figure 1</w:t>
      </w:r>
      <w:r w:rsidR="00C4006F" w:rsidRPr="00D73FB3">
        <w:rPr>
          <w:rFonts w:ascii="Times New Roman" w:hAnsi="Times New Roman" w:cs="Times New Roman"/>
          <w:sz w:val="24"/>
          <w:szCs w:val="24"/>
        </w:rPr>
        <w:t xml:space="preserve">) to our sample. </w:t>
      </w:r>
      <w:r>
        <w:rPr>
          <w:rFonts w:ascii="Times New Roman" w:hAnsi="Times New Roman" w:cs="Times New Roman"/>
          <w:sz w:val="24"/>
          <w:szCs w:val="24"/>
        </w:rPr>
        <w:t>We only report the coefficient for the variables of interest, corporate governance (GOV) and information uncertainty (IFU) as those for the other variables remain unchanged to those reported in</w:t>
      </w:r>
      <w:r w:rsidRPr="008D4AFE">
        <w:rPr>
          <w:rFonts w:ascii="Times New Roman" w:hAnsi="Times New Roman" w:cs="Times New Roman"/>
          <w:sz w:val="24"/>
          <w:szCs w:val="24"/>
        </w:rPr>
        <w:t xml:space="preserve"> Table 3</w:t>
      </w:r>
      <w:r>
        <w:rPr>
          <w:rFonts w:ascii="Times New Roman" w:hAnsi="Times New Roman" w:cs="Times New Roman"/>
          <w:sz w:val="24"/>
          <w:szCs w:val="24"/>
        </w:rPr>
        <w:t>.</w:t>
      </w:r>
      <w:r w:rsidR="00C4006F" w:rsidRPr="00D73FB3">
        <w:rPr>
          <w:rFonts w:asciiTheme="majorBidi" w:hAnsiTheme="majorBidi" w:cstheme="majorBidi"/>
          <w:color w:val="000000"/>
          <w:sz w:val="24"/>
          <w:szCs w:val="24"/>
        </w:rPr>
        <w:t xml:space="preserve"> </w:t>
      </w:r>
      <w:r w:rsidR="00C4006F">
        <w:rPr>
          <w:rFonts w:asciiTheme="majorBidi" w:hAnsiTheme="majorBidi" w:cstheme="majorBidi"/>
          <w:color w:val="000000"/>
          <w:sz w:val="24"/>
          <w:szCs w:val="24"/>
        </w:rPr>
        <w:t xml:space="preserve">The findings confirm </w:t>
      </w:r>
      <w:r w:rsidR="0063379F">
        <w:rPr>
          <w:rFonts w:asciiTheme="majorBidi" w:hAnsiTheme="majorBidi" w:cstheme="majorBidi"/>
          <w:color w:val="000000"/>
          <w:sz w:val="24"/>
          <w:szCs w:val="24"/>
        </w:rPr>
        <w:t xml:space="preserve">our previous finding </w:t>
      </w:r>
      <w:r w:rsidR="00C4006F">
        <w:rPr>
          <w:rFonts w:asciiTheme="majorBidi" w:hAnsiTheme="majorBidi" w:cstheme="majorBidi"/>
          <w:color w:val="000000"/>
          <w:sz w:val="24"/>
          <w:szCs w:val="24"/>
        </w:rPr>
        <w:t xml:space="preserve">that </w:t>
      </w:r>
      <w:r w:rsidR="00903B53">
        <w:rPr>
          <w:rFonts w:asciiTheme="majorBidi" w:hAnsiTheme="majorBidi" w:cstheme="majorBidi"/>
          <w:color w:val="000000"/>
          <w:sz w:val="24"/>
          <w:szCs w:val="24"/>
        </w:rPr>
        <w:t xml:space="preserve">when </w:t>
      </w:r>
      <w:r w:rsidR="0063379F">
        <w:rPr>
          <w:rFonts w:asciiTheme="majorBidi" w:hAnsiTheme="majorBidi" w:cstheme="majorBidi"/>
          <w:color w:val="000000"/>
          <w:sz w:val="24"/>
          <w:szCs w:val="24"/>
        </w:rPr>
        <w:t xml:space="preserve">now </w:t>
      </w:r>
      <w:r w:rsidR="00903B53">
        <w:rPr>
          <w:rFonts w:asciiTheme="majorBidi" w:hAnsiTheme="majorBidi" w:cstheme="majorBidi"/>
          <w:color w:val="000000"/>
          <w:sz w:val="24"/>
          <w:szCs w:val="24"/>
        </w:rPr>
        <w:t>using each of the three proxies for information uncertainty</w:t>
      </w:r>
      <w:r w:rsidR="0063379F">
        <w:rPr>
          <w:rFonts w:asciiTheme="majorBidi" w:hAnsiTheme="majorBidi" w:cstheme="majorBidi"/>
          <w:color w:val="000000"/>
          <w:sz w:val="24"/>
          <w:szCs w:val="24"/>
        </w:rPr>
        <w:t>,</w:t>
      </w:r>
      <w:r w:rsidR="00903B53">
        <w:rPr>
          <w:rFonts w:asciiTheme="majorBidi" w:hAnsiTheme="majorBidi" w:cstheme="majorBidi"/>
          <w:color w:val="000000"/>
          <w:sz w:val="24"/>
          <w:szCs w:val="24"/>
        </w:rPr>
        <w:t xml:space="preserve"> </w:t>
      </w:r>
      <w:r w:rsidR="00C4006F">
        <w:rPr>
          <w:rFonts w:asciiTheme="majorBidi" w:hAnsiTheme="majorBidi" w:cstheme="majorBidi"/>
          <w:color w:val="000000"/>
          <w:sz w:val="24"/>
          <w:szCs w:val="24"/>
        </w:rPr>
        <w:t xml:space="preserve">corporate governance </w:t>
      </w:r>
      <w:r w:rsidR="00903B53">
        <w:rPr>
          <w:rFonts w:asciiTheme="majorBidi" w:hAnsiTheme="majorBidi" w:cstheme="majorBidi"/>
          <w:color w:val="000000"/>
          <w:sz w:val="24"/>
          <w:szCs w:val="24"/>
        </w:rPr>
        <w:t xml:space="preserve">increases the impact that </w:t>
      </w:r>
      <w:r w:rsidR="0063379F">
        <w:rPr>
          <w:rFonts w:asciiTheme="majorBidi" w:hAnsiTheme="majorBidi" w:cstheme="majorBidi"/>
          <w:color w:val="000000"/>
          <w:sz w:val="24"/>
          <w:szCs w:val="24"/>
        </w:rPr>
        <w:t xml:space="preserve">both bad and </w:t>
      </w:r>
      <w:r w:rsidR="00903B53">
        <w:rPr>
          <w:rFonts w:asciiTheme="majorBidi" w:hAnsiTheme="majorBidi" w:cstheme="majorBidi"/>
          <w:color w:val="000000"/>
          <w:sz w:val="24"/>
          <w:szCs w:val="24"/>
        </w:rPr>
        <w:t>good earnings news has on corporate valuations</w:t>
      </w:r>
      <w:r w:rsidR="0063379F">
        <w:rPr>
          <w:rFonts w:asciiTheme="majorBidi" w:hAnsiTheme="majorBidi" w:cstheme="majorBidi"/>
          <w:color w:val="000000"/>
          <w:sz w:val="24"/>
          <w:szCs w:val="24"/>
        </w:rPr>
        <w:t xml:space="preserve"> during the announcement period (</w:t>
      </w:r>
      <w:bookmarkStart w:id="14" w:name="_Hlk38044749"/>
      <w:r w:rsidR="008D4AFE">
        <w:rPr>
          <w:rFonts w:asciiTheme="majorBidi" w:hAnsiTheme="majorBidi" w:cstheme="majorBidi"/>
          <w:color w:val="000000"/>
          <w:sz w:val="24"/>
          <w:szCs w:val="24"/>
        </w:rPr>
        <w:t xml:space="preserve">that is, </w:t>
      </w:r>
      <w:r w:rsidR="0063379F">
        <w:rPr>
          <w:rFonts w:asciiTheme="majorBidi" w:hAnsiTheme="majorBidi" w:cstheme="majorBidi"/>
          <w:color w:val="000000"/>
          <w:sz w:val="24"/>
          <w:szCs w:val="24"/>
        </w:rPr>
        <w:t xml:space="preserve">the coefficients attached </w:t>
      </w:r>
      <w:r w:rsidR="0063379F" w:rsidRPr="00660B9D">
        <w:rPr>
          <w:rFonts w:asciiTheme="majorBidi" w:hAnsiTheme="majorBidi" w:cstheme="majorBidi"/>
          <w:color w:val="000000"/>
          <w:sz w:val="24"/>
          <w:szCs w:val="24"/>
        </w:rPr>
        <w:t xml:space="preserve">to both </w:t>
      </w:r>
      <w:r w:rsidR="00660B9D" w:rsidRPr="00660B9D">
        <w:rPr>
          <w:rFonts w:asciiTheme="majorBidi" w:hAnsiTheme="majorBidi" w:cstheme="majorBidi"/>
          <w:sz w:val="24"/>
          <w:szCs w:val="24"/>
        </w:rPr>
        <w:t>GOVH×NUE</w:t>
      </w:r>
      <w:r w:rsidR="0063379F" w:rsidRPr="00660B9D">
        <w:rPr>
          <w:rFonts w:asciiTheme="majorBidi" w:hAnsiTheme="majorBidi" w:cstheme="majorBidi"/>
          <w:color w:val="000000"/>
          <w:sz w:val="24"/>
          <w:szCs w:val="24"/>
        </w:rPr>
        <w:t xml:space="preserve"> and </w:t>
      </w:r>
      <w:bookmarkStart w:id="15" w:name="_Hlk38089212"/>
      <w:r w:rsidR="00660B9D" w:rsidRPr="00660B9D">
        <w:rPr>
          <w:rFonts w:asciiTheme="majorBidi" w:hAnsiTheme="majorBidi" w:cstheme="majorBidi"/>
          <w:sz w:val="24"/>
          <w:szCs w:val="24"/>
        </w:rPr>
        <w:t>GOVH×PUE</w:t>
      </w:r>
      <w:r w:rsidR="00660B9D" w:rsidRPr="00660B9D">
        <w:rPr>
          <w:rFonts w:asciiTheme="majorBidi" w:hAnsiTheme="majorBidi" w:cstheme="majorBidi"/>
          <w:color w:val="000000"/>
          <w:sz w:val="24"/>
          <w:szCs w:val="24"/>
        </w:rPr>
        <w:t xml:space="preserve"> </w:t>
      </w:r>
      <w:bookmarkEnd w:id="15"/>
      <w:r w:rsidR="0063379F" w:rsidRPr="00660B9D">
        <w:rPr>
          <w:rFonts w:asciiTheme="majorBidi" w:hAnsiTheme="majorBidi" w:cstheme="majorBidi"/>
          <w:color w:val="000000"/>
          <w:sz w:val="24"/>
          <w:szCs w:val="24"/>
        </w:rPr>
        <w:t xml:space="preserve">in </w:t>
      </w:r>
      <w:r w:rsidR="0070203A">
        <w:rPr>
          <w:rFonts w:asciiTheme="majorBidi" w:hAnsiTheme="majorBidi" w:cstheme="majorBidi"/>
          <w:color w:val="000000"/>
          <w:sz w:val="24"/>
          <w:szCs w:val="24"/>
        </w:rPr>
        <w:t>C</w:t>
      </w:r>
      <w:r w:rsidR="0063379F" w:rsidRPr="00660B9D">
        <w:rPr>
          <w:rFonts w:asciiTheme="majorBidi" w:hAnsiTheme="majorBidi" w:cstheme="majorBidi"/>
          <w:color w:val="000000"/>
          <w:sz w:val="24"/>
          <w:szCs w:val="24"/>
        </w:rPr>
        <w:t>olumns</w:t>
      </w:r>
      <w:r w:rsidR="0063379F">
        <w:rPr>
          <w:rFonts w:asciiTheme="majorBidi" w:hAnsiTheme="majorBidi" w:cstheme="majorBidi"/>
          <w:color w:val="000000"/>
          <w:sz w:val="24"/>
          <w:szCs w:val="24"/>
        </w:rPr>
        <w:t xml:space="preserve"> 1 to 3 are all positive and significant</w:t>
      </w:r>
      <w:bookmarkEnd w:id="14"/>
      <w:r w:rsidR="002F0707">
        <w:rPr>
          <w:rFonts w:asciiTheme="majorBidi" w:hAnsiTheme="majorBidi" w:cstheme="majorBidi"/>
          <w:color w:val="000000"/>
          <w:sz w:val="24"/>
          <w:szCs w:val="24"/>
        </w:rPr>
        <w:t>)</w:t>
      </w:r>
      <w:r w:rsidR="0063379F">
        <w:rPr>
          <w:rFonts w:asciiTheme="majorBidi" w:hAnsiTheme="majorBidi" w:cstheme="majorBidi"/>
          <w:color w:val="000000"/>
          <w:sz w:val="24"/>
          <w:szCs w:val="24"/>
        </w:rPr>
        <w:t xml:space="preserve">. </w:t>
      </w:r>
      <w:r w:rsidR="002F0707">
        <w:rPr>
          <w:rFonts w:asciiTheme="majorBidi" w:hAnsiTheme="majorBidi" w:cstheme="majorBidi"/>
          <w:color w:val="000000"/>
          <w:sz w:val="24"/>
          <w:szCs w:val="24"/>
        </w:rPr>
        <w:t>Also consistent with our previous finding, the impact of corporate governance on the markets response to earnings news quickly fades away and it is found to play no part in explaining the PEAD (</w:t>
      </w:r>
      <w:r w:rsidR="008D4AFE">
        <w:rPr>
          <w:rFonts w:asciiTheme="majorBidi" w:hAnsiTheme="majorBidi" w:cstheme="majorBidi"/>
          <w:color w:val="000000"/>
          <w:sz w:val="24"/>
          <w:szCs w:val="24"/>
        </w:rPr>
        <w:t>that is,</w:t>
      </w:r>
      <w:r w:rsidR="002F0707">
        <w:rPr>
          <w:rFonts w:asciiTheme="majorBidi" w:hAnsiTheme="majorBidi" w:cstheme="majorBidi"/>
          <w:color w:val="000000"/>
          <w:sz w:val="24"/>
          <w:szCs w:val="24"/>
        </w:rPr>
        <w:t xml:space="preserve"> </w:t>
      </w:r>
      <w:r w:rsidR="002F0707" w:rsidRPr="002F0707">
        <w:rPr>
          <w:rFonts w:asciiTheme="majorBidi" w:hAnsiTheme="majorBidi" w:cstheme="majorBidi"/>
          <w:color w:val="000000"/>
          <w:sz w:val="24"/>
          <w:szCs w:val="24"/>
        </w:rPr>
        <w:t xml:space="preserve">the coefficients attached to both </w:t>
      </w:r>
      <w:r w:rsidR="00660B9D" w:rsidRPr="00660B9D">
        <w:rPr>
          <w:rFonts w:asciiTheme="majorBidi" w:hAnsiTheme="majorBidi" w:cstheme="majorBidi"/>
          <w:sz w:val="24"/>
          <w:szCs w:val="24"/>
        </w:rPr>
        <w:t>GOVH×</w:t>
      </w:r>
      <w:r w:rsidR="00660B9D">
        <w:rPr>
          <w:rFonts w:asciiTheme="majorBidi" w:hAnsiTheme="majorBidi" w:cstheme="majorBidi"/>
          <w:sz w:val="24"/>
          <w:szCs w:val="24"/>
        </w:rPr>
        <w:t>N</w:t>
      </w:r>
      <w:r w:rsidR="00660B9D" w:rsidRPr="00660B9D">
        <w:rPr>
          <w:rFonts w:asciiTheme="majorBidi" w:hAnsiTheme="majorBidi" w:cstheme="majorBidi"/>
          <w:sz w:val="24"/>
          <w:szCs w:val="24"/>
        </w:rPr>
        <w:t>UE</w:t>
      </w:r>
      <w:r w:rsidR="002F0707" w:rsidRPr="002F0707">
        <w:rPr>
          <w:rFonts w:asciiTheme="majorBidi" w:hAnsiTheme="majorBidi" w:cstheme="majorBidi"/>
          <w:color w:val="000000"/>
          <w:sz w:val="24"/>
          <w:szCs w:val="24"/>
        </w:rPr>
        <w:t xml:space="preserve"> and </w:t>
      </w:r>
      <w:r w:rsidR="00660B9D" w:rsidRPr="00660B9D">
        <w:rPr>
          <w:rFonts w:asciiTheme="majorBidi" w:hAnsiTheme="majorBidi" w:cstheme="majorBidi"/>
          <w:sz w:val="24"/>
          <w:szCs w:val="24"/>
        </w:rPr>
        <w:t>GOVH×PUE</w:t>
      </w:r>
      <w:r w:rsidR="002F0707" w:rsidRPr="002F0707">
        <w:rPr>
          <w:rFonts w:asciiTheme="majorBidi" w:hAnsiTheme="majorBidi" w:cstheme="majorBidi"/>
          <w:color w:val="000000"/>
          <w:sz w:val="24"/>
          <w:szCs w:val="24"/>
        </w:rPr>
        <w:t xml:space="preserve"> in columns </w:t>
      </w:r>
      <w:r w:rsidR="002F0707">
        <w:rPr>
          <w:rFonts w:asciiTheme="majorBidi" w:hAnsiTheme="majorBidi" w:cstheme="majorBidi"/>
          <w:color w:val="000000"/>
          <w:sz w:val="24"/>
          <w:szCs w:val="24"/>
        </w:rPr>
        <w:t>4</w:t>
      </w:r>
      <w:r w:rsidR="002F0707" w:rsidRPr="002F0707">
        <w:rPr>
          <w:rFonts w:asciiTheme="majorBidi" w:hAnsiTheme="majorBidi" w:cstheme="majorBidi"/>
          <w:color w:val="000000"/>
          <w:sz w:val="24"/>
          <w:szCs w:val="24"/>
        </w:rPr>
        <w:t xml:space="preserve"> to </w:t>
      </w:r>
      <w:r w:rsidR="002F0707">
        <w:rPr>
          <w:rFonts w:asciiTheme="majorBidi" w:hAnsiTheme="majorBidi" w:cstheme="majorBidi"/>
          <w:color w:val="000000"/>
          <w:sz w:val="24"/>
          <w:szCs w:val="24"/>
        </w:rPr>
        <w:t>6</w:t>
      </w:r>
      <w:r w:rsidR="002F0707" w:rsidRPr="002F0707">
        <w:rPr>
          <w:rFonts w:asciiTheme="majorBidi" w:hAnsiTheme="majorBidi" w:cstheme="majorBidi"/>
          <w:color w:val="000000"/>
          <w:sz w:val="24"/>
          <w:szCs w:val="24"/>
        </w:rPr>
        <w:t xml:space="preserve"> are </w:t>
      </w:r>
      <w:r w:rsidR="002F0707">
        <w:rPr>
          <w:rFonts w:asciiTheme="majorBidi" w:hAnsiTheme="majorBidi" w:cstheme="majorBidi"/>
          <w:color w:val="000000"/>
          <w:sz w:val="24"/>
          <w:szCs w:val="24"/>
        </w:rPr>
        <w:lastRenderedPageBreak/>
        <w:t>in</w:t>
      </w:r>
      <w:r w:rsidR="002F0707" w:rsidRPr="002F0707">
        <w:rPr>
          <w:rFonts w:asciiTheme="majorBidi" w:hAnsiTheme="majorBidi" w:cstheme="majorBidi"/>
          <w:color w:val="000000"/>
          <w:sz w:val="24"/>
          <w:szCs w:val="24"/>
        </w:rPr>
        <w:t>significant</w:t>
      </w:r>
      <w:r w:rsidR="002F0707">
        <w:rPr>
          <w:rFonts w:asciiTheme="majorBidi" w:hAnsiTheme="majorBidi" w:cstheme="majorBidi"/>
          <w:color w:val="000000"/>
          <w:sz w:val="24"/>
          <w:szCs w:val="24"/>
        </w:rPr>
        <w:t xml:space="preserve">). We previously proposed that the heightened initial response reflected that the credibility of the earnings announcements increased with the level of corporate governance, but </w:t>
      </w:r>
      <w:r w:rsidR="00484F69">
        <w:rPr>
          <w:rFonts w:asciiTheme="majorBidi" w:hAnsiTheme="majorBidi" w:cstheme="majorBidi"/>
          <w:color w:val="000000"/>
          <w:sz w:val="24"/>
          <w:szCs w:val="24"/>
        </w:rPr>
        <w:t>that the influence of corporate governance wanes after the announcement as this variable remains constant over the post-announcement period.</w:t>
      </w:r>
    </w:p>
    <w:p w14:paraId="5848EA52" w14:textId="77777777" w:rsidR="0070203A" w:rsidRPr="0070203A" w:rsidRDefault="0070203A" w:rsidP="0070203A">
      <w:pPr>
        <w:keepNext/>
        <w:tabs>
          <w:tab w:val="left" w:pos="567"/>
        </w:tabs>
        <w:spacing w:after="0" w:line="276" w:lineRule="auto"/>
        <w:jc w:val="both"/>
        <w:rPr>
          <w:rFonts w:asciiTheme="majorBidi" w:hAnsiTheme="majorBidi" w:cstheme="majorBidi"/>
          <w:color w:val="000000"/>
          <w:sz w:val="16"/>
          <w:szCs w:val="16"/>
        </w:rPr>
      </w:pPr>
    </w:p>
    <w:p w14:paraId="20B9B9D1" w14:textId="77777777" w:rsidR="0070203A" w:rsidRDefault="0070203A" w:rsidP="0070203A">
      <w:pPr>
        <w:spacing w:after="0" w:line="276"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coefficients reported for information uncertainty are negative and significant for all proxies during both the announcement period and the post-announcement period reflecting that high information uncertainty dampens the market response to both good and bad earnings news (that is, </w:t>
      </w:r>
      <w:r w:rsidRPr="00484F69">
        <w:rPr>
          <w:rFonts w:asciiTheme="majorBidi" w:hAnsiTheme="majorBidi" w:cstheme="majorBidi"/>
          <w:color w:val="000000"/>
          <w:sz w:val="24"/>
          <w:szCs w:val="24"/>
        </w:rPr>
        <w:t xml:space="preserve">the coefficients attached to both </w:t>
      </w:r>
      <w:r>
        <w:rPr>
          <w:rFonts w:asciiTheme="majorBidi" w:hAnsiTheme="majorBidi" w:cstheme="majorBidi"/>
          <w:color w:val="000000"/>
          <w:sz w:val="24"/>
          <w:szCs w:val="24"/>
        </w:rPr>
        <w:t>IFU</w:t>
      </w:r>
      <w:r w:rsidRPr="00484F69">
        <w:rPr>
          <w:rFonts w:asciiTheme="majorBidi" w:hAnsiTheme="majorBidi" w:cstheme="majorBidi"/>
          <w:color w:val="000000"/>
          <w:sz w:val="24"/>
          <w:szCs w:val="24"/>
        </w:rPr>
        <w:t>H</w:t>
      </w:r>
      <w:r w:rsidRPr="00660B9D">
        <w:rPr>
          <w:rFonts w:asciiTheme="majorBidi" w:hAnsiTheme="majorBidi" w:cstheme="majorBidi"/>
          <w:sz w:val="24"/>
          <w:szCs w:val="24"/>
        </w:rPr>
        <w:t>×</w:t>
      </w:r>
      <w:r w:rsidRPr="00484F69">
        <w:rPr>
          <w:rFonts w:asciiTheme="majorBidi" w:hAnsiTheme="majorBidi" w:cstheme="majorBidi"/>
          <w:color w:val="000000"/>
          <w:sz w:val="24"/>
          <w:szCs w:val="24"/>
        </w:rPr>
        <w:t xml:space="preserve">NUE and </w:t>
      </w:r>
      <w:r>
        <w:rPr>
          <w:rFonts w:asciiTheme="majorBidi" w:hAnsiTheme="majorBidi" w:cstheme="majorBidi"/>
          <w:color w:val="000000"/>
          <w:sz w:val="24"/>
          <w:szCs w:val="24"/>
        </w:rPr>
        <w:t>IFU</w:t>
      </w:r>
      <w:r w:rsidRPr="00484F69">
        <w:rPr>
          <w:rFonts w:asciiTheme="majorBidi" w:hAnsiTheme="majorBidi" w:cstheme="majorBidi"/>
          <w:color w:val="000000"/>
          <w:sz w:val="24"/>
          <w:szCs w:val="24"/>
        </w:rPr>
        <w:t>H</w:t>
      </w:r>
      <w:r w:rsidRPr="00660B9D">
        <w:rPr>
          <w:rFonts w:asciiTheme="majorBidi" w:hAnsiTheme="majorBidi" w:cstheme="majorBidi"/>
          <w:sz w:val="24"/>
          <w:szCs w:val="24"/>
        </w:rPr>
        <w:t>×</w:t>
      </w:r>
      <w:r w:rsidRPr="00484F69">
        <w:rPr>
          <w:rFonts w:asciiTheme="majorBidi" w:hAnsiTheme="majorBidi" w:cstheme="majorBidi"/>
          <w:color w:val="000000"/>
          <w:sz w:val="24"/>
          <w:szCs w:val="24"/>
        </w:rPr>
        <w:t xml:space="preserve">PUE in </w:t>
      </w:r>
      <w:r>
        <w:rPr>
          <w:rFonts w:asciiTheme="majorBidi" w:hAnsiTheme="majorBidi" w:cstheme="majorBidi"/>
          <w:color w:val="000000"/>
          <w:sz w:val="24"/>
          <w:szCs w:val="24"/>
        </w:rPr>
        <w:t>C</w:t>
      </w:r>
      <w:r w:rsidRPr="00484F69">
        <w:rPr>
          <w:rFonts w:asciiTheme="majorBidi" w:hAnsiTheme="majorBidi" w:cstheme="majorBidi"/>
          <w:color w:val="000000"/>
          <w:sz w:val="24"/>
          <w:szCs w:val="24"/>
        </w:rPr>
        <w:t xml:space="preserve">olumns 1 to </w:t>
      </w:r>
      <w:r>
        <w:rPr>
          <w:rFonts w:asciiTheme="majorBidi" w:hAnsiTheme="majorBidi" w:cstheme="majorBidi"/>
          <w:color w:val="000000"/>
          <w:sz w:val="24"/>
          <w:szCs w:val="24"/>
        </w:rPr>
        <w:t>6</w:t>
      </w:r>
      <w:r w:rsidRPr="00484F69">
        <w:rPr>
          <w:rFonts w:asciiTheme="majorBidi" w:hAnsiTheme="majorBidi" w:cstheme="majorBidi"/>
          <w:color w:val="000000"/>
          <w:sz w:val="24"/>
          <w:szCs w:val="24"/>
        </w:rPr>
        <w:t xml:space="preserve"> are all </w:t>
      </w:r>
      <w:r>
        <w:rPr>
          <w:rFonts w:asciiTheme="majorBidi" w:hAnsiTheme="majorBidi" w:cstheme="majorBidi"/>
          <w:color w:val="000000"/>
          <w:sz w:val="24"/>
          <w:szCs w:val="24"/>
        </w:rPr>
        <w:t>negative</w:t>
      </w:r>
      <w:r w:rsidRPr="00484F69">
        <w:rPr>
          <w:rFonts w:asciiTheme="majorBidi" w:hAnsiTheme="majorBidi" w:cstheme="majorBidi"/>
          <w:color w:val="000000"/>
          <w:sz w:val="24"/>
          <w:szCs w:val="24"/>
        </w:rPr>
        <w:t xml:space="preserve"> and significant</w:t>
      </w:r>
      <w:r>
        <w:rPr>
          <w:rFonts w:asciiTheme="majorBidi" w:hAnsiTheme="majorBidi" w:cstheme="majorBidi"/>
          <w:color w:val="000000"/>
          <w:sz w:val="24"/>
          <w:szCs w:val="24"/>
        </w:rPr>
        <w:t xml:space="preserve">) not only during the announcement period but also during the post-announcement period. This is consistent with our previous interpretation that information uncertainty is always a drag on corporate valuations because it reduces investors’ belief in the information and so the extent to which they are willing to build the full impact of the information into their expectations. </w:t>
      </w:r>
    </w:p>
    <w:p w14:paraId="101A530E" w14:textId="77777777" w:rsidR="0070203A" w:rsidRPr="0070203A" w:rsidRDefault="0070203A" w:rsidP="0070203A">
      <w:pPr>
        <w:spacing w:after="0" w:line="276" w:lineRule="auto"/>
        <w:ind w:firstLine="720"/>
        <w:jc w:val="both"/>
        <w:rPr>
          <w:rFonts w:asciiTheme="majorBidi" w:hAnsiTheme="majorBidi" w:cstheme="majorBidi"/>
          <w:color w:val="000000"/>
          <w:sz w:val="16"/>
          <w:szCs w:val="16"/>
        </w:rPr>
      </w:pPr>
    </w:p>
    <w:p w14:paraId="5CF1088A" w14:textId="734B4DCF" w:rsidR="0070203A" w:rsidRDefault="0070203A" w:rsidP="0070203A">
      <w:pPr>
        <w:keepNext/>
        <w:tabs>
          <w:tab w:val="left" w:pos="567"/>
        </w:tabs>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The findings have strong implication for asset pricing and the efficiency of the market and is at variance with those of Zhang (2006) who finds that information uncertainty decreased the investors’ initial response to earnings news but increased the contribution made to the PEAD. His explanation being that somehow the information uncertainty is resolved in the mind of the investors during the post-announcement period and so the drift reflects their recognition of the mistake that they made when initially responding to the announcement. We would first question the evidence on which he based his claims as in measuring the impact that information uncertainty has on investor response, he failed to control for any of the variables that demonstrably impact on that response (e.g. market uncertainly, investor sentiment and others). The other comment that we would make is to question just why information uncertainty would be significantly resolved in the mind of investors in the intervening period to the next quarterly earnings announcement but then again be the cause of an underreaction to the next earnings announcement.  </w:t>
      </w:r>
    </w:p>
    <w:p w14:paraId="2AF4F0FE" w14:textId="77777777" w:rsidR="005409EA" w:rsidRDefault="005409EA" w:rsidP="0070203A">
      <w:pPr>
        <w:keepNext/>
        <w:tabs>
          <w:tab w:val="left" w:pos="567"/>
        </w:tabs>
        <w:spacing w:after="0" w:line="276" w:lineRule="auto"/>
        <w:jc w:val="both"/>
        <w:rPr>
          <w:rFonts w:asciiTheme="majorBidi" w:hAnsiTheme="majorBidi" w:cstheme="majorBidi"/>
          <w:color w:val="000000"/>
          <w:sz w:val="24"/>
          <w:szCs w:val="24"/>
        </w:rPr>
      </w:pPr>
    </w:p>
    <w:p w14:paraId="1C7E1E31" w14:textId="11CDFE3E" w:rsidR="005409EA" w:rsidRDefault="005409EA" w:rsidP="005409EA">
      <w:pPr>
        <w:keepNext/>
        <w:tabs>
          <w:tab w:val="left" w:pos="567"/>
        </w:tabs>
        <w:spacing w:after="0"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Table 5 also offers an interesting insight into how investors react to differing sources of uncertainty. Consistent with Williams (2015) and Bird and Yeung (2012), the presence of market uncertainty induces an asymmetric response to the initial earnings announcement that can be regarded as investors following a minmax utility maximisation in their reaction to uncertainty.  </w:t>
      </w:r>
      <w:r w:rsidRPr="004E0AE1">
        <w:rPr>
          <w:rFonts w:asciiTheme="majorBidi" w:hAnsiTheme="majorBidi" w:cstheme="majorBidi"/>
          <w:color w:val="000000"/>
          <w:sz w:val="24"/>
          <w:szCs w:val="24"/>
        </w:rPr>
        <w:t>The findings in table 5 also confirm that high sentiment also induces an asymmetric response but in the opposite direction to that of market uncertainty.</w:t>
      </w:r>
      <w:r>
        <w:rPr>
          <w:rFonts w:asciiTheme="majorBidi" w:hAnsiTheme="majorBidi" w:cstheme="majorBidi"/>
          <w:color w:val="000000"/>
          <w:sz w:val="24"/>
          <w:szCs w:val="24"/>
        </w:rPr>
        <w:t xml:space="preserve"> Yet in the presence of information uncertainty at the firm level, investors appear to systematically underreact to news both at the time of announcement and over the PEAD period. The asymmetric response to market uncertainty is consistent with uncertainty aversion where investors taking a dimmer view of information. In contrast, information uncertainty causes investors to attach less credibility to information and so underreact to both good and bad news. </w:t>
      </w:r>
    </w:p>
    <w:p w14:paraId="13077D2A" w14:textId="77777777" w:rsidR="00C17702" w:rsidRDefault="002B388C">
      <w:pPr>
        <w:rPr>
          <w:rFonts w:asciiTheme="majorBidi" w:hAnsiTheme="majorBidi" w:cstheme="majorBidi"/>
          <w:color w:val="000000"/>
          <w:sz w:val="24"/>
          <w:szCs w:val="24"/>
        </w:rPr>
      </w:pPr>
      <w:r>
        <w:rPr>
          <w:rFonts w:asciiTheme="majorBidi" w:hAnsiTheme="majorBidi" w:cstheme="majorBidi"/>
          <w:color w:val="000000"/>
          <w:sz w:val="24"/>
          <w:szCs w:val="24"/>
        </w:rPr>
        <w:br w:type="page"/>
      </w:r>
    </w:p>
    <w:p w14:paraId="33C78AEA" w14:textId="77777777" w:rsidR="00C17702" w:rsidRDefault="00C17702" w:rsidP="002C688A">
      <w:pPr>
        <w:tabs>
          <w:tab w:val="left" w:pos="567"/>
        </w:tabs>
        <w:spacing w:line="288" w:lineRule="auto"/>
        <w:jc w:val="center"/>
        <w:rPr>
          <w:rFonts w:asciiTheme="majorBidi" w:hAnsiTheme="majorBidi" w:cstheme="majorBidi"/>
          <w:b/>
          <w:bCs/>
          <w:color w:val="000000"/>
        </w:rPr>
        <w:sectPr w:rsidR="00C17702" w:rsidSect="008B22F3">
          <w:footerReference w:type="default" r:id="rId8"/>
          <w:endnotePr>
            <w:numFmt w:val="decimal"/>
          </w:endnotePr>
          <w:pgSz w:w="12240" w:h="15840" w:code="1"/>
          <w:pgMar w:top="1440" w:right="1440" w:bottom="1276" w:left="1440" w:header="720" w:footer="720" w:gutter="0"/>
          <w:cols w:space="720"/>
          <w:titlePg/>
          <w:docGrid w:linePitch="360"/>
        </w:sectPr>
      </w:pPr>
    </w:p>
    <w:tbl>
      <w:tblPr>
        <w:tblStyle w:val="TableGrid"/>
        <w:tblW w:w="14310" w:type="dxa"/>
        <w:jc w:val="center"/>
        <w:tblLayout w:type="fixed"/>
        <w:tblLook w:val="04A0" w:firstRow="1" w:lastRow="0" w:firstColumn="1" w:lastColumn="0" w:noHBand="0" w:noVBand="1"/>
      </w:tblPr>
      <w:tblGrid>
        <w:gridCol w:w="4410"/>
        <w:gridCol w:w="1650"/>
        <w:gridCol w:w="1650"/>
        <w:gridCol w:w="1650"/>
        <w:gridCol w:w="1650"/>
        <w:gridCol w:w="1650"/>
        <w:gridCol w:w="1650"/>
      </w:tblGrid>
      <w:tr w:rsidR="00C17702" w:rsidRPr="002E1EC0" w14:paraId="62B40927" w14:textId="77777777" w:rsidTr="002C688A">
        <w:trPr>
          <w:jc w:val="center"/>
        </w:trPr>
        <w:tc>
          <w:tcPr>
            <w:tcW w:w="14310" w:type="dxa"/>
            <w:gridSpan w:val="7"/>
            <w:tcBorders>
              <w:top w:val="nil"/>
              <w:left w:val="nil"/>
              <w:bottom w:val="single" w:sz="8" w:space="0" w:color="auto"/>
              <w:right w:val="nil"/>
            </w:tcBorders>
            <w:vAlign w:val="center"/>
          </w:tcPr>
          <w:p w14:paraId="215967F6" w14:textId="2E27467A" w:rsidR="00C17702" w:rsidRPr="00207C40" w:rsidRDefault="00C17702" w:rsidP="002C688A">
            <w:pPr>
              <w:tabs>
                <w:tab w:val="left" w:pos="567"/>
              </w:tabs>
              <w:spacing w:line="288" w:lineRule="auto"/>
              <w:jc w:val="center"/>
              <w:rPr>
                <w:rFonts w:asciiTheme="majorBidi" w:hAnsiTheme="majorBidi" w:cstheme="majorBidi"/>
                <w:b/>
                <w:bCs/>
                <w:color w:val="000000"/>
              </w:rPr>
            </w:pPr>
            <w:r w:rsidRPr="00207C40">
              <w:rPr>
                <w:rFonts w:asciiTheme="majorBidi" w:hAnsiTheme="majorBidi" w:cstheme="majorBidi"/>
                <w:b/>
                <w:bCs/>
                <w:color w:val="000000"/>
              </w:rPr>
              <w:lastRenderedPageBreak/>
              <w:t>Table 5: Multivariate Regressions of Cumulative Abnormal Returns for the Announcement and Post-Announcement Periods</w:t>
            </w:r>
          </w:p>
          <w:p w14:paraId="7DF60894" w14:textId="77777777" w:rsidR="00C17702" w:rsidRPr="00207C40" w:rsidRDefault="00C17702" w:rsidP="002C688A">
            <w:pPr>
              <w:tabs>
                <w:tab w:val="left" w:pos="567"/>
              </w:tabs>
              <w:spacing w:line="288" w:lineRule="auto"/>
              <w:jc w:val="center"/>
              <w:rPr>
                <w:rFonts w:asciiTheme="majorBidi" w:hAnsiTheme="majorBidi" w:cstheme="majorBidi"/>
                <w:b/>
                <w:bCs/>
                <w:color w:val="000000"/>
              </w:rPr>
            </w:pPr>
            <w:r w:rsidRPr="00207C40">
              <w:rPr>
                <w:rFonts w:asciiTheme="majorBidi" w:hAnsiTheme="majorBidi" w:cstheme="majorBidi"/>
                <w:b/>
                <w:bCs/>
                <w:color w:val="000000"/>
              </w:rPr>
              <w:t xml:space="preserve">on the Standardized Unexpected Earnings and Information Uncertainty (IU) </w:t>
            </w:r>
            <w:r>
              <w:rPr>
                <w:rFonts w:asciiTheme="majorBidi" w:hAnsiTheme="majorBidi" w:cstheme="majorBidi"/>
                <w:b/>
                <w:bCs/>
                <w:color w:val="000000"/>
              </w:rPr>
              <w:t>M</w:t>
            </w:r>
            <w:r w:rsidRPr="00207C40">
              <w:rPr>
                <w:rFonts w:asciiTheme="majorBidi" w:hAnsiTheme="majorBidi" w:cstheme="majorBidi"/>
                <w:b/>
                <w:bCs/>
                <w:color w:val="000000"/>
              </w:rPr>
              <w:t>easure</w:t>
            </w:r>
          </w:p>
        </w:tc>
      </w:tr>
      <w:tr w:rsidR="00C17702" w14:paraId="37C12A12" w14:textId="77777777" w:rsidTr="002C688A">
        <w:trPr>
          <w:trHeight w:val="295"/>
          <w:jc w:val="center"/>
        </w:trPr>
        <w:tc>
          <w:tcPr>
            <w:tcW w:w="4410" w:type="dxa"/>
            <w:tcBorders>
              <w:top w:val="single" w:sz="4" w:space="0" w:color="auto"/>
              <w:left w:val="nil"/>
              <w:bottom w:val="nil"/>
              <w:right w:val="nil"/>
            </w:tcBorders>
            <w:vAlign w:val="center"/>
          </w:tcPr>
          <w:p w14:paraId="2FD012E2" w14:textId="77777777" w:rsidR="00C17702" w:rsidRPr="00207C40" w:rsidRDefault="00C17702" w:rsidP="002C688A">
            <w:pPr>
              <w:tabs>
                <w:tab w:val="left" w:pos="567"/>
              </w:tabs>
              <w:rPr>
                <w:rFonts w:asciiTheme="majorBidi" w:hAnsiTheme="majorBidi" w:cstheme="majorBidi"/>
                <w:b/>
                <w:bCs/>
                <w:color w:val="000000"/>
              </w:rPr>
            </w:pPr>
          </w:p>
        </w:tc>
        <w:tc>
          <w:tcPr>
            <w:tcW w:w="4950" w:type="dxa"/>
            <w:gridSpan w:val="3"/>
            <w:tcBorders>
              <w:top w:val="single" w:sz="4" w:space="0" w:color="auto"/>
              <w:left w:val="nil"/>
              <w:bottom w:val="nil"/>
              <w:right w:val="nil"/>
            </w:tcBorders>
            <w:vAlign w:val="center"/>
          </w:tcPr>
          <w:p w14:paraId="5C71294A" w14:textId="77777777" w:rsidR="00C17702" w:rsidRPr="00207C40" w:rsidRDefault="00C17702" w:rsidP="002C688A">
            <w:pPr>
              <w:tabs>
                <w:tab w:val="left" w:pos="567"/>
              </w:tabs>
              <w:jc w:val="center"/>
              <w:rPr>
                <w:rFonts w:asciiTheme="majorBidi" w:hAnsiTheme="majorBidi" w:cstheme="majorBidi"/>
                <w:b/>
                <w:bCs/>
                <w:color w:val="000000"/>
              </w:rPr>
            </w:pPr>
            <w:r w:rsidRPr="00207C40">
              <w:rPr>
                <w:rFonts w:asciiTheme="majorBidi" w:hAnsiTheme="majorBidi" w:cstheme="majorBidi"/>
                <w:b/>
                <w:bCs/>
                <w:color w:val="000000"/>
              </w:rPr>
              <w:t>Announcement Period</w:t>
            </w:r>
          </w:p>
        </w:tc>
        <w:tc>
          <w:tcPr>
            <w:tcW w:w="4950" w:type="dxa"/>
            <w:gridSpan w:val="3"/>
            <w:tcBorders>
              <w:top w:val="single" w:sz="4" w:space="0" w:color="auto"/>
              <w:left w:val="nil"/>
              <w:bottom w:val="nil"/>
              <w:right w:val="nil"/>
            </w:tcBorders>
            <w:vAlign w:val="center"/>
          </w:tcPr>
          <w:p w14:paraId="7C49D6C4" w14:textId="77777777" w:rsidR="00C17702" w:rsidRPr="00207C40" w:rsidRDefault="00C17702" w:rsidP="002C688A">
            <w:pPr>
              <w:tabs>
                <w:tab w:val="left" w:pos="567"/>
              </w:tabs>
              <w:jc w:val="center"/>
              <w:rPr>
                <w:rFonts w:asciiTheme="majorBidi" w:hAnsiTheme="majorBidi" w:cstheme="majorBidi"/>
                <w:b/>
                <w:bCs/>
                <w:color w:val="000000"/>
              </w:rPr>
            </w:pPr>
            <w:r w:rsidRPr="00207C40">
              <w:rPr>
                <w:rFonts w:asciiTheme="majorBidi" w:hAnsiTheme="majorBidi" w:cstheme="majorBidi"/>
                <w:b/>
                <w:bCs/>
                <w:color w:val="000000"/>
              </w:rPr>
              <w:t>Post-announcement Period</w:t>
            </w:r>
          </w:p>
        </w:tc>
      </w:tr>
      <w:tr w:rsidR="00C17702" w14:paraId="5C6D6DE7" w14:textId="77777777" w:rsidTr="002C688A">
        <w:trPr>
          <w:trHeight w:val="295"/>
          <w:jc w:val="center"/>
        </w:trPr>
        <w:tc>
          <w:tcPr>
            <w:tcW w:w="4410" w:type="dxa"/>
            <w:tcBorders>
              <w:top w:val="nil"/>
              <w:left w:val="nil"/>
              <w:bottom w:val="single" w:sz="4" w:space="0" w:color="auto"/>
              <w:right w:val="nil"/>
            </w:tcBorders>
            <w:vAlign w:val="center"/>
          </w:tcPr>
          <w:p w14:paraId="0877BA9A" w14:textId="77777777" w:rsidR="00C17702" w:rsidRPr="00207C40" w:rsidRDefault="00C17702" w:rsidP="002C688A">
            <w:pPr>
              <w:tabs>
                <w:tab w:val="left" w:pos="567"/>
              </w:tabs>
              <w:rPr>
                <w:rFonts w:asciiTheme="majorBidi" w:hAnsiTheme="majorBidi" w:cstheme="majorBidi"/>
                <w:color w:val="000000"/>
              </w:rPr>
            </w:pPr>
            <w:r w:rsidRPr="00207C40">
              <w:rPr>
                <w:rFonts w:asciiTheme="majorBidi" w:hAnsiTheme="majorBidi" w:cstheme="majorBidi"/>
                <w:color w:val="000000"/>
              </w:rPr>
              <w:t>IU measure (IFUH)</w:t>
            </w:r>
          </w:p>
        </w:tc>
        <w:tc>
          <w:tcPr>
            <w:tcW w:w="1650" w:type="dxa"/>
            <w:tcBorders>
              <w:top w:val="nil"/>
              <w:left w:val="nil"/>
              <w:bottom w:val="single" w:sz="4" w:space="0" w:color="auto"/>
              <w:right w:val="nil"/>
            </w:tcBorders>
            <w:vAlign w:val="center"/>
          </w:tcPr>
          <w:p w14:paraId="743E530D"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VOLT</w:t>
            </w:r>
          </w:p>
        </w:tc>
        <w:tc>
          <w:tcPr>
            <w:tcW w:w="1650" w:type="dxa"/>
            <w:tcBorders>
              <w:top w:val="nil"/>
              <w:left w:val="nil"/>
              <w:bottom w:val="single" w:sz="4" w:space="0" w:color="auto"/>
              <w:right w:val="nil"/>
            </w:tcBorders>
            <w:vAlign w:val="center"/>
          </w:tcPr>
          <w:p w14:paraId="160500E7"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VOLM</w:t>
            </w:r>
          </w:p>
        </w:tc>
        <w:tc>
          <w:tcPr>
            <w:tcW w:w="1650" w:type="dxa"/>
            <w:tcBorders>
              <w:top w:val="nil"/>
              <w:left w:val="nil"/>
              <w:bottom w:val="single" w:sz="4" w:space="0" w:color="auto"/>
              <w:right w:val="nil"/>
            </w:tcBorders>
            <w:vAlign w:val="center"/>
          </w:tcPr>
          <w:p w14:paraId="5900560A"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FCDP</w:t>
            </w:r>
          </w:p>
        </w:tc>
        <w:tc>
          <w:tcPr>
            <w:tcW w:w="1650" w:type="dxa"/>
            <w:tcBorders>
              <w:top w:val="nil"/>
              <w:left w:val="nil"/>
              <w:bottom w:val="single" w:sz="4" w:space="0" w:color="auto"/>
              <w:right w:val="nil"/>
            </w:tcBorders>
            <w:vAlign w:val="center"/>
          </w:tcPr>
          <w:p w14:paraId="7CF19957"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VOLT</w:t>
            </w:r>
          </w:p>
        </w:tc>
        <w:tc>
          <w:tcPr>
            <w:tcW w:w="1650" w:type="dxa"/>
            <w:tcBorders>
              <w:top w:val="nil"/>
              <w:left w:val="nil"/>
              <w:bottom w:val="single" w:sz="4" w:space="0" w:color="auto"/>
              <w:right w:val="nil"/>
            </w:tcBorders>
            <w:vAlign w:val="center"/>
          </w:tcPr>
          <w:p w14:paraId="5B94AB65"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VOLM</w:t>
            </w:r>
          </w:p>
        </w:tc>
        <w:tc>
          <w:tcPr>
            <w:tcW w:w="1650" w:type="dxa"/>
            <w:tcBorders>
              <w:top w:val="nil"/>
              <w:left w:val="nil"/>
              <w:bottom w:val="single" w:sz="4" w:space="0" w:color="auto"/>
              <w:right w:val="nil"/>
            </w:tcBorders>
            <w:vAlign w:val="center"/>
          </w:tcPr>
          <w:p w14:paraId="71802737"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FCDP</w:t>
            </w:r>
          </w:p>
        </w:tc>
      </w:tr>
      <w:tr w:rsidR="00C17702" w14:paraId="7B29E5FC" w14:textId="77777777" w:rsidTr="002C688A">
        <w:trPr>
          <w:trHeight w:val="295"/>
          <w:jc w:val="center"/>
        </w:trPr>
        <w:tc>
          <w:tcPr>
            <w:tcW w:w="4410" w:type="dxa"/>
            <w:tcBorders>
              <w:top w:val="single" w:sz="4" w:space="0" w:color="auto"/>
              <w:left w:val="nil"/>
              <w:bottom w:val="single" w:sz="12" w:space="0" w:color="auto"/>
              <w:right w:val="nil"/>
            </w:tcBorders>
            <w:vAlign w:val="center"/>
          </w:tcPr>
          <w:p w14:paraId="6D1E19BF" w14:textId="77777777" w:rsidR="00C17702" w:rsidRPr="00207C40" w:rsidRDefault="00C17702" w:rsidP="002C688A">
            <w:pPr>
              <w:tabs>
                <w:tab w:val="left" w:pos="567"/>
              </w:tabs>
              <w:rPr>
                <w:rFonts w:asciiTheme="majorBidi" w:hAnsiTheme="majorBidi" w:cstheme="majorBidi"/>
                <w:color w:val="000000"/>
              </w:rPr>
            </w:pPr>
            <w:r w:rsidRPr="00207C40">
              <w:rPr>
                <w:rFonts w:asciiTheme="majorBidi" w:hAnsiTheme="majorBidi" w:cstheme="majorBidi"/>
                <w:color w:val="000000"/>
              </w:rPr>
              <w:t>Dependent Variable</w:t>
            </w:r>
          </w:p>
        </w:tc>
        <w:tc>
          <w:tcPr>
            <w:tcW w:w="1650" w:type="dxa"/>
            <w:tcBorders>
              <w:top w:val="single" w:sz="4" w:space="0" w:color="auto"/>
              <w:left w:val="nil"/>
              <w:bottom w:val="single" w:sz="12" w:space="0" w:color="auto"/>
              <w:right w:val="nil"/>
            </w:tcBorders>
            <w:vAlign w:val="center"/>
          </w:tcPr>
          <w:p w14:paraId="36CEA4A1"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(1)</w:t>
            </w:r>
          </w:p>
          <w:p w14:paraId="308E923A"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(0,1)</w:t>
            </w:r>
          </w:p>
        </w:tc>
        <w:tc>
          <w:tcPr>
            <w:tcW w:w="1650" w:type="dxa"/>
            <w:tcBorders>
              <w:top w:val="single" w:sz="4" w:space="0" w:color="auto"/>
              <w:left w:val="nil"/>
              <w:bottom w:val="single" w:sz="12" w:space="0" w:color="auto"/>
              <w:right w:val="nil"/>
            </w:tcBorders>
            <w:vAlign w:val="center"/>
          </w:tcPr>
          <w:p w14:paraId="688C7776"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(2)</w:t>
            </w:r>
          </w:p>
          <w:p w14:paraId="6FCFD324"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(0,1)</w:t>
            </w:r>
          </w:p>
        </w:tc>
        <w:tc>
          <w:tcPr>
            <w:tcW w:w="1650" w:type="dxa"/>
            <w:tcBorders>
              <w:top w:val="single" w:sz="4" w:space="0" w:color="auto"/>
              <w:left w:val="nil"/>
              <w:bottom w:val="single" w:sz="12" w:space="0" w:color="auto"/>
              <w:right w:val="nil"/>
            </w:tcBorders>
            <w:vAlign w:val="center"/>
          </w:tcPr>
          <w:p w14:paraId="12E3EDCA"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(3)</w:t>
            </w:r>
          </w:p>
          <w:p w14:paraId="4D260C77"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(0,1)</w:t>
            </w:r>
          </w:p>
        </w:tc>
        <w:tc>
          <w:tcPr>
            <w:tcW w:w="1650" w:type="dxa"/>
            <w:tcBorders>
              <w:top w:val="single" w:sz="4" w:space="0" w:color="auto"/>
              <w:left w:val="nil"/>
              <w:bottom w:val="single" w:sz="12" w:space="0" w:color="auto"/>
              <w:right w:val="nil"/>
            </w:tcBorders>
            <w:vAlign w:val="center"/>
          </w:tcPr>
          <w:p w14:paraId="47B8FFE8"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(4)</w:t>
            </w:r>
          </w:p>
          <w:p w14:paraId="1F3E367C"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(2,60)</w:t>
            </w:r>
          </w:p>
        </w:tc>
        <w:tc>
          <w:tcPr>
            <w:tcW w:w="1650" w:type="dxa"/>
            <w:tcBorders>
              <w:top w:val="single" w:sz="4" w:space="0" w:color="auto"/>
              <w:left w:val="nil"/>
              <w:bottom w:val="single" w:sz="12" w:space="0" w:color="auto"/>
              <w:right w:val="nil"/>
            </w:tcBorders>
            <w:vAlign w:val="center"/>
          </w:tcPr>
          <w:p w14:paraId="30BCE64D"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(5)</w:t>
            </w:r>
          </w:p>
          <w:p w14:paraId="59DBD4BD"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(2,60)</w:t>
            </w:r>
          </w:p>
        </w:tc>
        <w:tc>
          <w:tcPr>
            <w:tcW w:w="1650" w:type="dxa"/>
            <w:tcBorders>
              <w:top w:val="single" w:sz="4" w:space="0" w:color="auto"/>
              <w:left w:val="nil"/>
              <w:bottom w:val="single" w:sz="12" w:space="0" w:color="auto"/>
              <w:right w:val="nil"/>
            </w:tcBorders>
            <w:vAlign w:val="center"/>
          </w:tcPr>
          <w:p w14:paraId="617D3C69"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(6)</w:t>
            </w:r>
          </w:p>
          <w:p w14:paraId="1C837B9D" w14:textId="77777777" w:rsidR="00C17702" w:rsidRPr="00207C40" w:rsidRDefault="00C17702" w:rsidP="002C688A">
            <w:pPr>
              <w:tabs>
                <w:tab w:val="left" w:pos="567"/>
              </w:tabs>
              <w:jc w:val="center"/>
              <w:rPr>
                <w:rFonts w:asciiTheme="majorBidi" w:hAnsiTheme="majorBidi" w:cstheme="majorBidi"/>
                <w:color w:val="000000"/>
              </w:rPr>
            </w:pPr>
            <w:r w:rsidRPr="00207C40">
              <w:rPr>
                <w:rFonts w:asciiTheme="majorBidi" w:hAnsiTheme="majorBidi" w:cstheme="majorBidi"/>
                <w:color w:val="000000"/>
              </w:rPr>
              <w:t>CAR (2,60)</w:t>
            </w:r>
          </w:p>
        </w:tc>
      </w:tr>
      <w:tr w:rsidR="00C17702" w14:paraId="3F917190" w14:textId="77777777" w:rsidTr="002C688A">
        <w:trPr>
          <w:trHeight w:val="432"/>
          <w:jc w:val="center"/>
        </w:trPr>
        <w:tc>
          <w:tcPr>
            <w:tcW w:w="4410" w:type="dxa"/>
            <w:tcBorders>
              <w:top w:val="single" w:sz="12" w:space="0" w:color="auto"/>
              <w:left w:val="nil"/>
              <w:bottom w:val="nil"/>
              <w:right w:val="nil"/>
            </w:tcBorders>
            <w:vAlign w:val="center"/>
          </w:tcPr>
          <w:p w14:paraId="1168FE58"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b/>
                <w:bCs/>
              </w:rPr>
              <w:t>Direct Effect</w:t>
            </w:r>
          </w:p>
        </w:tc>
        <w:tc>
          <w:tcPr>
            <w:tcW w:w="1650" w:type="dxa"/>
            <w:tcBorders>
              <w:top w:val="single" w:sz="12" w:space="0" w:color="auto"/>
              <w:left w:val="nil"/>
              <w:bottom w:val="nil"/>
              <w:right w:val="nil"/>
            </w:tcBorders>
            <w:vAlign w:val="bottom"/>
          </w:tcPr>
          <w:p w14:paraId="03F22AF2"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C66497F"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B1E8731"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5D355EF5"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6388B618"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0EBE8F70" w14:textId="77777777" w:rsidR="00C17702" w:rsidRPr="00207C40" w:rsidRDefault="00C17702" w:rsidP="00987E3A">
            <w:pPr>
              <w:tabs>
                <w:tab w:val="left" w:pos="567"/>
              </w:tabs>
              <w:jc w:val="center"/>
              <w:rPr>
                <w:rFonts w:asciiTheme="majorBidi" w:hAnsiTheme="majorBidi" w:cstheme="majorBidi"/>
              </w:rPr>
            </w:pPr>
          </w:p>
        </w:tc>
      </w:tr>
      <w:tr w:rsidR="00C17702" w14:paraId="6583D75E" w14:textId="77777777" w:rsidTr="002C688A">
        <w:trPr>
          <w:trHeight w:val="432"/>
          <w:jc w:val="center"/>
        </w:trPr>
        <w:tc>
          <w:tcPr>
            <w:tcW w:w="4410" w:type="dxa"/>
            <w:tcBorders>
              <w:top w:val="nil"/>
              <w:left w:val="nil"/>
              <w:bottom w:val="nil"/>
              <w:right w:val="nil"/>
            </w:tcBorders>
            <w:vAlign w:val="center"/>
          </w:tcPr>
          <w:p w14:paraId="49BE6BCA"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b/>
                <w:bCs/>
              </w:rPr>
              <w:t>Model 4a</w:t>
            </w:r>
          </w:p>
        </w:tc>
        <w:tc>
          <w:tcPr>
            <w:tcW w:w="1650" w:type="dxa"/>
            <w:tcBorders>
              <w:top w:val="nil"/>
              <w:left w:val="nil"/>
              <w:bottom w:val="nil"/>
              <w:right w:val="nil"/>
            </w:tcBorders>
            <w:vAlign w:val="bottom"/>
          </w:tcPr>
          <w:p w14:paraId="293A135A"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4053DE9"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4824E1C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49F713E5"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26C3084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2321DF64" w14:textId="77777777" w:rsidR="00C17702" w:rsidRPr="00207C40" w:rsidRDefault="00C17702" w:rsidP="00987E3A">
            <w:pPr>
              <w:tabs>
                <w:tab w:val="left" w:pos="567"/>
              </w:tabs>
              <w:jc w:val="center"/>
              <w:rPr>
                <w:rFonts w:asciiTheme="majorBidi" w:hAnsiTheme="majorBidi" w:cstheme="majorBidi"/>
              </w:rPr>
            </w:pPr>
          </w:p>
        </w:tc>
      </w:tr>
      <w:tr w:rsidR="00C17702" w14:paraId="71701551" w14:textId="77777777" w:rsidTr="002C688A">
        <w:trPr>
          <w:trHeight w:val="432"/>
          <w:jc w:val="center"/>
        </w:trPr>
        <w:tc>
          <w:tcPr>
            <w:tcW w:w="4410" w:type="dxa"/>
            <w:tcBorders>
              <w:top w:val="nil"/>
              <w:left w:val="nil"/>
              <w:bottom w:val="nil"/>
              <w:right w:val="nil"/>
            </w:tcBorders>
            <w:vAlign w:val="center"/>
          </w:tcPr>
          <w:p w14:paraId="0DEA1B66"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NUE     (</w:t>
            </w:r>
            <w:r w:rsidRPr="00207C40">
              <w:rPr>
                <w:rFonts w:ascii="Times New Roman" w:hAnsi="Times New Roman" w:cs="Times New Roman"/>
                <w:i/>
                <w:iCs/>
              </w:rPr>
              <w:t>β</w:t>
            </w:r>
            <w:r w:rsidRPr="00207C40">
              <w:rPr>
                <w:rFonts w:ascii="Times New Roman" w:hAnsi="Times New Roman" w:cs="Times New Roman"/>
                <w:i/>
                <w:iCs/>
                <w:vertAlign w:val="subscript"/>
              </w:rPr>
              <w:t>1</w:t>
            </w:r>
            <w:r w:rsidRPr="00207C40">
              <w:rPr>
                <w:rFonts w:ascii="Times New Roman" w:hAnsi="Times New Roman" w:cs="Times New Roman"/>
              </w:rPr>
              <w:t>)</w:t>
            </w:r>
          </w:p>
        </w:tc>
        <w:tc>
          <w:tcPr>
            <w:tcW w:w="1650" w:type="dxa"/>
            <w:tcBorders>
              <w:top w:val="nil"/>
              <w:left w:val="nil"/>
              <w:bottom w:val="nil"/>
              <w:right w:val="nil"/>
            </w:tcBorders>
            <w:vAlign w:val="bottom"/>
          </w:tcPr>
          <w:p w14:paraId="6929E14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0.0039***</w:t>
            </w:r>
            <w:r w:rsidRPr="00207C40">
              <w:rPr>
                <w:rFonts w:asciiTheme="majorBidi" w:hAnsiTheme="majorBidi" w:cstheme="majorBidi"/>
              </w:rPr>
              <w:br/>
              <w:t>(21.790)</w:t>
            </w:r>
          </w:p>
        </w:tc>
        <w:tc>
          <w:tcPr>
            <w:tcW w:w="1650" w:type="dxa"/>
            <w:tcBorders>
              <w:top w:val="nil"/>
              <w:left w:val="nil"/>
              <w:bottom w:val="nil"/>
              <w:right w:val="nil"/>
            </w:tcBorders>
            <w:shd w:val="clear" w:color="auto" w:fill="auto"/>
            <w:vAlign w:val="bottom"/>
          </w:tcPr>
          <w:p w14:paraId="06B38C9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0.0037***</w:t>
            </w:r>
            <w:r w:rsidRPr="00207C40">
              <w:rPr>
                <w:rFonts w:asciiTheme="majorBidi" w:hAnsiTheme="majorBidi" w:cstheme="majorBidi"/>
              </w:rPr>
              <w:br/>
              <w:t>(23.230)</w:t>
            </w:r>
          </w:p>
        </w:tc>
        <w:tc>
          <w:tcPr>
            <w:tcW w:w="1650" w:type="dxa"/>
            <w:tcBorders>
              <w:top w:val="nil"/>
              <w:left w:val="nil"/>
              <w:bottom w:val="nil"/>
              <w:right w:val="nil"/>
            </w:tcBorders>
            <w:shd w:val="clear" w:color="auto" w:fill="auto"/>
            <w:vAlign w:val="bottom"/>
          </w:tcPr>
          <w:p w14:paraId="3124B6F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0.0036***</w:t>
            </w:r>
            <w:r w:rsidRPr="00207C40">
              <w:rPr>
                <w:rFonts w:asciiTheme="majorBidi" w:hAnsiTheme="majorBidi" w:cstheme="majorBidi"/>
              </w:rPr>
              <w:br/>
              <w:t>(20.260)</w:t>
            </w:r>
          </w:p>
        </w:tc>
        <w:tc>
          <w:tcPr>
            <w:tcW w:w="1650" w:type="dxa"/>
            <w:tcBorders>
              <w:top w:val="nil"/>
              <w:left w:val="nil"/>
              <w:bottom w:val="nil"/>
              <w:right w:val="nil"/>
            </w:tcBorders>
            <w:shd w:val="clear" w:color="auto" w:fill="auto"/>
            <w:vAlign w:val="bottom"/>
          </w:tcPr>
          <w:p w14:paraId="688B500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0.0033***</w:t>
            </w:r>
            <w:r w:rsidRPr="00207C40">
              <w:rPr>
                <w:rFonts w:asciiTheme="majorBidi" w:hAnsiTheme="majorBidi" w:cstheme="majorBidi"/>
              </w:rPr>
              <w:br/>
              <w:t>(9.600)</w:t>
            </w:r>
          </w:p>
        </w:tc>
        <w:tc>
          <w:tcPr>
            <w:tcW w:w="1650" w:type="dxa"/>
            <w:tcBorders>
              <w:top w:val="nil"/>
              <w:left w:val="nil"/>
              <w:bottom w:val="nil"/>
              <w:right w:val="nil"/>
            </w:tcBorders>
            <w:shd w:val="clear" w:color="auto" w:fill="auto"/>
            <w:vAlign w:val="bottom"/>
          </w:tcPr>
          <w:p w14:paraId="438B29B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0.0035***</w:t>
            </w:r>
            <w:r w:rsidRPr="00207C40">
              <w:rPr>
                <w:rFonts w:asciiTheme="majorBidi" w:hAnsiTheme="majorBidi" w:cstheme="majorBidi"/>
              </w:rPr>
              <w:br/>
              <w:t>(10.390)</w:t>
            </w:r>
          </w:p>
        </w:tc>
        <w:tc>
          <w:tcPr>
            <w:tcW w:w="1650" w:type="dxa"/>
            <w:tcBorders>
              <w:top w:val="nil"/>
              <w:left w:val="nil"/>
              <w:bottom w:val="nil"/>
              <w:right w:val="nil"/>
            </w:tcBorders>
            <w:shd w:val="clear" w:color="auto" w:fill="auto"/>
            <w:vAlign w:val="bottom"/>
          </w:tcPr>
          <w:p w14:paraId="4CCD0CC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0.0035***</w:t>
            </w:r>
            <w:r w:rsidRPr="00207C40">
              <w:rPr>
                <w:rFonts w:asciiTheme="majorBidi" w:hAnsiTheme="majorBidi" w:cstheme="majorBidi"/>
              </w:rPr>
              <w:br/>
              <w:t>(9.230)</w:t>
            </w:r>
          </w:p>
        </w:tc>
      </w:tr>
      <w:tr w:rsidR="00C17702" w14:paraId="3E558DA0" w14:textId="77777777" w:rsidTr="002C688A">
        <w:trPr>
          <w:trHeight w:val="432"/>
          <w:jc w:val="center"/>
        </w:trPr>
        <w:tc>
          <w:tcPr>
            <w:tcW w:w="4410" w:type="dxa"/>
            <w:tcBorders>
              <w:top w:val="nil"/>
              <w:left w:val="nil"/>
              <w:bottom w:val="nil"/>
              <w:right w:val="nil"/>
            </w:tcBorders>
            <w:vAlign w:val="center"/>
          </w:tcPr>
          <w:p w14:paraId="73EEBB42"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PUE     (</w:t>
            </w:r>
            <w:r w:rsidRPr="00207C40">
              <w:rPr>
                <w:rFonts w:ascii="Times New Roman" w:hAnsi="Times New Roman" w:cs="Times New Roman"/>
                <w:i/>
                <w:iCs/>
              </w:rPr>
              <w:t>β</w:t>
            </w:r>
            <w:r w:rsidRPr="00207C40">
              <w:rPr>
                <w:rFonts w:ascii="Times New Roman" w:hAnsi="Times New Roman" w:cs="Times New Roman"/>
                <w:i/>
                <w:iCs/>
                <w:vertAlign w:val="subscript"/>
              </w:rPr>
              <w:t>2</w:t>
            </w:r>
            <w:r w:rsidRPr="00207C40">
              <w:rPr>
                <w:rFonts w:ascii="Times New Roman" w:hAnsi="Times New Roman" w:cs="Times New Roman"/>
              </w:rPr>
              <w:t>)</w:t>
            </w:r>
          </w:p>
        </w:tc>
        <w:tc>
          <w:tcPr>
            <w:tcW w:w="1650" w:type="dxa"/>
            <w:tcBorders>
              <w:top w:val="nil"/>
              <w:left w:val="nil"/>
              <w:bottom w:val="nil"/>
              <w:right w:val="nil"/>
            </w:tcBorders>
            <w:vAlign w:val="bottom"/>
          </w:tcPr>
          <w:p w14:paraId="2892D67A"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0.0035***</w:t>
            </w:r>
            <w:r w:rsidRPr="00207C40">
              <w:rPr>
                <w:rFonts w:asciiTheme="majorBidi" w:hAnsiTheme="majorBidi" w:cstheme="majorBidi"/>
              </w:rPr>
              <w:br/>
              <w:t>(19.940)</w:t>
            </w:r>
          </w:p>
        </w:tc>
        <w:tc>
          <w:tcPr>
            <w:tcW w:w="1650" w:type="dxa"/>
            <w:tcBorders>
              <w:top w:val="nil"/>
              <w:left w:val="nil"/>
              <w:bottom w:val="nil"/>
              <w:right w:val="nil"/>
            </w:tcBorders>
            <w:shd w:val="clear" w:color="auto" w:fill="auto"/>
            <w:vAlign w:val="bottom"/>
          </w:tcPr>
          <w:p w14:paraId="243AD7C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0.0034***</w:t>
            </w:r>
            <w:r w:rsidRPr="00207C40">
              <w:rPr>
                <w:rFonts w:asciiTheme="majorBidi" w:hAnsiTheme="majorBidi" w:cstheme="majorBidi"/>
              </w:rPr>
              <w:br/>
              <w:t>(21.290)</w:t>
            </w:r>
          </w:p>
        </w:tc>
        <w:tc>
          <w:tcPr>
            <w:tcW w:w="1650" w:type="dxa"/>
            <w:tcBorders>
              <w:top w:val="nil"/>
              <w:left w:val="nil"/>
              <w:bottom w:val="nil"/>
              <w:right w:val="nil"/>
            </w:tcBorders>
            <w:shd w:val="clear" w:color="auto" w:fill="auto"/>
            <w:vAlign w:val="bottom"/>
          </w:tcPr>
          <w:p w14:paraId="0074650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0.0033***</w:t>
            </w:r>
            <w:r w:rsidRPr="00207C40">
              <w:rPr>
                <w:rFonts w:asciiTheme="majorBidi" w:hAnsiTheme="majorBidi" w:cstheme="majorBidi"/>
              </w:rPr>
              <w:br/>
              <w:t>(18.520)</w:t>
            </w:r>
          </w:p>
        </w:tc>
        <w:tc>
          <w:tcPr>
            <w:tcW w:w="1650" w:type="dxa"/>
            <w:tcBorders>
              <w:top w:val="nil"/>
              <w:left w:val="nil"/>
              <w:bottom w:val="nil"/>
              <w:right w:val="nil"/>
            </w:tcBorders>
            <w:shd w:val="clear" w:color="auto" w:fill="auto"/>
            <w:vAlign w:val="bottom"/>
          </w:tcPr>
          <w:p w14:paraId="0C557E50"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0.0037***</w:t>
            </w:r>
            <w:r w:rsidRPr="00207C40">
              <w:rPr>
                <w:rFonts w:asciiTheme="majorBidi" w:hAnsiTheme="majorBidi" w:cstheme="majorBidi"/>
              </w:rPr>
              <w:br/>
              <w:t>(10.600)</w:t>
            </w:r>
          </w:p>
        </w:tc>
        <w:tc>
          <w:tcPr>
            <w:tcW w:w="1650" w:type="dxa"/>
            <w:tcBorders>
              <w:top w:val="nil"/>
              <w:left w:val="nil"/>
              <w:bottom w:val="nil"/>
              <w:right w:val="nil"/>
            </w:tcBorders>
            <w:shd w:val="clear" w:color="auto" w:fill="auto"/>
            <w:vAlign w:val="bottom"/>
          </w:tcPr>
          <w:p w14:paraId="46DB8DB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0.0038***</w:t>
            </w:r>
            <w:r w:rsidRPr="00207C40">
              <w:rPr>
                <w:rFonts w:asciiTheme="majorBidi" w:hAnsiTheme="majorBidi" w:cstheme="majorBidi"/>
              </w:rPr>
              <w:br/>
              <w:t>(11.360)</w:t>
            </w:r>
          </w:p>
        </w:tc>
        <w:tc>
          <w:tcPr>
            <w:tcW w:w="1650" w:type="dxa"/>
            <w:tcBorders>
              <w:top w:val="nil"/>
              <w:left w:val="nil"/>
              <w:bottom w:val="nil"/>
              <w:right w:val="nil"/>
            </w:tcBorders>
            <w:shd w:val="clear" w:color="auto" w:fill="auto"/>
            <w:vAlign w:val="bottom"/>
          </w:tcPr>
          <w:p w14:paraId="6FD7A158"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0.0038***</w:t>
            </w:r>
            <w:r w:rsidRPr="00207C40">
              <w:rPr>
                <w:rFonts w:asciiTheme="majorBidi" w:hAnsiTheme="majorBidi" w:cstheme="majorBidi"/>
              </w:rPr>
              <w:br/>
              <w:t>(10.190)</w:t>
            </w:r>
          </w:p>
        </w:tc>
      </w:tr>
      <w:tr w:rsidR="00C17702" w14:paraId="78C22DC2" w14:textId="77777777" w:rsidTr="002C688A">
        <w:trPr>
          <w:trHeight w:val="432"/>
          <w:jc w:val="center"/>
        </w:trPr>
        <w:tc>
          <w:tcPr>
            <w:tcW w:w="4410" w:type="dxa"/>
            <w:tcBorders>
              <w:top w:val="nil"/>
              <w:left w:val="nil"/>
              <w:bottom w:val="nil"/>
              <w:right w:val="nil"/>
            </w:tcBorders>
            <w:vAlign w:val="center"/>
          </w:tcPr>
          <w:p w14:paraId="73271940"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GOVH     (</w:t>
            </w:r>
            <w:r w:rsidRPr="00207C40">
              <w:rPr>
                <w:rFonts w:ascii="Times New Roman" w:hAnsi="Times New Roman" w:cs="Times New Roman"/>
                <w:i/>
                <w:iCs/>
              </w:rPr>
              <w:t>β</w:t>
            </w:r>
            <w:r w:rsidRPr="00207C40">
              <w:rPr>
                <w:rFonts w:ascii="Times New Roman" w:hAnsi="Times New Roman" w:cs="Times New Roman"/>
                <w:i/>
                <w:iCs/>
                <w:vertAlign w:val="subscript"/>
              </w:rPr>
              <w:t>3</w:t>
            </w:r>
            <w:r w:rsidRPr="00207C40">
              <w:rPr>
                <w:rFonts w:ascii="Times New Roman" w:hAnsi="Times New Roman" w:cs="Times New Roman"/>
              </w:rPr>
              <w:t>)</w:t>
            </w:r>
          </w:p>
        </w:tc>
        <w:tc>
          <w:tcPr>
            <w:tcW w:w="1650" w:type="dxa"/>
            <w:tcBorders>
              <w:top w:val="nil"/>
              <w:left w:val="nil"/>
              <w:bottom w:val="nil"/>
              <w:right w:val="nil"/>
            </w:tcBorders>
            <w:vAlign w:val="bottom"/>
          </w:tcPr>
          <w:p w14:paraId="3E009C3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0.0022**</w:t>
            </w:r>
            <w:r w:rsidRPr="00207C40">
              <w:rPr>
                <w:rFonts w:asciiTheme="majorBidi" w:hAnsiTheme="majorBidi" w:cstheme="majorBidi"/>
              </w:rPr>
              <w:br/>
              <w:t>(2.090)</w:t>
            </w:r>
          </w:p>
        </w:tc>
        <w:tc>
          <w:tcPr>
            <w:tcW w:w="1650" w:type="dxa"/>
            <w:tcBorders>
              <w:top w:val="nil"/>
              <w:left w:val="nil"/>
              <w:bottom w:val="nil"/>
              <w:right w:val="nil"/>
            </w:tcBorders>
            <w:shd w:val="clear" w:color="auto" w:fill="auto"/>
            <w:vAlign w:val="bottom"/>
          </w:tcPr>
          <w:p w14:paraId="3874EC0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0.0023**</w:t>
            </w:r>
            <w:r w:rsidRPr="00207C40">
              <w:rPr>
                <w:rFonts w:asciiTheme="majorBidi" w:hAnsiTheme="majorBidi" w:cstheme="majorBidi"/>
              </w:rPr>
              <w:br/>
              <w:t>(2.430)</w:t>
            </w:r>
          </w:p>
        </w:tc>
        <w:tc>
          <w:tcPr>
            <w:tcW w:w="1650" w:type="dxa"/>
            <w:tcBorders>
              <w:top w:val="nil"/>
              <w:left w:val="nil"/>
              <w:bottom w:val="nil"/>
              <w:right w:val="nil"/>
            </w:tcBorders>
            <w:shd w:val="clear" w:color="auto" w:fill="auto"/>
            <w:vAlign w:val="bottom"/>
          </w:tcPr>
          <w:p w14:paraId="788F956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0.0023*</w:t>
            </w:r>
            <w:r w:rsidRPr="00207C40">
              <w:rPr>
                <w:rFonts w:asciiTheme="majorBidi" w:hAnsiTheme="majorBidi" w:cstheme="majorBidi"/>
              </w:rPr>
              <w:br/>
              <w:t>(1.770)</w:t>
            </w:r>
          </w:p>
        </w:tc>
        <w:tc>
          <w:tcPr>
            <w:tcW w:w="1650" w:type="dxa"/>
            <w:tcBorders>
              <w:top w:val="nil"/>
              <w:left w:val="nil"/>
              <w:bottom w:val="nil"/>
              <w:right w:val="nil"/>
            </w:tcBorders>
            <w:shd w:val="clear" w:color="auto" w:fill="auto"/>
            <w:vAlign w:val="bottom"/>
          </w:tcPr>
          <w:p w14:paraId="376411A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0.0009**</w:t>
            </w:r>
            <w:r w:rsidRPr="00207C40">
              <w:rPr>
                <w:rFonts w:asciiTheme="majorBidi" w:hAnsiTheme="majorBidi" w:cstheme="majorBidi"/>
              </w:rPr>
              <w:br/>
              <w:t>(2.270)</w:t>
            </w:r>
          </w:p>
        </w:tc>
        <w:tc>
          <w:tcPr>
            <w:tcW w:w="1650" w:type="dxa"/>
            <w:tcBorders>
              <w:top w:val="nil"/>
              <w:left w:val="nil"/>
              <w:bottom w:val="nil"/>
              <w:right w:val="nil"/>
            </w:tcBorders>
            <w:shd w:val="clear" w:color="auto" w:fill="auto"/>
            <w:vAlign w:val="bottom"/>
          </w:tcPr>
          <w:p w14:paraId="1505D6D0"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0.0009***</w:t>
            </w:r>
            <w:r w:rsidRPr="00207C40">
              <w:rPr>
                <w:rFonts w:asciiTheme="majorBidi" w:hAnsiTheme="majorBidi" w:cstheme="majorBidi"/>
              </w:rPr>
              <w:br/>
              <w:t>(2.610)</w:t>
            </w:r>
          </w:p>
        </w:tc>
        <w:tc>
          <w:tcPr>
            <w:tcW w:w="1650" w:type="dxa"/>
            <w:tcBorders>
              <w:top w:val="nil"/>
              <w:left w:val="nil"/>
              <w:bottom w:val="nil"/>
              <w:right w:val="nil"/>
            </w:tcBorders>
            <w:shd w:val="clear" w:color="auto" w:fill="auto"/>
            <w:vAlign w:val="bottom"/>
          </w:tcPr>
          <w:p w14:paraId="1C0EA44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0.0008**</w:t>
            </w:r>
            <w:r w:rsidRPr="00207C40">
              <w:rPr>
                <w:rFonts w:asciiTheme="majorBidi" w:hAnsiTheme="majorBidi" w:cstheme="majorBidi"/>
              </w:rPr>
              <w:br/>
              <w:t>(2.200)</w:t>
            </w:r>
          </w:p>
        </w:tc>
      </w:tr>
      <w:tr w:rsidR="00C17702" w14:paraId="2791A3A8" w14:textId="77777777" w:rsidTr="002C688A">
        <w:trPr>
          <w:trHeight w:val="432"/>
          <w:jc w:val="center"/>
        </w:trPr>
        <w:tc>
          <w:tcPr>
            <w:tcW w:w="4410" w:type="dxa"/>
            <w:tcBorders>
              <w:top w:val="nil"/>
              <w:left w:val="nil"/>
              <w:bottom w:val="nil"/>
              <w:right w:val="nil"/>
            </w:tcBorders>
            <w:vAlign w:val="center"/>
          </w:tcPr>
          <w:p w14:paraId="4C625B1F"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IFUH     (</w:t>
            </w:r>
            <w:r w:rsidRPr="00207C40">
              <w:rPr>
                <w:rFonts w:ascii="Times New Roman" w:hAnsi="Times New Roman" w:cs="Times New Roman"/>
                <w:i/>
                <w:iCs/>
              </w:rPr>
              <w:t>β</w:t>
            </w:r>
            <w:r w:rsidRPr="00207C40">
              <w:rPr>
                <w:rFonts w:ascii="Times New Roman" w:hAnsi="Times New Roman" w:cs="Times New Roman"/>
                <w:i/>
                <w:iCs/>
                <w:vertAlign w:val="subscript"/>
              </w:rPr>
              <w:t>4</w:t>
            </w:r>
            <w:r w:rsidRPr="00207C40">
              <w:rPr>
                <w:rFonts w:ascii="Times New Roman" w:hAnsi="Times New Roman" w:cs="Times New Roman"/>
              </w:rPr>
              <w:t>)</w:t>
            </w:r>
          </w:p>
        </w:tc>
        <w:tc>
          <w:tcPr>
            <w:tcW w:w="1650" w:type="dxa"/>
            <w:tcBorders>
              <w:top w:val="nil"/>
              <w:left w:val="nil"/>
              <w:bottom w:val="nil"/>
              <w:right w:val="nil"/>
            </w:tcBorders>
            <w:vAlign w:val="bottom"/>
          </w:tcPr>
          <w:p w14:paraId="744E809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-0.0006***</w:t>
            </w:r>
            <w:r w:rsidRPr="00207C40">
              <w:rPr>
                <w:rFonts w:asciiTheme="majorBidi" w:hAnsiTheme="majorBidi" w:cstheme="majorBidi"/>
              </w:rPr>
              <w:br/>
              <w:t>(-2.610)</w:t>
            </w:r>
          </w:p>
        </w:tc>
        <w:tc>
          <w:tcPr>
            <w:tcW w:w="1650" w:type="dxa"/>
            <w:tcBorders>
              <w:top w:val="nil"/>
              <w:left w:val="nil"/>
              <w:bottom w:val="nil"/>
              <w:right w:val="nil"/>
            </w:tcBorders>
            <w:shd w:val="clear" w:color="auto" w:fill="auto"/>
            <w:vAlign w:val="bottom"/>
          </w:tcPr>
          <w:p w14:paraId="02A8E46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-0.0006*</w:t>
            </w:r>
            <w:r w:rsidRPr="00207C40">
              <w:rPr>
                <w:rFonts w:asciiTheme="majorBidi" w:hAnsiTheme="majorBidi" w:cstheme="majorBidi"/>
              </w:rPr>
              <w:br/>
              <w:t>(-1.870)</w:t>
            </w:r>
          </w:p>
        </w:tc>
        <w:tc>
          <w:tcPr>
            <w:tcW w:w="1650" w:type="dxa"/>
            <w:tcBorders>
              <w:top w:val="nil"/>
              <w:left w:val="nil"/>
              <w:bottom w:val="nil"/>
              <w:right w:val="nil"/>
            </w:tcBorders>
            <w:shd w:val="clear" w:color="auto" w:fill="auto"/>
            <w:vAlign w:val="bottom"/>
          </w:tcPr>
          <w:p w14:paraId="244EDD1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-0.0019**</w:t>
            </w:r>
            <w:r w:rsidRPr="00207C40">
              <w:rPr>
                <w:rFonts w:asciiTheme="majorBidi" w:hAnsiTheme="majorBidi" w:cstheme="majorBidi"/>
              </w:rPr>
              <w:br/>
              <w:t>(-2.050)</w:t>
            </w:r>
          </w:p>
        </w:tc>
        <w:tc>
          <w:tcPr>
            <w:tcW w:w="1650" w:type="dxa"/>
            <w:tcBorders>
              <w:top w:val="nil"/>
              <w:left w:val="nil"/>
              <w:bottom w:val="nil"/>
              <w:right w:val="nil"/>
            </w:tcBorders>
            <w:shd w:val="clear" w:color="auto" w:fill="auto"/>
            <w:vAlign w:val="bottom"/>
          </w:tcPr>
          <w:p w14:paraId="0085AD5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-0.0014*</w:t>
            </w:r>
            <w:r w:rsidRPr="00207C40">
              <w:rPr>
                <w:rFonts w:asciiTheme="majorBidi" w:hAnsiTheme="majorBidi" w:cstheme="majorBidi"/>
              </w:rPr>
              <w:br/>
              <w:t>(-1.770)</w:t>
            </w:r>
          </w:p>
        </w:tc>
        <w:tc>
          <w:tcPr>
            <w:tcW w:w="1650" w:type="dxa"/>
            <w:tcBorders>
              <w:top w:val="nil"/>
              <w:left w:val="nil"/>
              <w:bottom w:val="nil"/>
              <w:right w:val="nil"/>
            </w:tcBorders>
            <w:shd w:val="clear" w:color="auto" w:fill="auto"/>
            <w:vAlign w:val="bottom"/>
          </w:tcPr>
          <w:p w14:paraId="2358444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-0.0015***</w:t>
            </w:r>
            <w:r w:rsidRPr="00207C40">
              <w:rPr>
                <w:rFonts w:asciiTheme="majorBidi" w:hAnsiTheme="majorBidi" w:cstheme="majorBidi"/>
              </w:rPr>
              <w:br/>
              <w:t>(-3.520)</w:t>
            </w:r>
          </w:p>
        </w:tc>
        <w:tc>
          <w:tcPr>
            <w:tcW w:w="1650" w:type="dxa"/>
            <w:tcBorders>
              <w:top w:val="nil"/>
              <w:left w:val="nil"/>
              <w:bottom w:val="nil"/>
              <w:right w:val="nil"/>
            </w:tcBorders>
            <w:shd w:val="clear" w:color="auto" w:fill="auto"/>
            <w:vAlign w:val="bottom"/>
          </w:tcPr>
          <w:p w14:paraId="0C40A89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-0.0026**</w:t>
            </w:r>
            <w:r w:rsidRPr="00207C40">
              <w:rPr>
                <w:rFonts w:asciiTheme="majorBidi" w:hAnsiTheme="majorBidi" w:cstheme="majorBidi"/>
              </w:rPr>
              <w:br/>
              <w:t>(-2.340)</w:t>
            </w:r>
          </w:p>
        </w:tc>
      </w:tr>
      <w:tr w:rsidR="00C17702" w14:paraId="014A55D1" w14:textId="77777777" w:rsidTr="002C688A">
        <w:trPr>
          <w:trHeight w:val="432"/>
          <w:jc w:val="center"/>
        </w:trPr>
        <w:tc>
          <w:tcPr>
            <w:tcW w:w="4410" w:type="dxa"/>
            <w:tcBorders>
              <w:top w:val="nil"/>
              <w:left w:val="nil"/>
              <w:bottom w:val="nil"/>
              <w:right w:val="nil"/>
            </w:tcBorders>
            <w:vAlign w:val="center"/>
          </w:tcPr>
          <w:p w14:paraId="19403598"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GOVH×NUE     (</w:t>
            </w:r>
            <w:r w:rsidRPr="00207C40">
              <w:rPr>
                <w:rFonts w:ascii="Times New Roman" w:hAnsi="Times New Roman" w:cs="Times New Roman"/>
                <w:i/>
                <w:iCs/>
              </w:rPr>
              <w:t>β</w:t>
            </w:r>
            <w:r w:rsidRPr="00207C40">
              <w:rPr>
                <w:rFonts w:ascii="Times New Roman" w:hAnsi="Times New Roman" w:cs="Times New Roman"/>
                <w:i/>
                <w:iCs/>
                <w:vertAlign w:val="subscript"/>
              </w:rPr>
              <w:t>7</w:t>
            </w:r>
            <w:r w:rsidRPr="00207C40">
              <w:rPr>
                <w:rFonts w:ascii="Times New Roman" w:hAnsi="Times New Roman" w:cs="Times New Roman"/>
              </w:rPr>
              <w:t>)</w:t>
            </w:r>
          </w:p>
        </w:tc>
        <w:tc>
          <w:tcPr>
            <w:tcW w:w="1650" w:type="dxa"/>
            <w:tcBorders>
              <w:top w:val="nil"/>
              <w:left w:val="nil"/>
              <w:bottom w:val="nil"/>
              <w:right w:val="nil"/>
            </w:tcBorders>
            <w:vAlign w:val="bottom"/>
          </w:tcPr>
          <w:p w14:paraId="4F54C3F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0.0017***</w:t>
            </w:r>
            <w:r w:rsidRPr="00207C40">
              <w:rPr>
                <w:rFonts w:asciiTheme="majorBidi" w:hAnsiTheme="majorBidi" w:cstheme="majorBidi"/>
              </w:rPr>
              <w:br/>
              <w:t>(7.470)</w:t>
            </w:r>
          </w:p>
        </w:tc>
        <w:tc>
          <w:tcPr>
            <w:tcW w:w="1650" w:type="dxa"/>
            <w:tcBorders>
              <w:top w:val="nil"/>
              <w:left w:val="nil"/>
              <w:bottom w:val="nil"/>
              <w:right w:val="nil"/>
            </w:tcBorders>
            <w:shd w:val="clear" w:color="auto" w:fill="auto"/>
            <w:vAlign w:val="bottom"/>
          </w:tcPr>
          <w:p w14:paraId="01EF0F0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0.0018***</w:t>
            </w:r>
            <w:r w:rsidRPr="00207C40">
              <w:rPr>
                <w:rFonts w:asciiTheme="majorBidi" w:hAnsiTheme="majorBidi" w:cstheme="majorBidi"/>
              </w:rPr>
              <w:br/>
              <w:t>(6.570)</w:t>
            </w:r>
          </w:p>
        </w:tc>
        <w:tc>
          <w:tcPr>
            <w:tcW w:w="1650" w:type="dxa"/>
            <w:tcBorders>
              <w:top w:val="nil"/>
              <w:left w:val="nil"/>
              <w:bottom w:val="nil"/>
              <w:right w:val="nil"/>
            </w:tcBorders>
            <w:shd w:val="clear" w:color="auto" w:fill="auto"/>
            <w:vAlign w:val="bottom"/>
          </w:tcPr>
          <w:p w14:paraId="4B210A9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0.0019***</w:t>
            </w:r>
            <w:r w:rsidRPr="00207C40">
              <w:rPr>
                <w:rFonts w:asciiTheme="majorBidi" w:hAnsiTheme="majorBidi" w:cstheme="majorBidi"/>
              </w:rPr>
              <w:br/>
              <w:t>(5.240)</w:t>
            </w:r>
          </w:p>
        </w:tc>
        <w:tc>
          <w:tcPr>
            <w:tcW w:w="1650" w:type="dxa"/>
            <w:tcBorders>
              <w:top w:val="nil"/>
              <w:left w:val="nil"/>
              <w:bottom w:val="nil"/>
              <w:right w:val="nil"/>
            </w:tcBorders>
            <w:shd w:val="clear" w:color="auto" w:fill="auto"/>
            <w:vAlign w:val="bottom"/>
          </w:tcPr>
          <w:p w14:paraId="4DA0046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(1.160)</w:t>
            </w:r>
          </w:p>
        </w:tc>
        <w:tc>
          <w:tcPr>
            <w:tcW w:w="1650" w:type="dxa"/>
            <w:tcBorders>
              <w:top w:val="nil"/>
              <w:left w:val="nil"/>
              <w:bottom w:val="nil"/>
              <w:right w:val="nil"/>
            </w:tcBorders>
            <w:shd w:val="clear" w:color="auto" w:fill="auto"/>
            <w:vAlign w:val="bottom"/>
          </w:tcPr>
          <w:p w14:paraId="0ED66B3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(1.370)</w:t>
            </w:r>
          </w:p>
        </w:tc>
        <w:tc>
          <w:tcPr>
            <w:tcW w:w="1650" w:type="dxa"/>
            <w:tcBorders>
              <w:top w:val="nil"/>
              <w:left w:val="nil"/>
              <w:bottom w:val="nil"/>
              <w:right w:val="nil"/>
            </w:tcBorders>
            <w:shd w:val="clear" w:color="auto" w:fill="auto"/>
            <w:vAlign w:val="bottom"/>
          </w:tcPr>
          <w:p w14:paraId="52DCF25A"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(1.140)</w:t>
            </w:r>
          </w:p>
        </w:tc>
      </w:tr>
      <w:tr w:rsidR="00C17702" w14:paraId="57E1939F" w14:textId="77777777" w:rsidTr="002C688A">
        <w:trPr>
          <w:trHeight w:val="432"/>
          <w:jc w:val="center"/>
        </w:trPr>
        <w:tc>
          <w:tcPr>
            <w:tcW w:w="4410" w:type="dxa"/>
            <w:tcBorders>
              <w:top w:val="nil"/>
              <w:left w:val="nil"/>
              <w:bottom w:val="nil"/>
              <w:right w:val="nil"/>
            </w:tcBorders>
            <w:vAlign w:val="center"/>
          </w:tcPr>
          <w:p w14:paraId="1BCAF4B7"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GOVH×PUE     (</w:t>
            </w:r>
            <w:r w:rsidRPr="00207C40">
              <w:rPr>
                <w:rFonts w:ascii="Times New Roman" w:hAnsi="Times New Roman" w:cs="Times New Roman"/>
                <w:i/>
                <w:iCs/>
              </w:rPr>
              <w:t>β</w:t>
            </w:r>
            <w:r w:rsidRPr="00207C40">
              <w:rPr>
                <w:rFonts w:ascii="Times New Roman" w:hAnsi="Times New Roman" w:cs="Times New Roman"/>
                <w:i/>
                <w:iCs/>
                <w:vertAlign w:val="subscript"/>
              </w:rPr>
              <w:t>8</w:t>
            </w:r>
            <w:r w:rsidRPr="00207C40">
              <w:rPr>
                <w:rFonts w:ascii="Times New Roman" w:hAnsi="Times New Roman" w:cs="Times New Roman"/>
              </w:rPr>
              <w:t>)</w:t>
            </w:r>
          </w:p>
        </w:tc>
        <w:tc>
          <w:tcPr>
            <w:tcW w:w="1650" w:type="dxa"/>
            <w:tcBorders>
              <w:top w:val="nil"/>
              <w:left w:val="nil"/>
              <w:bottom w:val="nil"/>
              <w:right w:val="nil"/>
            </w:tcBorders>
            <w:vAlign w:val="bottom"/>
          </w:tcPr>
          <w:p w14:paraId="541AD66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0.0021***</w:t>
            </w:r>
            <w:r w:rsidRPr="00207C40">
              <w:rPr>
                <w:rFonts w:asciiTheme="majorBidi" w:hAnsiTheme="majorBidi" w:cstheme="majorBidi"/>
              </w:rPr>
              <w:br/>
              <w:t>(6.840)</w:t>
            </w:r>
          </w:p>
        </w:tc>
        <w:tc>
          <w:tcPr>
            <w:tcW w:w="1650" w:type="dxa"/>
            <w:tcBorders>
              <w:top w:val="nil"/>
              <w:left w:val="nil"/>
              <w:bottom w:val="nil"/>
              <w:right w:val="nil"/>
            </w:tcBorders>
            <w:shd w:val="clear" w:color="auto" w:fill="auto"/>
            <w:vAlign w:val="bottom"/>
          </w:tcPr>
          <w:p w14:paraId="249F8B5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0.0022***</w:t>
            </w:r>
            <w:r w:rsidRPr="00207C40">
              <w:rPr>
                <w:rFonts w:asciiTheme="majorBidi" w:hAnsiTheme="majorBidi" w:cstheme="majorBidi"/>
              </w:rPr>
              <w:br/>
              <w:t>(6.030)</w:t>
            </w:r>
          </w:p>
        </w:tc>
        <w:tc>
          <w:tcPr>
            <w:tcW w:w="1650" w:type="dxa"/>
            <w:tcBorders>
              <w:top w:val="nil"/>
              <w:left w:val="nil"/>
              <w:bottom w:val="nil"/>
              <w:right w:val="nil"/>
            </w:tcBorders>
            <w:shd w:val="clear" w:color="auto" w:fill="auto"/>
            <w:vAlign w:val="bottom"/>
          </w:tcPr>
          <w:p w14:paraId="17B2467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0.0018***</w:t>
            </w:r>
            <w:r w:rsidRPr="00207C40">
              <w:rPr>
                <w:rFonts w:asciiTheme="majorBidi" w:hAnsiTheme="majorBidi" w:cstheme="majorBidi"/>
              </w:rPr>
              <w:br/>
              <w:t>(4.720)</w:t>
            </w:r>
          </w:p>
        </w:tc>
        <w:tc>
          <w:tcPr>
            <w:tcW w:w="1650" w:type="dxa"/>
            <w:tcBorders>
              <w:top w:val="nil"/>
              <w:left w:val="nil"/>
              <w:bottom w:val="nil"/>
              <w:right w:val="nil"/>
            </w:tcBorders>
            <w:shd w:val="clear" w:color="auto" w:fill="auto"/>
            <w:vAlign w:val="bottom"/>
          </w:tcPr>
          <w:p w14:paraId="2D45978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(1.130)</w:t>
            </w:r>
          </w:p>
        </w:tc>
        <w:tc>
          <w:tcPr>
            <w:tcW w:w="1650" w:type="dxa"/>
            <w:tcBorders>
              <w:top w:val="nil"/>
              <w:left w:val="nil"/>
              <w:bottom w:val="nil"/>
              <w:right w:val="nil"/>
            </w:tcBorders>
            <w:shd w:val="clear" w:color="auto" w:fill="auto"/>
            <w:vAlign w:val="bottom"/>
          </w:tcPr>
          <w:p w14:paraId="61D3B3A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(1.530)</w:t>
            </w:r>
          </w:p>
        </w:tc>
        <w:tc>
          <w:tcPr>
            <w:tcW w:w="1650" w:type="dxa"/>
            <w:tcBorders>
              <w:top w:val="nil"/>
              <w:left w:val="nil"/>
              <w:bottom w:val="nil"/>
              <w:right w:val="nil"/>
            </w:tcBorders>
            <w:shd w:val="clear" w:color="auto" w:fill="auto"/>
            <w:vAlign w:val="bottom"/>
          </w:tcPr>
          <w:p w14:paraId="11A090D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(1.270)</w:t>
            </w:r>
          </w:p>
        </w:tc>
      </w:tr>
      <w:tr w:rsidR="00C17702" w14:paraId="5126B194" w14:textId="77777777" w:rsidTr="002C688A">
        <w:trPr>
          <w:trHeight w:val="432"/>
          <w:jc w:val="center"/>
        </w:trPr>
        <w:tc>
          <w:tcPr>
            <w:tcW w:w="4410" w:type="dxa"/>
            <w:tcBorders>
              <w:top w:val="nil"/>
              <w:left w:val="nil"/>
              <w:bottom w:val="nil"/>
              <w:right w:val="nil"/>
            </w:tcBorders>
            <w:vAlign w:val="center"/>
          </w:tcPr>
          <w:p w14:paraId="03E91CD9"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IFUH×NUE     (</w:t>
            </w:r>
            <w:r w:rsidRPr="00207C40">
              <w:rPr>
                <w:rFonts w:ascii="Times New Roman" w:hAnsi="Times New Roman" w:cs="Times New Roman"/>
                <w:i/>
                <w:iCs/>
              </w:rPr>
              <w:t>β</w:t>
            </w:r>
            <w:r w:rsidRPr="00207C40">
              <w:rPr>
                <w:rFonts w:ascii="Times New Roman" w:hAnsi="Times New Roman" w:cs="Times New Roman"/>
                <w:i/>
                <w:iCs/>
                <w:vertAlign w:val="subscript"/>
              </w:rPr>
              <w:t>9</w:t>
            </w:r>
            <w:r w:rsidRPr="00207C40">
              <w:rPr>
                <w:rFonts w:ascii="Times New Roman" w:hAnsi="Times New Roman" w:cs="Times New Roman"/>
              </w:rPr>
              <w:t>)</w:t>
            </w:r>
          </w:p>
        </w:tc>
        <w:tc>
          <w:tcPr>
            <w:tcW w:w="1650" w:type="dxa"/>
            <w:tcBorders>
              <w:top w:val="nil"/>
              <w:left w:val="nil"/>
              <w:bottom w:val="nil"/>
              <w:right w:val="nil"/>
            </w:tcBorders>
            <w:vAlign w:val="bottom"/>
          </w:tcPr>
          <w:p w14:paraId="21045B6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-0.0025***</w:t>
            </w:r>
            <w:r w:rsidRPr="00207C40">
              <w:rPr>
                <w:rFonts w:asciiTheme="majorBidi" w:hAnsiTheme="majorBidi" w:cstheme="majorBidi"/>
              </w:rPr>
              <w:br/>
              <w:t>(-13.940)</w:t>
            </w:r>
          </w:p>
        </w:tc>
        <w:tc>
          <w:tcPr>
            <w:tcW w:w="1650" w:type="dxa"/>
            <w:tcBorders>
              <w:top w:val="nil"/>
              <w:left w:val="nil"/>
              <w:bottom w:val="nil"/>
              <w:right w:val="nil"/>
            </w:tcBorders>
            <w:shd w:val="clear" w:color="auto" w:fill="auto"/>
            <w:vAlign w:val="bottom"/>
          </w:tcPr>
          <w:p w14:paraId="3F32EBC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-0.0023***</w:t>
            </w:r>
            <w:r w:rsidRPr="00207C40">
              <w:rPr>
                <w:rFonts w:asciiTheme="majorBidi" w:hAnsiTheme="majorBidi" w:cstheme="majorBidi"/>
              </w:rPr>
              <w:br/>
              <w:t>(-11.210)</w:t>
            </w:r>
          </w:p>
        </w:tc>
        <w:tc>
          <w:tcPr>
            <w:tcW w:w="1650" w:type="dxa"/>
            <w:tcBorders>
              <w:top w:val="nil"/>
              <w:left w:val="nil"/>
              <w:bottom w:val="nil"/>
              <w:right w:val="nil"/>
            </w:tcBorders>
            <w:shd w:val="clear" w:color="auto" w:fill="auto"/>
            <w:vAlign w:val="bottom"/>
          </w:tcPr>
          <w:p w14:paraId="1F8B68EA"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-0.0014***</w:t>
            </w:r>
            <w:r w:rsidRPr="00207C40">
              <w:rPr>
                <w:rFonts w:asciiTheme="majorBidi" w:hAnsiTheme="majorBidi" w:cstheme="majorBidi"/>
              </w:rPr>
              <w:br/>
              <w:t>(-6.750)</w:t>
            </w:r>
          </w:p>
        </w:tc>
        <w:tc>
          <w:tcPr>
            <w:tcW w:w="1650" w:type="dxa"/>
            <w:tcBorders>
              <w:top w:val="nil"/>
              <w:left w:val="nil"/>
              <w:bottom w:val="nil"/>
              <w:right w:val="nil"/>
            </w:tcBorders>
            <w:shd w:val="clear" w:color="auto" w:fill="auto"/>
            <w:vAlign w:val="bottom"/>
          </w:tcPr>
          <w:p w14:paraId="4244A10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-0.0016***</w:t>
            </w:r>
            <w:r w:rsidRPr="00207C40">
              <w:rPr>
                <w:rFonts w:asciiTheme="majorBidi" w:hAnsiTheme="majorBidi" w:cstheme="majorBidi"/>
              </w:rPr>
              <w:br/>
              <w:t>(-3.810)</w:t>
            </w:r>
          </w:p>
        </w:tc>
        <w:tc>
          <w:tcPr>
            <w:tcW w:w="1650" w:type="dxa"/>
            <w:tcBorders>
              <w:top w:val="nil"/>
              <w:left w:val="nil"/>
              <w:bottom w:val="nil"/>
              <w:right w:val="nil"/>
            </w:tcBorders>
            <w:shd w:val="clear" w:color="auto" w:fill="auto"/>
            <w:vAlign w:val="bottom"/>
          </w:tcPr>
          <w:p w14:paraId="5DE1DF48"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-0.0022***</w:t>
            </w:r>
            <w:r w:rsidRPr="00207C40">
              <w:rPr>
                <w:rFonts w:asciiTheme="majorBidi" w:hAnsiTheme="majorBidi" w:cstheme="majorBidi"/>
              </w:rPr>
              <w:br/>
              <w:t>(-5.150)</w:t>
            </w:r>
          </w:p>
        </w:tc>
        <w:tc>
          <w:tcPr>
            <w:tcW w:w="1650" w:type="dxa"/>
            <w:tcBorders>
              <w:top w:val="nil"/>
              <w:left w:val="nil"/>
              <w:bottom w:val="nil"/>
              <w:right w:val="nil"/>
            </w:tcBorders>
            <w:shd w:val="clear" w:color="auto" w:fill="auto"/>
            <w:vAlign w:val="bottom"/>
          </w:tcPr>
          <w:p w14:paraId="3D3FBC4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-0.0016***</w:t>
            </w:r>
            <w:r w:rsidRPr="00207C40">
              <w:rPr>
                <w:rFonts w:asciiTheme="majorBidi" w:hAnsiTheme="majorBidi" w:cstheme="majorBidi"/>
              </w:rPr>
              <w:br/>
              <w:t>(-3.650)</w:t>
            </w:r>
          </w:p>
        </w:tc>
      </w:tr>
      <w:tr w:rsidR="00C17702" w14:paraId="5C661E34" w14:textId="77777777" w:rsidTr="002C688A">
        <w:trPr>
          <w:trHeight w:val="432"/>
          <w:jc w:val="center"/>
        </w:trPr>
        <w:tc>
          <w:tcPr>
            <w:tcW w:w="4410" w:type="dxa"/>
            <w:tcBorders>
              <w:top w:val="nil"/>
              <w:left w:val="nil"/>
              <w:bottom w:val="nil"/>
              <w:right w:val="nil"/>
            </w:tcBorders>
            <w:vAlign w:val="center"/>
          </w:tcPr>
          <w:p w14:paraId="54776709"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IFUH×PUE     (</w:t>
            </w:r>
            <w:r w:rsidRPr="00207C40">
              <w:rPr>
                <w:rFonts w:ascii="Times New Roman" w:hAnsi="Times New Roman" w:cs="Times New Roman"/>
                <w:i/>
                <w:iCs/>
              </w:rPr>
              <w:t>β</w:t>
            </w:r>
            <w:r w:rsidRPr="00207C40">
              <w:rPr>
                <w:rFonts w:ascii="Times New Roman" w:hAnsi="Times New Roman" w:cs="Times New Roman"/>
                <w:i/>
                <w:iCs/>
                <w:vertAlign w:val="subscript"/>
              </w:rPr>
              <w:t>10</w:t>
            </w:r>
            <w:r w:rsidRPr="00207C40">
              <w:rPr>
                <w:rFonts w:ascii="Times New Roman" w:hAnsi="Times New Roman" w:cs="Times New Roman"/>
              </w:rPr>
              <w:t>)</w:t>
            </w:r>
          </w:p>
        </w:tc>
        <w:tc>
          <w:tcPr>
            <w:tcW w:w="1650" w:type="dxa"/>
            <w:tcBorders>
              <w:top w:val="nil"/>
              <w:left w:val="nil"/>
              <w:bottom w:val="nil"/>
              <w:right w:val="nil"/>
            </w:tcBorders>
            <w:vAlign w:val="bottom"/>
          </w:tcPr>
          <w:p w14:paraId="03B8B02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-0.0022***</w:t>
            </w:r>
            <w:r w:rsidRPr="00207C40">
              <w:rPr>
                <w:rFonts w:asciiTheme="majorBidi" w:hAnsiTheme="majorBidi" w:cstheme="majorBidi"/>
              </w:rPr>
              <w:br/>
              <w:t>(-12.760)</w:t>
            </w:r>
          </w:p>
        </w:tc>
        <w:tc>
          <w:tcPr>
            <w:tcW w:w="1650" w:type="dxa"/>
            <w:tcBorders>
              <w:top w:val="nil"/>
              <w:left w:val="nil"/>
              <w:bottom w:val="nil"/>
              <w:right w:val="nil"/>
            </w:tcBorders>
            <w:shd w:val="clear" w:color="auto" w:fill="auto"/>
            <w:vAlign w:val="bottom"/>
          </w:tcPr>
          <w:p w14:paraId="5F4B2AA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-0.0020***</w:t>
            </w:r>
            <w:r w:rsidRPr="00207C40">
              <w:rPr>
                <w:rFonts w:asciiTheme="majorBidi" w:hAnsiTheme="majorBidi" w:cstheme="majorBidi"/>
              </w:rPr>
              <w:br/>
              <w:t>(-9.790)</w:t>
            </w:r>
          </w:p>
        </w:tc>
        <w:tc>
          <w:tcPr>
            <w:tcW w:w="1650" w:type="dxa"/>
            <w:tcBorders>
              <w:top w:val="nil"/>
              <w:left w:val="nil"/>
              <w:bottom w:val="nil"/>
              <w:right w:val="nil"/>
            </w:tcBorders>
            <w:shd w:val="clear" w:color="auto" w:fill="auto"/>
            <w:vAlign w:val="bottom"/>
          </w:tcPr>
          <w:p w14:paraId="61B10C8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-0.0012***</w:t>
            </w:r>
            <w:r w:rsidRPr="00207C40">
              <w:rPr>
                <w:rFonts w:asciiTheme="majorBidi" w:hAnsiTheme="majorBidi" w:cstheme="majorBidi"/>
              </w:rPr>
              <w:br/>
              <w:t>(-5.900)</w:t>
            </w:r>
          </w:p>
        </w:tc>
        <w:tc>
          <w:tcPr>
            <w:tcW w:w="1650" w:type="dxa"/>
            <w:tcBorders>
              <w:top w:val="nil"/>
              <w:left w:val="nil"/>
              <w:bottom w:val="nil"/>
              <w:right w:val="nil"/>
            </w:tcBorders>
            <w:shd w:val="clear" w:color="auto" w:fill="auto"/>
            <w:vAlign w:val="bottom"/>
          </w:tcPr>
          <w:p w14:paraId="6039B30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-0.0018***</w:t>
            </w:r>
            <w:r w:rsidRPr="00207C40">
              <w:rPr>
                <w:rFonts w:asciiTheme="majorBidi" w:hAnsiTheme="majorBidi" w:cstheme="majorBidi"/>
              </w:rPr>
              <w:br/>
              <w:t>(-4.130)</w:t>
            </w:r>
          </w:p>
        </w:tc>
        <w:tc>
          <w:tcPr>
            <w:tcW w:w="1650" w:type="dxa"/>
            <w:tcBorders>
              <w:top w:val="nil"/>
              <w:left w:val="nil"/>
              <w:bottom w:val="nil"/>
              <w:right w:val="nil"/>
            </w:tcBorders>
            <w:shd w:val="clear" w:color="auto" w:fill="auto"/>
            <w:vAlign w:val="bottom"/>
          </w:tcPr>
          <w:p w14:paraId="2095677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-0.0024***</w:t>
            </w:r>
            <w:r w:rsidRPr="00207C40">
              <w:rPr>
                <w:rFonts w:asciiTheme="majorBidi" w:hAnsiTheme="majorBidi" w:cstheme="majorBidi"/>
              </w:rPr>
              <w:br/>
              <w:t>(-5.590)</w:t>
            </w:r>
          </w:p>
        </w:tc>
        <w:tc>
          <w:tcPr>
            <w:tcW w:w="1650" w:type="dxa"/>
            <w:tcBorders>
              <w:top w:val="nil"/>
              <w:left w:val="nil"/>
              <w:bottom w:val="nil"/>
              <w:right w:val="nil"/>
            </w:tcBorders>
            <w:shd w:val="clear" w:color="auto" w:fill="auto"/>
            <w:vAlign w:val="bottom"/>
          </w:tcPr>
          <w:p w14:paraId="1EAFE16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-0.0017***</w:t>
            </w:r>
            <w:r w:rsidRPr="00207C40">
              <w:rPr>
                <w:rFonts w:asciiTheme="majorBidi" w:hAnsiTheme="majorBidi" w:cstheme="majorBidi"/>
              </w:rPr>
              <w:br/>
              <w:t>(-3.960)</w:t>
            </w:r>
          </w:p>
        </w:tc>
      </w:tr>
      <w:tr w:rsidR="00C17702" w:rsidRPr="007E0614" w14:paraId="5C166A5A" w14:textId="77777777" w:rsidTr="002C688A">
        <w:trPr>
          <w:trHeight w:val="288"/>
          <w:jc w:val="center"/>
        </w:trPr>
        <w:tc>
          <w:tcPr>
            <w:tcW w:w="4410" w:type="dxa"/>
            <w:tcBorders>
              <w:top w:val="nil"/>
              <w:left w:val="nil"/>
              <w:bottom w:val="nil"/>
              <w:right w:val="nil"/>
            </w:tcBorders>
            <w:vAlign w:val="center"/>
          </w:tcPr>
          <w:p w14:paraId="54A1942B"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b/>
                <w:bCs/>
              </w:rPr>
              <w:t>Model 4b</w:t>
            </w:r>
          </w:p>
        </w:tc>
        <w:tc>
          <w:tcPr>
            <w:tcW w:w="1650" w:type="dxa"/>
            <w:tcBorders>
              <w:top w:val="nil"/>
              <w:left w:val="nil"/>
              <w:bottom w:val="nil"/>
              <w:right w:val="nil"/>
            </w:tcBorders>
            <w:vAlign w:val="bottom"/>
          </w:tcPr>
          <w:p w14:paraId="55BE294F"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B43A6E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6D6782CC"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711CF03"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413F6627"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83ECB9F" w14:textId="77777777" w:rsidR="00C17702" w:rsidRPr="00207C40" w:rsidRDefault="00C17702" w:rsidP="00987E3A">
            <w:pPr>
              <w:tabs>
                <w:tab w:val="left" w:pos="567"/>
              </w:tabs>
              <w:jc w:val="center"/>
              <w:rPr>
                <w:rFonts w:asciiTheme="majorBidi" w:hAnsiTheme="majorBidi" w:cstheme="majorBidi"/>
              </w:rPr>
            </w:pPr>
          </w:p>
        </w:tc>
      </w:tr>
      <w:tr w:rsidR="00C17702" w:rsidRPr="007E0614" w14:paraId="02345BF8" w14:textId="77777777" w:rsidTr="002C688A">
        <w:trPr>
          <w:trHeight w:val="288"/>
          <w:jc w:val="center"/>
        </w:trPr>
        <w:tc>
          <w:tcPr>
            <w:tcW w:w="4410" w:type="dxa"/>
            <w:tcBorders>
              <w:top w:val="nil"/>
              <w:left w:val="nil"/>
              <w:bottom w:val="nil"/>
              <w:right w:val="nil"/>
            </w:tcBorders>
            <w:vAlign w:val="center"/>
          </w:tcPr>
          <w:p w14:paraId="62FAE57F"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rPr>
              <w:t>GOVH     (</w:t>
            </w:r>
            <w:r w:rsidRPr="00207C40">
              <w:rPr>
                <w:rFonts w:ascii="Times New Roman" w:hAnsi="Times New Roman" w:cs="Times New Roman"/>
                <w:i/>
                <w:iCs/>
              </w:rPr>
              <w:t>µ</w:t>
            </w:r>
            <w:r w:rsidRPr="00207C40">
              <w:rPr>
                <w:rFonts w:ascii="Times New Roman" w:hAnsi="Times New Roman" w:cs="Times New Roman"/>
                <w:i/>
                <w:iCs/>
                <w:vertAlign w:val="subscript"/>
              </w:rPr>
              <w:t>1</w:t>
            </w:r>
            <w:r w:rsidRPr="00207C40">
              <w:rPr>
                <w:rFonts w:ascii="Times New Roman" w:hAnsi="Times New Roman" w:cs="Times New Roman"/>
              </w:rPr>
              <w:t>)</w:t>
            </w:r>
          </w:p>
        </w:tc>
        <w:tc>
          <w:tcPr>
            <w:tcW w:w="1650" w:type="dxa"/>
            <w:tcBorders>
              <w:top w:val="nil"/>
              <w:left w:val="nil"/>
              <w:bottom w:val="nil"/>
              <w:right w:val="nil"/>
            </w:tcBorders>
            <w:vAlign w:val="bottom"/>
          </w:tcPr>
          <w:p w14:paraId="4E431B1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-4.0000***</w:t>
            </w:r>
          </w:p>
          <w:p w14:paraId="7F72448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(2.540)</w:t>
            </w:r>
          </w:p>
        </w:tc>
        <w:tc>
          <w:tcPr>
            <w:tcW w:w="1650" w:type="dxa"/>
            <w:tcBorders>
              <w:top w:val="nil"/>
              <w:left w:val="nil"/>
              <w:bottom w:val="nil"/>
              <w:right w:val="nil"/>
            </w:tcBorders>
            <w:shd w:val="clear" w:color="auto" w:fill="auto"/>
            <w:vAlign w:val="bottom"/>
          </w:tcPr>
          <w:p w14:paraId="5DBBB15A"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-3.6667***</w:t>
            </w:r>
          </w:p>
          <w:p w14:paraId="048FC07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(2.940)</w:t>
            </w:r>
          </w:p>
        </w:tc>
        <w:tc>
          <w:tcPr>
            <w:tcW w:w="1650" w:type="dxa"/>
            <w:tcBorders>
              <w:top w:val="nil"/>
              <w:left w:val="nil"/>
              <w:bottom w:val="nil"/>
              <w:right w:val="nil"/>
            </w:tcBorders>
            <w:shd w:val="clear" w:color="auto" w:fill="auto"/>
            <w:vAlign w:val="bottom"/>
          </w:tcPr>
          <w:p w14:paraId="19D71E8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-1.4211***</w:t>
            </w:r>
          </w:p>
          <w:p w14:paraId="6CBAC23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(2.880)</w:t>
            </w:r>
          </w:p>
        </w:tc>
        <w:tc>
          <w:tcPr>
            <w:tcW w:w="1650" w:type="dxa"/>
            <w:tcBorders>
              <w:top w:val="nil"/>
              <w:left w:val="nil"/>
              <w:bottom w:val="nil"/>
              <w:right w:val="nil"/>
            </w:tcBorders>
            <w:shd w:val="clear" w:color="auto" w:fill="auto"/>
            <w:vAlign w:val="bottom"/>
          </w:tcPr>
          <w:p w14:paraId="53BA638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-0.8571***</w:t>
            </w:r>
          </w:p>
          <w:p w14:paraId="3089AD2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(2.260)</w:t>
            </w:r>
          </w:p>
        </w:tc>
        <w:tc>
          <w:tcPr>
            <w:tcW w:w="1650" w:type="dxa"/>
            <w:tcBorders>
              <w:top w:val="nil"/>
              <w:left w:val="nil"/>
              <w:bottom w:val="nil"/>
              <w:right w:val="nil"/>
            </w:tcBorders>
            <w:shd w:val="clear" w:color="auto" w:fill="auto"/>
            <w:vAlign w:val="bottom"/>
          </w:tcPr>
          <w:p w14:paraId="2CC3987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-0.4667***</w:t>
            </w:r>
          </w:p>
          <w:p w14:paraId="66BCE00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(2.150)</w:t>
            </w:r>
          </w:p>
        </w:tc>
        <w:tc>
          <w:tcPr>
            <w:tcW w:w="1650" w:type="dxa"/>
            <w:tcBorders>
              <w:top w:val="nil"/>
              <w:left w:val="nil"/>
              <w:bottom w:val="nil"/>
              <w:right w:val="nil"/>
            </w:tcBorders>
            <w:shd w:val="clear" w:color="auto" w:fill="auto"/>
            <w:vAlign w:val="bottom"/>
          </w:tcPr>
          <w:p w14:paraId="76EB3B5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-0.3462***</w:t>
            </w:r>
          </w:p>
          <w:p w14:paraId="3951624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(2.770)</w:t>
            </w:r>
          </w:p>
        </w:tc>
      </w:tr>
      <w:tr w:rsidR="00C17702" w:rsidRPr="007E0614" w14:paraId="25EB9F19" w14:textId="77777777" w:rsidTr="002C688A">
        <w:trPr>
          <w:trHeight w:val="288"/>
          <w:jc w:val="center"/>
        </w:trPr>
        <w:tc>
          <w:tcPr>
            <w:tcW w:w="4410" w:type="dxa"/>
            <w:tcBorders>
              <w:top w:val="nil"/>
              <w:left w:val="nil"/>
              <w:bottom w:val="nil"/>
              <w:right w:val="nil"/>
            </w:tcBorders>
            <w:vAlign w:val="center"/>
          </w:tcPr>
          <w:p w14:paraId="2DB8FD94"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b/>
                <w:bCs/>
              </w:rPr>
              <w:t>Model 4c</w:t>
            </w:r>
          </w:p>
        </w:tc>
        <w:tc>
          <w:tcPr>
            <w:tcW w:w="1650" w:type="dxa"/>
            <w:tcBorders>
              <w:top w:val="nil"/>
              <w:left w:val="nil"/>
              <w:bottom w:val="nil"/>
              <w:right w:val="nil"/>
            </w:tcBorders>
            <w:vAlign w:val="bottom"/>
          </w:tcPr>
          <w:p w14:paraId="2CE4F15C"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660C11B0"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80F80C6"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05CC2518"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03B7B242"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93E4BB8" w14:textId="77777777" w:rsidR="00C17702" w:rsidRPr="00207C40" w:rsidRDefault="00C17702" w:rsidP="00987E3A">
            <w:pPr>
              <w:tabs>
                <w:tab w:val="left" w:pos="567"/>
              </w:tabs>
              <w:jc w:val="center"/>
              <w:rPr>
                <w:rFonts w:asciiTheme="majorBidi" w:hAnsiTheme="majorBidi" w:cstheme="majorBidi"/>
              </w:rPr>
            </w:pPr>
          </w:p>
        </w:tc>
      </w:tr>
      <w:tr w:rsidR="00C17702" w:rsidRPr="007E0614" w14:paraId="470A2B75" w14:textId="77777777" w:rsidTr="002C688A">
        <w:trPr>
          <w:trHeight w:val="288"/>
          <w:jc w:val="center"/>
        </w:trPr>
        <w:tc>
          <w:tcPr>
            <w:tcW w:w="4410" w:type="dxa"/>
            <w:tcBorders>
              <w:top w:val="nil"/>
              <w:left w:val="nil"/>
              <w:bottom w:val="nil"/>
              <w:right w:val="nil"/>
            </w:tcBorders>
            <w:vAlign w:val="center"/>
          </w:tcPr>
          <w:p w14:paraId="5B433FF9"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rPr>
              <w:t>GOVH     (</w:t>
            </w:r>
            <w:r w:rsidRPr="00207C40">
              <w:rPr>
                <w:rFonts w:ascii="Times New Roman" w:hAnsi="Times New Roman" w:cs="Times New Roman"/>
                <w:i/>
                <w:iCs/>
              </w:rPr>
              <w:t>α</w:t>
            </w:r>
            <w:r w:rsidRPr="00207C40">
              <w:rPr>
                <w:rFonts w:ascii="Times New Roman" w:hAnsi="Times New Roman" w:cs="Times New Roman"/>
                <w:i/>
                <w:iCs/>
                <w:vertAlign w:val="subscript"/>
              </w:rPr>
              <w:t>1</w:t>
            </w:r>
            <w:r w:rsidRPr="00207C40">
              <w:rPr>
                <w:rFonts w:ascii="Times New Roman" w:hAnsi="Times New Roman" w:cs="Times New Roman"/>
              </w:rPr>
              <w:t>)</w:t>
            </w:r>
          </w:p>
        </w:tc>
        <w:tc>
          <w:tcPr>
            <w:tcW w:w="1650" w:type="dxa"/>
            <w:tcBorders>
              <w:top w:val="nil"/>
              <w:left w:val="nil"/>
              <w:bottom w:val="nil"/>
              <w:right w:val="nil"/>
            </w:tcBorders>
            <w:vAlign w:val="bottom"/>
          </w:tcPr>
          <w:p w14:paraId="3DFA0EA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-1.2800***</w:t>
            </w:r>
          </w:p>
          <w:p w14:paraId="3D10ABF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(7.810)</w:t>
            </w:r>
          </w:p>
        </w:tc>
        <w:tc>
          <w:tcPr>
            <w:tcW w:w="1650" w:type="dxa"/>
            <w:tcBorders>
              <w:top w:val="nil"/>
              <w:left w:val="nil"/>
              <w:bottom w:val="nil"/>
              <w:right w:val="nil"/>
            </w:tcBorders>
            <w:shd w:val="clear" w:color="auto" w:fill="auto"/>
            <w:vAlign w:val="bottom"/>
          </w:tcPr>
          <w:p w14:paraId="43A18B9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-1.1739***</w:t>
            </w:r>
          </w:p>
          <w:p w14:paraId="277481B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(7.920)</w:t>
            </w:r>
          </w:p>
        </w:tc>
        <w:tc>
          <w:tcPr>
            <w:tcW w:w="1650" w:type="dxa"/>
            <w:tcBorders>
              <w:top w:val="nil"/>
              <w:left w:val="nil"/>
              <w:bottom w:val="nil"/>
              <w:right w:val="nil"/>
            </w:tcBorders>
            <w:shd w:val="clear" w:color="auto" w:fill="auto"/>
            <w:vAlign w:val="bottom"/>
          </w:tcPr>
          <w:p w14:paraId="3BA1E26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-1.8571***</w:t>
            </w:r>
          </w:p>
          <w:p w14:paraId="4C76C8A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(6.200)</w:t>
            </w:r>
          </w:p>
        </w:tc>
        <w:tc>
          <w:tcPr>
            <w:tcW w:w="1650" w:type="dxa"/>
            <w:tcBorders>
              <w:top w:val="nil"/>
              <w:left w:val="nil"/>
              <w:bottom w:val="nil"/>
              <w:right w:val="nil"/>
            </w:tcBorders>
            <w:shd w:val="clear" w:color="auto" w:fill="auto"/>
            <w:vAlign w:val="bottom"/>
          </w:tcPr>
          <w:p w14:paraId="03FD977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32A7E14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(0.940)</w:t>
            </w:r>
          </w:p>
        </w:tc>
        <w:tc>
          <w:tcPr>
            <w:tcW w:w="1650" w:type="dxa"/>
            <w:tcBorders>
              <w:top w:val="nil"/>
              <w:left w:val="nil"/>
              <w:bottom w:val="nil"/>
              <w:right w:val="nil"/>
            </w:tcBorders>
            <w:shd w:val="clear" w:color="auto" w:fill="auto"/>
            <w:vAlign w:val="bottom"/>
          </w:tcPr>
          <w:p w14:paraId="6D79699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65D4535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(1.100)</w:t>
            </w:r>
          </w:p>
        </w:tc>
        <w:tc>
          <w:tcPr>
            <w:tcW w:w="1650" w:type="dxa"/>
            <w:tcBorders>
              <w:top w:val="nil"/>
              <w:left w:val="nil"/>
              <w:bottom w:val="nil"/>
              <w:right w:val="nil"/>
            </w:tcBorders>
            <w:shd w:val="clear" w:color="auto" w:fill="auto"/>
            <w:vAlign w:val="bottom"/>
          </w:tcPr>
          <w:p w14:paraId="1D8E251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62C83637" w14:textId="77777777" w:rsidR="00C17702" w:rsidRDefault="00C17702" w:rsidP="00987E3A">
            <w:pPr>
              <w:tabs>
                <w:tab w:val="left" w:pos="567"/>
              </w:tabs>
              <w:jc w:val="center"/>
              <w:rPr>
                <w:rFonts w:asciiTheme="majorBidi" w:hAnsiTheme="majorBidi" w:cstheme="majorBidi"/>
              </w:rPr>
            </w:pPr>
            <w:r w:rsidRPr="00207C40">
              <w:rPr>
                <w:rFonts w:asciiTheme="majorBidi" w:hAnsiTheme="majorBidi" w:cstheme="majorBidi"/>
              </w:rPr>
              <w:t>(1.670)</w:t>
            </w:r>
          </w:p>
          <w:p w14:paraId="3F3B6956" w14:textId="77777777" w:rsidR="00911C7F" w:rsidRDefault="00911C7F" w:rsidP="00987E3A">
            <w:pPr>
              <w:tabs>
                <w:tab w:val="left" w:pos="567"/>
              </w:tabs>
              <w:jc w:val="center"/>
              <w:rPr>
                <w:rFonts w:asciiTheme="majorBidi" w:hAnsiTheme="majorBidi" w:cstheme="majorBidi"/>
              </w:rPr>
            </w:pPr>
          </w:p>
          <w:p w14:paraId="7132DB0B" w14:textId="35D4C94D" w:rsidR="00911C7F" w:rsidRPr="00207C40" w:rsidRDefault="00911C7F" w:rsidP="00987E3A">
            <w:pPr>
              <w:tabs>
                <w:tab w:val="left" w:pos="567"/>
              </w:tabs>
              <w:jc w:val="center"/>
              <w:rPr>
                <w:rFonts w:asciiTheme="majorBidi" w:hAnsiTheme="majorBidi" w:cstheme="majorBidi"/>
              </w:rPr>
            </w:pPr>
          </w:p>
        </w:tc>
      </w:tr>
      <w:tr w:rsidR="00C17702" w:rsidRPr="007E0614" w14:paraId="65AC6931" w14:textId="77777777" w:rsidTr="002C688A">
        <w:trPr>
          <w:trHeight w:val="288"/>
          <w:jc w:val="center"/>
        </w:trPr>
        <w:tc>
          <w:tcPr>
            <w:tcW w:w="4410" w:type="dxa"/>
            <w:tcBorders>
              <w:top w:val="nil"/>
              <w:left w:val="nil"/>
              <w:bottom w:val="nil"/>
              <w:right w:val="nil"/>
            </w:tcBorders>
            <w:vAlign w:val="center"/>
          </w:tcPr>
          <w:p w14:paraId="6C320816" w14:textId="77777777" w:rsidR="00C17702" w:rsidRDefault="00C17702" w:rsidP="00987E3A">
            <w:pPr>
              <w:tabs>
                <w:tab w:val="left" w:pos="567"/>
              </w:tabs>
              <w:rPr>
                <w:rFonts w:asciiTheme="majorBidi" w:hAnsiTheme="majorBidi" w:cstheme="majorBidi"/>
                <w:b/>
                <w:bCs/>
              </w:rPr>
            </w:pPr>
          </w:p>
          <w:p w14:paraId="566D1300" w14:textId="77777777" w:rsidR="00C17702" w:rsidRDefault="00C17702" w:rsidP="00987E3A">
            <w:pPr>
              <w:tabs>
                <w:tab w:val="left" w:pos="567"/>
              </w:tabs>
              <w:rPr>
                <w:rFonts w:asciiTheme="majorBidi" w:hAnsiTheme="majorBidi" w:cstheme="majorBidi"/>
                <w:b/>
                <w:bCs/>
              </w:rPr>
            </w:pPr>
          </w:p>
          <w:p w14:paraId="317ECD21"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b/>
                <w:bCs/>
              </w:rPr>
              <w:lastRenderedPageBreak/>
              <w:t>Model 4d</w:t>
            </w:r>
          </w:p>
        </w:tc>
        <w:tc>
          <w:tcPr>
            <w:tcW w:w="1650" w:type="dxa"/>
            <w:tcBorders>
              <w:top w:val="nil"/>
              <w:left w:val="nil"/>
              <w:bottom w:val="nil"/>
              <w:right w:val="nil"/>
            </w:tcBorders>
            <w:vAlign w:val="bottom"/>
          </w:tcPr>
          <w:p w14:paraId="68903491"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F3D86BF"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667590D"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75D037BD"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4FF73CC7"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5AE38684" w14:textId="77777777" w:rsidR="00C17702" w:rsidRPr="00207C40" w:rsidRDefault="00C17702" w:rsidP="00987E3A">
            <w:pPr>
              <w:tabs>
                <w:tab w:val="left" w:pos="567"/>
              </w:tabs>
              <w:jc w:val="center"/>
              <w:rPr>
                <w:rFonts w:asciiTheme="majorBidi" w:hAnsiTheme="majorBidi" w:cstheme="majorBidi"/>
              </w:rPr>
            </w:pPr>
          </w:p>
        </w:tc>
      </w:tr>
      <w:tr w:rsidR="00C17702" w14:paraId="75BDEEC3" w14:textId="77777777" w:rsidTr="002C688A">
        <w:trPr>
          <w:trHeight w:val="288"/>
          <w:jc w:val="center"/>
        </w:trPr>
        <w:tc>
          <w:tcPr>
            <w:tcW w:w="4410" w:type="dxa"/>
            <w:tcBorders>
              <w:top w:val="nil"/>
              <w:left w:val="nil"/>
              <w:bottom w:val="nil"/>
              <w:right w:val="nil"/>
            </w:tcBorders>
            <w:vAlign w:val="center"/>
          </w:tcPr>
          <w:p w14:paraId="224C6494" w14:textId="77777777" w:rsidR="00C17702" w:rsidRPr="00207C40" w:rsidRDefault="00C17702" w:rsidP="00987E3A">
            <w:pPr>
              <w:tabs>
                <w:tab w:val="left" w:pos="567"/>
              </w:tabs>
              <w:rPr>
                <w:rFonts w:asciiTheme="majorBidi" w:hAnsiTheme="majorBidi" w:cstheme="majorBidi"/>
                <w:b/>
                <w:bCs/>
              </w:rPr>
            </w:pPr>
            <w:r w:rsidRPr="00207C40">
              <w:rPr>
                <w:rFonts w:asciiTheme="majorBidi" w:hAnsiTheme="majorBidi" w:cstheme="majorBidi"/>
              </w:rPr>
              <w:t>GOVH     (</w:t>
            </w:r>
            <w:r w:rsidRPr="00207C40">
              <w:rPr>
                <w:rFonts w:ascii="Times New Roman" w:hAnsi="Times New Roman" w:cs="Times New Roman"/>
                <w:i/>
                <w:iCs/>
              </w:rPr>
              <w:t>γ</w:t>
            </w:r>
            <w:r w:rsidRPr="00207C40">
              <w:rPr>
                <w:rFonts w:ascii="Times New Roman" w:hAnsi="Times New Roman" w:cs="Times New Roman"/>
                <w:i/>
                <w:iCs/>
                <w:vertAlign w:val="subscript"/>
              </w:rPr>
              <w:t>1</w:t>
            </w:r>
            <w:r w:rsidRPr="00207C40">
              <w:rPr>
                <w:rFonts w:ascii="Times New Roman" w:hAnsi="Times New Roman" w:cs="Times New Roman"/>
              </w:rPr>
              <w:t>)</w:t>
            </w:r>
          </w:p>
        </w:tc>
        <w:tc>
          <w:tcPr>
            <w:tcW w:w="1650" w:type="dxa"/>
            <w:tcBorders>
              <w:top w:val="nil"/>
              <w:left w:val="nil"/>
              <w:bottom w:val="nil"/>
              <w:right w:val="nil"/>
            </w:tcBorders>
            <w:vAlign w:val="bottom"/>
          </w:tcPr>
          <w:p w14:paraId="67BB4B3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-1.3636***</w:t>
            </w:r>
          </w:p>
          <w:p w14:paraId="1740974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(6.200)</w:t>
            </w:r>
          </w:p>
        </w:tc>
        <w:tc>
          <w:tcPr>
            <w:tcW w:w="1650" w:type="dxa"/>
            <w:tcBorders>
              <w:top w:val="nil"/>
              <w:left w:val="nil"/>
              <w:bottom w:val="nil"/>
              <w:right w:val="nil"/>
            </w:tcBorders>
            <w:shd w:val="clear" w:color="auto" w:fill="auto"/>
            <w:vAlign w:val="bottom"/>
          </w:tcPr>
          <w:p w14:paraId="23F9528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-1.7000***</w:t>
            </w:r>
          </w:p>
          <w:p w14:paraId="2EDF813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(6.150)</w:t>
            </w:r>
          </w:p>
        </w:tc>
        <w:tc>
          <w:tcPr>
            <w:tcW w:w="1650" w:type="dxa"/>
            <w:tcBorders>
              <w:top w:val="nil"/>
              <w:left w:val="nil"/>
              <w:bottom w:val="nil"/>
              <w:right w:val="nil"/>
            </w:tcBorders>
            <w:shd w:val="clear" w:color="auto" w:fill="auto"/>
            <w:vAlign w:val="bottom"/>
          </w:tcPr>
          <w:p w14:paraId="4F6D376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-2.4167***</w:t>
            </w:r>
          </w:p>
          <w:p w14:paraId="2BF45AF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(4.970)</w:t>
            </w:r>
          </w:p>
        </w:tc>
        <w:tc>
          <w:tcPr>
            <w:tcW w:w="1650" w:type="dxa"/>
            <w:tcBorders>
              <w:top w:val="nil"/>
              <w:left w:val="nil"/>
              <w:bottom w:val="nil"/>
              <w:right w:val="nil"/>
            </w:tcBorders>
            <w:shd w:val="clear" w:color="auto" w:fill="auto"/>
            <w:vAlign w:val="bottom"/>
          </w:tcPr>
          <w:p w14:paraId="5853888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17AA97F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(0.480)</w:t>
            </w:r>
          </w:p>
        </w:tc>
        <w:tc>
          <w:tcPr>
            <w:tcW w:w="1650" w:type="dxa"/>
            <w:tcBorders>
              <w:top w:val="nil"/>
              <w:left w:val="nil"/>
              <w:bottom w:val="nil"/>
              <w:right w:val="nil"/>
            </w:tcBorders>
            <w:shd w:val="clear" w:color="auto" w:fill="auto"/>
            <w:vAlign w:val="bottom"/>
          </w:tcPr>
          <w:p w14:paraId="0694932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0CDF2B3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(0.620)</w:t>
            </w:r>
          </w:p>
        </w:tc>
        <w:tc>
          <w:tcPr>
            <w:tcW w:w="1650" w:type="dxa"/>
            <w:tcBorders>
              <w:top w:val="nil"/>
              <w:left w:val="nil"/>
              <w:bottom w:val="nil"/>
              <w:right w:val="nil"/>
            </w:tcBorders>
            <w:shd w:val="clear" w:color="auto" w:fill="auto"/>
            <w:vAlign w:val="bottom"/>
          </w:tcPr>
          <w:p w14:paraId="688ADA10"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p>
          <w:p w14:paraId="31DC914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(0.690)</w:t>
            </w:r>
          </w:p>
        </w:tc>
      </w:tr>
      <w:tr w:rsidR="00C17702" w:rsidRPr="00962164" w14:paraId="5D537ABC" w14:textId="77777777" w:rsidTr="002C688A">
        <w:trPr>
          <w:trHeight w:val="80"/>
          <w:jc w:val="center"/>
        </w:trPr>
        <w:tc>
          <w:tcPr>
            <w:tcW w:w="4410" w:type="dxa"/>
            <w:tcBorders>
              <w:top w:val="nil"/>
              <w:left w:val="nil"/>
              <w:bottom w:val="nil"/>
              <w:right w:val="nil"/>
            </w:tcBorders>
            <w:vAlign w:val="center"/>
          </w:tcPr>
          <w:p w14:paraId="127DA1DC" w14:textId="77777777" w:rsidR="00C17702" w:rsidRPr="00207C40" w:rsidRDefault="00C17702" w:rsidP="00987E3A">
            <w:pPr>
              <w:tabs>
                <w:tab w:val="left" w:pos="567"/>
              </w:tabs>
              <w:rPr>
                <w:rFonts w:asciiTheme="majorBidi" w:hAnsiTheme="majorBidi" w:cstheme="majorBidi"/>
                <w:b/>
                <w:bCs/>
                <w:u w:val="single"/>
              </w:rPr>
            </w:pPr>
          </w:p>
        </w:tc>
        <w:tc>
          <w:tcPr>
            <w:tcW w:w="1650" w:type="dxa"/>
            <w:tcBorders>
              <w:top w:val="nil"/>
              <w:left w:val="nil"/>
              <w:bottom w:val="nil"/>
              <w:right w:val="nil"/>
            </w:tcBorders>
            <w:vAlign w:val="center"/>
          </w:tcPr>
          <w:p w14:paraId="78B72180"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248D2EA0"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5742852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2DFBA2AE"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299CC1CF"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7DC3D872" w14:textId="77777777" w:rsidR="00C17702" w:rsidRPr="00207C40" w:rsidRDefault="00C17702" w:rsidP="00987E3A">
            <w:pPr>
              <w:tabs>
                <w:tab w:val="left" w:pos="567"/>
              </w:tabs>
              <w:jc w:val="center"/>
              <w:rPr>
                <w:rFonts w:asciiTheme="majorBidi" w:hAnsiTheme="majorBidi" w:cstheme="majorBidi"/>
              </w:rPr>
            </w:pPr>
          </w:p>
        </w:tc>
      </w:tr>
      <w:tr w:rsidR="00C17702" w14:paraId="53407408" w14:textId="77777777" w:rsidTr="002C688A">
        <w:trPr>
          <w:trHeight w:val="288"/>
          <w:jc w:val="center"/>
        </w:trPr>
        <w:tc>
          <w:tcPr>
            <w:tcW w:w="4410" w:type="dxa"/>
            <w:tcBorders>
              <w:top w:val="nil"/>
              <w:left w:val="nil"/>
              <w:bottom w:val="nil"/>
              <w:right w:val="nil"/>
            </w:tcBorders>
            <w:vAlign w:val="center"/>
          </w:tcPr>
          <w:p w14:paraId="669858BC"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Indirect Effect (GOVH through IFUH)</w:t>
            </w:r>
          </w:p>
        </w:tc>
        <w:tc>
          <w:tcPr>
            <w:tcW w:w="1650" w:type="dxa"/>
            <w:tcBorders>
              <w:top w:val="nil"/>
              <w:left w:val="nil"/>
              <w:bottom w:val="nil"/>
              <w:right w:val="nil"/>
            </w:tcBorders>
            <w:vAlign w:val="bottom"/>
          </w:tcPr>
          <w:p w14:paraId="7D910759"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FD3E67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F3DCDF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4113F318"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3561C28D"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bottom"/>
          </w:tcPr>
          <w:p w14:paraId="0271651B" w14:textId="77777777" w:rsidR="00C17702" w:rsidRPr="00207C40" w:rsidRDefault="00C17702" w:rsidP="00987E3A">
            <w:pPr>
              <w:tabs>
                <w:tab w:val="left" w:pos="567"/>
              </w:tabs>
              <w:jc w:val="center"/>
              <w:rPr>
                <w:rFonts w:asciiTheme="majorBidi" w:hAnsiTheme="majorBidi" w:cstheme="majorBidi"/>
              </w:rPr>
            </w:pPr>
          </w:p>
        </w:tc>
      </w:tr>
      <w:tr w:rsidR="00C17702" w14:paraId="66DDCF7B" w14:textId="77777777" w:rsidTr="002C688A">
        <w:trPr>
          <w:trHeight w:val="288"/>
          <w:jc w:val="center"/>
        </w:trPr>
        <w:tc>
          <w:tcPr>
            <w:tcW w:w="4410" w:type="dxa"/>
            <w:tcBorders>
              <w:top w:val="nil"/>
              <w:left w:val="nil"/>
              <w:bottom w:val="nil"/>
              <w:right w:val="nil"/>
            </w:tcBorders>
            <w:vAlign w:val="center"/>
          </w:tcPr>
          <w:p w14:paraId="6AB02BBA"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Negative announcements (NUE)</w:t>
            </w:r>
          </w:p>
          <w:p w14:paraId="038A60BB"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w:t>
            </w:r>
            <w:r w:rsidRPr="00B1062E">
              <w:rPr>
                <w:rFonts w:ascii="Times New Roman" w:hAnsi="Times New Roman" w:cs="Times New Roman"/>
                <w:i/>
                <w:iCs/>
              </w:rPr>
              <w:t>α</w:t>
            </w:r>
            <w:r w:rsidRPr="00B1062E">
              <w:rPr>
                <w:rFonts w:ascii="Times New Roman" w:hAnsi="Times New Roman" w:cs="Times New Roman"/>
                <w:i/>
                <w:iCs/>
                <w:vertAlign w:val="subscript"/>
              </w:rPr>
              <w:t>1</w:t>
            </w:r>
            <w:r w:rsidRPr="00B1062E">
              <w:rPr>
                <w:rFonts w:ascii="Times New Roman" w:hAnsi="Times New Roman" w:cs="Times New Roman"/>
                <w:i/>
                <w:iCs/>
              </w:rPr>
              <w:t xml:space="preserve"> × β</w:t>
            </w:r>
            <w:r w:rsidRPr="00B1062E">
              <w:rPr>
                <w:rFonts w:ascii="Times New Roman" w:hAnsi="Times New Roman" w:cs="Times New Roman"/>
                <w:i/>
                <w:iCs/>
                <w:vertAlign w:val="subscript"/>
              </w:rPr>
              <w:t>9</w:t>
            </w:r>
            <w:r w:rsidRPr="00B1062E">
              <w:rPr>
                <w:rFonts w:ascii="Times New Roman" w:hAnsi="Times New Roman" w:cs="Times New Roman"/>
              </w:rPr>
              <w:t>)</w:t>
            </w:r>
          </w:p>
        </w:tc>
        <w:tc>
          <w:tcPr>
            <w:tcW w:w="1650" w:type="dxa"/>
            <w:tcBorders>
              <w:top w:val="nil"/>
              <w:left w:val="nil"/>
              <w:bottom w:val="nil"/>
              <w:right w:val="nil"/>
            </w:tcBorders>
            <w:vAlign w:val="center"/>
          </w:tcPr>
          <w:p w14:paraId="6EAD9775"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0.0032***</w:t>
            </w:r>
            <w:r w:rsidRPr="00207C40">
              <w:rPr>
                <w:rFonts w:asciiTheme="majorBidi" w:hAnsiTheme="majorBidi" w:cstheme="majorBidi"/>
              </w:rPr>
              <w:br/>
              <w:t>(7.360)</w:t>
            </w:r>
          </w:p>
        </w:tc>
        <w:tc>
          <w:tcPr>
            <w:tcW w:w="1650" w:type="dxa"/>
            <w:tcBorders>
              <w:top w:val="nil"/>
              <w:left w:val="nil"/>
              <w:bottom w:val="nil"/>
              <w:right w:val="nil"/>
            </w:tcBorders>
            <w:shd w:val="clear" w:color="auto" w:fill="auto"/>
            <w:vAlign w:val="center"/>
          </w:tcPr>
          <w:p w14:paraId="1498662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0.0027***</w:t>
            </w:r>
            <w:r w:rsidRPr="00207C40">
              <w:rPr>
                <w:rFonts w:asciiTheme="majorBidi" w:hAnsiTheme="majorBidi" w:cstheme="majorBidi"/>
              </w:rPr>
              <w:br/>
              <w:t>(7.720)</w:t>
            </w:r>
          </w:p>
        </w:tc>
        <w:tc>
          <w:tcPr>
            <w:tcW w:w="1650" w:type="dxa"/>
            <w:tcBorders>
              <w:top w:val="nil"/>
              <w:left w:val="nil"/>
              <w:bottom w:val="nil"/>
              <w:right w:val="nil"/>
            </w:tcBorders>
            <w:shd w:val="clear" w:color="auto" w:fill="auto"/>
            <w:vAlign w:val="center"/>
          </w:tcPr>
          <w:p w14:paraId="3594C42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0.0026***</w:t>
            </w:r>
            <w:r w:rsidRPr="00207C40">
              <w:rPr>
                <w:rFonts w:asciiTheme="majorBidi" w:hAnsiTheme="majorBidi" w:cstheme="majorBidi"/>
              </w:rPr>
              <w:br/>
              <w:t>(5.890)</w:t>
            </w:r>
          </w:p>
        </w:tc>
        <w:tc>
          <w:tcPr>
            <w:tcW w:w="1650" w:type="dxa"/>
            <w:tcBorders>
              <w:top w:val="nil"/>
              <w:left w:val="nil"/>
              <w:bottom w:val="nil"/>
              <w:right w:val="nil"/>
            </w:tcBorders>
            <w:shd w:val="clear" w:color="auto" w:fill="auto"/>
            <w:vAlign w:val="center"/>
          </w:tcPr>
          <w:p w14:paraId="27361D6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(0.720)</w:t>
            </w:r>
          </w:p>
        </w:tc>
        <w:tc>
          <w:tcPr>
            <w:tcW w:w="1650" w:type="dxa"/>
            <w:tcBorders>
              <w:top w:val="nil"/>
              <w:left w:val="nil"/>
              <w:bottom w:val="nil"/>
              <w:right w:val="nil"/>
            </w:tcBorders>
            <w:shd w:val="clear" w:color="auto" w:fill="auto"/>
            <w:vAlign w:val="center"/>
          </w:tcPr>
          <w:p w14:paraId="6211ECD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(0.960)</w:t>
            </w:r>
          </w:p>
        </w:tc>
        <w:tc>
          <w:tcPr>
            <w:tcW w:w="1650" w:type="dxa"/>
            <w:tcBorders>
              <w:top w:val="nil"/>
              <w:left w:val="nil"/>
              <w:bottom w:val="nil"/>
              <w:right w:val="nil"/>
            </w:tcBorders>
            <w:shd w:val="clear" w:color="auto" w:fill="auto"/>
            <w:vAlign w:val="center"/>
          </w:tcPr>
          <w:p w14:paraId="64B74BA4"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(1.660)</w:t>
            </w:r>
          </w:p>
        </w:tc>
      </w:tr>
      <w:tr w:rsidR="00C17702" w:rsidRPr="00997323" w14:paraId="2065DB6B" w14:textId="77777777" w:rsidTr="002C688A">
        <w:trPr>
          <w:trHeight w:val="288"/>
          <w:jc w:val="center"/>
        </w:trPr>
        <w:tc>
          <w:tcPr>
            <w:tcW w:w="4410" w:type="dxa"/>
            <w:tcBorders>
              <w:top w:val="nil"/>
              <w:left w:val="nil"/>
              <w:bottom w:val="nil"/>
              <w:right w:val="nil"/>
            </w:tcBorders>
            <w:vAlign w:val="center"/>
          </w:tcPr>
          <w:p w14:paraId="666D9A04"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Positive announcements (PUE)</w:t>
            </w:r>
          </w:p>
          <w:p w14:paraId="15BA80B8" w14:textId="77777777" w:rsidR="00C17702" w:rsidRPr="00B1062E" w:rsidRDefault="00C17702" w:rsidP="00987E3A">
            <w:pPr>
              <w:tabs>
                <w:tab w:val="left" w:pos="567"/>
              </w:tabs>
              <w:rPr>
                <w:rFonts w:asciiTheme="majorBidi" w:hAnsiTheme="majorBidi" w:cstheme="majorBidi"/>
              </w:rPr>
            </w:pPr>
            <w:r w:rsidRPr="00B1062E">
              <w:rPr>
                <w:rFonts w:ascii="Times New Roman" w:hAnsi="Times New Roman" w:cs="Times New Roman"/>
              </w:rPr>
              <w:t>(</w:t>
            </w:r>
            <w:r w:rsidRPr="00B1062E">
              <w:rPr>
                <w:rFonts w:ascii="Times New Roman" w:hAnsi="Times New Roman" w:cs="Times New Roman"/>
                <w:i/>
                <w:iCs/>
              </w:rPr>
              <w:t>γ</w:t>
            </w:r>
            <w:r w:rsidRPr="00B1062E">
              <w:rPr>
                <w:rFonts w:ascii="Times New Roman" w:hAnsi="Times New Roman" w:cs="Times New Roman"/>
                <w:i/>
                <w:iCs/>
                <w:vertAlign w:val="subscript"/>
              </w:rPr>
              <w:t>1</w:t>
            </w:r>
            <w:r w:rsidRPr="00B1062E">
              <w:rPr>
                <w:rFonts w:ascii="Times New Roman" w:hAnsi="Times New Roman" w:cs="Times New Roman"/>
                <w:i/>
                <w:iCs/>
              </w:rPr>
              <w:t xml:space="preserve"> × β</w:t>
            </w:r>
            <w:r w:rsidRPr="00B1062E">
              <w:rPr>
                <w:rFonts w:ascii="Times New Roman" w:hAnsi="Times New Roman" w:cs="Times New Roman"/>
                <w:i/>
                <w:iCs/>
                <w:vertAlign w:val="subscript"/>
              </w:rPr>
              <w:t>10</w:t>
            </w:r>
            <w:r w:rsidRPr="00B1062E">
              <w:rPr>
                <w:rFonts w:ascii="Times New Roman" w:hAnsi="Times New Roman" w:cs="Times New Roman"/>
              </w:rPr>
              <w:t>)</w:t>
            </w:r>
          </w:p>
        </w:tc>
        <w:tc>
          <w:tcPr>
            <w:tcW w:w="1650" w:type="dxa"/>
            <w:tcBorders>
              <w:top w:val="nil"/>
              <w:left w:val="nil"/>
              <w:bottom w:val="nil"/>
              <w:right w:val="nil"/>
            </w:tcBorders>
            <w:vAlign w:val="center"/>
          </w:tcPr>
          <w:p w14:paraId="2EE8D09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0.0030***</w:t>
            </w:r>
            <w:r w:rsidRPr="00207C40">
              <w:rPr>
                <w:rFonts w:asciiTheme="majorBidi" w:hAnsiTheme="majorBidi" w:cstheme="majorBidi"/>
              </w:rPr>
              <w:br/>
              <w:t>(6.730)</w:t>
            </w:r>
          </w:p>
        </w:tc>
        <w:tc>
          <w:tcPr>
            <w:tcW w:w="1650" w:type="dxa"/>
            <w:tcBorders>
              <w:top w:val="nil"/>
              <w:left w:val="nil"/>
              <w:bottom w:val="nil"/>
              <w:right w:val="nil"/>
            </w:tcBorders>
            <w:shd w:val="clear" w:color="auto" w:fill="auto"/>
            <w:vAlign w:val="center"/>
          </w:tcPr>
          <w:p w14:paraId="3496D7B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0.0034***</w:t>
            </w:r>
            <w:r w:rsidRPr="00207C40">
              <w:rPr>
                <w:rFonts w:asciiTheme="majorBidi" w:hAnsiTheme="majorBidi" w:cstheme="majorBidi"/>
              </w:rPr>
              <w:br/>
              <w:t>(6.040)</w:t>
            </w:r>
          </w:p>
        </w:tc>
        <w:tc>
          <w:tcPr>
            <w:tcW w:w="1650" w:type="dxa"/>
            <w:tcBorders>
              <w:top w:val="nil"/>
              <w:left w:val="nil"/>
              <w:bottom w:val="nil"/>
              <w:right w:val="nil"/>
            </w:tcBorders>
            <w:shd w:val="clear" w:color="auto" w:fill="auto"/>
            <w:vAlign w:val="center"/>
          </w:tcPr>
          <w:p w14:paraId="19DF7848"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0.0029***</w:t>
            </w:r>
            <w:r w:rsidRPr="00207C40">
              <w:rPr>
                <w:rFonts w:asciiTheme="majorBidi" w:hAnsiTheme="majorBidi" w:cstheme="majorBidi"/>
              </w:rPr>
              <w:br/>
              <w:t>(4.800)</w:t>
            </w:r>
          </w:p>
        </w:tc>
        <w:tc>
          <w:tcPr>
            <w:tcW w:w="1650" w:type="dxa"/>
            <w:tcBorders>
              <w:top w:val="nil"/>
              <w:left w:val="nil"/>
              <w:bottom w:val="nil"/>
              <w:right w:val="nil"/>
            </w:tcBorders>
            <w:shd w:val="clear" w:color="auto" w:fill="auto"/>
            <w:vAlign w:val="center"/>
          </w:tcPr>
          <w:p w14:paraId="2D1616F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(0.410)</w:t>
            </w:r>
          </w:p>
        </w:tc>
        <w:tc>
          <w:tcPr>
            <w:tcW w:w="1650" w:type="dxa"/>
            <w:tcBorders>
              <w:top w:val="nil"/>
              <w:left w:val="nil"/>
              <w:bottom w:val="nil"/>
              <w:right w:val="nil"/>
            </w:tcBorders>
            <w:shd w:val="clear" w:color="auto" w:fill="auto"/>
            <w:vAlign w:val="center"/>
          </w:tcPr>
          <w:p w14:paraId="437C773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(0.560)</w:t>
            </w:r>
          </w:p>
        </w:tc>
        <w:tc>
          <w:tcPr>
            <w:tcW w:w="1650" w:type="dxa"/>
            <w:tcBorders>
              <w:top w:val="nil"/>
              <w:left w:val="nil"/>
              <w:bottom w:val="nil"/>
              <w:right w:val="nil"/>
            </w:tcBorders>
            <w:shd w:val="clear" w:color="auto" w:fill="auto"/>
            <w:vAlign w:val="center"/>
          </w:tcPr>
          <w:p w14:paraId="18F5951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0.0000</w:t>
            </w:r>
            <w:r w:rsidRPr="00207C40">
              <w:rPr>
                <w:rFonts w:asciiTheme="majorBidi" w:hAnsiTheme="majorBidi" w:cstheme="majorBidi"/>
              </w:rPr>
              <w:br/>
              <w:t>(0.630)</w:t>
            </w:r>
          </w:p>
        </w:tc>
      </w:tr>
      <w:tr w:rsidR="00C17702" w:rsidRPr="00962164" w14:paraId="4C3A5ABF" w14:textId="77777777" w:rsidTr="002C688A">
        <w:trPr>
          <w:trHeight w:val="80"/>
          <w:jc w:val="center"/>
        </w:trPr>
        <w:tc>
          <w:tcPr>
            <w:tcW w:w="4410" w:type="dxa"/>
            <w:tcBorders>
              <w:top w:val="nil"/>
              <w:left w:val="nil"/>
              <w:bottom w:val="nil"/>
              <w:right w:val="nil"/>
            </w:tcBorders>
            <w:vAlign w:val="center"/>
          </w:tcPr>
          <w:p w14:paraId="7E9F4A98"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 xml:space="preserve"> </w:t>
            </w:r>
          </w:p>
        </w:tc>
        <w:tc>
          <w:tcPr>
            <w:tcW w:w="1650" w:type="dxa"/>
            <w:tcBorders>
              <w:top w:val="nil"/>
              <w:left w:val="nil"/>
              <w:bottom w:val="nil"/>
              <w:right w:val="nil"/>
            </w:tcBorders>
            <w:vAlign w:val="center"/>
          </w:tcPr>
          <w:p w14:paraId="3FFDA84C"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012E47DA"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67871A4F"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450937A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0DA980CD"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3ABEFE9B" w14:textId="77777777" w:rsidR="00C17702" w:rsidRPr="00207C40" w:rsidRDefault="00C17702" w:rsidP="00987E3A">
            <w:pPr>
              <w:tabs>
                <w:tab w:val="left" w:pos="567"/>
              </w:tabs>
              <w:jc w:val="center"/>
              <w:rPr>
                <w:rFonts w:asciiTheme="majorBidi" w:hAnsiTheme="majorBidi" w:cstheme="majorBidi"/>
              </w:rPr>
            </w:pPr>
          </w:p>
        </w:tc>
      </w:tr>
      <w:tr w:rsidR="00C17702" w:rsidRPr="00997323" w14:paraId="05976182" w14:textId="77777777" w:rsidTr="002C688A">
        <w:trPr>
          <w:trHeight w:val="288"/>
          <w:jc w:val="center"/>
        </w:trPr>
        <w:tc>
          <w:tcPr>
            <w:tcW w:w="4410" w:type="dxa"/>
            <w:tcBorders>
              <w:top w:val="nil"/>
              <w:left w:val="nil"/>
              <w:bottom w:val="nil"/>
              <w:right w:val="nil"/>
            </w:tcBorders>
            <w:vAlign w:val="center"/>
          </w:tcPr>
          <w:p w14:paraId="75B83470" w14:textId="77777777" w:rsidR="00C17702" w:rsidRPr="00B1062E" w:rsidRDefault="00C17702" w:rsidP="00987E3A">
            <w:pPr>
              <w:tabs>
                <w:tab w:val="left" w:pos="567"/>
              </w:tabs>
              <w:rPr>
                <w:rFonts w:asciiTheme="majorBidi" w:hAnsiTheme="majorBidi" w:cstheme="majorBidi"/>
              </w:rPr>
            </w:pPr>
            <w:r w:rsidRPr="00B1062E">
              <w:rPr>
                <w:rFonts w:asciiTheme="majorBidi" w:hAnsiTheme="majorBidi" w:cstheme="majorBidi"/>
              </w:rPr>
              <w:t xml:space="preserve">Indirect proportion of total effect (%) </w:t>
            </w:r>
          </w:p>
        </w:tc>
        <w:tc>
          <w:tcPr>
            <w:tcW w:w="1650" w:type="dxa"/>
            <w:tcBorders>
              <w:top w:val="nil"/>
              <w:left w:val="nil"/>
              <w:bottom w:val="nil"/>
              <w:right w:val="nil"/>
            </w:tcBorders>
            <w:vAlign w:val="center"/>
          </w:tcPr>
          <w:p w14:paraId="36C0B1D6"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1973300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7306CC8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66E1D353"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00750779"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24AC6B26" w14:textId="77777777" w:rsidR="00C17702" w:rsidRPr="00207C40" w:rsidRDefault="00C17702" w:rsidP="00987E3A">
            <w:pPr>
              <w:tabs>
                <w:tab w:val="left" w:pos="567"/>
              </w:tabs>
              <w:jc w:val="center"/>
              <w:rPr>
                <w:rFonts w:asciiTheme="majorBidi" w:hAnsiTheme="majorBidi" w:cstheme="majorBidi"/>
              </w:rPr>
            </w:pPr>
          </w:p>
        </w:tc>
      </w:tr>
      <w:tr w:rsidR="00C17702" w:rsidRPr="00E35CFC" w14:paraId="7EF795C1" w14:textId="77777777" w:rsidTr="002C688A">
        <w:trPr>
          <w:trHeight w:val="288"/>
          <w:jc w:val="center"/>
        </w:trPr>
        <w:tc>
          <w:tcPr>
            <w:tcW w:w="4410" w:type="dxa"/>
            <w:tcBorders>
              <w:top w:val="nil"/>
              <w:left w:val="nil"/>
              <w:bottom w:val="nil"/>
              <w:right w:val="nil"/>
            </w:tcBorders>
            <w:vAlign w:val="center"/>
          </w:tcPr>
          <w:p w14:paraId="1B8468E5"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Negative announcements (NUE)</w:t>
            </w:r>
          </w:p>
          <w:p w14:paraId="41B8DEEA"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w:t>
            </w:r>
            <w:r w:rsidRPr="00207C40">
              <w:rPr>
                <w:rFonts w:ascii="Times New Roman" w:hAnsi="Times New Roman" w:cs="Times New Roman"/>
                <w:i/>
                <w:iCs/>
              </w:rPr>
              <w:t>α</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9</w:t>
            </w:r>
            <w:r w:rsidRPr="00207C40">
              <w:rPr>
                <w:rFonts w:ascii="Times New Roman" w:hAnsi="Times New Roman" w:cs="Times New Roman"/>
              </w:rPr>
              <w:t>) / [</w:t>
            </w:r>
            <w:r w:rsidRPr="00207C40">
              <w:rPr>
                <w:rFonts w:asciiTheme="majorBidi" w:hAnsiTheme="majorBidi" w:cstheme="majorBidi"/>
              </w:rPr>
              <w:t>(</w:t>
            </w:r>
            <w:r w:rsidRPr="00207C40">
              <w:rPr>
                <w:rFonts w:ascii="Times New Roman" w:hAnsi="Times New Roman" w:cs="Times New Roman"/>
                <w:i/>
                <w:iCs/>
              </w:rPr>
              <w:t>α</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9</w:t>
            </w:r>
            <w:r w:rsidRPr="00207C40">
              <w:rPr>
                <w:rFonts w:ascii="Times New Roman" w:hAnsi="Times New Roman" w:cs="Times New Roman"/>
              </w:rPr>
              <w:t xml:space="preserve">) + </w:t>
            </w:r>
            <w:r w:rsidRPr="00207C40">
              <w:rPr>
                <w:rFonts w:ascii="Times New Roman" w:hAnsi="Times New Roman" w:cs="Times New Roman"/>
                <w:i/>
                <w:iCs/>
              </w:rPr>
              <w:t xml:space="preserve"> β</w:t>
            </w:r>
            <w:r w:rsidRPr="00207C40">
              <w:rPr>
                <w:rFonts w:ascii="Times New Roman" w:hAnsi="Times New Roman" w:cs="Times New Roman"/>
                <w:i/>
                <w:iCs/>
                <w:vertAlign w:val="subscript"/>
              </w:rPr>
              <w:t>7</w:t>
            </w:r>
            <w:r w:rsidRPr="00207C40">
              <w:rPr>
                <w:rFonts w:ascii="Times New Roman" w:hAnsi="Times New Roman" w:cs="Times New Roman"/>
              </w:rPr>
              <w:t xml:space="preserve"> ]</w:t>
            </w:r>
          </w:p>
        </w:tc>
        <w:tc>
          <w:tcPr>
            <w:tcW w:w="1650" w:type="dxa"/>
            <w:tcBorders>
              <w:top w:val="nil"/>
              <w:left w:val="nil"/>
              <w:bottom w:val="nil"/>
              <w:right w:val="nil"/>
            </w:tcBorders>
          </w:tcPr>
          <w:p w14:paraId="6C4C7E4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65%</w:t>
            </w:r>
          </w:p>
        </w:tc>
        <w:tc>
          <w:tcPr>
            <w:tcW w:w="1650" w:type="dxa"/>
            <w:tcBorders>
              <w:top w:val="nil"/>
              <w:left w:val="nil"/>
              <w:bottom w:val="nil"/>
              <w:right w:val="nil"/>
            </w:tcBorders>
            <w:shd w:val="clear" w:color="auto" w:fill="auto"/>
          </w:tcPr>
          <w:p w14:paraId="4D96367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60%</w:t>
            </w:r>
          </w:p>
        </w:tc>
        <w:tc>
          <w:tcPr>
            <w:tcW w:w="1650" w:type="dxa"/>
            <w:tcBorders>
              <w:top w:val="nil"/>
              <w:left w:val="nil"/>
              <w:bottom w:val="nil"/>
              <w:right w:val="nil"/>
            </w:tcBorders>
            <w:shd w:val="clear" w:color="auto" w:fill="auto"/>
          </w:tcPr>
          <w:p w14:paraId="16B4AC6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58%</w:t>
            </w:r>
          </w:p>
        </w:tc>
        <w:tc>
          <w:tcPr>
            <w:tcW w:w="1650" w:type="dxa"/>
            <w:tcBorders>
              <w:top w:val="nil"/>
              <w:left w:val="nil"/>
              <w:bottom w:val="nil"/>
              <w:right w:val="nil"/>
            </w:tcBorders>
            <w:shd w:val="clear" w:color="auto" w:fill="auto"/>
          </w:tcPr>
          <w:p w14:paraId="2C45D8B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3%</w:t>
            </w:r>
          </w:p>
        </w:tc>
        <w:tc>
          <w:tcPr>
            <w:tcW w:w="1650" w:type="dxa"/>
            <w:tcBorders>
              <w:top w:val="nil"/>
              <w:left w:val="nil"/>
              <w:bottom w:val="nil"/>
              <w:right w:val="nil"/>
            </w:tcBorders>
            <w:shd w:val="clear" w:color="auto" w:fill="auto"/>
          </w:tcPr>
          <w:p w14:paraId="0E977EE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4%</w:t>
            </w:r>
          </w:p>
        </w:tc>
        <w:tc>
          <w:tcPr>
            <w:tcW w:w="1650" w:type="dxa"/>
            <w:tcBorders>
              <w:top w:val="nil"/>
              <w:left w:val="nil"/>
              <w:bottom w:val="nil"/>
              <w:right w:val="nil"/>
            </w:tcBorders>
            <w:shd w:val="clear" w:color="auto" w:fill="auto"/>
          </w:tcPr>
          <w:p w14:paraId="64ED4ED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3%</w:t>
            </w:r>
          </w:p>
        </w:tc>
      </w:tr>
      <w:tr w:rsidR="00C17702" w:rsidRPr="00E35CFC" w14:paraId="10A62ACC" w14:textId="77777777" w:rsidTr="002C688A">
        <w:trPr>
          <w:trHeight w:val="288"/>
          <w:jc w:val="center"/>
        </w:trPr>
        <w:tc>
          <w:tcPr>
            <w:tcW w:w="4410" w:type="dxa"/>
            <w:tcBorders>
              <w:top w:val="nil"/>
              <w:left w:val="nil"/>
              <w:bottom w:val="nil"/>
              <w:right w:val="nil"/>
            </w:tcBorders>
            <w:vAlign w:val="center"/>
          </w:tcPr>
          <w:p w14:paraId="7B38F7A8"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Positive announcements (PUE)</w:t>
            </w:r>
          </w:p>
          <w:p w14:paraId="5381F39F"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w:t>
            </w:r>
            <w:r w:rsidRPr="00207C40">
              <w:rPr>
                <w:rFonts w:ascii="Times New Roman" w:hAnsi="Times New Roman" w:cs="Times New Roman"/>
                <w:i/>
                <w:iCs/>
              </w:rPr>
              <w:t>γ</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10</w:t>
            </w:r>
            <w:r w:rsidRPr="00207C40">
              <w:rPr>
                <w:rFonts w:ascii="Times New Roman" w:hAnsi="Times New Roman" w:cs="Times New Roman"/>
              </w:rPr>
              <w:t>) / [</w:t>
            </w:r>
            <w:r w:rsidRPr="00207C40">
              <w:rPr>
                <w:rFonts w:asciiTheme="majorBidi" w:hAnsiTheme="majorBidi" w:cstheme="majorBidi"/>
              </w:rPr>
              <w:t>(</w:t>
            </w:r>
            <w:r w:rsidRPr="00207C40">
              <w:rPr>
                <w:rFonts w:ascii="Times New Roman" w:hAnsi="Times New Roman" w:cs="Times New Roman"/>
                <w:i/>
                <w:iCs/>
              </w:rPr>
              <w:t>γ</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10</w:t>
            </w:r>
            <w:r w:rsidRPr="00207C40">
              <w:rPr>
                <w:rFonts w:ascii="Times New Roman" w:hAnsi="Times New Roman" w:cs="Times New Roman"/>
              </w:rPr>
              <w:t xml:space="preserve">) + </w:t>
            </w:r>
            <w:r w:rsidRPr="00207C40">
              <w:rPr>
                <w:rFonts w:ascii="Times New Roman" w:hAnsi="Times New Roman" w:cs="Times New Roman"/>
                <w:i/>
                <w:iCs/>
              </w:rPr>
              <w:t xml:space="preserve"> β</w:t>
            </w:r>
            <w:r w:rsidRPr="00207C40">
              <w:rPr>
                <w:rFonts w:ascii="Times New Roman" w:hAnsi="Times New Roman" w:cs="Times New Roman"/>
                <w:i/>
                <w:iCs/>
                <w:vertAlign w:val="subscript"/>
              </w:rPr>
              <w:t>8</w:t>
            </w:r>
            <w:r w:rsidRPr="00207C40">
              <w:rPr>
                <w:rFonts w:ascii="Times New Roman" w:hAnsi="Times New Roman" w:cs="Times New Roman"/>
              </w:rPr>
              <w:t xml:space="preserve"> ]</w:t>
            </w:r>
          </w:p>
        </w:tc>
        <w:tc>
          <w:tcPr>
            <w:tcW w:w="1650" w:type="dxa"/>
            <w:tcBorders>
              <w:top w:val="nil"/>
              <w:left w:val="nil"/>
              <w:bottom w:val="nil"/>
              <w:right w:val="nil"/>
            </w:tcBorders>
          </w:tcPr>
          <w:p w14:paraId="3B6C03E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59%</w:t>
            </w:r>
          </w:p>
        </w:tc>
        <w:tc>
          <w:tcPr>
            <w:tcW w:w="1650" w:type="dxa"/>
            <w:tcBorders>
              <w:top w:val="nil"/>
              <w:left w:val="nil"/>
              <w:bottom w:val="nil"/>
              <w:right w:val="nil"/>
            </w:tcBorders>
            <w:shd w:val="clear" w:color="auto" w:fill="auto"/>
          </w:tcPr>
          <w:p w14:paraId="39DDEF3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61%</w:t>
            </w:r>
          </w:p>
        </w:tc>
        <w:tc>
          <w:tcPr>
            <w:tcW w:w="1650" w:type="dxa"/>
            <w:tcBorders>
              <w:top w:val="nil"/>
              <w:left w:val="nil"/>
              <w:bottom w:val="nil"/>
              <w:right w:val="nil"/>
            </w:tcBorders>
            <w:shd w:val="clear" w:color="auto" w:fill="auto"/>
          </w:tcPr>
          <w:p w14:paraId="122FAD7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62%</w:t>
            </w:r>
          </w:p>
        </w:tc>
        <w:tc>
          <w:tcPr>
            <w:tcW w:w="1650" w:type="dxa"/>
            <w:tcBorders>
              <w:top w:val="nil"/>
              <w:left w:val="nil"/>
              <w:bottom w:val="nil"/>
              <w:right w:val="nil"/>
            </w:tcBorders>
            <w:shd w:val="clear" w:color="auto" w:fill="auto"/>
          </w:tcPr>
          <w:p w14:paraId="4A1F3BF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w:t>
            </w:r>
          </w:p>
        </w:tc>
        <w:tc>
          <w:tcPr>
            <w:tcW w:w="1650" w:type="dxa"/>
            <w:tcBorders>
              <w:top w:val="nil"/>
              <w:left w:val="nil"/>
              <w:bottom w:val="nil"/>
              <w:right w:val="nil"/>
            </w:tcBorders>
            <w:shd w:val="clear" w:color="auto" w:fill="auto"/>
          </w:tcPr>
          <w:p w14:paraId="2B4C95B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w:t>
            </w:r>
          </w:p>
        </w:tc>
        <w:tc>
          <w:tcPr>
            <w:tcW w:w="1650" w:type="dxa"/>
            <w:tcBorders>
              <w:top w:val="nil"/>
              <w:left w:val="nil"/>
              <w:bottom w:val="nil"/>
              <w:right w:val="nil"/>
            </w:tcBorders>
            <w:shd w:val="clear" w:color="auto" w:fill="auto"/>
          </w:tcPr>
          <w:p w14:paraId="3417D07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5%</w:t>
            </w:r>
          </w:p>
        </w:tc>
      </w:tr>
      <w:tr w:rsidR="00C17702" w:rsidRPr="00856A83" w14:paraId="61524D73" w14:textId="77777777" w:rsidTr="002C688A">
        <w:trPr>
          <w:trHeight w:val="80"/>
          <w:jc w:val="center"/>
        </w:trPr>
        <w:tc>
          <w:tcPr>
            <w:tcW w:w="4410" w:type="dxa"/>
            <w:tcBorders>
              <w:top w:val="nil"/>
              <w:left w:val="nil"/>
              <w:bottom w:val="nil"/>
              <w:right w:val="nil"/>
            </w:tcBorders>
            <w:vAlign w:val="center"/>
          </w:tcPr>
          <w:p w14:paraId="51C4905A" w14:textId="77777777" w:rsidR="00C17702" w:rsidRPr="00207C40" w:rsidRDefault="00C17702" w:rsidP="00987E3A">
            <w:pPr>
              <w:tabs>
                <w:tab w:val="left" w:pos="567"/>
              </w:tabs>
              <w:rPr>
                <w:rFonts w:asciiTheme="majorBidi" w:hAnsiTheme="majorBidi" w:cstheme="majorBidi"/>
              </w:rPr>
            </w:pPr>
          </w:p>
        </w:tc>
        <w:tc>
          <w:tcPr>
            <w:tcW w:w="1650" w:type="dxa"/>
            <w:tcBorders>
              <w:top w:val="nil"/>
              <w:left w:val="nil"/>
              <w:bottom w:val="nil"/>
              <w:right w:val="nil"/>
            </w:tcBorders>
          </w:tcPr>
          <w:p w14:paraId="7CE2A808"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tcPr>
          <w:p w14:paraId="1E5524D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tcPr>
          <w:p w14:paraId="4373B967"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tcPr>
          <w:p w14:paraId="499C8813"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tcPr>
          <w:p w14:paraId="151D0AB6"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shd w:val="clear" w:color="auto" w:fill="auto"/>
            <w:vAlign w:val="center"/>
          </w:tcPr>
          <w:p w14:paraId="16309860" w14:textId="77777777" w:rsidR="00C17702" w:rsidRPr="00207C40" w:rsidRDefault="00C17702" w:rsidP="00987E3A">
            <w:pPr>
              <w:tabs>
                <w:tab w:val="left" w:pos="567"/>
              </w:tabs>
              <w:jc w:val="center"/>
              <w:rPr>
                <w:rFonts w:asciiTheme="majorBidi" w:hAnsiTheme="majorBidi" w:cstheme="majorBidi"/>
              </w:rPr>
            </w:pPr>
          </w:p>
        </w:tc>
      </w:tr>
      <w:tr w:rsidR="00C17702" w:rsidRPr="00E35CFC" w14:paraId="13D93574" w14:textId="77777777" w:rsidTr="002C688A">
        <w:trPr>
          <w:trHeight w:val="288"/>
          <w:jc w:val="center"/>
        </w:trPr>
        <w:tc>
          <w:tcPr>
            <w:tcW w:w="4410" w:type="dxa"/>
            <w:tcBorders>
              <w:top w:val="nil"/>
              <w:left w:val="nil"/>
              <w:bottom w:val="nil"/>
              <w:right w:val="nil"/>
            </w:tcBorders>
            <w:vAlign w:val="center"/>
          </w:tcPr>
          <w:p w14:paraId="2D7225EC"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Likelihood Ratio Test (Goodness of Fit)</w:t>
            </w:r>
          </w:p>
        </w:tc>
        <w:tc>
          <w:tcPr>
            <w:tcW w:w="1650" w:type="dxa"/>
            <w:tcBorders>
              <w:top w:val="nil"/>
              <w:left w:val="nil"/>
              <w:bottom w:val="nil"/>
              <w:right w:val="nil"/>
            </w:tcBorders>
          </w:tcPr>
          <w:p w14:paraId="0F258CDA"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2.05</w:t>
            </w:r>
          </w:p>
        </w:tc>
        <w:tc>
          <w:tcPr>
            <w:tcW w:w="1650" w:type="dxa"/>
            <w:tcBorders>
              <w:top w:val="nil"/>
              <w:left w:val="nil"/>
              <w:bottom w:val="nil"/>
              <w:right w:val="nil"/>
            </w:tcBorders>
            <w:shd w:val="clear" w:color="auto" w:fill="auto"/>
          </w:tcPr>
          <w:p w14:paraId="2E9950E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1.89</w:t>
            </w:r>
          </w:p>
        </w:tc>
        <w:tc>
          <w:tcPr>
            <w:tcW w:w="1650" w:type="dxa"/>
            <w:tcBorders>
              <w:top w:val="nil"/>
              <w:left w:val="nil"/>
              <w:bottom w:val="nil"/>
              <w:right w:val="nil"/>
            </w:tcBorders>
            <w:shd w:val="clear" w:color="auto" w:fill="auto"/>
          </w:tcPr>
          <w:p w14:paraId="4AC263B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1.66</w:t>
            </w:r>
          </w:p>
        </w:tc>
        <w:tc>
          <w:tcPr>
            <w:tcW w:w="1650" w:type="dxa"/>
            <w:tcBorders>
              <w:top w:val="nil"/>
              <w:left w:val="nil"/>
              <w:bottom w:val="nil"/>
              <w:right w:val="nil"/>
            </w:tcBorders>
            <w:shd w:val="clear" w:color="auto" w:fill="auto"/>
          </w:tcPr>
          <w:p w14:paraId="1E79737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1.98</w:t>
            </w:r>
          </w:p>
        </w:tc>
        <w:tc>
          <w:tcPr>
            <w:tcW w:w="1650" w:type="dxa"/>
            <w:tcBorders>
              <w:top w:val="nil"/>
              <w:left w:val="nil"/>
              <w:bottom w:val="nil"/>
              <w:right w:val="nil"/>
            </w:tcBorders>
            <w:shd w:val="clear" w:color="auto" w:fill="auto"/>
          </w:tcPr>
          <w:p w14:paraId="344ECD2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1.93</w:t>
            </w:r>
          </w:p>
        </w:tc>
        <w:tc>
          <w:tcPr>
            <w:tcW w:w="1650" w:type="dxa"/>
            <w:tcBorders>
              <w:top w:val="nil"/>
              <w:left w:val="nil"/>
              <w:bottom w:val="nil"/>
              <w:right w:val="nil"/>
            </w:tcBorders>
            <w:shd w:val="clear" w:color="auto" w:fill="auto"/>
            <w:vAlign w:val="center"/>
          </w:tcPr>
          <w:p w14:paraId="4E2245B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2.03</w:t>
            </w:r>
          </w:p>
        </w:tc>
      </w:tr>
      <w:tr w:rsidR="00C17702" w:rsidRPr="00526CEB" w14:paraId="10E42261" w14:textId="77777777" w:rsidTr="002C688A">
        <w:trPr>
          <w:jc w:val="center"/>
        </w:trPr>
        <w:tc>
          <w:tcPr>
            <w:tcW w:w="4410" w:type="dxa"/>
            <w:tcBorders>
              <w:top w:val="nil"/>
              <w:left w:val="nil"/>
              <w:bottom w:val="nil"/>
              <w:right w:val="nil"/>
            </w:tcBorders>
          </w:tcPr>
          <w:p w14:paraId="0EE470EB" w14:textId="77777777" w:rsidR="00C17702" w:rsidRPr="00207C40" w:rsidRDefault="00C17702" w:rsidP="00987E3A">
            <w:pPr>
              <w:tabs>
                <w:tab w:val="left" w:pos="567"/>
              </w:tabs>
              <w:rPr>
                <w:rFonts w:asciiTheme="majorBidi" w:hAnsiTheme="majorBidi" w:cstheme="majorBidi"/>
              </w:rPr>
            </w:pPr>
          </w:p>
        </w:tc>
        <w:tc>
          <w:tcPr>
            <w:tcW w:w="1650" w:type="dxa"/>
            <w:tcBorders>
              <w:top w:val="nil"/>
              <w:left w:val="nil"/>
              <w:bottom w:val="nil"/>
              <w:right w:val="nil"/>
            </w:tcBorders>
          </w:tcPr>
          <w:p w14:paraId="6CCCAFAD" w14:textId="77777777" w:rsidR="00C17702" w:rsidRPr="00207C40" w:rsidRDefault="00C17702" w:rsidP="00987E3A">
            <w:pPr>
              <w:tabs>
                <w:tab w:val="left" w:pos="567"/>
              </w:tabs>
              <w:rPr>
                <w:rFonts w:asciiTheme="majorBidi" w:hAnsiTheme="majorBidi" w:cstheme="majorBidi"/>
              </w:rPr>
            </w:pPr>
          </w:p>
        </w:tc>
        <w:tc>
          <w:tcPr>
            <w:tcW w:w="1650" w:type="dxa"/>
            <w:tcBorders>
              <w:top w:val="nil"/>
              <w:left w:val="nil"/>
              <w:bottom w:val="nil"/>
              <w:right w:val="nil"/>
            </w:tcBorders>
            <w:vAlign w:val="center"/>
          </w:tcPr>
          <w:p w14:paraId="037C648E"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vAlign w:val="center"/>
          </w:tcPr>
          <w:p w14:paraId="562A53DB"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vAlign w:val="center"/>
          </w:tcPr>
          <w:p w14:paraId="30DFE235"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vAlign w:val="center"/>
          </w:tcPr>
          <w:p w14:paraId="17F5E971"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nil"/>
              <w:right w:val="nil"/>
            </w:tcBorders>
            <w:vAlign w:val="center"/>
          </w:tcPr>
          <w:p w14:paraId="500953E4" w14:textId="77777777" w:rsidR="00C17702" w:rsidRPr="00207C40" w:rsidRDefault="00C17702" w:rsidP="00987E3A">
            <w:pPr>
              <w:tabs>
                <w:tab w:val="left" w:pos="567"/>
              </w:tabs>
              <w:jc w:val="center"/>
              <w:rPr>
                <w:rFonts w:asciiTheme="majorBidi" w:hAnsiTheme="majorBidi" w:cstheme="majorBidi"/>
              </w:rPr>
            </w:pPr>
          </w:p>
        </w:tc>
      </w:tr>
      <w:tr w:rsidR="00C17702" w14:paraId="28D6340A" w14:textId="77777777" w:rsidTr="002C688A">
        <w:trPr>
          <w:trHeight w:val="288"/>
          <w:jc w:val="center"/>
        </w:trPr>
        <w:tc>
          <w:tcPr>
            <w:tcW w:w="4410" w:type="dxa"/>
            <w:tcBorders>
              <w:top w:val="nil"/>
              <w:left w:val="nil"/>
              <w:bottom w:val="nil"/>
              <w:right w:val="nil"/>
            </w:tcBorders>
            <w:vAlign w:val="center"/>
          </w:tcPr>
          <w:p w14:paraId="1B07A0D5"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Control/Sentiment/Uncertainty Variables</w:t>
            </w:r>
          </w:p>
        </w:tc>
        <w:tc>
          <w:tcPr>
            <w:tcW w:w="1650" w:type="dxa"/>
            <w:tcBorders>
              <w:top w:val="nil"/>
              <w:left w:val="nil"/>
              <w:bottom w:val="nil"/>
              <w:right w:val="nil"/>
            </w:tcBorders>
            <w:vAlign w:val="center"/>
          </w:tcPr>
          <w:p w14:paraId="0EB1CAB2"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55B9D4C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5525708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185B8DEB"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0B6028C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0309C4F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r>
      <w:tr w:rsidR="00C17702" w14:paraId="5459A56D" w14:textId="77777777" w:rsidTr="002C688A">
        <w:trPr>
          <w:trHeight w:val="288"/>
          <w:jc w:val="center"/>
        </w:trPr>
        <w:tc>
          <w:tcPr>
            <w:tcW w:w="4410" w:type="dxa"/>
            <w:tcBorders>
              <w:top w:val="nil"/>
              <w:left w:val="nil"/>
              <w:bottom w:val="nil"/>
              <w:right w:val="nil"/>
            </w:tcBorders>
            <w:vAlign w:val="center"/>
          </w:tcPr>
          <w:p w14:paraId="3C972439"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Year/Industry dummies</w:t>
            </w:r>
          </w:p>
        </w:tc>
        <w:tc>
          <w:tcPr>
            <w:tcW w:w="1650" w:type="dxa"/>
            <w:tcBorders>
              <w:top w:val="nil"/>
              <w:left w:val="nil"/>
              <w:bottom w:val="nil"/>
              <w:right w:val="nil"/>
            </w:tcBorders>
            <w:vAlign w:val="center"/>
          </w:tcPr>
          <w:p w14:paraId="0D557F38"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23FE3906"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6ADE5F10"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6FF1D861"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2C06ECE9"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c>
          <w:tcPr>
            <w:tcW w:w="1650" w:type="dxa"/>
            <w:tcBorders>
              <w:top w:val="nil"/>
              <w:left w:val="nil"/>
              <w:bottom w:val="nil"/>
              <w:right w:val="nil"/>
            </w:tcBorders>
            <w:vAlign w:val="center"/>
          </w:tcPr>
          <w:p w14:paraId="20BB813C"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YES</w:t>
            </w:r>
          </w:p>
        </w:tc>
      </w:tr>
      <w:tr w:rsidR="00C17702" w14:paraId="6498EA3C" w14:textId="77777777" w:rsidTr="002C688A">
        <w:trPr>
          <w:trHeight w:val="288"/>
          <w:jc w:val="center"/>
        </w:trPr>
        <w:tc>
          <w:tcPr>
            <w:tcW w:w="4410" w:type="dxa"/>
            <w:tcBorders>
              <w:top w:val="nil"/>
              <w:left w:val="nil"/>
              <w:bottom w:val="nil"/>
              <w:right w:val="nil"/>
            </w:tcBorders>
            <w:vAlign w:val="center"/>
          </w:tcPr>
          <w:p w14:paraId="0E2C1D25" w14:textId="77777777" w:rsidR="00C17702" w:rsidRPr="00207C40" w:rsidRDefault="00C17702" w:rsidP="00987E3A">
            <w:pPr>
              <w:tabs>
                <w:tab w:val="left" w:pos="567"/>
              </w:tabs>
              <w:rPr>
                <w:rFonts w:asciiTheme="majorBidi" w:hAnsiTheme="majorBidi" w:cstheme="majorBidi"/>
              </w:rPr>
            </w:pPr>
            <w:r w:rsidRPr="00207C40">
              <w:rPr>
                <w:rFonts w:asciiTheme="majorBidi" w:hAnsiTheme="majorBidi" w:cstheme="majorBidi"/>
              </w:rPr>
              <w:t>Number of Observations</w:t>
            </w:r>
          </w:p>
        </w:tc>
        <w:tc>
          <w:tcPr>
            <w:tcW w:w="1650" w:type="dxa"/>
            <w:tcBorders>
              <w:top w:val="nil"/>
              <w:left w:val="nil"/>
              <w:bottom w:val="nil"/>
              <w:right w:val="nil"/>
            </w:tcBorders>
            <w:vAlign w:val="center"/>
          </w:tcPr>
          <w:p w14:paraId="4D66C00D"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c>
          <w:tcPr>
            <w:tcW w:w="1650" w:type="dxa"/>
            <w:tcBorders>
              <w:top w:val="nil"/>
              <w:left w:val="nil"/>
              <w:bottom w:val="nil"/>
              <w:right w:val="nil"/>
            </w:tcBorders>
            <w:vAlign w:val="center"/>
          </w:tcPr>
          <w:p w14:paraId="79E2819E"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c>
          <w:tcPr>
            <w:tcW w:w="1650" w:type="dxa"/>
            <w:tcBorders>
              <w:top w:val="nil"/>
              <w:left w:val="nil"/>
              <w:bottom w:val="nil"/>
              <w:right w:val="nil"/>
            </w:tcBorders>
            <w:vAlign w:val="center"/>
          </w:tcPr>
          <w:p w14:paraId="019394D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c>
          <w:tcPr>
            <w:tcW w:w="1650" w:type="dxa"/>
            <w:tcBorders>
              <w:top w:val="nil"/>
              <w:left w:val="nil"/>
              <w:bottom w:val="nil"/>
              <w:right w:val="nil"/>
            </w:tcBorders>
            <w:vAlign w:val="center"/>
          </w:tcPr>
          <w:p w14:paraId="15C2D5E7"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c>
          <w:tcPr>
            <w:tcW w:w="1650" w:type="dxa"/>
            <w:tcBorders>
              <w:top w:val="nil"/>
              <w:left w:val="nil"/>
              <w:bottom w:val="nil"/>
              <w:right w:val="nil"/>
            </w:tcBorders>
            <w:vAlign w:val="center"/>
          </w:tcPr>
          <w:p w14:paraId="6E94BCCF"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c>
          <w:tcPr>
            <w:tcW w:w="1650" w:type="dxa"/>
            <w:tcBorders>
              <w:top w:val="nil"/>
              <w:left w:val="nil"/>
              <w:bottom w:val="nil"/>
              <w:right w:val="nil"/>
            </w:tcBorders>
            <w:vAlign w:val="center"/>
          </w:tcPr>
          <w:p w14:paraId="5B1C37E3" w14:textId="77777777" w:rsidR="00C17702" w:rsidRPr="00207C40" w:rsidRDefault="00C17702" w:rsidP="00987E3A">
            <w:pPr>
              <w:tabs>
                <w:tab w:val="left" w:pos="567"/>
              </w:tabs>
              <w:jc w:val="center"/>
              <w:rPr>
                <w:rFonts w:asciiTheme="majorBidi" w:hAnsiTheme="majorBidi" w:cstheme="majorBidi"/>
              </w:rPr>
            </w:pPr>
            <w:r w:rsidRPr="00207C40">
              <w:rPr>
                <w:rFonts w:asciiTheme="majorBidi" w:hAnsiTheme="majorBidi" w:cstheme="majorBidi"/>
              </w:rPr>
              <w:t>21,692</w:t>
            </w:r>
          </w:p>
        </w:tc>
      </w:tr>
      <w:tr w:rsidR="00C17702" w:rsidRPr="00486141" w14:paraId="29A61CCA" w14:textId="77777777" w:rsidTr="002C688A">
        <w:trPr>
          <w:trHeight w:val="80"/>
          <w:jc w:val="center"/>
        </w:trPr>
        <w:tc>
          <w:tcPr>
            <w:tcW w:w="4410" w:type="dxa"/>
            <w:tcBorders>
              <w:top w:val="nil"/>
              <w:left w:val="nil"/>
              <w:bottom w:val="single" w:sz="12" w:space="0" w:color="auto"/>
              <w:right w:val="nil"/>
            </w:tcBorders>
          </w:tcPr>
          <w:p w14:paraId="595EF9C7" w14:textId="77777777" w:rsidR="00C17702" w:rsidRPr="00207C40" w:rsidRDefault="00C17702" w:rsidP="00987E3A">
            <w:pPr>
              <w:tabs>
                <w:tab w:val="left" w:pos="567"/>
              </w:tabs>
              <w:rPr>
                <w:rFonts w:asciiTheme="majorBidi" w:hAnsiTheme="majorBidi" w:cstheme="majorBidi"/>
              </w:rPr>
            </w:pPr>
          </w:p>
        </w:tc>
        <w:tc>
          <w:tcPr>
            <w:tcW w:w="1650" w:type="dxa"/>
            <w:tcBorders>
              <w:top w:val="nil"/>
              <w:left w:val="nil"/>
              <w:bottom w:val="single" w:sz="12" w:space="0" w:color="auto"/>
              <w:right w:val="nil"/>
            </w:tcBorders>
          </w:tcPr>
          <w:p w14:paraId="2BA13C68"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single" w:sz="12" w:space="0" w:color="auto"/>
              <w:right w:val="nil"/>
            </w:tcBorders>
          </w:tcPr>
          <w:p w14:paraId="639737F2"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single" w:sz="12" w:space="0" w:color="auto"/>
              <w:right w:val="nil"/>
            </w:tcBorders>
          </w:tcPr>
          <w:p w14:paraId="3B4A3AC5"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single" w:sz="12" w:space="0" w:color="auto"/>
              <w:right w:val="nil"/>
            </w:tcBorders>
          </w:tcPr>
          <w:p w14:paraId="29BD7B13"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single" w:sz="12" w:space="0" w:color="auto"/>
              <w:right w:val="nil"/>
            </w:tcBorders>
          </w:tcPr>
          <w:p w14:paraId="652743C5" w14:textId="77777777" w:rsidR="00C17702" w:rsidRPr="00207C40" w:rsidRDefault="00C17702" w:rsidP="00987E3A">
            <w:pPr>
              <w:tabs>
                <w:tab w:val="left" w:pos="567"/>
              </w:tabs>
              <w:jc w:val="center"/>
              <w:rPr>
                <w:rFonts w:asciiTheme="majorBidi" w:hAnsiTheme="majorBidi" w:cstheme="majorBidi"/>
              </w:rPr>
            </w:pPr>
          </w:p>
        </w:tc>
        <w:tc>
          <w:tcPr>
            <w:tcW w:w="1650" w:type="dxa"/>
            <w:tcBorders>
              <w:top w:val="nil"/>
              <w:left w:val="nil"/>
              <w:bottom w:val="single" w:sz="12" w:space="0" w:color="auto"/>
              <w:right w:val="nil"/>
            </w:tcBorders>
          </w:tcPr>
          <w:p w14:paraId="2E5FBB6D" w14:textId="77777777" w:rsidR="00C17702" w:rsidRPr="00207C40" w:rsidRDefault="00C17702" w:rsidP="00987E3A">
            <w:pPr>
              <w:tabs>
                <w:tab w:val="left" w:pos="567"/>
              </w:tabs>
              <w:jc w:val="center"/>
              <w:rPr>
                <w:rFonts w:asciiTheme="majorBidi" w:hAnsiTheme="majorBidi" w:cstheme="majorBidi"/>
              </w:rPr>
            </w:pPr>
          </w:p>
        </w:tc>
      </w:tr>
    </w:tbl>
    <w:p w14:paraId="64AB4334" w14:textId="77777777" w:rsidR="00C17702" w:rsidRPr="00207C40" w:rsidRDefault="00C17702" w:rsidP="00987E3A">
      <w:pPr>
        <w:spacing w:after="0" w:line="240" w:lineRule="auto"/>
        <w:ind w:left="-567"/>
        <w:jc w:val="both"/>
        <w:rPr>
          <w:rFonts w:asciiTheme="majorBidi" w:hAnsiTheme="majorBidi" w:cstheme="majorBidi"/>
          <w:i/>
          <w:iCs/>
          <w:color w:val="000000"/>
        </w:rPr>
      </w:pPr>
      <w:r w:rsidRPr="00207C40">
        <w:rPr>
          <w:rFonts w:asciiTheme="majorBidi" w:hAnsiTheme="majorBidi" w:cstheme="majorBidi"/>
          <w:i/>
          <w:iCs/>
          <w:color w:val="000000"/>
        </w:rPr>
        <w:t>Notes</w:t>
      </w:r>
    </w:p>
    <w:p w14:paraId="193E0938" w14:textId="77777777" w:rsidR="00C17702" w:rsidRDefault="00C17702" w:rsidP="00987E3A">
      <w:pPr>
        <w:tabs>
          <w:tab w:val="left" w:pos="567"/>
        </w:tabs>
        <w:spacing w:after="0" w:line="240" w:lineRule="auto"/>
        <w:ind w:left="-567"/>
        <w:jc w:val="both"/>
        <w:rPr>
          <w:rFonts w:ascii="Times New Roman" w:hAnsi="Times New Roman" w:cs="Times New Roman"/>
          <w:b/>
          <w:bCs/>
          <w:sz w:val="24"/>
          <w:szCs w:val="24"/>
        </w:rPr>
      </w:pPr>
      <w:r w:rsidRPr="00207C40">
        <w:rPr>
          <w:rFonts w:asciiTheme="majorBidi" w:hAnsiTheme="majorBidi" w:cstheme="majorBidi"/>
          <w:color w:val="000000"/>
        </w:rPr>
        <w:t xml:space="preserve">The table present the results of several multivariate regressions (models 4a-4d) using the cumulative abnormal returns (CAR) as the dependent variable and the structural equation modelling routine described in </w:t>
      </w:r>
      <w:r w:rsidRPr="00207C40">
        <w:rPr>
          <w:rFonts w:asciiTheme="majorBidi" w:hAnsiTheme="majorBidi" w:cstheme="majorBidi"/>
          <w:i/>
          <w:iCs/>
          <w:color w:val="000000"/>
        </w:rPr>
        <w:t>Figure 1</w:t>
      </w:r>
      <w:r w:rsidRPr="00207C40">
        <w:rPr>
          <w:rFonts w:asciiTheme="majorBidi" w:hAnsiTheme="majorBidi" w:cstheme="majorBidi"/>
          <w:color w:val="000000"/>
        </w:rPr>
        <w:t xml:space="preserve">. For the sake of brevity, the table presents the results for the variables related to governance and information uncertainty only as they are the focus of this analysis. </w:t>
      </w:r>
      <w:r w:rsidRPr="00207C40">
        <w:rPr>
          <w:rFonts w:ascii="Times New Roman" w:hAnsi="Times New Roman" w:cs="Times New Roman"/>
        </w:rPr>
        <w:t xml:space="preserve">For the announcement period, </w:t>
      </w:r>
      <w:r w:rsidRPr="00207C40">
        <w:rPr>
          <w:rFonts w:ascii="Times New Roman" w:hAnsi="Times New Roman" w:cs="Times New Roman"/>
          <w:i/>
          <w:iCs/>
        </w:rPr>
        <w:t>CAR</w:t>
      </w:r>
      <w:r w:rsidRPr="00207C40">
        <w:rPr>
          <w:rFonts w:ascii="Times New Roman" w:hAnsi="Times New Roman" w:cs="Times New Roman"/>
          <w:i/>
          <w:iCs/>
          <w:vertAlign w:val="subscript"/>
        </w:rPr>
        <w:t>i,t</w:t>
      </w:r>
      <w:r w:rsidRPr="00207C40">
        <w:rPr>
          <w:rFonts w:ascii="Times New Roman" w:hAnsi="Times New Roman" w:cs="Times New Roman"/>
          <w:i/>
          <w:iCs/>
        </w:rPr>
        <w:t xml:space="preserve"> </w:t>
      </w:r>
      <w:r w:rsidRPr="00207C40">
        <w:rPr>
          <w:rFonts w:ascii="Times New Roman" w:hAnsi="Times New Roman" w:cs="Times New Roman"/>
        </w:rPr>
        <w:t xml:space="preserve">is the cumulative abnormal return calculated for the day of the announcement (T+0) and the following day (T+1), while for post-announcement period the cumulative abnormal return is calculated for the post-announcement period (T+2 to T+60). </w:t>
      </w:r>
      <w:r w:rsidRPr="00207C40">
        <w:rPr>
          <w:rFonts w:ascii="Times New Roman" w:hAnsi="Times New Roman" w:cs="Times New Roman"/>
          <w:i/>
          <w:iCs/>
        </w:rPr>
        <w:t>NUE</w:t>
      </w:r>
      <w:r w:rsidRPr="00207C40">
        <w:rPr>
          <w:rFonts w:ascii="Times New Roman" w:hAnsi="Times New Roman" w:cs="Times New Roman"/>
          <w:i/>
          <w:iCs/>
          <w:vertAlign w:val="subscript"/>
        </w:rPr>
        <w:t>i,t</w:t>
      </w:r>
      <w:r w:rsidRPr="00207C40">
        <w:rPr>
          <w:rFonts w:ascii="Times New Roman" w:hAnsi="Times New Roman" w:cs="Times New Roman"/>
          <w:i/>
          <w:iCs/>
        </w:rPr>
        <w:t xml:space="preserve"> </w:t>
      </w:r>
      <w:r w:rsidRPr="00207C40">
        <w:rPr>
          <w:rFonts w:ascii="Times New Roman" w:hAnsi="Times New Roman" w:cs="Times New Roman"/>
        </w:rPr>
        <w:t>(</w:t>
      </w:r>
      <w:r w:rsidRPr="00207C40">
        <w:rPr>
          <w:rFonts w:ascii="Times New Roman" w:hAnsi="Times New Roman" w:cs="Times New Roman"/>
          <w:i/>
          <w:iCs/>
        </w:rPr>
        <w:t>PUE</w:t>
      </w:r>
      <w:r w:rsidRPr="00207C40">
        <w:rPr>
          <w:rFonts w:ascii="Times New Roman" w:hAnsi="Times New Roman" w:cs="Times New Roman"/>
          <w:i/>
          <w:iCs/>
          <w:vertAlign w:val="subscript"/>
        </w:rPr>
        <w:t>i,t</w:t>
      </w:r>
      <w:r w:rsidRPr="00207C40">
        <w:rPr>
          <w:rFonts w:ascii="Times New Roman" w:hAnsi="Times New Roman" w:cs="Times New Roman"/>
        </w:rPr>
        <w:t xml:space="preserve">) is the negative (positive) UE measure which takes the value of SUE when it is negative (positive) or 0 otherwise. </w:t>
      </w:r>
      <w:r w:rsidRPr="00207C40">
        <w:rPr>
          <w:rFonts w:ascii="Times New Roman" w:hAnsi="Times New Roman" w:cs="Times New Roman"/>
          <w:i/>
          <w:iCs/>
        </w:rPr>
        <w:t>GOVH</w:t>
      </w:r>
      <w:r w:rsidRPr="00207C40">
        <w:rPr>
          <w:rFonts w:ascii="Times New Roman" w:hAnsi="Times New Roman" w:cs="Times New Roman"/>
          <w:i/>
          <w:iCs/>
          <w:vertAlign w:val="subscript"/>
        </w:rPr>
        <w:t>i,t</w:t>
      </w:r>
      <w:r w:rsidRPr="00207C40">
        <w:rPr>
          <w:rFonts w:ascii="Times New Roman" w:hAnsi="Times New Roman" w:cs="Times New Roman"/>
        </w:rPr>
        <w:t xml:space="preserve"> is a dummy variable which takes the value 1 if the governance index value for the announcement year is above the median value for all other observations or 0 otherwise. </w:t>
      </w:r>
      <w:r w:rsidRPr="00207C40">
        <w:rPr>
          <w:rFonts w:ascii="Times New Roman" w:hAnsi="Times New Roman" w:cs="Times New Roman"/>
          <w:i/>
          <w:iCs/>
        </w:rPr>
        <w:t>IFUH</w:t>
      </w:r>
      <w:r w:rsidRPr="00207C40">
        <w:rPr>
          <w:rFonts w:ascii="Times New Roman" w:hAnsi="Times New Roman" w:cs="Times New Roman"/>
          <w:i/>
          <w:iCs/>
          <w:vertAlign w:val="subscript"/>
        </w:rPr>
        <w:t>i,t</w:t>
      </w:r>
      <w:r w:rsidRPr="00207C40">
        <w:rPr>
          <w:rFonts w:ascii="Times New Roman" w:hAnsi="Times New Roman" w:cs="Times New Roman"/>
        </w:rPr>
        <w:t xml:space="preserve"> takes the value 1 if the value of the IU measure (defined in </w:t>
      </w:r>
      <w:r w:rsidRPr="00207C40">
        <w:rPr>
          <w:rFonts w:ascii="Times New Roman" w:hAnsi="Times New Roman" w:cs="Times New Roman"/>
          <w:i/>
          <w:iCs/>
        </w:rPr>
        <w:t>Table I</w:t>
      </w:r>
      <w:r w:rsidRPr="00207C40">
        <w:rPr>
          <w:rFonts w:ascii="Times New Roman" w:hAnsi="Times New Roman" w:cs="Times New Roman"/>
        </w:rPr>
        <w:t xml:space="preserve">) for the announcement year is above the median value for all other observations or 0 otherwise. The IU measures are constructed so that higher values indicate higher IU. All variables are defined in </w:t>
      </w:r>
      <w:r w:rsidRPr="00207C40">
        <w:rPr>
          <w:rFonts w:ascii="Times New Roman" w:hAnsi="Times New Roman" w:cs="Times New Roman"/>
          <w:i/>
          <w:iCs/>
        </w:rPr>
        <w:t>Appendix I</w:t>
      </w:r>
      <w:r w:rsidRPr="00207C40">
        <w:rPr>
          <w:rFonts w:asciiTheme="majorBidi" w:hAnsiTheme="majorBidi" w:cstheme="majorBidi"/>
          <w:color w:val="000000"/>
        </w:rPr>
        <w:t>. The Likelihood Ratio Test (chi-square test value reported) compares the model’s fit to the saturated model. The standard errors are clustered across firm and time. *Significant at the 10% level. **Significant at the 5% level. ***Significant at the 1% level. The total effect is the sum of coefficients of the direct effect (e.g.</w:t>
      </w:r>
      <w:r w:rsidRPr="00207C40">
        <w:rPr>
          <w:rFonts w:ascii="Times New Roman" w:hAnsi="Times New Roman" w:cs="Times New Roman"/>
        </w:rPr>
        <w:t xml:space="preserve"> </w:t>
      </w:r>
      <w:r w:rsidRPr="00207C40">
        <w:rPr>
          <w:rFonts w:ascii="Times New Roman" w:hAnsi="Times New Roman" w:cs="Times New Roman"/>
          <w:i/>
          <w:iCs/>
        </w:rPr>
        <w:t xml:space="preserve"> β</w:t>
      </w:r>
      <w:r w:rsidRPr="00207C40">
        <w:rPr>
          <w:rFonts w:ascii="Times New Roman" w:hAnsi="Times New Roman" w:cs="Times New Roman"/>
          <w:i/>
          <w:iCs/>
          <w:vertAlign w:val="subscript"/>
        </w:rPr>
        <w:t>7</w:t>
      </w:r>
      <w:r w:rsidRPr="00207C40">
        <w:rPr>
          <w:rFonts w:ascii="Times New Roman" w:hAnsi="Times New Roman" w:cs="Times New Roman"/>
        </w:rPr>
        <w:t xml:space="preserve"> or </w:t>
      </w:r>
      <w:r w:rsidRPr="00207C40">
        <w:rPr>
          <w:rFonts w:ascii="Times New Roman" w:hAnsi="Times New Roman" w:cs="Times New Roman"/>
          <w:i/>
          <w:iCs/>
        </w:rPr>
        <w:t>β</w:t>
      </w:r>
      <w:r w:rsidRPr="00207C40">
        <w:rPr>
          <w:rFonts w:ascii="Times New Roman" w:hAnsi="Times New Roman" w:cs="Times New Roman"/>
          <w:i/>
          <w:iCs/>
          <w:vertAlign w:val="subscript"/>
        </w:rPr>
        <w:t>8</w:t>
      </w:r>
      <w:r w:rsidRPr="00207C40">
        <w:rPr>
          <w:rFonts w:asciiTheme="majorBidi" w:hAnsiTheme="majorBidi" w:cstheme="majorBidi"/>
          <w:color w:val="000000"/>
        </w:rPr>
        <w:t xml:space="preserve">) and the indirect effect (e.g. </w:t>
      </w:r>
      <w:r w:rsidRPr="00207C40">
        <w:rPr>
          <w:rFonts w:ascii="Times New Roman" w:hAnsi="Times New Roman" w:cs="Times New Roman"/>
          <w:i/>
          <w:iCs/>
        </w:rPr>
        <w:t>α</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9</w:t>
      </w:r>
      <w:r w:rsidRPr="00207C40">
        <w:rPr>
          <w:rFonts w:ascii="Times New Roman" w:hAnsi="Times New Roman" w:cs="Times New Roman"/>
        </w:rPr>
        <w:t xml:space="preserve"> or </w:t>
      </w:r>
      <w:r w:rsidRPr="00207C40">
        <w:rPr>
          <w:rFonts w:ascii="Times New Roman" w:hAnsi="Times New Roman" w:cs="Times New Roman"/>
          <w:i/>
          <w:iCs/>
        </w:rPr>
        <w:t>γ</w:t>
      </w:r>
      <w:r w:rsidRPr="00207C40">
        <w:rPr>
          <w:rFonts w:ascii="Times New Roman" w:hAnsi="Times New Roman" w:cs="Times New Roman"/>
          <w:i/>
          <w:iCs/>
          <w:vertAlign w:val="subscript"/>
        </w:rPr>
        <w:t>1</w:t>
      </w:r>
      <w:r w:rsidRPr="00207C40">
        <w:rPr>
          <w:rFonts w:ascii="Times New Roman" w:hAnsi="Times New Roman" w:cs="Times New Roman"/>
          <w:i/>
          <w:iCs/>
        </w:rPr>
        <w:t xml:space="preserve"> × β</w:t>
      </w:r>
      <w:r w:rsidRPr="00207C40">
        <w:rPr>
          <w:rFonts w:ascii="Times New Roman" w:hAnsi="Times New Roman" w:cs="Times New Roman"/>
          <w:i/>
          <w:iCs/>
          <w:vertAlign w:val="subscript"/>
        </w:rPr>
        <w:t>10</w:t>
      </w:r>
      <w:r w:rsidRPr="00207C40">
        <w:rPr>
          <w:rFonts w:ascii="Times New Roman" w:hAnsi="Times New Roman" w:cs="Times New Roman"/>
        </w:rPr>
        <w:t>) for each type of announcement (bad or good).</w:t>
      </w:r>
    </w:p>
    <w:p w14:paraId="07490DB9" w14:textId="77777777" w:rsidR="00C17702" w:rsidRDefault="00C17702">
      <w:pPr>
        <w:rPr>
          <w:rFonts w:asciiTheme="majorBidi" w:hAnsiTheme="majorBidi" w:cstheme="majorBidi"/>
          <w:color w:val="000000"/>
          <w:sz w:val="24"/>
          <w:szCs w:val="24"/>
        </w:rPr>
        <w:sectPr w:rsidR="00C17702" w:rsidSect="00C17702">
          <w:endnotePr>
            <w:numFmt w:val="decimal"/>
          </w:endnotePr>
          <w:pgSz w:w="15840" w:h="12240" w:orient="landscape" w:code="1"/>
          <w:pgMar w:top="1440" w:right="1440" w:bottom="1440" w:left="1440" w:header="720" w:footer="720" w:gutter="0"/>
          <w:cols w:space="720"/>
          <w:titlePg/>
          <w:docGrid w:linePitch="360"/>
        </w:sectPr>
      </w:pPr>
    </w:p>
    <w:p w14:paraId="724832D8" w14:textId="7E80561B" w:rsidR="009138D8" w:rsidRDefault="00AA7196" w:rsidP="008F42C0">
      <w:pPr>
        <w:keepNext/>
        <w:tabs>
          <w:tab w:val="left" w:pos="567"/>
        </w:tabs>
        <w:spacing w:after="0"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Pr>
          <w:rFonts w:asciiTheme="majorBidi" w:hAnsiTheme="majorBidi" w:cstheme="majorBidi"/>
          <w:color w:val="000000"/>
          <w:sz w:val="24"/>
          <w:szCs w:val="24"/>
        </w:rPr>
        <w:tab/>
      </w:r>
      <w:r w:rsidR="006D4EA1">
        <w:rPr>
          <w:rFonts w:asciiTheme="majorBidi" w:hAnsiTheme="majorBidi" w:cstheme="majorBidi"/>
          <w:color w:val="000000"/>
          <w:sz w:val="24"/>
          <w:szCs w:val="24"/>
        </w:rPr>
        <w:t xml:space="preserve">The final </w:t>
      </w:r>
      <w:r w:rsidR="00F91B02">
        <w:rPr>
          <w:rFonts w:asciiTheme="majorBidi" w:hAnsiTheme="majorBidi" w:cstheme="majorBidi"/>
          <w:color w:val="000000"/>
          <w:sz w:val="24"/>
          <w:szCs w:val="24"/>
        </w:rPr>
        <w:t>important result reported in</w:t>
      </w:r>
      <w:r w:rsidR="006D4EA1">
        <w:rPr>
          <w:rFonts w:asciiTheme="majorBidi" w:hAnsiTheme="majorBidi" w:cstheme="majorBidi"/>
          <w:color w:val="000000"/>
          <w:sz w:val="24"/>
          <w:szCs w:val="24"/>
        </w:rPr>
        <w:t xml:space="preserve"> </w:t>
      </w:r>
      <w:r w:rsidR="006D4EA1" w:rsidRPr="008D4AFE">
        <w:rPr>
          <w:rFonts w:asciiTheme="majorBidi" w:hAnsiTheme="majorBidi" w:cstheme="majorBidi"/>
          <w:color w:val="000000"/>
          <w:sz w:val="24"/>
          <w:szCs w:val="24"/>
        </w:rPr>
        <w:t>Table 5</w:t>
      </w:r>
      <w:r w:rsidR="006D4EA1">
        <w:rPr>
          <w:rFonts w:asciiTheme="majorBidi" w:hAnsiTheme="majorBidi" w:cstheme="majorBidi"/>
          <w:color w:val="000000"/>
          <w:sz w:val="24"/>
          <w:szCs w:val="24"/>
        </w:rPr>
        <w:t xml:space="preserve"> </w:t>
      </w:r>
      <w:r w:rsidR="00F91B02">
        <w:rPr>
          <w:rFonts w:asciiTheme="majorBidi" w:hAnsiTheme="majorBidi" w:cstheme="majorBidi"/>
          <w:color w:val="000000"/>
          <w:sz w:val="24"/>
          <w:szCs w:val="24"/>
        </w:rPr>
        <w:t>relates to t</w:t>
      </w:r>
      <w:r w:rsidR="006D4EA1">
        <w:rPr>
          <w:rFonts w:asciiTheme="majorBidi" w:hAnsiTheme="majorBidi" w:cstheme="majorBidi"/>
          <w:color w:val="000000"/>
          <w:sz w:val="24"/>
          <w:szCs w:val="24"/>
        </w:rPr>
        <w:t xml:space="preserve">he indirect channel through which corporate governance </w:t>
      </w:r>
      <w:r w:rsidR="00271107">
        <w:rPr>
          <w:rFonts w:asciiTheme="majorBidi" w:hAnsiTheme="majorBidi" w:cstheme="majorBidi"/>
          <w:color w:val="000000"/>
          <w:sz w:val="24"/>
          <w:szCs w:val="24"/>
        </w:rPr>
        <w:t>reduces</w:t>
      </w:r>
      <w:r w:rsidR="006D4EA1">
        <w:rPr>
          <w:rFonts w:asciiTheme="majorBidi" w:hAnsiTheme="majorBidi" w:cstheme="majorBidi"/>
          <w:color w:val="000000"/>
          <w:sz w:val="24"/>
          <w:szCs w:val="24"/>
        </w:rPr>
        <w:t xml:space="preserve"> information uncertaint</w:t>
      </w:r>
      <w:r w:rsidR="00271107">
        <w:rPr>
          <w:rFonts w:asciiTheme="majorBidi" w:hAnsiTheme="majorBidi" w:cstheme="majorBidi"/>
          <w:color w:val="000000"/>
          <w:sz w:val="24"/>
          <w:szCs w:val="24"/>
        </w:rPr>
        <w:t>y which</w:t>
      </w:r>
      <w:r w:rsidR="006D4EA1">
        <w:rPr>
          <w:rFonts w:asciiTheme="majorBidi" w:hAnsiTheme="majorBidi" w:cstheme="majorBidi"/>
          <w:color w:val="000000"/>
          <w:sz w:val="24"/>
          <w:szCs w:val="24"/>
        </w:rPr>
        <w:t xml:space="preserve"> </w:t>
      </w:r>
      <w:r w:rsidR="00271107">
        <w:rPr>
          <w:rFonts w:asciiTheme="majorBidi" w:hAnsiTheme="majorBidi" w:cstheme="majorBidi"/>
          <w:color w:val="000000"/>
          <w:sz w:val="24"/>
          <w:szCs w:val="24"/>
        </w:rPr>
        <w:t>in turn</w:t>
      </w:r>
      <w:r w:rsidR="006D4EA1">
        <w:rPr>
          <w:rFonts w:asciiTheme="majorBidi" w:hAnsiTheme="majorBidi" w:cstheme="majorBidi"/>
          <w:color w:val="000000"/>
          <w:sz w:val="24"/>
          <w:szCs w:val="24"/>
        </w:rPr>
        <w:t xml:space="preserve"> impacts on the response of investors </w:t>
      </w:r>
      <w:r w:rsidR="005472BB">
        <w:rPr>
          <w:rFonts w:asciiTheme="majorBidi" w:hAnsiTheme="majorBidi" w:cstheme="majorBidi"/>
          <w:color w:val="000000"/>
          <w:sz w:val="24"/>
          <w:szCs w:val="24"/>
        </w:rPr>
        <w:t>at the time of, and subsequent to,</w:t>
      </w:r>
      <w:r w:rsidR="006D4EA1">
        <w:rPr>
          <w:rFonts w:asciiTheme="majorBidi" w:hAnsiTheme="majorBidi" w:cstheme="majorBidi"/>
          <w:color w:val="000000"/>
          <w:sz w:val="24"/>
          <w:szCs w:val="24"/>
        </w:rPr>
        <w:t xml:space="preserve"> the </w:t>
      </w:r>
      <w:r w:rsidR="005472BB">
        <w:rPr>
          <w:rFonts w:asciiTheme="majorBidi" w:hAnsiTheme="majorBidi" w:cstheme="majorBidi"/>
          <w:color w:val="000000"/>
          <w:sz w:val="24"/>
          <w:szCs w:val="24"/>
        </w:rPr>
        <w:t xml:space="preserve">earnings </w:t>
      </w:r>
      <w:r w:rsidR="006D4EA1">
        <w:rPr>
          <w:rFonts w:asciiTheme="majorBidi" w:hAnsiTheme="majorBidi" w:cstheme="majorBidi"/>
          <w:color w:val="000000"/>
          <w:sz w:val="24"/>
          <w:szCs w:val="24"/>
        </w:rPr>
        <w:t xml:space="preserve">release. We see that this </w:t>
      </w:r>
      <w:r w:rsidR="00F91B02">
        <w:rPr>
          <w:rFonts w:asciiTheme="majorBidi" w:hAnsiTheme="majorBidi" w:cstheme="majorBidi"/>
          <w:color w:val="000000"/>
          <w:sz w:val="24"/>
          <w:szCs w:val="24"/>
        </w:rPr>
        <w:t xml:space="preserve">indirect </w:t>
      </w:r>
      <w:r w:rsidR="006D4EA1">
        <w:rPr>
          <w:rFonts w:asciiTheme="majorBidi" w:hAnsiTheme="majorBidi" w:cstheme="majorBidi"/>
          <w:color w:val="000000"/>
          <w:sz w:val="24"/>
          <w:szCs w:val="24"/>
        </w:rPr>
        <w:t xml:space="preserve">channel </w:t>
      </w:r>
      <w:r w:rsidR="00271107">
        <w:rPr>
          <w:rFonts w:asciiTheme="majorBidi" w:hAnsiTheme="majorBidi" w:cstheme="majorBidi"/>
          <w:color w:val="000000"/>
          <w:sz w:val="24"/>
          <w:szCs w:val="24"/>
        </w:rPr>
        <w:t xml:space="preserve">explains </w:t>
      </w:r>
      <w:r w:rsidR="004D3172">
        <w:rPr>
          <w:rFonts w:asciiTheme="majorBidi" w:hAnsiTheme="majorBidi" w:cstheme="majorBidi"/>
          <w:color w:val="000000"/>
          <w:sz w:val="24"/>
          <w:szCs w:val="24"/>
        </w:rPr>
        <w:t>the majority</w:t>
      </w:r>
      <w:r w:rsidR="00271107">
        <w:rPr>
          <w:rFonts w:asciiTheme="majorBidi" w:hAnsiTheme="majorBidi" w:cstheme="majorBidi"/>
          <w:color w:val="000000"/>
          <w:sz w:val="24"/>
          <w:szCs w:val="24"/>
        </w:rPr>
        <w:t xml:space="preserve"> of the association between corporate governance and the market reaction to the information signal </w:t>
      </w:r>
      <w:r w:rsidR="004D3172">
        <w:rPr>
          <w:rFonts w:asciiTheme="majorBidi" w:hAnsiTheme="majorBidi" w:cstheme="majorBidi"/>
          <w:color w:val="000000"/>
          <w:sz w:val="24"/>
          <w:szCs w:val="24"/>
        </w:rPr>
        <w:t xml:space="preserve">over the announcement window which is </w:t>
      </w:r>
      <w:r w:rsidR="00271107">
        <w:rPr>
          <w:rFonts w:asciiTheme="majorBidi" w:hAnsiTheme="majorBidi" w:cstheme="majorBidi"/>
          <w:color w:val="000000"/>
          <w:sz w:val="24"/>
          <w:szCs w:val="24"/>
        </w:rPr>
        <w:t xml:space="preserve">consistent with </w:t>
      </w:r>
      <w:r w:rsidR="004D3172">
        <w:rPr>
          <w:rFonts w:asciiTheme="majorBidi" w:hAnsiTheme="majorBidi" w:cstheme="majorBidi"/>
          <w:color w:val="000000"/>
          <w:sz w:val="24"/>
          <w:szCs w:val="24"/>
        </w:rPr>
        <w:t xml:space="preserve">the explanation that </w:t>
      </w:r>
      <w:r w:rsidR="00271107">
        <w:rPr>
          <w:rFonts w:asciiTheme="majorBidi" w:hAnsiTheme="majorBidi" w:cstheme="majorBidi"/>
          <w:color w:val="000000"/>
          <w:sz w:val="24"/>
          <w:szCs w:val="24"/>
        </w:rPr>
        <w:t>corporate governance increas</w:t>
      </w:r>
      <w:r w:rsidR="004D3172">
        <w:rPr>
          <w:rFonts w:asciiTheme="majorBidi" w:hAnsiTheme="majorBidi" w:cstheme="majorBidi"/>
          <w:color w:val="000000"/>
          <w:sz w:val="24"/>
          <w:szCs w:val="24"/>
        </w:rPr>
        <w:t>es</w:t>
      </w:r>
      <w:r w:rsidR="00271107">
        <w:rPr>
          <w:rFonts w:asciiTheme="majorBidi" w:hAnsiTheme="majorBidi" w:cstheme="majorBidi"/>
          <w:color w:val="000000"/>
          <w:sz w:val="24"/>
          <w:szCs w:val="24"/>
        </w:rPr>
        <w:t xml:space="preserve"> the credibility of the information. </w:t>
      </w:r>
      <w:r w:rsidR="005472BB">
        <w:rPr>
          <w:rFonts w:asciiTheme="majorBidi" w:hAnsiTheme="majorBidi" w:cstheme="majorBidi"/>
          <w:color w:val="000000"/>
          <w:sz w:val="24"/>
          <w:szCs w:val="24"/>
        </w:rPr>
        <w:t>However</w:t>
      </w:r>
      <w:r w:rsidR="00660B9D">
        <w:rPr>
          <w:rFonts w:asciiTheme="majorBidi" w:hAnsiTheme="majorBidi" w:cstheme="majorBidi"/>
          <w:color w:val="000000"/>
          <w:sz w:val="24"/>
          <w:szCs w:val="24"/>
        </w:rPr>
        <w:t>,</w:t>
      </w:r>
      <w:r w:rsidR="005472BB">
        <w:rPr>
          <w:rFonts w:asciiTheme="majorBidi" w:hAnsiTheme="majorBidi" w:cstheme="majorBidi"/>
          <w:color w:val="000000"/>
          <w:sz w:val="24"/>
          <w:szCs w:val="24"/>
        </w:rPr>
        <w:t xml:space="preserve"> </w:t>
      </w:r>
      <w:r w:rsidR="009A7F4E">
        <w:rPr>
          <w:rFonts w:asciiTheme="majorBidi" w:hAnsiTheme="majorBidi" w:cstheme="majorBidi"/>
          <w:color w:val="000000"/>
          <w:sz w:val="24"/>
          <w:szCs w:val="24"/>
        </w:rPr>
        <w:t>over</w:t>
      </w:r>
      <w:r w:rsidR="005472BB">
        <w:rPr>
          <w:rFonts w:asciiTheme="majorBidi" w:hAnsiTheme="majorBidi" w:cstheme="majorBidi"/>
          <w:color w:val="000000"/>
          <w:sz w:val="24"/>
          <w:szCs w:val="24"/>
        </w:rPr>
        <w:t xml:space="preserve"> the post-announcement period, the indirect channel has no impact o</w:t>
      </w:r>
      <w:r w:rsidR="00660B9D">
        <w:rPr>
          <w:rFonts w:asciiTheme="majorBidi" w:hAnsiTheme="majorBidi" w:cstheme="majorBidi"/>
          <w:color w:val="000000"/>
          <w:sz w:val="24"/>
          <w:szCs w:val="24"/>
        </w:rPr>
        <w:t>n</w:t>
      </w:r>
      <w:r w:rsidR="005472BB">
        <w:rPr>
          <w:rFonts w:asciiTheme="majorBidi" w:hAnsiTheme="majorBidi" w:cstheme="majorBidi"/>
          <w:color w:val="000000"/>
          <w:sz w:val="24"/>
          <w:szCs w:val="24"/>
        </w:rPr>
        <w:t xml:space="preserve"> the market response reflecting that it plays no role in explaining the PEAD. This finding is totally consistent with our previous finding that the level of corporate governance did not influence the PEAD as during this period there is no variation </w:t>
      </w:r>
      <w:r w:rsidR="009A7F4E">
        <w:rPr>
          <w:rFonts w:asciiTheme="majorBidi" w:hAnsiTheme="majorBidi" w:cstheme="majorBidi"/>
          <w:color w:val="000000"/>
          <w:sz w:val="24"/>
          <w:szCs w:val="24"/>
        </w:rPr>
        <w:t>in</w:t>
      </w:r>
      <w:r w:rsidR="005472BB">
        <w:rPr>
          <w:rFonts w:asciiTheme="majorBidi" w:hAnsiTheme="majorBidi" w:cstheme="majorBidi"/>
          <w:color w:val="000000"/>
          <w:sz w:val="24"/>
          <w:szCs w:val="24"/>
        </w:rPr>
        <w:t xml:space="preserve"> corporate governance that would cause investors to reassess their initial reaction to the earnings release</w:t>
      </w:r>
      <w:r w:rsidR="00660B9D">
        <w:rPr>
          <w:rFonts w:asciiTheme="majorBidi" w:hAnsiTheme="majorBidi" w:cstheme="majorBidi"/>
          <w:color w:val="000000"/>
          <w:sz w:val="24"/>
          <w:szCs w:val="24"/>
        </w:rPr>
        <w:t>.</w:t>
      </w:r>
      <w:r w:rsidR="005472BB">
        <w:rPr>
          <w:rFonts w:asciiTheme="majorBidi" w:hAnsiTheme="majorBidi" w:cstheme="majorBidi"/>
          <w:color w:val="000000"/>
          <w:sz w:val="24"/>
          <w:szCs w:val="24"/>
        </w:rPr>
        <w:t xml:space="preserve"> </w:t>
      </w:r>
      <w:r w:rsidR="009A7F4E">
        <w:rPr>
          <w:rFonts w:asciiTheme="majorBidi" w:hAnsiTheme="majorBidi" w:cstheme="majorBidi"/>
          <w:color w:val="000000"/>
          <w:sz w:val="24"/>
          <w:szCs w:val="24"/>
        </w:rPr>
        <w:t xml:space="preserve">Overall, our findings confirm that information uncertainty is an </w:t>
      </w:r>
      <w:r w:rsidR="004D3172">
        <w:rPr>
          <w:rFonts w:asciiTheme="majorBidi" w:hAnsiTheme="majorBidi" w:cstheme="majorBidi"/>
          <w:color w:val="000000"/>
          <w:sz w:val="24"/>
          <w:szCs w:val="24"/>
        </w:rPr>
        <w:t xml:space="preserve">important </w:t>
      </w:r>
      <w:r w:rsidR="009A7F4E">
        <w:rPr>
          <w:rFonts w:asciiTheme="majorBidi" w:hAnsiTheme="majorBidi" w:cstheme="majorBidi"/>
          <w:color w:val="000000"/>
          <w:sz w:val="24"/>
          <w:szCs w:val="24"/>
        </w:rPr>
        <w:t>indirect channel through which corporate governance influences the market response to information.</w:t>
      </w:r>
    </w:p>
    <w:p w14:paraId="3A8A0903" w14:textId="77777777" w:rsidR="00AA7196" w:rsidRDefault="00AA7196" w:rsidP="008F42C0">
      <w:pPr>
        <w:keepNext/>
        <w:tabs>
          <w:tab w:val="left" w:pos="567"/>
        </w:tabs>
        <w:spacing w:after="0" w:line="288" w:lineRule="auto"/>
        <w:jc w:val="both"/>
        <w:rPr>
          <w:rFonts w:asciiTheme="majorBidi" w:hAnsiTheme="majorBidi" w:cstheme="majorBidi"/>
          <w:color w:val="000000"/>
          <w:sz w:val="24"/>
          <w:szCs w:val="24"/>
        </w:rPr>
      </w:pPr>
    </w:p>
    <w:p w14:paraId="3C979F2B" w14:textId="1C7434A9" w:rsidR="0060048F" w:rsidRDefault="00AA7196" w:rsidP="008F42C0">
      <w:pPr>
        <w:keepNext/>
        <w:tabs>
          <w:tab w:val="left" w:pos="567"/>
        </w:tabs>
        <w:spacing w:after="0"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D6481">
        <w:rPr>
          <w:rFonts w:asciiTheme="majorBidi" w:hAnsiTheme="majorBidi" w:cstheme="majorBidi"/>
          <w:color w:val="000000"/>
          <w:sz w:val="24"/>
          <w:szCs w:val="24"/>
        </w:rPr>
        <w:t>Finally,</w:t>
      </w:r>
      <w:r w:rsidR="009A7F4E">
        <w:rPr>
          <w:rFonts w:asciiTheme="majorBidi" w:hAnsiTheme="majorBidi" w:cstheme="majorBidi"/>
          <w:color w:val="000000"/>
          <w:sz w:val="24"/>
          <w:szCs w:val="24"/>
        </w:rPr>
        <w:t xml:space="preserve"> to comment on the other variables reported in </w:t>
      </w:r>
      <w:r w:rsidR="009A7F4E" w:rsidRPr="008D4AFE">
        <w:rPr>
          <w:rFonts w:asciiTheme="majorBidi" w:hAnsiTheme="majorBidi" w:cstheme="majorBidi"/>
          <w:color w:val="000000"/>
          <w:sz w:val="24"/>
          <w:szCs w:val="24"/>
        </w:rPr>
        <w:t>Table 5</w:t>
      </w:r>
      <w:r w:rsidR="009A7F4E">
        <w:rPr>
          <w:rFonts w:asciiTheme="majorBidi" w:hAnsiTheme="majorBidi" w:cstheme="majorBidi"/>
          <w:color w:val="000000"/>
          <w:sz w:val="24"/>
          <w:szCs w:val="24"/>
        </w:rPr>
        <w:t xml:space="preserve">, </w:t>
      </w:r>
      <w:r w:rsidR="009E2052">
        <w:rPr>
          <w:rFonts w:asciiTheme="majorBidi" w:hAnsiTheme="majorBidi" w:cstheme="majorBidi"/>
          <w:color w:val="000000"/>
          <w:sz w:val="24"/>
          <w:szCs w:val="24"/>
        </w:rPr>
        <w:t>t</w:t>
      </w:r>
      <w:r w:rsidR="00E650BB">
        <w:rPr>
          <w:rFonts w:asciiTheme="majorBidi" w:hAnsiTheme="majorBidi" w:cstheme="majorBidi"/>
          <w:color w:val="000000"/>
          <w:sz w:val="24"/>
          <w:szCs w:val="24"/>
        </w:rPr>
        <w:t>he coefficient on NUE and PUE</w:t>
      </w:r>
      <w:r w:rsidR="00660B9D">
        <w:rPr>
          <w:rFonts w:asciiTheme="majorBidi" w:hAnsiTheme="majorBidi" w:cstheme="majorBidi"/>
          <w:color w:val="000000"/>
          <w:sz w:val="24"/>
          <w:szCs w:val="24"/>
        </w:rPr>
        <w:t xml:space="preserve"> </w:t>
      </w:r>
      <w:r w:rsidR="00E650BB">
        <w:rPr>
          <w:rFonts w:asciiTheme="majorBidi" w:hAnsiTheme="majorBidi" w:cstheme="majorBidi"/>
          <w:color w:val="000000"/>
          <w:sz w:val="24"/>
          <w:szCs w:val="24"/>
        </w:rPr>
        <w:t>are both positive and significant reflecting in this case a positive response both at the time of the announcement and over the post-announcement period (</w:t>
      </w:r>
      <w:r w:rsidR="008D4AFE">
        <w:rPr>
          <w:rFonts w:asciiTheme="majorBidi" w:hAnsiTheme="majorBidi" w:cstheme="majorBidi"/>
          <w:color w:val="000000"/>
          <w:sz w:val="24"/>
          <w:szCs w:val="24"/>
        </w:rPr>
        <w:t xml:space="preserve">that is, </w:t>
      </w:r>
      <w:r w:rsidR="00E650BB">
        <w:rPr>
          <w:rFonts w:asciiTheme="majorBidi" w:hAnsiTheme="majorBidi" w:cstheme="majorBidi"/>
          <w:color w:val="000000"/>
          <w:sz w:val="24"/>
          <w:szCs w:val="24"/>
        </w:rPr>
        <w:t xml:space="preserve">PEAD does exist) in this case for companies with </w:t>
      </w:r>
      <w:r w:rsidR="00935A4F">
        <w:rPr>
          <w:rFonts w:asciiTheme="majorBidi" w:hAnsiTheme="majorBidi" w:cstheme="majorBidi"/>
          <w:color w:val="000000"/>
          <w:sz w:val="24"/>
          <w:szCs w:val="24"/>
        </w:rPr>
        <w:t xml:space="preserve">low </w:t>
      </w:r>
      <w:r w:rsidR="00E650BB">
        <w:rPr>
          <w:rFonts w:asciiTheme="majorBidi" w:hAnsiTheme="majorBidi" w:cstheme="majorBidi"/>
          <w:color w:val="000000"/>
          <w:sz w:val="24"/>
          <w:szCs w:val="24"/>
        </w:rPr>
        <w:t xml:space="preserve">corporate governance and information uncertainty releasing earnings news at a time of low market uncertainty and </w:t>
      </w:r>
      <w:r w:rsidR="00935A4F">
        <w:rPr>
          <w:rFonts w:asciiTheme="majorBidi" w:hAnsiTheme="majorBidi" w:cstheme="majorBidi"/>
          <w:color w:val="000000"/>
          <w:sz w:val="24"/>
          <w:szCs w:val="24"/>
        </w:rPr>
        <w:t xml:space="preserve">investor </w:t>
      </w:r>
      <w:r w:rsidR="00E650BB">
        <w:rPr>
          <w:rFonts w:asciiTheme="majorBidi" w:hAnsiTheme="majorBidi" w:cstheme="majorBidi"/>
          <w:color w:val="000000"/>
          <w:sz w:val="24"/>
          <w:szCs w:val="24"/>
        </w:rPr>
        <w:t xml:space="preserve">sentiment. The positive and significant coefficient attached to high corporate governance (GOVH) is consistent with corporate governance </w:t>
      </w:r>
      <w:r w:rsidR="00935A4F">
        <w:rPr>
          <w:rFonts w:asciiTheme="majorBidi" w:hAnsiTheme="majorBidi" w:cstheme="majorBidi"/>
          <w:color w:val="000000"/>
          <w:sz w:val="24"/>
          <w:szCs w:val="24"/>
        </w:rPr>
        <w:t xml:space="preserve">having an </w:t>
      </w:r>
      <w:r w:rsidR="00E650BB">
        <w:rPr>
          <w:rFonts w:asciiTheme="majorBidi" w:hAnsiTheme="majorBidi" w:cstheme="majorBidi"/>
          <w:color w:val="000000"/>
          <w:sz w:val="24"/>
          <w:szCs w:val="24"/>
        </w:rPr>
        <w:t>impact on corporate valuations independent of any reaction to earnings announcement. Similarly, the significant negative coefficient attached to high information uncertainty (IFUH) confirms that information uncertainty has a negative imp</w:t>
      </w:r>
      <w:r w:rsidR="001B679E">
        <w:rPr>
          <w:rFonts w:asciiTheme="majorBidi" w:hAnsiTheme="majorBidi" w:cstheme="majorBidi"/>
          <w:color w:val="000000"/>
          <w:sz w:val="24"/>
          <w:szCs w:val="24"/>
        </w:rPr>
        <w:t>a</w:t>
      </w:r>
      <w:r w:rsidR="00E650BB">
        <w:rPr>
          <w:rFonts w:asciiTheme="majorBidi" w:hAnsiTheme="majorBidi" w:cstheme="majorBidi"/>
          <w:color w:val="000000"/>
          <w:sz w:val="24"/>
          <w:szCs w:val="24"/>
        </w:rPr>
        <w:t>ct on corporate valuation, again independent of any impact that it might have on the market response to the release of earnings announcements.</w:t>
      </w:r>
      <w:r w:rsidR="00A03FE4">
        <w:rPr>
          <w:rFonts w:asciiTheme="majorBidi" w:hAnsiTheme="majorBidi" w:cstheme="majorBidi"/>
          <w:color w:val="000000"/>
          <w:sz w:val="24"/>
          <w:szCs w:val="24"/>
        </w:rPr>
        <w:t xml:space="preserve"> </w:t>
      </w:r>
      <w:r w:rsidR="007E7440">
        <w:rPr>
          <w:rFonts w:asciiTheme="majorBidi" w:hAnsiTheme="majorBidi" w:cstheme="majorBidi"/>
          <w:color w:val="000000"/>
          <w:sz w:val="24"/>
          <w:szCs w:val="24"/>
        </w:rPr>
        <w:t>Lastly</w:t>
      </w:r>
      <w:r w:rsidR="0047392D" w:rsidRPr="0047392D">
        <w:rPr>
          <w:rFonts w:asciiTheme="majorBidi" w:hAnsiTheme="majorBidi" w:cstheme="majorBidi"/>
          <w:color w:val="000000"/>
          <w:sz w:val="24"/>
          <w:szCs w:val="24"/>
        </w:rPr>
        <w:t xml:space="preserve">, the significant and </w:t>
      </w:r>
      <w:r w:rsidR="0047392D">
        <w:rPr>
          <w:rFonts w:asciiTheme="majorBidi" w:hAnsiTheme="majorBidi" w:cstheme="majorBidi"/>
          <w:color w:val="000000"/>
          <w:sz w:val="24"/>
          <w:szCs w:val="24"/>
        </w:rPr>
        <w:t xml:space="preserve">negative </w:t>
      </w:r>
      <w:r w:rsidR="0047392D" w:rsidRPr="0047392D">
        <w:rPr>
          <w:rFonts w:asciiTheme="majorBidi" w:hAnsiTheme="majorBidi" w:cstheme="majorBidi"/>
          <w:color w:val="000000"/>
          <w:sz w:val="24"/>
          <w:szCs w:val="24"/>
        </w:rPr>
        <w:t xml:space="preserve">coefficients attached to corporate governance in models 4b, 4c and 4d are all indicative of the impact that it has on reducing information uncertainty. </w:t>
      </w:r>
    </w:p>
    <w:p w14:paraId="3114EBC5" w14:textId="7517170E" w:rsidR="005409EA" w:rsidRDefault="005409EA" w:rsidP="008F42C0">
      <w:pPr>
        <w:keepNext/>
        <w:tabs>
          <w:tab w:val="left" w:pos="567"/>
        </w:tabs>
        <w:spacing w:after="0" w:line="288" w:lineRule="auto"/>
        <w:jc w:val="both"/>
        <w:rPr>
          <w:rFonts w:asciiTheme="majorBidi" w:hAnsiTheme="majorBidi" w:cstheme="majorBidi"/>
          <w:color w:val="000000"/>
          <w:sz w:val="24"/>
          <w:szCs w:val="24"/>
        </w:rPr>
      </w:pPr>
    </w:p>
    <w:p w14:paraId="11DC5A4B" w14:textId="77777777" w:rsidR="00741FD1" w:rsidRDefault="00741FD1" w:rsidP="008F42C0">
      <w:pPr>
        <w:keepNext/>
        <w:tabs>
          <w:tab w:val="left" w:pos="567"/>
        </w:tabs>
        <w:spacing w:after="0" w:line="288" w:lineRule="auto"/>
        <w:jc w:val="both"/>
        <w:rPr>
          <w:rFonts w:asciiTheme="majorBidi" w:hAnsiTheme="majorBidi" w:cstheme="majorBidi"/>
          <w:color w:val="000000"/>
          <w:sz w:val="24"/>
          <w:szCs w:val="24"/>
        </w:rPr>
      </w:pPr>
    </w:p>
    <w:p w14:paraId="37D027A3" w14:textId="51F033A9" w:rsidR="00362E8D" w:rsidRPr="00BA14B0" w:rsidRDefault="00362E8D" w:rsidP="00BA14B0">
      <w:pPr>
        <w:pStyle w:val="ListParagraph"/>
        <w:numPr>
          <w:ilvl w:val="1"/>
          <w:numId w:val="38"/>
        </w:numPr>
        <w:tabs>
          <w:tab w:val="left" w:pos="567"/>
        </w:tabs>
        <w:spacing w:after="0" w:line="288" w:lineRule="auto"/>
        <w:jc w:val="both"/>
        <w:rPr>
          <w:rFonts w:ascii="Times New Roman" w:hAnsi="Times New Roman" w:cs="Times New Roman"/>
          <w:b/>
          <w:bCs/>
          <w:sz w:val="24"/>
          <w:szCs w:val="24"/>
        </w:rPr>
      </w:pPr>
      <w:r w:rsidRPr="00BA14B0">
        <w:rPr>
          <w:rFonts w:ascii="Times New Roman" w:hAnsi="Times New Roman" w:cs="Times New Roman"/>
          <w:b/>
          <w:bCs/>
          <w:sz w:val="24"/>
          <w:szCs w:val="24"/>
        </w:rPr>
        <w:t>Robustness</w:t>
      </w:r>
      <w:r w:rsidR="00E120C2" w:rsidRPr="00BA14B0">
        <w:rPr>
          <w:rFonts w:ascii="Times New Roman" w:hAnsi="Times New Roman" w:cs="Times New Roman"/>
          <w:b/>
          <w:bCs/>
          <w:sz w:val="24"/>
          <w:szCs w:val="24"/>
        </w:rPr>
        <w:t xml:space="preserve"> Tests</w:t>
      </w:r>
    </w:p>
    <w:p w14:paraId="6E1F8407" w14:textId="77777777" w:rsidR="00AA7196" w:rsidRPr="00AA7196" w:rsidRDefault="00AA7196" w:rsidP="008F42C0">
      <w:pPr>
        <w:tabs>
          <w:tab w:val="left" w:pos="567"/>
        </w:tabs>
        <w:spacing w:after="0" w:line="288" w:lineRule="auto"/>
        <w:jc w:val="both"/>
        <w:rPr>
          <w:rFonts w:ascii="Times New Roman" w:hAnsi="Times New Roman" w:cs="Times New Roman"/>
          <w:sz w:val="12"/>
          <w:szCs w:val="12"/>
        </w:rPr>
      </w:pPr>
    </w:p>
    <w:p w14:paraId="478D7640" w14:textId="4A18FD00" w:rsidR="00EA3EE6" w:rsidRDefault="0057607C" w:rsidP="008F42C0">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In order t</w:t>
      </w:r>
      <w:r w:rsidRPr="0057607C">
        <w:rPr>
          <w:rFonts w:ascii="Times New Roman" w:hAnsi="Times New Roman" w:cs="Times New Roman"/>
          <w:sz w:val="24"/>
          <w:szCs w:val="24"/>
        </w:rPr>
        <w:t xml:space="preserve">o test the robustness of our results to </w:t>
      </w:r>
      <w:r>
        <w:rPr>
          <w:rFonts w:ascii="Times New Roman" w:hAnsi="Times New Roman" w:cs="Times New Roman"/>
          <w:sz w:val="24"/>
          <w:szCs w:val="24"/>
        </w:rPr>
        <w:t>our choice of the different measures, we repeat our main analysis using alternative measures as follows:</w:t>
      </w:r>
    </w:p>
    <w:p w14:paraId="3BAEB79A" w14:textId="77777777" w:rsidR="00AA7196" w:rsidRDefault="00AA7196" w:rsidP="008F42C0">
      <w:pPr>
        <w:tabs>
          <w:tab w:val="left" w:pos="567"/>
        </w:tabs>
        <w:spacing w:after="0" w:line="288" w:lineRule="auto"/>
        <w:jc w:val="both"/>
        <w:rPr>
          <w:rFonts w:ascii="Times New Roman" w:hAnsi="Times New Roman" w:cs="Times New Roman"/>
          <w:sz w:val="24"/>
          <w:szCs w:val="24"/>
        </w:rPr>
      </w:pPr>
    </w:p>
    <w:p w14:paraId="1F927709" w14:textId="65366270" w:rsidR="00BD3C1F" w:rsidRPr="0070203A" w:rsidRDefault="00C73ECD" w:rsidP="0070203A">
      <w:pPr>
        <w:tabs>
          <w:tab w:val="left" w:pos="567"/>
        </w:tabs>
        <w:spacing w:after="0" w:line="288" w:lineRule="auto"/>
        <w:jc w:val="both"/>
        <w:rPr>
          <w:rFonts w:ascii="Times New Roman" w:hAnsi="Times New Roman" w:cs="Times New Roman"/>
          <w:sz w:val="24"/>
          <w:szCs w:val="24"/>
        </w:rPr>
      </w:pPr>
      <w:r w:rsidRPr="0070203A">
        <w:rPr>
          <w:rFonts w:ascii="Times New Roman" w:hAnsi="Times New Roman" w:cs="Times New Roman"/>
          <w:b/>
          <w:bCs/>
          <w:sz w:val="24"/>
          <w:szCs w:val="24"/>
        </w:rPr>
        <w:t xml:space="preserve">Governance </w:t>
      </w:r>
      <w:r w:rsidR="00BD3C1F" w:rsidRPr="0070203A">
        <w:rPr>
          <w:rFonts w:ascii="Times New Roman" w:hAnsi="Times New Roman" w:cs="Times New Roman"/>
          <w:b/>
          <w:bCs/>
          <w:sz w:val="24"/>
          <w:szCs w:val="24"/>
        </w:rPr>
        <w:t>Q</w:t>
      </w:r>
      <w:r w:rsidRPr="0070203A">
        <w:rPr>
          <w:rFonts w:ascii="Times New Roman" w:hAnsi="Times New Roman" w:cs="Times New Roman"/>
          <w:b/>
          <w:bCs/>
          <w:sz w:val="24"/>
          <w:szCs w:val="24"/>
        </w:rPr>
        <w:t>uality</w:t>
      </w:r>
    </w:p>
    <w:p w14:paraId="0C77EBBA" w14:textId="77777777" w:rsidR="0070203A" w:rsidRPr="0070203A" w:rsidRDefault="0070203A" w:rsidP="0070203A">
      <w:pPr>
        <w:pStyle w:val="ListParagraph"/>
        <w:tabs>
          <w:tab w:val="left" w:pos="567"/>
        </w:tabs>
        <w:spacing w:after="0" w:line="288" w:lineRule="auto"/>
        <w:ind w:left="0"/>
        <w:jc w:val="both"/>
        <w:rPr>
          <w:rFonts w:ascii="Times New Roman" w:hAnsi="Times New Roman" w:cs="Times New Roman"/>
          <w:sz w:val="6"/>
          <w:szCs w:val="6"/>
        </w:rPr>
      </w:pPr>
    </w:p>
    <w:p w14:paraId="0FE74DB2" w14:textId="1C41D95A" w:rsidR="00C73ECD" w:rsidRDefault="00BD3C1F" w:rsidP="0070203A">
      <w:pPr>
        <w:pStyle w:val="ListParagraph"/>
        <w:tabs>
          <w:tab w:val="left" w:pos="567"/>
        </w:tabs>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W</w:t>
      </w:r>
      <w:r w:rsidR="00C73ECD" w:rsidRPr="0057607C">
        <w:rPr>
          <w:rFonts w:ascii="Times New Roman" w:hAnsi="Times New Roman" w:cs="Times New Roman"/>
          <w:sz w:val="24"/>
          <w:szCs w:val="24"/>
        </w:rPr>
        <w:t>e use the first principal component</w:t>
      </w:r>
      <w:r w:rsidR="00C73ECD">
        <w:rPr>
          <w:rFonts w:ascii="Times New Roman" w:hAnsi="Times New Roman" w:cs="Times New Roman"/>
          <w:sz w:val="24"/>
          <w:szCs w:val="24"/>
        </w:rPr>
        <w:t xml:space="preserve"> score</w:t>
      </w:r>
      <w:r w:rsidR="00C73ECD" w:rsidRPr="0057607C">
        <w:rPr>
          <w:rFonts w:ascii="Times New Roman" w:hAnsi="Times New Roman" w:cs="Times New Roman"/>
          <w:sz w:val="24"/>
          <w:szCs w:val="24"/>
        </w:rPr>
        <w:t xml:space="preserve"> (explains </w:t>
      </w:r>
      <w:r w:rsidR="00C73ECD">
        <w:rPr>
          <w:rFonts w:ascii="Times New Roman" w:hAnsi="Times New Roman" w:cs="Times New Roman"/>
          <w:sz w:val="24"/>
          <w:szCs w:val="24"/>
        </w:rPr>
        <w:t>73</w:t>
      </w:r>
      <w:r w:rsidR="0070203A">
        <w:rPr>
          <w:rFonts w:ascii="Times New Roman" w:hAnsi="Times New Roman" w:cs="Times New Roman"/>
          <w:sz w:val="24"/>
          <w:szCs w:val="24"/>
        </w:rPr>
        <w:t xml:space="preserve"> percent</w:t>
      </w:r>
      <w:r w:rsidR="00C73ECD" w:rsidRPr="0057607C">
        <w:rPr>
          <w:rFonts w:ascii="Times New Roman" w:hAnsi="Times New Roman" w:cs="Times New Roman"/>
          <w:sz w:val="24"/>
          <w:szCs w:val="24"/>
        </w:rPr>
        <w:t xml:space="preserve"> of the variation) from a principal component analysis that includes the various governance </w:t>
      </w:r>
      <w:r w:rsidR="00EA5DDE">
        <w:rPr>
          <w:rFonts w:ascii="Times New Roman" w:hAnsi="Times New Roman" w:cs="Times New Roman"/>
          <w:sz w:val="24"/>
          <w:szCs w:val="24"/>
        </w:rPr>
        <w:t xml:space="preserve">attributes </w:t>
      </w:r>
      <w:r w:rsidR="00ED4DDE">
        <w:rPr>
          <w:rFonts w:ascii="Times New Roman" w:hAnsi="Times New Roman" w:cs="Times New Roman"/>
          <w:sz w:val="24"/>
          <w:szCs w:val="24"/>
        </w:rPr>
        <w:t xml:space="preserve">and related thresholds </w:t>
      </w:r>
      <w:r w:rsidR="00EA5DDE">
        <w:rPr>
          <w:rFonts w:ascii="Times New Roman" w:hAnsi="Times New Roman" w:cs="Times New Roman"/>
          <w:sz w:val="24"/>
          <w:szCs w:val="24"/>
        </w:rPr>
        <w:t>outlined</w:t>
      </w:r>
      <w:r w:rsidR="00C73ECD" w:rsidRPr="0057607C">
        <w:rPr>
          <w:rFonts w:ascii="Times New Roman" w:hAnsi="Times New Roman" w:cs="Times New Roman"/>
          <w:sz w:val="24"/>
          <w:szCs w:val="24"/>
        </w:rPr>
        <w:t xml:space="preserve"> in </w:t>
      </w:r>
      <w:r w:rsidR="00EA5DDE" w:rsidRPr="008D4AFE">
        <w:rPr>
          <w:rFonts w:ascii="Times New Roman" w:hAnsi="Times New Roman" w:cs="Times New Roman"/>
          <w:sz w:val="24"/>
          <w:szCs w:val="24"/>
        </w:rPr>
        <w:t>Appendix II</w:t>
      </w:r>
      <w:r w:rsidR="003D34BE">
        <w:rPr>
          <w:rFonts w:ascii="Times New Roman" w:hAnsi="Times New Roman" w:cs="Times New Roman"/>
          <w:sz w:val="24"/>
          <w:szCs w:val="24"/>
        </w:rPr>
        <w:t xml:space="preserve"> </w:t>
      </w:r>
      <w:r w:rsidR="00A03FE4">
        <w:rPr>
          <w:rFonts w:ascii="Times New Roman" w:hAnsi="Times New Roman" w:cs="Times New Roman"/>
          <w:sz w:val="24"/>
          <w:szCs w:val="24"/>
        </w:rPr>
        <w:t>to provide us with an alternative set of weights to calculate our governance score</w:t>
      </w:r>
      <w:r w:rsidR="000B7071" w:rsidRPr="00844FAE">
        <w:rPr>
          <w:rStyle w:val="EndnoteReference"/>
          <w:rFonts w:ascii="Times New Roman" w:hAnsi="Times New Roman" w:cs="Times New Roman"/>
          <w:sz w:val="24"/>
          <w:szCs w:val="24"/>
        </w:rPr>
        <w:endnoteReference w:id="12"/>
      </w:r>
      <w:r w:rsidR="000B7071" w:rsidRPr="0057607C">
        <w:rPr>
          <w:rFonts w:ascii="Times New Roman" w:hAnsi="Times New Roman" w:cs="Times New Roman"/>
          <w:sz w:val="24"/>
          <w:szCs w:val="24"/>
        </w:rPr>
        <w:t>.</w:t>
      </w:r>
      <w:r w:rsidR="00C73ECD">
        <w:rPr>
          <w:rFonts w:ascii="Times New Roman" w:hAnsi="Times New Roman" w:cs="Times New Roman"/>
          <w:sz w:val="24"/>
          <w:szCs w:val="24"/>
        </w:rPr>
        <w:t xml:space="preserve"> </w:t>
      </w:r>
      <w:r w:rsidR="00BC1366">
        <w:rPr>
          <w:rFonts w:ascii="Times New Roman" w:hAnsi="Times New Roman" w:cs="Times New Roman"/>
          <w:sz w:val="24"/>
          <w:szCs w:val="24"/>
        </w:rPr>
        <w:t xml:space="preserve">This allows us to produce </w:t>
      </w:r>
      <w:r w:rsidR="003D34BE">
        <w:rPr>
          <w:rFonts w:ascii="Times New Roman" w:hAnsi="Times New Roman" w:cs="Times New Roman"/>
          <w:sz w:val="24"/>
          <w:szCs w:val="24"/>
        </w:rPr>
        <w:t xml:space="preserve">the </w:t>
      </w:r>
      <w:r w:rsidR="00BC1366">
        <w:rPr>
          <w:rFonts w:ascii="Times New Roman" w:hAnsi="Times New Roman" w:cs="Times New Roman"/>
          <w:sz w:val="24"/>
          <w:szCs w:val="24"/>
        </w:rPr>
        <w:t xml:space="preserve">governance score by allocating different </w:t>
      </w:r>
      <w:r w:rsidR="00BC1366">
        <w:rPr>
          <w:rFonts w:ascii="Times New Roman" w:hAnsi="Times New Roman" w:cs="Times New Roman"/>
          <w:sz w:val="24"/>
          <w:szCs w:val="24"/>
        </w:rPr>
        <w:lastRenderedPageBreak/>
        <w:t xml:space="preserve">weights to the </w:t>
      </w:r>
      <w:r w:rsidR="00ED4DDE">
        <w:rPr>
          <w:rFonts w:ascii="Times New Roman" w:hAnsi="Times New Roman" w:cs="Times New Roman"/>
          <w:sz w:val="24"/>
          <w:szCs w:val="24"/>
        </w:rPr>
        <w:t>various</w:t>
      </w:r>
      <w:r w:rsidR="00BC1366">
        <w:rPr>
          <w:rFonts w:ascii="Times New Roman" w:hAnsi="Times New Roman" w:cs="Times New Roman"/>
          <w:sz w:val="24"/>
          <w:szCs w:val="24"/>
        </w:rPr>
        <w:t xml:space="preserve"> governance attributes rather than using similar weights for all attributes</w:t>
      </w:r>
      <w:r w:rsidR="003D34BE">
        <w:rPr>
          <w:rFonts w:ascii="Times New Roman" w:hAnsi="Times New Roman" w:cs="Times New Roman"/>
          <w:sz w:val="24"/>
          <w:szCs w:val="24"/>
        </w:rPr>
        <w:t xml:space="preserve"> as done so far</w:t>
      </w:r>
      <w:r w:rsidR="00BC1366">
        <w:rPr>
          <w:rFonts w:ascii="Times New Roman" w:hAnsi="Times New Roman" w:cs="Times New Roman"/>
          <w:sz w:val="24"/>
          <w:szCs w:val="24"/>
        </w:rPr>
        <w:t xml:space="preserve">. </w:t>
      </w:r>
      <w:r w:rsidR="00C73ECD">
        <w:rPr>
          <w:rFonts w:ascii="Times New Roman" w:hAnsi="Times New Roman" w:cs="Times New Roman"/>
          <w:sz w:val="24"/>
          <w:szCs w:val="24"/>
        </w:rPr>
        <w:t xml:space="preserve">We define our alternative governance measure </w:t>
      </w:r>
      <w:r w:rsidR="00C73ECD" w:rsidRPr="00634788">
        <w:rPr>
          <w:rFonts w:ascii="Times New Roman" w:hAnsi="Times New Roman" w:cs="Times New Roman"/>
          <w:sz w:val="24"/>
          <w:szCs w:val="24"/>
        </w:rPr>
        <w:t>as the first principal component</w:t>
      </w:r>
      <w:r w:rsidR="00C73ECD">
        <w:rPr>
          <w:rFonts w:ascii="Times New Roman" w:hAnsi="Times New Roman" w:cs="Times New Roman"/>
          <w:sz w:val="24"/>
          <w:szCs w:val="24"/>
        </w:rPr>
        <w:t xml:space="preserve"> (and its related loadings)</w:t>
      </w:r>
      <w:r w:rsidR="00C73ECD" w:rsidRPr="00634788">
        <w:rPr>
          <w:rFonts w:ascii="Times New Roman" w:hAnsi="Times New Roman" w:cs="Times New Roman"/>
          <w:sz w:val="24"/>
          <w:szCs w:val="24"/>
        </w:rPr>
        <w:t xml:space="preserve"> of the correlation matrix of </w:t>
      </w:r>
      <w:r w:rsidR="00C73ECD">
        <w:rPr>
          <w:rFonts w:ascii="Times New Roman" w:hAnsi="Times New Roman" w:cs="Times New Roman"/>
          <w:sz w:val="24"/>
          <w:szCs w:val="24"/>
        </w:rPr>
        <w:t xml:space="preserve">the </w:t>
      </w:r>
      <w:r w:rsidR="00ED4DDE">
        <w:rPr>
          <w:rFonts w:ascii="Times New Roman" w:hAnsi="Times New Roman" w:cs="Times New Roman"/>
          <w:sz w:val="24"/>
          <w:szCs w:val="24"/>
        </w:rPr>
        <w:t>29 governance attributes discussed earlier</w:t>
      </w:r>
      <w:r w:rsidR="00C73ECD">
        <w:rPr>
          <w:rFonts w:ascii="Times New Roman" w:hAnsi="Times New Roman" w:cs="Times New Roman"/>
          <w:sz w:val="24"/>
          <w:szCs w:val="24"/>
        </w:rPr>
        <w:t>. The</w:t>
      </w:r>
      <w:r w:rsidR="00C73ECD" w:rsidRPr="00634788">
        <w:rPr>
          <w:rFonts w:ascii="Times New Roman" w:hAnsi="Times New Roman" w:cs="Times New Roman"/>
          <w:sz w:val="24"/>
          <w:szCs w:val="24"/>
        </w:rPr>
        <w:t xml:space="preserve"> coefficients</w:t>
      </w:r>
      <w:r w:rsidR="00C73ECD">
        <w:rPr>
          <w:rFonts w:ascii="Times New Roman" w:hAnsi="Times New Roman" w:cs="Times New Roman"/>
          <w:sz w:val="24"/>
          <w:szCs w:val="24"/>
        </w:rPr>
        <w:t xml:space="preserve"> are rescaled</w:t>
      </w:r>
      <w:r w:rsidR="00C73ECD" w:rsidRPr="00634788">
        <w:rPr>
          <w:rFonts w:ascii="Times New Roman" w:hAnsi="Times New Roman" w:cs="Times New Roman"/>
          <w:sz w:val="24"/>
          <w:szCs w:val="24"/>
        </w:rPr>
        <w:t xml:space="preserve"> so that the index has unit variance</w:t>
      </w:r>
      <w:r w:rsidR="00C73ECD">
        <w:rPr>
          <w:rFonts w:ascii="Times New Roman" w:hAnsi="Times New Roman" w:cs="Times New Roman"/>
          <w:sz w:val="24"/>
          <w:szCs w:val="24"/>
        </w:rPr>
        <w:t>.</w:t>
      </w:r>
    </w:p>
    <w:p w14:paraId="24CED8D8" w14:textId="77777777" w:rsidR="0070203A" w:rsidRDefault="0070203A" w:rsidP="0070203A">
      <w:pPr>
        <w:pStyle w:val="ListParagraph"/>
        <w:tabs>
          <w:tab w:val="left" w:pos="567"/>
        </w:tabs>
        <w:spacing w:after="0" w:line="288" w:lineRule="auto"/>
        <w:ind w:left="0"/>
        <w:jc w:val="both"/>
        <w:rPr>
          <w:rFonts w:ascii="Times New Roman" w:hAnsi="Times New Roman" w:cs="Times New Roman"/>
          <w:sz w:val="24"/>
          <w:szCs w:val="24"/>
        </w:rPr>
      </w:pPr>
    </w:p>
    <w:p w14:paraId="20F9585D" w14:textId="77777777" w:rsidR="00BD3C1F" w:rsidRPr="0070203A" w:rsidRDefault="0057607C" w:rsidP="0070203A">
      <w:pPr>
        <w:tabs>
          <w:tab w:val="left" w:pos="567"/>
        </w:tabs>
        <w:spacing w:after="0" w:line="288" w:lineRule="auto"/>
        <w:jc w:val="both"/>
        <w:rPr>
          <w:rFonts w:ascii="Times New Roman" w:hAnsi="Times New Roman" w:cs="Times New Roman"/>
          <w:sz w:val="24"/>
          <w:szCs w:val="24"/>
        </w:rPr>
      </w:pPr>
      <w:r w:rsidRPr="0070203A">
        <w:rPr>
          <w:rFonts w:ascii="Times New Roman" w:hAnsi="Times New Roman" w:cs="Times New Roman"/>
          <w:b/>
          <w:bCs/>
          <w:sz w:val="24"/>
          <w:szCs w:val="24"/>
        </w:rPr>
        <w:t>Uncertaint</w:t>
      </w:r>
      <w:r w:rsidR="00BD3C1F" w:rsidRPr="0070203A">
        <w:rPr>
          <w:rFonts w:ascii="Times New Roman" w:hAnsi="Times New Roman" w:cs="Times New Roman"/>
          <w:b/>
          <w:bCs/>
          <w:sz w:val="24"/>
          <w:szCs w:val="24"/>
        </w:rPr>
        <w:t>y</w:t>
      </w:r>
    </w:p>
    <w:p w14:paraId="45C8E05A" w14:textId="77777777" w:rsidR="0070203A" w:rsidRPr="0070203A" w:rsidRDefault="0070203A" w:rsidP="0070203A">
      <w:pPr>
        <w:pStyle w:val="ListParagraph"/>
        <w:tabs>
          <w:tab w:val="left" w:pos="567"/>
        </w:tabs>
        <w:spacing w:after="0" w:line="288" w:lineRule="auto"/>
        <w:ind w:left="0"/>
        <w:jc w:val="both"/>
        <w:rPr>
          <w:rFonts w:ascii="Times New Roman" w:hAnsi="Times New Roman" w:cs="Times New Roman"/>
          <w:sz w:val="6"/>
          <w:szCs w:val="6"/>
        </w:rPr>
      </w:pPr>
    </w:p>
    <w:p w14:paraId="18FE4D85" w14:textId="1F096087" w:rsidR="00BB07C0" w:rsidRDefault="00BD3C1F" w:rsidP="0070203A">
      <w:pPr>
        <w:pStyle w:val="ListParagraph"/>
        <w:tabs>
          <w:tab w:val="left" w:pos="567"/>
        </w:tabs>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I</w:t>
      </w:r>
      <w:r w:rsidR="00FD7CD5">
        <w:rPr>
          <w:rFonts w:ascii="Times New Roman" w:hAnsi="Times New Roman" w:cs="Times New Roman"/>
          <w:sz w:val="24"/>
          <w:szCs w:val="24"/>
        </w:rPr>
        <w:t xml:space="preserve">nstead of VIX which was </w:t>
      </w:r>
      <w:r w:rsidR="00F0516C">
        <w:rPr>
          <w:rFonts w:ascii="Times New Roman" w:hAnsi="Times New Roman" w:cs="Times New Roman"/>
          <w:sz w:val="24"/>
          <w:szCs w:val="24"/>
        </w:rPr>
        <w:t xml:space="preserve">used so far </w:t>
      </w:r>
      <w:r w:rsidR="00FD7CD5">
        <w:rPr>
          <w:rFonts w:ascii="Times New Roman" w:hAnsi="Times New Roman" w:cs="Times New Roman"/>
          <w:sz w:val="24"/>
          <w:szCs w:val="24"/>
        </w:rPr>
        <w:t xml:space="preserve">in our main regressions, </w:t>
      </w:r>
      <w:r w:rsidR="0057607C">
        <w:rPr>
          <w:rFonts w:ascii="Times New Roman" w:hAnsi="Times New Roman" w:cs="Times New Roman"/>
          <w:sz w:val="24"/>
          <w:szCs w:val="24"/>
        </w:rPr>
        <w:t>w</w:t>
      </w:r>
      <w:r w:rsidR="00362E8D" w:rsidRPr="0057607C">
        <w:rPr>
          <w:rFonts w:ascii="Times New Roman" w:hAnsi="Times New Roman" w:cs="Times New Roman"/>
          <w:sz w:val="24"/>
          <w:szCs w:val="24"/>
        </w:rPr>
        <w:t xml:space="preserve">e use the detrended stock turnover level used in Connolly </w:t>
      </w:r>
      <w:r w:rsidR="00362E8D" w:rsidRPr="008D4AFE">
        <w:rPr>
          <w:rFonts w:ascii="Times New Roman" w:hAnsi="Times New Roman" w:cs="Times New Roman"/>
          <w:i/>
          <w:iCs/>
          <w:sz w:val="24"/>
          <w:szCs w:val="24"/>
        </w:rPr>
        <w:t>et al.</w:t>
      </w:r>
      <w:r w:rsidR="00362E8D" w:rsidRPr="0057607C">
        <w:rPr>
          <w:rFonts w:ascii="Times New Roman" w:hAnsi="Times New Roman" w:cs="Times New Roman"/>
          <w:sz w:val="24"/>
          <w:szCs w:val="24"/>
        </w:rPr>
        <w:t xml:space="preserve"> (2005)</w:t>
      </w:r>
      <w:r w:rsidR="003D34BE">
        <w:rPr>
          <w:rFonts w:ascii="Times New Roman" w:hAnsi="Times New Roman" w:cs="Times New Roman"/>
          <w:sz w:val="24"/>
          <w:szCs w:val="24"/>
        </w:rPr>
        <w:t xml:space="preserve"> as an alternative measure of uncertainty</w:t>
      </w:r>
      <w:r w:rsidR="00A1674D">
        <w:rPr>
          <w:rFonts w:ascii="Times New Roman" w:hAnsi="Times New Roman" w:cs="Times New Roman"/>
          <w:sz w:val="24"/>
          <w:szCs w:val="24"/>
        </w:rPr>
        <w:t>.</w:t>
      </w:r>
      <w:r w:rsidR="00D60E7D">
        <w:rPr>
          <w:rFonts w:ascii="Times New Roman" w:hAnsi="Times New Roman" w:cs="Times New Roman"/>
          <w:sz w:val="24"/>
          <w:szCs w:val="24"/>
        </w:rPr>
        <w:t xml:space="preserve"> </w:t>
      </w:r>
      <w:r w:rsidR="00C73ECD" w:rsidRPr="00C73ECD">
        <w:rPr>
          <w:rFonts w:ascii="Times New Roman" w:hAnsi="Times New Roman" w:cs="Times New Roman"/>
          <w:sz w:val="24"/>
          <w:szCs w:val="24"/>
        </w:rPr>
        <w:t xml:space="preserve">Prior </w:t>
      </w:r>
      <w:r w:rsidR="00C73ECD">
        <w:rPr>
          <w:rFonts w:ascii="Times New Roman" w:hAnsi="Times New Roman" w:cs="Times New Roman"/>
          <w:sz w:val="24"/>
          <w:szCs w:val="24"/>
        </w:rPr>
        <w:t>research</w:t>
      </w:r>
      <w:r w:rsidR="00C73ECD" w:rsidRPr="00C73ECD">
        <w:rPr>
          <w:rFonts w:ascii="Times New Roman" w:hAnsi="Times New Roman" w:cs="Times New Roman"/>
          <w:sz w:val="24"/>
          <w:szCs w:val="24"/>
        </w:rPr>
        <w:t xml:space="preserve"> </w:t>
      </w:r>
      <w:r w:rsidR="00C73ECD">
        <w:rPr>
          <w:rFonts w:ascii="Times New Roman" w:hAnsi="Times New Roman" w:cs="Times New Roman"/>
          <w:sz w:val="24"/>
          <w:szCs w:val="24"/>
        </w:rPr>
        <w:t xml:space="preserve">supports the use of stock </w:t>
      </w:r>
      <w:r w:rsidR="00C73ECD" w:rsidRPr="00C73ECD">
        <w:rPr>
          <w:rFonts w:ascii="Times New Roman" w:hAnsi="Times New Roman" w:cs="Times New Roman"/>
          <w:sz w:val="24"/>
          <w:szCs w:val="24"/>
        </w:rPr>
        <w:t xml:space="preserve">turnover </w:t>
      </w:r>
      <w:r w:rsidR="00C73ECD">
        <w:rPr>
          <w:rFonts w:ascii="Times New Roman" w:hAnsi="Times New Roman" w:cs="Times New Roman"/>
          <w:sz w:val="24"/>
          <w:szCs w:val="24"/>
        </w:rPr>
        <w:t>to measure uncertainty as it</w:t>
      </w:r>
      <w:r w:rsidR="00C73ECD" w:rsidRPr="00C73ECD">
        <w:rPr>
          <w:rFonts w:ascii="Times New Roman" w:hAnsi="Times New Roman" w:cs="Times New Roman"/>
          <w:sz w:val="24"/>
          <w:szCs w:val="24"/>
        </w:rPr>
        <w:t xml:space="preserve"> </w:t>
      </w:r>
      <w:r w:rsidR="00C73ECD">
        <w:rPr>
          <w:rFonts w:ascii="Times New Roman" w:hAnsi="Times New Roman" w:cs="Times New Roman"/>
          <w:sz w:val="24"/>
          <w:szCs w:val="24"/>
        </w:rPr>
        <w:t>reflects</w:t>
      </w:r>
      <w:r w:rsidR="00C73ECD" w:rsidRPr="00C73ECD">
        <w:rPr>
          <w:rFonts w:ascii="Times New Roman" w:hAnsi="Times New Roman" w:cs="Times New Roman"/>
          <w:sz w:val="24"/>
          <w:szCs w:val="24"/>
        </w:rPr>
        <w:t xml:space="preserve"> dispersion</w:t>
      </w:r>
      <w:r w:rsidR="00C73ECD">
        <w:rPr>
          <w:rFonts w:ascii="Times New Roman" w:hAnsi="Times New Roman" w:cs="Times New Roman"/>
          <w:sz w:val="24"/>
          <w:szCs w:val="24"/>
        </w:rPr>
        <w:t xml:space="preserve"> </w:t>
      </w:r>
      <w:r w:rsidR="00C73ECD" w:rsidRPr="00C73ECD">
        <w:rPr>
          <w:rFonts w:ascii="Times New Roman" w:hAnsi="Times New Roman" w:cs="Times New Roman"/>
          <w:sz w:val="24"/>
          <w:szCs w:val="24"/>
        </w:rPr>
        <w:t>in</w:t>
      </w:r>
      <w:r w:rsidR="00C73ECD">
        <w:rPr>
          <w:rFonts w:ascii="Times New Roman" w:hAnsi="Times New Roman" w:cs="Times New Roman"/>
          <w:sz w:val="24"/>
          <w:szCs w:val="24"/>
        </w:rPr>
        <w:t xml:space="preserve"> </w:t>
      </w:r>
      <w:r w:rsidR="00C73ECD" w:rsidRPr="00C73ECD">
        <w:rPr>
          <w:rFonts w:ascii="Times New Roman" w:hAnsi="Times New Roman" w:cs="Times New Roman"/>
          <w:sz w:val="24"/>
          <w:szCs w:val="24"/>
        </w:rPr>
        <w:t xml:space="preserve">beliefs </w:t>
      </w:r>
      <w:r w:rsidR="00C73ECD">
        <w:rPr>
          <w:rFonts w:ascii="Times New Roman" w:hAnsi="Times New Roman" w:cs="Times New Roman"/>
          <w:sz w:val="24"/>
          <w:szCs w:val="24"/>
        </w:rPr>
        <w:t>among market participants and/or</w:t>
      </w:r>
      <w:r w:rsidR="00C73ECD" w:rsidRPr="00C73ECD">
        <w:rPr>
          <w:rFonts w:ascii="Times New Roman" w:hAnsi="Times New Roman" w:cs="Times New Roman"/>
          <w:sz w:val="24"/>
          <w:szCs w:val="24"/>
        </w:rPr>
        <w:t xml:space="preserve"> </w:t>
      </w:r>
      <w:r w:rsidR="00C73ECD">
        <w:rPr>
          <w:rFonts w:ascii="Times New Roman" w:hAnsi="Times New Roman" w:cs="Times New Roman"/>
          <w:sz w:val="24"/>
          <w:szCs w:val="24"/>
        </w:rPr>
        <w:t>the</w:t>
      </w:r>
      <w:r w:rsidR="00C73ECD" w:rsidRPr="00C73ECD">
        <w:rPr>
          <w:rFonts w:ascii="Times New Roman" w:hAnsi="Times New Roman" w:cs="Times New Roman"/>
          <w:sz w:val="24"/>
          <w:szCs w:val="24"/>
        </w:rPr>
        <w:t xml:space="preserve"> changes in the investment opportunity set</w:t>
      </w:r>
      <w:r w:rsidR="00C73ECD">
        <w:rPr>
          <w:rFonts w:ascii="Times New Roman" w:hAnsi="Times New Roman" w:cs="Times New Roman"/>
          <w:sz w:val="24"/>
          <w:szCs w:val="24"/>
        </w:rPr>
        <w:t>, both of which are linked to uncertainty (</w:t>
      </w:r>
      <w:r w:rsidR="00C73ECD" w:rsidRPr="0057607C">
        <w:rPr>
          <w:rFonts w:ascii="Times New Roman" w:hAnsi="Times New Roman" w:cs="Times New Roman"/>
          <w:sz w:val="24"/>
          <w:szCs w:val="24"/>
        </w:rPr>
        <w:t xml:space="preserve">Connolly </w:t>
      </w:r>
      <w:r w:rsidR="006D1807" w:rsidRPr="006D1807">
        <w:rPr>
          <w:rFonts w:ascii="Times New Roman" w:hAnsi="Times New Roman" w:cs="Times New Roman"/>
          <w:i/>
          <w:iCs/>
          <w:sz w:val="24"/>
          <w:szCs w:val="24"/>
        </w:rPr>
        <w:t>et al.</w:t>
      </w:r>
      <w:r w:rsidR="00C73ECD">
        <w:rPr>
          <w:rFonts w:ascii="Times New Roman" w:hAnsi="Times New Roman" w:cs="Times New Roman"/>
          <w:sz w:val="24"/>
          <w:szCs w:val="24"/>
        </w:rPr>
        <w:t xml:space="preserve"> </w:t>
      </w:r>
      <w:r w:rsidR="00C73ECD" w:rsidRPr="0057607C">
        <w:rPr>
          <w:rFonts w:ascii="Times New Roman" w:hAnsi="Times New Roman" w:cs="Times New Roman"/>
          <w:sz w:val="24"/>
          <w:szCs w:val="24"/>
        </w:rPr>
        <w:t>2005</w:t>
      </w:r>
      <w:r w:rsidR="00C73ECD">
        <w:rPr>
          <w:rFonts w:ascii="Times New Roman" w:hAnsi="Times New Roman" w:cs="Times New Roman"/>
          <w:sz w:val="24"/>
          <w:szCs w:val="24"/>
        </w:rPr>
        <w:t xml:space="preserve">). </w:t>
      </w:r>
      <w:r w:rsidR="00D60E7D" w:rsidRPr="00D60E7D">
        <w:rPr>
          <w:rFonts w:ascii="Times New Roman" w:hAnsi="Times New Roman" w:cs="Times New Roman"/>
          <w:sz w:val="24"/>
          <w:szCs w:val="24"/>
        </w:rPr>
        <w:t xml:space="preserve">We </w:t>
      </w:r>
      <w:r w:rsidR="00D60E7D">
        <w:rPr>
          <w:rFonts w:ascii="Times New Roman" w:hAnsi="Times New Roman" w:cs="Times New Roman"/>
          <w:sz w:val="24"/>
          <w:szCs w:val="24"/>
        </w:rPr>
        <w:t>measure</w:t>
      </w:r>
      <w:r w:rsidR="00D60E7D" w:rsidRPr="00D60E7D">
        <w:rPr>
          <w:rFonts w:ascii="Times New Roman" w:hAnsi="Times New Roman" w:cs="Times New Roman"/>
          <w:sz w:val="24"/>
          <w:szCs w:val="24"/>
        </w:rPr>
        <w:t xml:space="preserve"> turnover </w:t>
      </w:r>
      <w:r w:rsidR="00BB07C0" w:rsidRPr="00D60E7D">
        <w:rPr>
          <w:rFonts w:ascii="Times New Roman" w:hAnsi="Times New Roman" w:cs="Times New Roman"/>
          <w:sz w:val="24"/>
          <w:szCs w:val="24"/>
        </w:rPr>
        <w:t>as the</w:t>
      </w:r>
      <w:r w:rsidR="00D60E7D" w:rsidRPr="00D60E7D">
        <w:rPr>
          <w:rFonts w:ascii="Times New Roman" w:hAnsi="Times New Roman" w:cs="Times New Roman"/>
          <w:sz w:val="24"/>
          <w:szCs w:val="24"/>
        </w:rPr>
        <w:t xml:space="preserve"> </w:t>
      </w:r>
      <w:r w:rsidR="00BB07C0" w:rsidRPr="00D60E7D">
        <w:rPr>
          <w:rFonts w:ascii="Times New Roman" w:hAnsi="Times New Roman" w:cs="Times New Roman"/>
          <w:sz w:val="24"/>
          <w:szCs w:val="24"/>
        </w:rPr>
        <w:t xml:space="preserve">average </w:t>
      </w:r>
      <w:r w:rsidR="00D60E7D" w:rsidRPr="00D60E7D">
        <w:rPr>
          <w:rFonts w:ascii="Times New Roman" w:hAnsi="Times New Roman" w:cs="Times New Roman"/>
          <w:sz w:val="24"/>
          <w:szCs w:val="24"/>
        </w:rPr>
        <w:t xml:space="preserve">daily scaled </w:t>
      </w:r>
      <w:r w:rsidR="00BB07C0" w:rsidRPr="00D60E7D">
        <w:rPr>
          <w:rFonts w:ascii="Times New Roman" w:hAnsi="Times New Roman" w:cs="Times New Roman"/>
          <w:sz w:val="24"/>
          <w:szCs w:val="24"/>
        </w:rPr>
        <w:t>turnover</w:t>
      </w:r>
      <w:r w:rsidR="00D60E7D" w:rsidRPr="00D60E7D">
        <w:rPr>
          <w:rFonts w:ascii="Times New Roman" w:hAnsi="Times New Roman" w:cs="Times New Roman"/>
          <w:sz w:val="24"/>
          <w:szCs w:val="24"/>
        </w:rPr>
        <w:t xml:space="preserve"> (shares traded divided by shares outstanding)</w:t>
      </w:r>
      <w:r w:rsidR="00BB07C0" w:rsidRPr="00D60E7D">
        <w:rPr>
          <w:rFonts w:ascii="Times New Roman" w:hAnsi="Times New Roman" w:cs="Times New Roman"/>
          <w:sz w:val="24"/>
          <w:szCs w:val="24"/>
        </w:rPr>
        <w:t xml:space="preserve"> of the firms</w:t>
      </w:r>
      <w:r w:rsidR="00D60E7D" w:rsidRPr="00D60E7D">
        <w:rPr>
          <w:rFonts w:ascii="Times New Roman" w:hAnsi="Times New Roman" w:cs="Times New Roman"/>
          <w:sz w:val="24"/>
          <w:szCs w:val="24"/>
        </w:rPr>
        <w:t xml:space="preserve"> with the largest market capitalization (Top 10</w:t>
      </w:r>
      <w:r w:rsidR="008D4AFE">
        <w:rPr>
          <w:rFonts w:ascii="Times New Roman" w:hAnsi="Times New Roman" w:cs="Times New Roman"/>
          <w:sz w:val="24"/>
          <w:szCs w:val="24"/>
        </w:rPr>
        <w:t xml:space="preserve"> percent</w:t>
      </w:r>
      <w:r w:rsidR="00D60E7D" w:rsidRPr="00D60E7D">
        <w:rPr>
          <w:rFonts w:ascii="Times New Roman" w:hAnsi="Times New Roman" w:cs="Times New Roman"/>
          <w:sz w:val="24"/>
          <w:szCs w:val="24"/>
        </w:rPr>
        <w:t>)</w:t>
      </w:r>
      <w:r w:rsidR="00BB07C0" w:rsidRPr="00D60E7D">
        <w:rPr>
          <w:rFonts w:ascii="Times New Roman" w:hAnsi="Times New Roman" w:cs="Times New Roman"/>
          <w:sz w:val="24"/>
          <w:szCs w:val="24"/>
        </w:rPr>
        <w:t>.</w:t>
      </w:r>
      <w:r w:rsidR="00D60E7D" w:rsidRPr="00D60E7D">
        <w:rPr>
          <w:rFonts w:ascii="Times New Roman" w:hAnsi="Times New Roman" w:cs="Times New Roman"/>
          <w:sz w:val="24"/>
          <w:szCs w:val="24"/>
        </w:rPr>
        <w:t xml:space="preserve"> As highlighted in Connolly </w:t>
      </w:r>
      <w:r w:rsidR="00D60E7D" w:rsidRPr="008D4AFE">
        <w:rPr>
          <w:rFonts w:ascii="Times New Roman" w:hAnsi="Times New Roman" w:cs="Times New Roman"/>
          <w:i/>
          <w:iCs/>
          <w:sz w:val="24"/>
          <w:szCs w:val="24"/>
        </w:rPr>
        <w:t>et al.</w:t>
      </w:r>
      <w:r w:rsidR="00D60E7D" w:rsidRPr="00D60E7D">
        <w:rPr>
          <w:rFonts w:ascii="Times New Roman" w:hAnsi="Times New Roman" w:cs="Times New Roman"/>
          <w:sz w:val="24"/>
          <w:szCs w:val="24"/>
        </w:rPr>
        <w:t xml:space="preserve"> (2005)</w:t>
      </w:r>
      <w:r w:rsidR="00A626E1">
        <w:rPr>
          <w:rFonts w:ascii="Times New Roman" w:hAnsi="Times New Roman" w:cs="Times New Roman"/>
          <w:sz w:val="24"/>
          <w:szCs w:val="24"/>
        </w:rPr>
        <w:t>,</w:t>
      </w:r>
      <w:r w:rsidR="00D60E7D" w:rsidRPr="00D60E7D">
        <w:rPr>
          <w:rFonts w:ascii="Times New Roman" w:hAnsi="Times New Roman" w:cs="Times New Roman"/>
          <w:sz w:val="24"/>
          <w:szCs w:val="24"/>
        </w:rPr>
        <w:t xml:space="preserve"> such approach helps approximate the overall market conditions while avoiding any noise from uninformative trading of small stocks.</w:t>
      </w:r>
      <w:r w:rsidR="00BB07C0" w:rsidRPr="00D60E7D">
        <w:rPr>
          <w:rFonts w:ascii="Times New Roman" w:hAnsi="Times New Roman" w:cs="Times New Roman"/>
          <w:sz w:val="24"/>
          <w:szCs w:val="24"/>
        </w:rPr>
        <w:t xml:space="preserve"> </w:t>
      </w:r>
      <w:r w:rsidR="00A626E1">
        <w:rPr>
          <w:rFonts w:ascii="Times New Roman" w:hAnsi="Times New Roman" w:cs="Times New Roman"/>
          <w:sz w:val="24"/>
          <w:szCs w:val="24"/>
        </w:rPr>
        <w:t>Next, we de-trend our turnover measure using a five-day moving average, which allows us to reduce noise and avoid day of the week effect (</w:t>
      </w:r>
      <w:r w:rsidR="00A626E1" w:rsidRPr="00D60E7D">
        <w:rPr>
          <w:rFonts w:ascii="Times New Roman" w:hAnsi="Times New Roman" w:cs="Times New Roman"/>
          <w:sz w:val="24"/>
          <w:szCs w:val="24"/>
        </w:rPr>
        <w:t xml:space="preserve">Connolly </w:t>
      </w:r>
      <w:r w:rsidR="006D1807" w:rsidRPr="006D1807">
        <w:rPr>
          <w:rFonts w:ascii="Times New Roman" w:hAnsi="Times New Roman" w:cs="Times New Roman"/>
          <w:i/>
          <w:iCs/>
          <w:sz w:val="24"/>
          <w:szCs w:val="24"/>
        </w:rPr>
        <w:t>et al.</w:t>
      </w:r>
      <w:r w:rsidR="00A626E1">
        <w:rPr>
          <w:rFonts w:ascii="Times New Roman" w:hAnsi="Times New Roman" w:cs="Times New Roman"/>
          <w:sz w:val="24"/>
          <w:szCs w:val="24"/>
        </w:rPr>
        <w:t xml:space="preserve"> </w:t>
      </w:r>
      <w:r w:rsidR="00A626E1" w:rsidRPr="00D60E7D">
        <w:rPr>
          <w:rFonts w:ascii="Times New Roman" w:hAnsi="Times New Roman" w:cs="Times New Roman"/>
          <w:sz w:val="24"/>
          <w:szCs w:val="24"/>
        </w:rPr>
        <w:t>2005</w:t>
      </w:r>
      <w:r w:rsidR="00A626E1">
        <w:rPr>
          <w:rFonts w:ascii="Times New Roman" w:hAnsi="Times New Roman" w:cs="Times New Roman"/>
          <w:sz w:val="24"/>
          <w:szCs w:val="24"/>
        </w:rPr>
        <w:t>)</w:t>
      </w:r>
      <w:r w:rsidR="000B7071">
        <w:rPr>
          <w:rStyle w:val="EndnoteReference"/>
          <w:rFonts w:ascii="Times New Roman" w:hAnsi="Times New Roman" w:cs="Times New Roman"/>
          <w:sz w:val="24"/>
          <w:szCs w:val="24"/>
        </w:rPr>
        <w:endnoteReference w:id="13"/>
      </w:r>
      <w:r w:rsidR="000B7071">
        <w:rPr>
          <w:rFonts w:ascii="Times New Roman" w:hAnsi="Times New Roman" w:cs="Times New Roman"/>
          <w:sz w:val="24"/>
          <w:szCs w:val="24"/>
        </w:rPr>
        <w:t>.</w:t>
      </w:r>
    </w:p>
    <w:p w14:paraId="380B4621" w14:textId="77777777" w:rsidR="00AA7196" w:rsidRPr="00D60E7D" w:rsidRDefault="00AA7196" w:rsidP="0070203A">
      <w:pPr>
        <w:pStyle w:val="ListParagraph"/>
        <w:tabs>
          <w:tab w:val="left" w:pos="567"/>
        </w:tabs>
        <w:spacing w:after="0" w:line="288" w:lineRule="auto"/>
        <w:ind w:left="0"/>
        <w:jc w:val="both"/>
        <w:rPr>
          <w:rFonts w:ascii="Times New Roman" w:hAnsi="Times New Roman" w:cs="Times New Roman"/>
          <w:sz w:val="24"/>
          <w:szCs w:val="24"/>
        </w:rPr>
      </w:pPr>
    </w:p>
    <w:p w14:paraId="10F3E18C" w14:textId="77777777" w:rsidR="00154F0B" w:rsidRPr="0070203A" w:rsidRDefault="0057607C" w:rsidP="0070203A">
      <w:pPr>
        <w:tabs>
          <w:tab w:val="left" w:pos="567"/>
        </w:tabs>
        <w:spacing w:after="0" w:line="288" w:lineRule="auto"/>
        <w:jc w:val="both"/>
        <w:rPr>
          <w:rFonts w:ascii="Times New Roman" w:hAnsi="Times New Roman" w:cs="Times New Roman"/>
          <w:sz w:val="24"/>
          <w:szCs w:val="24"/>
        </w:rPr>
      </w:pPr>
      <w:r w:rsidRPr="0070203A">
        <w:rPr>
          <w:rFonts w:ascii="Times New Roman" w:hAnsi="Times New Roman" w:cs="Times New Roman"/>
          <w:b/>
          <w:bCs/>
          <w:sz w:val="24"/>
          <w:szCs w:val="24"/>
        </w:rPr>
        <w:t>Sentiment</w:t>
      </w:r>
    </w:p>
    <w:p w14:paraId="14A85648" w14:textId="77777777" w:rsidR="0070203A" w:rsidRPr="0070203A" w:rsidRDefault="0070203A" w:rsidP="0070203A">
      <w:pPr>
        <w:pStyle w:val="ListParagraph"/>
        <w:tabs>
          <w:tab w:val="left" w:pos="567"/>
        </w:tabs>
        <w:spacing w:after="0" w:line="288" w:lineRule="auto"/>
        <w:ind w:left="0"/>
        <w:jc w:val="both"/>
        <w:rPr>
          <w:rFonts w:ascii="Times New Roman" w:hAnsi="Times New Roman" w:cs="Times New Roman"/>
          <w:sz w:val="6"/>
          <w:szCs w:val="6"/>
        </w:rPr>
      </w:pPr>
    </w:p>
    <w:p w14:paraId="64F376B9" w14:textId="51924C55" w:rsidR="00543C6B" w:rsidRDefault="00154F0B" w:rsidP="0070203A">
      <w:pPr>
        <w:pStyle w:val="ListParagraph"/>
        <w:tabs>
          <w:tab w:val="left" w:pos="567"/>
        </w:tabs>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W</w:t>
      </w:r>
      <w:r w:rsidR="00DB26EB">
        <w:rPr>
          <w:rFonts w:ascii="Times New Roman" w:hAnsi="Times New Roman" w:cs="Times New Roman"/>
          <w:sz w:val="24"/>
          <w:szCs w:val="24"/>
        </w:rPr>
        <w:t xml:space="preserve">e use the six factors </w:t>
      </w:r>
      <w:r w:rsidR="00FD7CD5">
        <w:rPr>
          <w:rFonts w:ascii="Times New Roman" w:hAnsi="Times New Roman" w:cs="Times New Roman"/>
          <w:sz w:val="24"/>
          <w:szCs w:val="24"/>
        </w:rPr>
        <w:t>s</w:t>
      </w:r>
      <w:r w:rsidR="00DB26EB">
        <w:rPr>
          <w:rFonts w:ascii="Times New Roman" w:hAnsi="Times New Roman" w:cs="Times New Roman"/>
          <w:sz w:val="24"/>
          <w:szCs w:val="24"/>
        </w:rPr>
        <w:t xml:space="preserve">entiment </w:t>
      </w:r>
      <w:r w:rsidR="00FD7CD5">
        <w:rPr>
          <w:rFonts w:ascii="Times New Roman" w:hAnsi="Times New Roman" w:cs="Times New Roman"/>
          <w:sz w:val="24"/>
          <w:szCs w:val="24"/>
        </w:rPr>
        <w:t>i</w:t>
      </w:r>
      <w:r w:rsidR="00DB26EB">
        <w:rPr>
          <w:rFonts w:ascii="Times New Roman" w:hAnsi="Times New Roman" w:cs="Times New Roman"/>
          <w:sz w:val="24"/>
          <w:szCs w:val="24"/>
        </w:rPr>
        <w:t>ndex introduced in Baker and Wurgler (</w:t>
      </w:r>
      <w:r w:rsidR="00DB26EB" w:rsidRPr="00872C3D">
        <w:rPr>
          <w:rFonts w:ascii="Times New Roman" w:hAnsi="Times New Roman" w:cs="Times New Roman"/>
          <w:sz w:val="24"/>
          <w:szCs w:val="24"/>
        </w:rPr>
        <w:t>2006</w:t>
      </w:r>
      <w:r w:rsidR="00DB26EB">
        <w:rPr>
          <w:rFonts w:ascii="Times New Roman" w:hAnsi="Times New Roman" w:cs="Times New Roman"/>
          <w:sz w:val="24"/>
          <w:szCs w:val="24"/>
        </w:rPr>
        <w:t>)</w:t>
      </w:r>
      <w:r w:rsidR="003D34BE">
        <w:rPr>
          <w:rFonts w:ascii="Times New Roman" w:hAnsi="Times New Roman" w:cs="Times New Roman"/>
          <w:sz w:val="24"/>
          <w:szCs w:val="24"/>
        </w:rPr>
        <w:t xml:space="preserve"> as an alternative </w:t>
      </w:r>
      <w:r w:rsidR="00FD7CD5">
        <w:rPr>
          <w:rFonts w:ascii="Times New Roman" w:hAnsi="Times New Roman" w:cs="Times New Roman"/>
          <w:sz w:val="24"/>
          <w:szCs w:val="24"/>
        </w:rPr>
        <w:t xml:space="preserve">measure to </w:t>
      </w:r>
      <w:r w:rsidR="00F0516C">
        <w:rPr>
          <w:rFonts w:ascii="Times New Roman" w:hAnsi="Times New Roman" w:cs="Times New Roman"/>
          <w:sz w:val="24"/>
          <w:szCs w:val="24"/>
        </w:rPr>
        <w:t xml:space="preserve">index returns </w:t>
      </w:r>
      <w:r w:rsidR="00FD7CD5">
        <w:rPr>
          <w:rFonts w:ascii="Times New Roman" w:hAnsi="Times New Roman" w:cs="Times New Roman"/>
          <w:sz w:val="24"/>
          <w:szCs w:val="24"/>
        </w:rPr>
        <w:t xml:space="preserve">which we have used so far to measure market </w:t>
      </w:r>
      <w:r w:rsidR="003D34BE">
        <w:rPr>
          <w:rFonts w:ascii="Times New Roman" w:hAnsi="Times New Roman" w:cs="Times New Roman"/>
          <w:sz w:val="24"/>
          <w:szCs w:val="24"/>
        </w:rPr>
        <w:t>sentiment</w:t>
      </w:r>
      <w:r w:rsidR="000B7071">
        <w:rPr>
          <w:rStyle w:val="EndnoteReference"/>
          <w:rFonts w:ascii="Times New Roman" w:hAnsi="Times New Roman" w:cs="Times New Roman"/>
          <w:sz w:val="24"/>
          <w:szCs w:val="24"/>
        </w:rPr>
        <w:endnoteReference w:id="14"/>
      </w:r>
      <w:r w:rsidR="000B7071">
        <w:rPr>
          <w:rFonts w:ascii="Times New Roman" w:hAnsi="Times New Roman" w:cs="Times New Roman"/>
          <w:sz w:val="24"/>
          <w:szCs w:val="24"/>
        </w:rPr>
        <w:t>.</w:t>
      </w:r>
      <w:r w:rsidR="00DB26EB">
        <w:rPr>
          <w:rFonts w:ascii="Times New Roman" w:hAnsi="Times New Roman" w:cs="Times New Roman"/>
          <w:sz w:val="24"/>
          <w:szCs w:val="24"/>
        </w:rPr>
        <w:t xml:space="preserve"> Baker and Wurgler build a monthly sentiment index based on the first principal component of six different sentiment proxies</w:t>
      </w:r>
      <w:r w:rsidR="000B7071">
        <w:rPr>
          <w:rStyle w:val="EndnoteReference"/>
          <w:rFonts w:ascii="Times New Roman" w:hAnsi="Times New Roman" w:cs="Times New Roman"/>
          <w:sz w:val="24"/>
          <w:szCs w:val="24"/>
        </w:rPr>
        <w:endnoteReference w:id="15"/>
      </w:r>
      <w:r w:rsidR="000B7071">
        <w:rPr>
          <w:rFonts w:ascii="Times New Roman" w:hAnsi="Times New Roman" w:cs="Times New Roman"/>
          <w:sz w:val="24"/>
          <w:szCs w:val="24"/>
        </w:rPr>
        <w:t>.</w:t>
      </w:r>
      <w:r w:rsidR="0070203A">
        <w:rPr>
          <w:rFonts w:ascii="Times New Roman" w:hAnsi="Times New Roman" w:cs="Times New Roman"/>
          <w:sz w:val="24"/>
          <w:szCs w:val="24"/>
        </w:rPr>
        <w:t xml:space="preserve">  </w:t>
      </w:r>
      <w:r w:rsidR="00FF4FB4" w:rsidRPr="008D4AFE">
        <w:rPr>
          <w:rFonts w:ascii="Times New Roman" w:hAnsi="Times New Roman" w:cs="Times New Roman"/>
          <w:sz w:val="24"/>
          <w:szCs w:val="24"/>
        </w:rPr>
        <w:t>Table 6</w:t>
      </w:r>
      <w:r w:rsidR="00FF4FB4">
        <w:rPr>
          <w:rFonts w:ascii="Times New Roman" w:hAnsi="Times New Roman" w:cs="Times New Roman"/>
          <w:i/>
          <w:iCs/>
          <w:sz w:val="24"/>
          <w:szCs w:val="24"/>
        </w:rPr>
        <w:t xml:space="preserve"> </w:t>
      </w:r>
      <w:r w:rsidR="00FF4FB4">
        <w:rPr>
          <w:rFonts w:ascii="Times New Roman" w:hAnsi="Times New Roman" w:cs="Times New Roman"/>
          <w:sz w:val="24"/>
          <w:szCs w:val="24"/>
        </w:rPr>
        <w:t xml:space="preserve">shows the results derived by applying the same analysis as that used when preparing </w:t>
      </w:r>
      <w:r w:rsidR="00FF4FB4" w:rsidRPr="008D4AFE">
        <w:rPr>
          <w:rFonts w:ascii="Times New Roman" w:hAnsi="Times New Roman" w:cs="Times New Roman"/>
          <w:sz w:val="24"/>
          <w:szCs w:val="24"/>
        </w:rPr>
        <w:t xml:space="preserve">Table 3 </w:t>
      </w:r>
      <w:r w:rsidR="00FF4FB4">
        <w:rPr>
          <w:rFonts w:ascii="Times New Roman" w:hAnsi="Times New Roman" w:cs="Times New Roman"/>
          <w:sz w:val="24"/>
          <w:szCs w:val="24"/>
        </w:rPr>
        <w:t xml:space="preserve">but using these alternative measures for each of governance, uncertainty and </w:t>
      </w:r>
      <w:r w:rsidR="00FF4FB4" w:rsidRPr="00F41A21">
        <w:rPr>
          <w:rFonts w:ascii="Times New Roman" w:hAnsi="Times New Roman" w:cs="Times New Roman"/>
          <w:sz w:val="24"/>
          <w:szCs w:val="24"/>
        </w:rPr>
        <w:t>sentiment</w:t>
      </w:r>
      <w:r w:rsidR="000B7071">
        <w:rPr>
          <w:rStyle w:val="EndnoteReference"/>
          <w:rFonts w:ascii="Times New Roman" w:hAnsi="Times New Roman" w:cs="Times New Roman"/>
          <w:sz w:val="24"/>
          <w:szCs w:val="24"/>
        </w:rPr>
        <w:endnoteReference w:id="16"/>
      </w:r>
      <w:r w:rsidR="000B7071" w:rsidRPr="00F41A21">
        <w:rPr>
          <w:rFonts w:ascii="Times New Roman" w:hAnsi="Times New Roman" w:cs="Times New Roman"/>
          <w:sz w:val="24"/>
          <w:szCs w:val="24"/>
        </w:rPr>
        <w:t>.</w:t>
      </w:r>
      <w:r w:rsidR="00FF4FB4" w:rsidRPr="00F41A21">
        <w:rPr>
          <w:rFonts w:ascii="Times New Roman" w:hAnsi="Times New Roman" w:cs="Times New Roman"/>
          <w:sz w:val="24"/>
          <w:szCs w:val="24"/>
        </w:rPr>
        <w:t xml:space="preserve"> We find that our main findings generally hold even after using an alternative set of measures</w:t>
      </w:r>
      <w:r w:rsidR="00FF4FB4">
        <w:rPr>
          <w:rFonts w:ascii="Times New Roman" w:hAnsi="Times New Roman" w:cs="Times New Roman"/>
          <w:sz w:val="24"/>
          <w:szCs w:val="24"/>
        </w:rPr>
        <w:t xml:space="preserve"> for the major variables</w:t>
      </w:r>
      <w:r w:rsidR="00FF4FB4" w:rsidRPr="00F41A21">
        <w:rPr>
          <w:rFonts w:ascii="Times New Roman" w:hAnsi="Times New Roman" w:cs="Times New Roman"/>
          <w:sz w:val="24"/>
          <w:szCs w:val="24"/>
        </w:rPr>
        <w:t>.</w:t>
      </w:r>
      <w:r w:rsidR="00FF4FB4">
        <w:rPr>
          <w:rFonts w:ascii="Times New Roman" w:hAnsi="Times New Roman" w:cs="Times New Roman"/>
          <w:sz w:val="24"/>
          <w:szCs w:val="24"/>
        </w:rPr>
        <w:t xml:space="preserve"> Namely, we find that governance significantly increases investors’ reactions to earnings announcements and that it plays a more important role than uncertainty or sentiment during the announcement period. We also find that this role becomes insignificant during the post-announcement period in </w:t>
      </w:r>
      <w:r w:rsidR="00D97F41">
        <w:rPr>
          <w:rFonts w:ascii="Times New Roman" w:hAnsi="Times New Roman" w:cs="Times New Roman"/>
          <w:sz w:val="24"/>
          <w:szCs w:val="24"/>
        </w:rPr>
        <w:t>favour</w:t>
      </w:r>
      <w:r w:rsidR="00FF4FB4">
        <w:rPr>
          <w:rFonts w:ascii="Times New Roman" w:hAnsi="Times New Roman" w:cs="Times New Roman"/>
          <w:sz w:val="24"/>
          <w:szCs w:val="24"/>
        </w:rPr>
        <w:t xml:space="preserve"> of the prevailing uncertainty and sentiment conditions. </w:t>
      </w:r>
    </w:p>
    <w:p w14:paraId="748729E0" w14:textId="77777777" w:rsidR="00741FD1" w:rsidRDefault="00741FD1" w:rsidP="0070203A">
      <w:pPr>
        <w:pStyle w:val="ListParagraph"/>
        <w:tabs>
          <w:tab w:val="left" w:pos="567"/>
        </w:tabs>
        <w:spacing w:after="0" w:line="288" w:lineRule="auto"/>
        <w:ind w:left="0"/>
        <w:jc w:val="both"/>
        <w:rPr>
          <w:rFonts w:ascii="Times New Roman" w:hAnsi="Times New Roman" w:cs="Times New Roman"/>
          <w:sz w:val="24"/>
          <w:szCs w:val="24"/>
        </w:rPr>
      </w:pPr>
    </w:p>
    <w:p w14:paraId="23C8D892" w14:textId="77777777" w:rsidR="00741FD1" w:rsidRDefault="00741FD1">
      <w:r>
        <w:br w:type="page"/>
      </w:r>
    </w:p>
    <w:tbl>
      <w:tblPr>
        <w:tblStyle w:val="TableGrid"/>
        <w:tblW w:w="9265" w:type="dxa"/>
        <w:jc w:val="center"/>
        <w:tblLayout w:type="fixed"/>
        <w:tblLook w:val="04A0" w:firstRow="1" w:lastRow="0" w:firstColumn="1" w:lastColumn="0" w:noHBand="0" w:noVBand="1"/>
      </w:tblPr>
      <w:tblGrid>
        <w:gridCol w:w="4206"/>
        <w:gridCol w:w="2410"/>
        <w:gridCol w:w="2649"/>
      </w:tblGrid>
      <w:tr w:rsidR="00C623E5" w:rsidRPr="002E1EC0" w14:paraId="6969AA30" w14:textId="77777777" w:rsidTr="006A5C09">
        <w:trPr>
          <w:jc w:val="center"/>
        </w:trPr>
        <w:tc>
          <w:tcPr>
            <w:tcW w:w="9265" w:type="dxa"/>
            <w:gridSpan w:val="3"/>
            <w:tcBorders>
              <w:top w:val="nil"/>
              <w:left w:val="nil"/>
              <w:bottom w:val="single" w:sz="8" w:space="0" w:color="auto"/>
              <w:right w:val="nil"/>
            </w:tcBorders>
            <w:vAlign w:val="center"/>
          </w:tcPr>
          <w:p w14:paraId="37103133" w14:textId="2052CE80" w:rsidR="00C623E5" w:rsidRPr="00987744" w:rsidRDefault="00C623E5" w:rsidP="00DF6C6A">
            <w:pPr>
              <w:tabs>
                <w:tab w:val="left" w:pos="567"/>
              </w:tabs>
              <w:jc w:val="center"/>
              <w:rPr>
                <w:rFonts w:asciiTheme="majorBidi" w:hAnsiTheme="majorBidi" w:cstheme="majorBidi"/>
                <w:b/>
                <w:bCs/>
                <w:color w:val="000000"/>
              </w:rPr>
            </w:pPr>
            <w:r w:rsidRPr="00987744">
              <w:rPr>
                <w:rFonts w:asciiTheme="majorBidi" w:hAnsiTheme="majorBidi" w:cstheme="majorBidi"/>
                <w:b/>
                <w:bCs/>
                <w:color w:val="000000"/>
              </w:rPr>
              <w:lastRenderedPageBreak/>
              <w:t xml:space="preserve">Table 6:  Robustness TestsTesting the Sensitivity of our Results </w:t>
            </w:r>
          </w:p>
          <w:p w14:paraId="033C400E" w14:textId="77777777" w:rsidR="00C623E5" w:rsidRPr="00154F0B" w:rsidRDefault="00C623E5" w:rsidP="00DF6C6A">
            <w:pPr>
              <w:tabs>
                <w:tab w:val="left" w:pos="567"/>
              </w:tabs>
              <w:jc w:val="center"/>
              <w:rPr>
                <w:rFonts w:asciiTheme="majorBidi" w:hAnsiTheme="majorBidi" w:cstheme="majorBidi"/>
                <w:color w:val="000000"/>
              </w:rPr>
            </w:pPr>
            <w:r w:rsidRPr="00154F0B">
              <w:rPr>
                <w:rFonts w:asciiTheme="majorBidi" w:hAnsiTheme="majorBidi" w:cstheme="majorBidi"/>
                <w:color w:val="000000"/>
              </w:rPr>
              <w:t>to Alternatives Measures of Governance, Uncertainty and Sentiment</w:t>
            </w:r>
          </w:p>
          <w:p w14:paraId="39721A59" w14:textId="77777777" w:rsidR="00C623E5" w:rsidRPr="00987744" w:rsidRDefault="00C623E5" w:rsidP="00DF6C6A">
            <w:pPr>
              <w:tabs>
                <w:tab w:val="left" w:pos="567"/>
              </w:tabs>
              <w:spacing w:line="288" w:lineRule="auto"/>
              <w:jc w:val="both"/>
              <w:rPr>
                <w:rFonts w:asciiTheme="majorBidi" w:hAnsiTheme="majorBidi" w:cstheme="majorBidi"/>
                <w:b/>
                <w:bCs/>
                <w:color w:val="000000"/>
                <w:sz w:val="8"/>
                <w:szCs w:val="8"/>
              </w:rPr>
            </w:pPr>
          </w:p>
        </w:tc>
      </w:tr>
      <w:tr w:rsidR="00C623E5" w14:paraId="650F9B59" w14:textId="77777777" w:rsidTr="006A5C09">
        <w:trPr>
          <w:trHeight w:val="295"/>
          <w:jc w:val="center"/>
        </w:trPr>
        <w:tc>
          <w:tcPr>
            <w:tcW w:w="4206" w:type="dxa"/>
            <w:tcBorders>
              <w:top w:val="single" w:sz="8" w:space="0" w:color="auto"/>
              <w:left w:val="nil"/>
              <w:bottom w:val="nil"/>
              <w:right w:val="nil"/>
            </w:tcBorders>
            <w:vAlign w:val="center"/>
          </w:tcPr>
          <w:p w14:paraId="15B2ECD3" w14:textId="77777777" w:rsidR="00C623E5" w:rsidRPr="002E1EC0" w:rsidRDefault="00C623E5" w:rsidP="00DF6C6A">
            <w:pPr>
              <w:tabs>
                <w:tab w:val="left" w:pos="567"/>
              </w:tabs>
              <w:rPr>
                <w:rFonts w:asciiTheme="majorBidi" w:hAnsiTheme="majorBidi" w:cstheme="majorBidi"/>
                <w:b/>
                <w:bCs/>
                <w:color w:val="000000"/>
              </w:rPr>
            </w:pPr>
          </w:p>
        </w:tc>
        <w:tc>
          <w:tcPr>
            <w:tcW w:w="2410" w:type="dxa"/>
            <w:tcBorders>
              <w:top w:val="single" w:sz="8" w:space="0" w:color="auto"/>
              <w:left w:val="nil"/>
              <w:bottom w:val="nil"/>
              <w:right w:val="nil"/>
            </w:tcBorders>
            <w:vAlign w:val="center"/>
          </w:tcPr>
          <w:p w14:paraId="0C341806" w14:textId="6E6765A4" w:rsidR="00C623E5" w:rsidRPr="002C688A" w:rsidRDefault="00154F0B" w:rsidP="00DF6C6A">
            <w:pPr>
              <w:tabs>
                <w:tab w:val="left" w:pos="567"/>
              </w:tabs>
              <w:jc w:val="center"/>
              <w:rPr>
                <w:rFonts w:asciiTheme="majorBidi" w:hAnsiTheme="majorBidi" w:cstheme="majorBidi"/>
                <w:color w:val="000000"/>
              </w:rPr>
            </w:pPr>
            <w:r w:rsidRPr="002C688A">
              <w:rPr>
                <w:rFonts w:asciiTheme="majorBidi" w:hAnsiTheme="majorBidi" w:cstheme="majorBidi"/>
                <w:color w:val="000000"/>
              </w:rPr>
              <w:t xml:space="preserve">(1) </w:t>
            </w:r>
            <w:r w:rsidR="00C623E5" w:rsidRPr="002C688A">
              <w:rPr>
                <w:rFonts w:asciiTheme="majorBidi" w:hAnsiTheme="majorBidi" w:cstheme="majorBidi"/>
                <w:color w:val="000000"/>
              </w:rPr>
              <w:t>Model 2</w:t>
            </w:r>
          </w:p>
        </w:tc>
        <w:tc>
          <w:tcPr>
            <w:tcW w:w="2649" w:type="dxa"/>
            <w:tcBorders>
              <w:top w:val="single" w:sz="8" w:space="0" w:color="auto"/>
              <w:left w:val="nil"/>
              <w:bottom w:val="nil"/>
              <w:right w:val="nil"/>
            </w:tcBorders>
            <w:vAlign w:val="center"/>
          </w:tcPr>
          <w:p w14:paraId="458A4897" w14:textId="64DD2D97" w:rsidR="00C623E5" w:rsidRPr="002C688A" w:rsidRDefault="00154F0B" w:rsidP="00DF6C6A">
            <w:pPr>
              <w:tabs>
                <w:tab w:val="left" w:pos="567"/>
              </w:tabs>
              <w:jc w:val="center"/>
              <w:rPr>
                <w:rFonts w:asciiTheme="majorBidi" w:hAnsiTheme="majorBidi" w:cstheme="majorBidi"/>
                <w:color w:val="000000"/>
              </w:rPr>
            </w:pPr>
            <w:r w:rsidRPr="002C688A">
              <w:rPr>
                <w:rFonts w:asciiTheme="majorBidi" w:hAnsiTheme="majorBidi" w:cstheme="majorBidi"/>
                <w:color w:val="000000"/>
              </w:rPr>
              <w:t xml:space="preserve">(2) </w:t>
            </w:r>
            <w:r w:rsidR="00C623E5" w:rsidRPr="002C688A">
              <w:rPr>
                <w:rFonts w:asciiTheme="majorBidi" w:hAnsiTheme="majorBidi" w:cstheme="majorBidi"/>
                <w:color w:val="000000"/>
              </w:rPr>
              <w:t>Model 3</w:t>
            </w:r>
          </w:p>
        </w:tc>
      </w:tr>
      <w:tr w:rsidR="00C623E5" w14:paraId="7F12FC7D" w14:textId="77777777" w:rsidTr="006A5C09">
        <w:trPr>
          <w:trHeight w:val="295"/>
          <w:jc w:val="center"/>
        </w:trPr>
        <w:tc>
          <w:tcPr>
            <w:tcW w:w="4206" w:type="dxa"/>
            <w:tcBorders>
              <w:top w:val="nil"/>
              <w:left w:val="nil"/>
              <w:bottom w:val="single" w:sz="8" w:space="0" w:color="auto"/>
              <w:right w:val="nil"/>
            </w:tcBorders>
            <w:vAlign w:val="center"/>
          </w:tcPr>
          <w:p w14:paraId="22C7A503" w14:textId="77777777" w:rsidR="00C623E5" w:rsidRPr="002E1EC0" w:rsidRDefault="00C623E5" w:rsidP="00DF6C6A">
            <w:pPr>
              <w:tabs>
                <w:tab w:val="left" w:pos="567"/>
              </w:tabs>
              <w:rPr>
                <w:rFonts w:asciiTheme="majorBidi" w:hAnsiTheme="majorBidi" w:cstheme="majorBidi"/>
                <w:b/>
                <w:bCs/>
                <w:color w:val="000000"/>
              </w:rPr>
            </w:pPr>
          </w:p>
        </w:tc>
        <w:tc>
          <w:tcPr>
            <w:tcW w:w="2410" w:type="dxa"/>
            <w:tcBorders>
              <w:top w:val="nil"/>
              <w:left w:val="nil"/>
              <w:bottom w:val="single" w:sz="8" w:space="0" w:color="auto"/>
              <w:right w:val="nil"/>
            </w:tcBorders>
            <w:vAlign w:val="center"/>
          </w:tcPr>
          <w:p w14:paraId="3415C535" w14:textId="7F5A91AA" w:rsidR="00C623E5" w:rsidRPr="002C688A" w:rsidRDefault="00154F0B" w:rsidP="00154F0B">
            <w:pPr>
              <w:tabs>
                <w:tab w:val="left" w:pos="567"/>
              </w:tabs>
              <w:rPr>
                <w:rFonts w:asciiTheme="majorBidi" w:hAnsiTheme="majorBidi" w:cstheme="majorBidi"/>
                <w:color w:val="000000"/>
              </w:rPr>
            </w:pPr>
            <w:r w:rsidRPr="002C688A">
              <w:rPr>
                <w:rFonts w:asciiTheme="majorBidi" w:hAnsiTheme="majorBidi" w:cstheme="majorBidi"/>
                <w:color w:val="000000"/>
              </w:rPr>
              <w:t xml:space="preserve">            </w:t>
            </w:r>
            <w:r w:rsidR="00C623E5" w:rsidRPr="002C688A">
              <w:rPr>
                <w:rFonts w:asciiTheme="majorBidi" w:hAnsiTheme="majorBidi" w:cstheme="majorBidi"/>
                <w:color w:val="000000"/>
              </w:rPr>
              <w:t>CAR (0,1)</w:t>
            </w:r>
          </w:p>
        </w:tc>
        <w:tc>
          <w:tcPr>
            <w:tcW w:w="2649" w:type="dxa"/>
            <w:tcBorders>
              <w:top w:val="nil"/>
              <w:left w:val="nil"/>
              <w:bottom w:val="single" w:sz="8" w:space="0" w:color="auto"/>
              <w:right w:val="nil"/>
            </w:tcBorders>
            <w:vAlign w:val="center"/>
          </w:tcPr>
          <w:p w14:paraId="7826AEF6" w14:textId="050F09B3" w:rsidR="00C623E5" w:rsidRPr="002C688A" w:rsidRDefault="00C623E5" w:rsidP="00154F0B">
            <w:pPr>
              <w:tabs>
                <w:tab w:val="left" w:pos="567"/>
              </w:tabs>
              <w:jc w:val="center"/>
              <w:rPr>
                <w:rFonts w:asciiTheme="majorBidi" w:hAnsiTheme="majorBidi" w:cstheme="majorBidi"/>
                <w:color w:val="000000"/>
              </w:rPr>
            </w:pPr>
            <w:r w:rsidRPr="002C688A">
              <w:rPr>
                <w:rFonts w:asciiTheme="majorBidi" w:hAnsiTheme="majorBidi" w:cstheme="majorBidi"/>
                <w:color w:val="000000"/>
              </w:rPr>
              <w:t>CAR (2,60)</w:t>
            </w:r>
          </w:p>
        </w:tc>
      </w:tr>
      <w:tr w:rsidR="00C623E5" w14:paraId="6F16A37C" w14:textId="77777777" w:rsidTr="006A5C09">
        <w:trPr>
          <w:trHeight w:val="432"/>
          <w:jc w:val="center"/>
        </w:trPr>
        <w:tc>
          <w:tcPr>
            <w:tcW w:w="4206" w:type="dxa"/>
            <w:tcBorders>
              <w:top w:val="single" w:sz="8" w:space="0" w:color="auto"/>
              <w:left w:val="nil"/>
              <w:bottom w:val="nil"/>
              <w:right w:val="nil"/>
            </w:tcBorders>
            <w:vAlign w:val="center"/>
          </w:tcPr>
          <w:p w14:paraId="166D419F"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Intercept</w:t>
            </w:r>
          </w:p>
        </w:tc>
        <w:tc>
          <w:tcPr>
            <w:tcW w:w="2410" w:type="dxa"/>
            <w:tcBorders>
              <w:top w:val="single" w:sz="8" w:space="0" w:color="auto"/>
              <w:left w:val="nil"/>
              <w:bottom w:val="nil"/>
              <w:right w:val="nil"/>
            </w:tcBorders>
            <w:shd w:val="clear" w:color="auto" w:fill="auto"/>
            <w:vAlign w:val="bottom"/>
          </w:tcPr>
          <w:p w14:paraId="787B2E20"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0.0074*</w:t>
            </w:r>
            <w:r w:rsidRPr="006D55DE">
              <w:rPr>
                <w:rFonts w:asciiTheme="majorBidi" w:hAnsiTheme="majorBidi" w:cstheme="majorBidi"/>
                <w:sz w:val="21"/>
                <w:szCs w:val="21"/>
              </w:rPr>
              <w:br/>
              <w:t>(1.660)</w:t>
            </w:r>
          </w:p>
        </w:tc>
        <w:tc>
          <w:tcPr>
            <w:tcW w:w="2649" w:type="dxa"/>
            <w:tcBorders>
              <w:top w:val="single" w:sz="8" w:space="0" w:color="auto"/>
              <w:left w:val="nil"/>
              <w:bottom w:val="nil"/>
              <w:right w:val="nil"/>
            </w:tcBorders>
            <w:shd w:val="clear" w:color="auto" w:fill="auto"/>
            <w:vAlign w:val="bottom"/>
          </w:tcPr>
          <w:p w14:paraId="28A578C3"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0.0006</w:t>
            </w:r>
            <w:r w:rsidRPr="006D55DE">
              <w:rPr>
                <w:rFonts w:asciiTheme="majorBidi" w:hAnsiTheme="majorBidi" w:cstheme="majorBidi"/>
                <w:sz w:val="21"/>
                <w:szCs w:val="21"/>
              </w:rPr>
              <w:br/>
              <w:t>(0.070)</w:t>
            </w:r>
          </w:p>
        </w:tc>
      </w:tr>
      <w:tr w:rsidR="00C623E5" w14:paraId="4D7DB91C" w14:textId="77777777" w:rsidTr="00DF6C6A">
        <w:trPr>
          <w:trHeight w:val="432"/>
          <w:jc w:val="center"/>
        </w:trPr>
        <w:tc>
          <w:tcPr>
            <w:tcW w:w="4206" w:type="dxa"/>
            <w:tcBorders>
              <w:top w:val="nil"/>
              <w:left w:val="nil"/>
              <w:bottom w:val="nil"/>
              <w:right w:val="nil"/>
            </w:tcBorders>
            <w:vAlign w:val="center"/>
          </w:tcPr>
          <w:p w14:paraId="528AB34C"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NUE</w:t>
            </w:r>
          </w:p>
        </w:tc>
        <w:tc>
          <w:tcPr>
            <w:tcW w:w="2410" w:type="dxa"/>
            <w:tcBorders>
              <w:top w:val="nil"/>
              <w:left w:val="nil"/>
              <w:bottom w:val="nil"/>
              <w:right w:val="nil"/>
            </w:tcBorders>
            <w:shd w:val="clear" w:color="auto" w:fill="auto"/>
            <w:vAlign w:val="bottom"/>
          </w:tcPr>
          <w:p w14:paraId="2E0D5023"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0.0026***</w:t>
            </w:r>
            <w:r w:rsidRPr="006D55DE">
              <w:rPr>
                <w:rFonts w:asciiTheme="majorBidi" w:hAnsiTheme="majorBidi" w:cstheme="majorBidi"/>
                <w:sz w:val="21"/>
                <w:szCs w:val="21"/>
              </w:rPr>
              <w:br/>
              <w:t>(10.530)</w:t>
            </w:r>
          </w:p>
        </w:tc>
        <w:tc>
          <w:tcPr>
            <w:tcW w:w="2649" w:type="dxa"/>
            <w:tcBorders>
              <w:top w:val="nil"/>
              <w:left w:val="nil"/>
              <w:bottom w:val="nil"/>
              <w:right w:val="nil"/>
            </w:tcBorders>
            <w:shd w:val="clear" w:color="auto" w:fill="auto"/>
            <w:vAlign w:val="bottom"/>
          </w:tcPr>
          <w:p w14:paraId="4FC82D46"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0.0017***</w:t>
            </w:r>
            <w:r w:rsidRPr="006D55DE">
              <w:rPr>
                <w:rFonts w:asciiTheme="majorBidi" w:hAnsiTheme="majorBidi" w:cstheme="majorBidi"/>
                <w:sz w:val="21"/>
                <w:szCs w:val="21"/>
              </w:rPr>
              <w:br/>
              <w:t>(3.780)</w:t>
            </w:r>
          </w:p>
        </w:tc>
      </w:tr>
      <w:tr w:rsidR="00C623E5" w14:paraId="27231F72" w14:textId="77777777" w:rsidTr="00DF6C6A">
        <w:trPr>
          <w:trHeight w:val="432"/>
          <w:jc w:val="center"/>
        </w:trPr>
        <w:tc>
          <w:tcPr>
            <w:tcW w:w="4206" w:type="dxa"/>
            <w:tcBorders>
              <w:top w:val="nil"/>
              <w:left w:val="nil"/>
              <w:bottom w:val="nil"/>
              <w:right w:val="nil"/>
            </w:tcBorders>
            <w:vAlign w:val="center"/>
          </w:tcPr>
          <w:p w14:paraId="6B33497A"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PUE</w:t>
            </w:r>
          </w:p>
        </w:tc>
        <w:tc>
          <w:tcPr>
            <w:tcW w:w="2410" w:type="dxa"/>
            <w:tcBorders>
              <w:top w:val="nil"/>
              <w:left w:val="nil"/>
              <w:bottom w:val="nil"/>
              <w:right w:val="nil"/>
            </w:tcBorders>
            <w:shd w:val="clear" w:color="auto" w:fill="auto"/>
            <w:vAlign w:val="bottom"/>
          </w:tcPr>
          <w:p w14:paraId="2996B326"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0.0043***</w:t>
            </w:r>
            <w:r w:rsidRPr="006D55DE">
              <w:rPr>
                <w:rFonts w:asciiTheme="majorBidi" w:hAnsiTheme="majorBidi" w:cstheme="majorBidi"/>
                <w:sz w:val="21"/>
                <w:szCs w:val="21"/>
              </w:rPr>
              <w:br/>
              <w:t>(16.580)</w:t>
            </w:r>
          </w:p>
        </w:tc>
        <w:tc>
          <w:tcPr>
            <w:tcW w:w="2649" w:type="dxa"/>
            <w:tcBorders>
              <w:top w:val="nil"/>
              <w:left w:val="nil"/>
              <w:bottom w:val="nil"/>
              <w:right w:val="nil"/>
            </w:tcBorders>
            <w:shd w:val="clear" w:color="auto" w:fill="auto"/>
            <w:vAlign w:val="bottom"/>
          </w:tcPr>
          <w:p w14:paraId="15638CF4"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0.0046***</w:t>
            </w:r>
            <w:r w:rsidRPr="006D55DE">
              <w:rPr>
                <w:rFonts w:asciiTheme="majorBidi" w:hAnsiTheme="majorBidi" w:cstheme="majorBidi"/>
                <w:sz w:val="21"/>
                <w:szCs w:val="21"/>
              </w:rPr>
              <w:br/>
              <w:t>(8.990)</w:t>
            </w:r>
          </w:p>
        </w:tc>
      </w:tr>
      <w:tr w:rsidR="00C623E5" w14:paraId="5D0606DE" w14:textId="77777777" w:rsidTr="00DF6C6A">
        <w:trPr>
          <w:trHeight w:val="432"/>
          <w:jc w:val="center"/>
        </w:trPr>
        <w:tc>
          <w:tcPr>
            <w:tcW w:w="4206" w:type="dxa"/>
            <w:tcBorders>
              <w:top w:val="nil"/>
              <w:left w:val="nil"/>
              <w:bottom w:val="nil"/>
              <w:right w:val="nil"/>
            </w:tcBorders>
            <w:vAlign w:val="center"/>
          </w:tcPr>
          <w:p w14:paraId="097A11BD"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GOVHA</w:t>
            </w:r>
          </w:p>
        </w:tc>
        <w:tc>
          <w:tcPr>
            <w:tcW w:w="2410" w:type="dxa"/>
            <w:tcBorders>
              <w:top w:val="nil"/>
              <w:left w:val="nil"/>
              <w:bottom w:val="nil"/>
              <w:right w:val="nil"/>
            </w:tcBorders>
            <w:shd w:val="clear" w:color="auto" w:fill="auto"/>
            <w:vAlign w:val="bottom"/>
          </w:tcPr>
          <w:p w14:paraId="2B07316A"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0.0016</w:t>
            </w:r>
            <w:r w:rsidRPr="006D55DE">
              <w:rPr>
                <w:rFonts w:asciiTheme="majorBidi" w:hAnsiTheme="majorBidi" w:cstheme="majorBidi"/>
                <w:sz w:val="21"/>
                <w:szCs w:val="21"/>
              </w:rPr>
              <w:br/>
              <w:t>(1.430)</w:t>
            </w:r>
          </w:p>
        </w:tc>
        <w:tc>
          <w:tcPr>
            <w:tcW w:w="2649" w:type="dxa"/>
            <w:tcBorders>
              <w:top w:val="nil"/>
              <w:left w:val="nil"/>
              <w:bottom w:val="nil"/>
              <w:right w:val="nil"/>
            </w:tcBorders>
            <w:shd w:val="clear" w:color="auto" w:fill="auto"/>
            <w:vAlign w:val="bottom"/>
          </w:tcPr>
          <w:p w14:paraId="4DFF7A5C"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0.0003</w:t>
            </w:r>
            <w:r w:rsidRPr="006D55DE">
              <w:rPr>
                <w:rFonts w:asciiTheme="majorBidi" w:hAnsiTheme="majorBidi" w:cstheme="majorBidi"/>
                <w:sz w:val="21"/>
                <w:szCs w:val="21"/>
              </w:rPr>
              <w:br/>
              <w:t>(1.480)</w:t>
            </w:r>
          </w:p>
        </w:tc>
      </w:tr>
      <w:tr w:rsidR="00C623E5" w14:paraId="1F65331D" w14:textId="77777777" w:rsidTr="00DF6C6A">
        <w:trPr>
          <w:trHeight w:val="432"/>
          <w:jc w:val="center"/>
        </w:trPr>
        <w:tc>
          <w:tcPr>
            <w:tcW w:w="4206" w:type="dxa"/>
            <w:tcBorders>
              <w:top w:val="nil"/>
              <w:left w:val="nil"/>
              <w:bottom w:val="nil"/>
              <w:right w:val="nil"/>
            </w:tcBorders>
            <w:vAlign w:val="center"/>
          </w:tcPr>
          <w:p w14:paraId="4B425E9F"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SMIPA</w:t>
            </w:r>
          </w:p>
        </w:tc>
        <w:tc>
          <w:tcPr>
            <w:tcW w:w="2410" w:type="dxa"/>
            <w:tcBorders>
              <w:top w:val="nil"/>
              <w:left w:val="nil"/>
              <w:bottom w:val="nil"/>
              <w:right w:val="nil"/>
            </w:tcBorders>
            <w:shd w:val="clear" w:color="auto" w:fill="auto"/>
            <w:vAlign w:val="bottom"/>
          </w:tcPr>
          <w:p w14:paraId="4C34C9C9"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0.0012</w:t>
            </w:r>
            <w:r w:rsidRPr="006D55DE">
              <w:rPr>
                <w:rFonts w:asciiTheme="majorBidi" w:hAnsiTheme="majorBidi" w:cstheme="majorBidi"/>
                <w:sz w:val="21"/>
                <w:szCs w:val="21"/>
              </w:rPr>
              <w:br/>
              <w:t>(0.740)</w:t>
            </w:r>
          </w:p>
        </w:tc>
        <w:tc>
          <w:tcPr>
            <w:tcW w:w="2649" w:type="dxa"/>
            <w:tcBorders>
              <w:top w:val="nil"/>
              <w:left w:val="nil"/>
              <w:bottom w:val="nil"/>
              <w:right w:val="nil"/>
            </w:tcBorders>
            <w:shd w:val="clear" w:color="auto" w:fill="auto"/>
            <w:vAlign w:val="bottom"/>
          </w:tcPr>
          <w:p w14:paraId="202DFD90"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344C7E0D" w14:textId="77777777" w:rsidTr="00DF6C6A">
        <w:trPr>
          <w:trHeight w:val="432"/>
          <w:jc w:val="center"/>
        </w:trPr>
        <w:tc>
          <w:tcPr>
            <w:tcW w:w="4206" w:type="dxa"/>
            <w:tcBorders>
              <w:top w:val="nil"/>
              <w:left w:val="nil"/>
              <w:bottom w:val="nil"/>
              <w:right w:val="nil"/>
            </w:tcBorders>
            <w:vAlign w:val="center"/>
          </w:tcPr>
          <w:p w14:paraId="0866A30D"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w:t>
            </w:r>
          </w:p>
        </w:tc>
        <w:tc>
          <w:tcPr>
            <w:tcW w:w="2410" w:type="dxa"/>
            <w:tcBorders>
              <w:top w:val="nil"/>
              <w:left w:val="nil"/>
              <w:bottom w:val="nil"/>
              <w:right w:val="nil"/>
            </w:tcBorders>
            <w:shd w:val="clear" w:color="auto" w:fill="auto"/>
            <w:vAlign w:val="bottom"/>
          </w:tcPr>
          <w:p w14:paraId="6489D016"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0.0009</w:t>
            </w:r>
            <w:r w:rsidRPr="006D55DE">
              <w:rPr>
                <w:rFonts w:asciiTheme="majorBidi" w:hAnsiTheme="majorBidi" w:cstheme="majorBidi"/>
                <w:sz w:val="21"/>
                <w:szCs w:val="21"/>
              </w:rPr>
              <w:br/>
              <w:t>(0.860)</w:t>
            </w:r>
          </w:p>
        </w:tc>
        <w:tc>
          <w:tcPr>
            <w:tcW w:w="2649" w:type="dxa"/>
            <w:tcBorders>
              <w:top w:val="nil"/>
              <w:left w:val="nil"/>
              <w:bottom w:val="nil"/>
              <w:right w:val="nil"/>
            </w:tcBorders>
            <w:shd w:val="clear" w:color="auto" w:fill="auto"/>
            <w:vAlign w:val="bottom"/>
          </w:tcPr>
          <w:p w14:paraId="1600B5D6"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6D52B732" w14:textId="77777777" w:rsidTr="00DF6C6A">
        <w:trPr>
          <w:trHeight w:val="432"/>
          <w:jc w:val="center"/>
        </w:trPr>
        <w:tc>
          <w:tcPr>
            <w:tcW w:w="4206" w:type="dxa"/>
            <w:tcBorders>
              <w:top w:val="nil"/>
              <w:left w:val="nil"/>
              <w:bottom w:val="nil"/>
              <w:right w:val="nil"/>
            </w:tcBorders>
            <w:vAlign w:val="center"/>
          </w:tcPr>
          <w:p w14:paraId="758C921C"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PSMIPA</w:t>
            </w:r>
          </w:p>
        </w:tc>
        <w:tc>
          <w:tcPr>
            <w:tcW w:w="2410" w:type="dxa"/>
            <w:tcBorders>
              <w:top w:val="nil"/>
              <w:left w:val="nil"/>
              <w:bottom w:val="nil"/>
              <w:right w:val="nil"/>
            </w:tcBorders>
            <w:shd w:val="clear" w:color="auto" w:fill="auto"/>
            <w:vAlign w:val="bottom"/>
          </w:tcPr>
          <w:p w14:paraId="2CCE30C3"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7D317497"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0.0057</w:t>
            </w:r>
            <w:r w:rsidRPr="006D55DE">
              <w:rPr>
                <w:rFonts w:asciiTheme="majorBidi" w:hAnsiTheme="majorBidi" w:cstheme="majorBidi"/>
                <w:sz w:val="21"/>
                <w:szCs w:val="21"/>
              </w:rPr>
              <w:br/>
              <w:t>(1.640)</w:t>
            </w:r>
          </w:p>
        </w:tc>
      </w:tr>
      <w:tr w:rsidR="00C623E5" w14:paraId="6A339FF9" w14:textId="77777777" w:rsidTr="00DF6C6A">
        <w:trPr>
          <w:trHeight w:val="432"/>
          <w:jc w:val="center"/>
        </w:trPr>
        <w:tc>
          <w:tcPr>
            <w:tcW w:w="4206" w:type="dxa"/>
            <w:tcBorders>
              <w:top w:val="nil"/>
              <w:left w:val="nil"/>
              <w:bottom w:val="nil"/>
              <w:right w:val="nil"/>
            </w:tcBorders>
            <w:vAlign w:val="center"/>
          </w:tcPr>
          <w:p w14:paraId="194ADA33"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w:t>
            </w:r>
          </w:p>
        </w:tc>
        <w:tc>
          <w:tcPr>
            <w:tcW w:w="2410" w:type="dxa"/>
            <w:tcBorders>
              <w:top w:val="nil"/>
              <w:left w:val="nil"/>
              <w:bottom w:val="nil"/>
              <w:right w:val="nil"/>
            </w:tcBorders>
            <w:shd w:val="clear" w:color="auto" w:fill="auto"/>
            <w:vAlign w:val="bottom"/>
          </w:tcPr>
          <w:p w14:paraId="67A192B1"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3C858B09"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-0.0071***</w:t>
            </w:r>
            <w:r w:rsidRPr="006D55DE">
              <w:rPr>
                <w:rFonts w:asciiTheme="majorBidi" w:hAnsiTheme="majorBidi" w:cstheme="majorBidi"/>
                <w:sz w:val="21"/>
                <w:szCs w:val="21"/>
              </w:rPr>
              <w:br/>
              <w:t>(-2.770)</w:t>
            </w:r>
          </w:p>
        </w:tc>
      </w:tr>
      <w:tr w:rsidR="00C623E5" w14:paraId="4EA66442" w14:textId="77777777" w:rsidTr="00DF6C6A">
        <w:trPr>
          <w:trHeight w:val="432"/>
          <w:jc w:val="center"/>
        </w:trPr>
        <w:tc>
          <w:tcPr>
            <w:tcW w:w="4206" w:type="dxa"/>
            <w:tcBorders>
              <w:top w:val="nil"/>
              <w:left w:val="nil"/>
              <w:bottom w:val="nil"/>
              <w:right w:val="nil"/>
            </w:tcBorders>
            <w:vAlign w:val="center"/>
          </w:tcPr>
          <w:p w14:paraId="598D0D24"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GOVHA×NUE</w:t>
            </w:r>
          </w:p>
        </w:tc>
        <w:tc>
          <w:tcPr>
            <w:tcW w:w="2410" w:type="dxa"/>
            <w:tcBorders>
              <w:top w:val="nil"/>
              <w:left w:val="nil"/>
              <w:bottom w:val="nil"/>
              <w:right w:val="nil"/>
            </w:tcBorders>
            <w:shd w:val="clear" w:color="auto" w:fill="auto"/>
            <w:vAlign w:val="bottom"/>
          </w:tcPr>
          <w:p w14:paraId="133DF752"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0.0066***</w:t>
            </w:r>
            <w:r w:rsidRPr="006D55DE">
              <w:rPr>
                <w:rFonts w:asciiTheme="majorBidi" w:hAnsiTheme="majorBidi" w:cstheme="majorBidi"/>
                <w:sz w:val="21"/>
                <w:szCs w:val="21"/>
              </w:rPr>
              <w:br/>
              <w:t>(5.520)</w:t>
            </w:r>
          </w:p>
        </w:tc>
        <w:tc>
          <w:tcPr>
            <w:tcW w:w="2649" w:type="dxa"/>
            <w:tcBorders>
              <w:top w:val="nil"/>
              <w:left w:val="nil"/>
              <w:bottom w:val="nil"/>
              <w:right w:val="nil"/>
            </w:tcBorders>
            <w:shd w:val="clear" w:color="auto" w:fill="auto"/>
            <w:vAlign w:val="bottom"/>
          </w:tcPr>
          <w:p w14:paraId="4B45C514"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0.0001</w:t>
            </w:r>
            <w:r w:rsidRPr="006D55DE">
              <w:rPr>
                <w:rFonts w:asciiTheme="majorBidi" w:hAnsiTheme="majorBidi" w:cstheme="majorBidi"/>
                <w:sz w:val="21"/>
                <w:szCs w:val="21"/>
              </w:rPr>
              <w:br/>
              <w:t>(0.790)</w:t>
            </w:r>
          </w:p>
        </w:tc>
      </w:tr>
      <w:tr w:rsidR="00C623E5" w14:paraId="1EC02CF6" w14:textId="77777777" w:rsidTr="00DF6C6A">
        <w:trPr>
          <w:trHeight w:val="432"/>
          <w:jc w:val="center"/>
        </w:trPr>
        <w:tc>
          <w:tcPr>
            <w:tcW w:w="4206" w:type="dxa"/>
            <w:tcBorders>
              <w:top w:val="nil"/>
              <w:left w:val="nil"/>
              <w:bottom w:val="nil"/>
              <w:right w:val="nil"/>
            </w:tcBorders>
            <w:vAlign w:val="center"/>
          </w:tcPr>
          <w:p w14:paraId="60612991"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GOVHA×PUE</w:t>
            </w:r>
          </w:p>
        </w:tc>
        <w:tc>
          <w:tcPr>
            <w:tcW w:w="2410" w:type="dxa"/>
            <w:tcBorders>
              <w:top w:val="nil"/>
              <w:left w:val="nil"/>
              <w:bottom w:val="nil"/>
              <w:right w:val="nil"/>
            </w:tcBorders>
            <w:shd w:val="clear" w:color="auto" w:fill="auto"/>
            <w:vAlign w:val="bottom"/>
          </w:tcPr>
          <w:p w14:paraId="0A84879B"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0.0057***</w:t>
            </w:r>
            <w:r w:rsidRPr="006D55DE">
              <w:rPr>
                <w:rFonts w:asciiTheme="majorBidi" w:hAnsiTheme="majorBidi" w:cstheme="majorBidi"/>
                <w:sz w:val="21"/>
                <w:szCs w:val="21"/>
              </w:rPr>
              <w:br/>
              <w:t>(4.160)</w:t>
            </w:r>
          </w:p>
        </w:tc>
        <w:tc>
          <w:tcPr>
            <w:tcW w:w="2649" w:type="dxa"/>
            <w:tcBorders>
              <w:top w:val="nil"/>
              <w:left w:val="nil"/>
              <w:bottom w:val="nil"/>
              <w:right w:val="nil"/>
            </w:tcBorders>
            <w:shd w:val="clear" w:color="auto" w:fill="auto"/>
            <w:vAlign w:val="bottom"/>
          </w:tcPr>
          <w:p w14:paraId="1952F650"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0.0001</w:t>
            </w:r>
            <w:r w:rsidRPr="006D55DE">
              <w:rPr>
                <w:rFonts w:asciiTheme="majorBidi" w:hAnsiTheme="majorBidi" w:cstheme="majorBidi"/>
                <w:sz w:val="21"/>
                <w:szCs w:val="21"/>
              </w:rPr>
              <w:br/>
              <w:t>(1.070)</w:t>
            </w:r>
          </w:p>
        </w:tc>
      </w:tr>
      <w:tr w:rsidR="00C623E5" w14:paraId="0A4F432D" w14:textId="77777777" w:rsidTr="00DF6C6A">
        <w:trPr>
          <w:trHeight w:val="432"/>
          <w:jc w:val="center"/>
        </w:trPr>
        <w:tc>
          <w:tcPr>
            <w:tcW w:w="4206" w:type="dxa"/>
            <w:tcBorders>
              <w:top w:val="nil"/>
              <w:left w:val="nil"/>
              <w:bottom w:val="nil"/>
              <w:right w:val="nil"/>
            </w:tcBorders>
            <w:vAlign w:val="center"/>
          </w:tcPr>
          <w:p w14:paraId="4D89A14C"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SMIPA×NUE</w:t>
            </w:r>
          </w:p>
        </w:tc>
        <w:tc>
          <w:tcPr>
            <w:tcW w:w="2410" w:type="dxa"/>
            <w:tcBorders>
              <w:top w:val="nil"/>
              <w:left w:val="nil"/>
              <w:bottom w:val="nil"/>
              <w:right w:val="nil"/>
            </w:tcBorders>
            <w:shd w:val="clear" w:color="auto" w:fill="auto"/>
            <w:vAlign w:val="bottom"/>
          </w:tcPr>
          <w:p w14:paraId="33FDC8D6"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-0.0012***</w:t>
            </w:r>
            <w:r w:rsidRPr="006D55DE">
              <w:rPr>
                <w:rFonts w:asciiTheme="majorBidi" w:hAnsiTheme="majorBidi" w:cstheme="majorBidi"/>
                <w:sz w:val="21"/>
                <w:szCs w:val="21"/>
              </w:rPr>
              <w:br/>
              <w:t>(-3.040)</w:t>
            </w:r>
          </w:p>
        </w:tc>
        <w:tc>
          <w:tcPr>
            <w:tcW w:w="2649" w:type="dxa"/>
            <w:tcBorders>
              <w:top w:val="nil"/>
              <w:left w:val="nil"/>
              <w:bottom w:val="nil"/>
              <w:right w:val="nil"/>
            </w:tcBorders>
            <w:shd w:val="clear" w:color="auto" w:fill="auto"/>
            <w:vAlign w:val="bottom"/>
          </w:tcPr>
          <w:p w14:paraId="2A0E869F"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3866CB48" w14:textId="77777777" w:rsidTr="00DF6C6A">
        <w:trPr>
          <w:trHeight w:val="432"/>
          <w:jc w:val="center"/>
        </w:trPr>
        <w:tc>
          <w:tcPr>
            <w:tcW w:w="4206" w:type="dxa"/>
            <w:tcBorders>
              <w:top w:val="nil"/>
              <w:left w:val="nil"/>
              <w:bottom w:val="nil"/>
              <w:right w:val="nil"/>
            </w:tcBorders>
            <w:vAlign w:val="center"/>
          </w:tcPr>
          <w:p w14:paraId="1DD0DEC8"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SMIPA×PUE</w:t>
            </w:r>
          </w:p>
        </w:tc>
        <w:tc>
          <w:tcPr>
            <w:tcW w:w="2410" w:type="dxa"/>
            <w:tcBorders>
              <w:top w:val="nil"/>
              <w:left w:val="nil"/>
              <w:bottom w:val="nil"/>
              <w:right w:val="nil"/>
            </w:tcBorders>
            <w:shd w:val="clear" w:color="auto" w:fill="auto"/>
            <w:vAlign w:val="bottom"/>
          </w:tcPr>
          <w:p w14:paraId="70FF526E"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0.0006*</w:t>
            </w:r>
            <w:r w:rsidRPr="006D55DE">
              <w:rPr>
                <w:rFonts w:asciiTheme="majorBidi" w:hAnsiTheme="majorBidi" w:cstheme="majorBidi"/>
                <w:sz w:val="21"/>
                <w:szCs w:val="21"/>
              </w:rPr>
              <w:br/>
              <w:t>(1.910)</w:t>
            </w:r>
          </w:p>
        </w:tc>
        <w:tc>
          <w:tcPr>
            <w:tcW w:w="2649" w:type="dxa"/>
            <w:tcBorders>
              <w:top w:val="nil"/>
              <w:left w:val="nil"/>
              <w:bottom w:val="nil"/>
              <w:right w:val="nil"/>
            </w:tcBorders>
            <w:shd w:val="clear" w:color="auto" w:fill="auto"/>
            <w:vAlign w:val="bottom"/>
          </w:tcPr>
          <w:p w14:paraId="0E0A3382"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64BC5CEB" w14:textId="77777777" w:rsidTr="00DF6C6A">
        <w:trPr>
          <w:trHeight w:val="432"/>
          <w:jc w:val="center"/>
        </w:trPr>
        <w:tc>
          <w:tcPr>
            <w:tcW w:w="4206" w:type="dxa"/>
            <w:tcBorders>
              <w:top w:val="nil"/>
              <w:left w:val="nil"/>
              <w:bottom w:val="nil"/>
              <w:right w:val="nil"/>
            </w:tcBorders>
            <w:vAlign w:val="center"/>
          </w:tcPr>
          <w:p w14:paraId="5A9166D1"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VIXHA×NUE</w:t>
            </w:r>
          </w:p>
        </w:tc>
        <w:tc>
          <w:tcPr>
            <w:tcW w:w="2410" w:type="dxa"/>
            <w:tcBorders>
              <w:top w:val="nil"/>
              <w:left w:val="nil"/>
              <w:bottom w:val="nil"/>
              <w:right w:val="nil"/>
            </w:tcBorders>
            <w:shd w:val="clear" w:color="auto" w:fill="auto"/>
            <w:vAlign w:val="bottom"/>
          </w:tcPr>
          <w:p w14:paraId="17223BB7"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0.0012***</w:t>
            </w:r>
            <w:r w:rsidRPr="006D55DE">
              <w:rPr>
                <w:rFonts w:asciiTheme="majorBidi" w:hAnsiTheme="majorBidi" w:cstheme="majorBidi"/>
                <w:sz w:val="21"/>
                <w:szCs w:val="21"/>
              </w:rPr>
              <w:br/>
              <w:t>(3.480)</w:t>
            </w:r>
          </w:p>
        </w:tc>
        <w:tc>
          <w:tcPr>
            <w:tcW w:w="2649" w:type="dxa"/>
            <w:tcBorders>
              <w:top w:val="nil"/>
              <w:left w:val="nil"/>
              <w:bottom w:val="nil"/>
              <w:right w:val="nil"/>
            </w:tcBorders>
            <w:shd w:val="clear" w:color="auto" w:fill="auto"/>
            <w:vAlign w:val="bottom"/>
          </w:tcPr>
          <w:p w14:paraId="1759A284"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70097066" w14:textId="77777777" w:rsidTr="00DF6C6A">
        <w:trPr>
          <w:trHeight w:val="432"/>
          <w:jc w:val="center"/>
        </w:trPr>
        <w:tc>
          <w:tcPr>
            <w:tcW w:w="4206" w:type="dxa"/>
            <w:tcBorders>
              <w:top w:val="nil"/>
              <w:left w:val="nil"/>
              <w:bottom w:val="nil"/>
              <w:right w:val="nil"/>
            </w:tcBorders>
            <w:vAlign w:val="center"/>
          </w:tcPr>
          <w:p w14:paraId="2945A1B4"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VIXHA×PUE</w:t>
            </w:r>
          </w:p>
        </w:tc>
        <w:tc>
          <w:tcPr>
            <w:tcW w:w="2410" w:type="dxa"/>
            <w:tcBorders>
              <w:top w:val="nil"/>
              <w:left w:val="nil"/>
              <w:bottom w:val="nil"/>
              <w:right w:val="nil"/>
            </w:tcBorders>
            <w:shd w:val="clear" w:color="auto" w:fill="auto"/>
            <w:vAlign w:val="bottom"/>
          </w:tcPr>
          <w:p w14:paraId="6F59334E"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-0.0011***</w:t>
            </w:r>
            <w:r w:rsidRPr="006D55DE">
              <w:rPr>
                <w:rFonts w:asciiTheme="majorBidi" w:hAnsiTheme="majorBidi" w:cstheme="majorBidi"/>
                <w:sz w:val="21"/>
                <w:szCs w:val="21"/>
              </w:rPr>
              <w:br/>
              <w:t>(-3.800)</w:t>
            </w:r>
          </w:p>
        </w:tc>
        <w:tc>
          <w:tcPr>
            <w:tcW w:w="2649" w:type="dxa"/>
            <w:tcBorders>
              <w:top w:val="nil"/>
              <w:left w:val="nil"/>
              <w:bottom w:val="nil"/>
              <w:right w:val="nil"/>
            </w:tcBorders>
            <w:shd w:val="clear" w:color="auto" w:fill="auto"/>
            <w:vAlign w:val="bottom"/>
          </w:tcPr>
          <w:p w14:paraId="4C122B06" w14:textId="77777777" w:rsidR="00C623E5" w:rsidRPr="006D55DE" w:rsidRDefault="00C623E5" w:rsidP="00DF6C6A">
            <w:pPr>
              <w:tabs>
                <w:tab w:val="left" w:pos="567"/>
              </w:tabs>
              <w:jc w:val="center"/>
              <w:rPr>
                <w:rFonts w:asciiTheme="majorBidi" w:hAnsiTheme="majorBidi" w:cstheme="majorBidi"/>
                <w:sz w:val="21"/>
                <w:szCs w:val="21"/>
              </w:rPr>
            </w:pPr>
          </w:p>
        </w:tc>
      </w:tr>
      <w:tr w:rsidR="00C623E5" w14:paraId="16A5E62C" w14:textId="77777777" w:rsidTr="00DF6C6A">
        <w:trPr>
          <w:trHeight w:val="432"/>
          <w:jc w:val="center"/>
        </w:trPr>
        <w:tc>
          <w:tcPr>
            <w:tcW w:w="4206" w:type="dxa"/>
            <w:tcBorders>
              <w:top w:val="nil"/>
              <w:left w:val="nil"/>
              <w:bottom w:val="nil"/>
              <w:right w:val="nil"/>
            </w:tcBorders>
            <w:vAlign w:val="center"/>
          </w:tcPr>
          <w:p w14:paraId="3529F67C"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PSMIPA×NUE</w:t>
            </w:r>
          </w:p>
        </w:tc>
        <w:tc>
          <w:tcPr>
            <w:tcW w:w="2410" w:type="dxa"/>
            <w:tcBorders>
              <w:top w:val="nil"/>
              <w:left w:val="nil"/>
              <w:bottom w:val="nil"/>
              <w:right w:val="nil"/>
            </w:tcBorders>
            <w:shd w:val="clear" w:color="auto" w:fill="auto"/>
            <w:vAlign w:val="bottom"/>
          </w:tcPr>
          <w:p w14:paraId="25E1CF96"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62E56D7B"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-0.0010**</w:t>
            </w:r>
            <w:r w:rsidRPr="006D55DE">
              <w:rPr>
                <w:rFonts w:asciiTheme="majorBidi" w:hAnsiTheme="majorBidi" w:cstheme="majorBidi"/>
                <w:sz w:val="21"/>
                <w:szCs w:val="21"/>
              </w:rPr>
              <w:br/>
              <w:t>(-1.970)</w:t>
            </w:r>
          </w:p>
        </w:tc>
      </w:tr>
      <w:tr w:rsidR="00C623E5" w14:paraId="7A355FD7" w14:textId="77777777" w:rsidTr="00DF6C6A">
        <w:trPr>
          <w:trHeight w:val="432"/>
          <w:jc w:val="center"/>
        </w:trPr>
        <w:tc>
          <w:tcPr>
            <w:tcW w:w="4206" w:type="dxa"/>
            <w:tcBorders>
              <w:top w:val="nil"/>
              <w:left w:val="nil"/>
              <w:bottom w:val="nil"/>
              <w:right w:val="nil"/>
            </w:tcBorders>
            <w:vAlign w:val="center"/>
          </w:tcPr>
          <w:p w14:paraId="757BDB55"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PSMIPA×PUE</w:t>
            </w:r>
          </w:p>
        </w:tc>
        <w:tc>
          <w:tcPr>
            <w:tcW w:w="2410" w:type="dxa"/>
            <w:tcBorders>
              <w:top w:val="nil"/>
              <w:left w:val="nil"/>
              <w:bottom w:val="nil"/>
              <w:right w:val="nil"/>
            </w:tcBorders>
            <w:shd w:val="clear" w:color="auto" w:fill="auto"/>
            <w:vAlign w:val="bottom"/>
          </w:tcPr>
          <w:p w14:paraId="2B9A324F"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5588BFDD"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0.0012*</w:t>
            </w:r>
            <w:r w:rsidRPr="006D55DE">
              <w:rPr>
                <w:rFonts w:asciiTheme="majorBidi" w:hAnsiTheme="majorBidi" w:cstheme="majorBidi"/>
                <w:sz w:val="21"/>
                <w:szCs w:val="21"/>
              </w:rPr>
              <w:br/>
              <w:t>(1.870)</w:t>
            </w:r>
          </w:p>
        </w:tc>
      </w:tr>
      <w:tr w:rsidR="00C623E5" w14:paraId="616BDDE7" w14:textId="77777777" w:rsidTr="00DF6C6A">
        <w:trPr>
          <w:trHeight w:val="432"/>
          <w:jc w:val="center"/>
        </w:trPr>
        <w:tc>
          <w:tcPr>
            <w:tcW w:w="4206" w:type="dxa"/>
            <w:tcBorders>
              <w:top w:val="nil"/>
              <w:left w:val="nil"/>
              <w:bottom w:val="nil"/>
              <w:right w:val="nil"/>
            </w:tcBorders>
            <w:vAlign w:val="center"/>
          </w:tcPr>
          <w:p w14:paraId="6CAAC426"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∆VIXHA×NUE</w:t>
            </w:r>
          </w:p>
        </w:tc>
        <w:tc>
          <w:tcPr>
            <w:tcW w:w="2410" w:type="dxa"/>
            <w:tcBorders>
              <w:top w:val="nil"/>
              <w:left w:val="nil"/>
              <w:bottom w:val="nil"/>
              <w:right w:val="nil"/>
            </w:tcBorders>
            <w:shd w:val="clear" w:color="auto" w:fill="auto"/>
            <w:vAlign w:val="bottom"/>
          </w:tcPr>
          <w:p w14:paraId="6E33C82F"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53939FF2"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0.0045***</w:t>
            </w:r>
            <w:r w:rsidRPr="006D55DE">
              <w:rPr>
                <w:rFonts w:asciiTheme="majorBidi" w:hAnsiTheme="majorBidi" w:cstheme="majorBidi"/>
                <w:sz w:val="21"/>
                <w:szCs w:val="21"/>
              </w:rPr>
              <w:br/>
              <w:t>(4.540)</w:t>
            </w:r>
          </w:p>
        </w:tc>
      </w:tr>
      <w:tr w:rsidR="00C623E5" w14:paraId="2594923F" w14:textId="77777777" w:rsidTr="00DF6C6A">
        <w:trPr>
          <w:trHeight w:val="432"/>
          <w:jc w:val="center"/>
        </w:trPr>
        <w:tc>
          <w:tcPr>
            <w:tcW w:w="4206" w:type="dxa"/>
            <w:tcBorders>
              <w:top w:val="nil"/>
              <w:left w:val="nil"/>
              <w:bottom w:val="nil"/>
              <w:right w:val="nil"/>
            </w:tcBorders>
            <w:vAlign w:val="center"/>
          </w:tcPr>
          <w:p w14:paraId="022CE2B4"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∆VIXHA×PUE</w:t>
            </w:r>
          </w:p>
        </w:tc>
        <w:tc>
          <w:tcPr>
            <w:tcW w:w="2410" w:type="dxa"/>
            <w:tcBorders>
              <w:top w:val="nil"/>
              <w:left w:val="nil"/>
              <w:bottom w:val="nil"/>
              <w:right w:val="nil"/>
            </w:tcBorders>
            <w:shd w:val="clear" w:color="auto" w:fill="auto"/>
            <w:vAlign w:val="bottom"/>
          </w:tcPr>
          <w:p w14:paraId="0F01C991" w14:textId="77777777" w:rsidR="00C623E5" w:rsidRPr="006D55DE" w:rsidRDefault="00C623E5" w:rsidP="00DF6C6A">
            <w:pPr>
              <w:tabs>
                <w:tab w:val="left" w:pos="567"/>
              </w:tabs>
              <w:jc w:val="center"/>
              <w:rPr>
                <w:rFonts w:asciiTheme="majorBidi" w:hAnsiTheme="majorBidi" w:cstheme="majorBidi"/>
                <w:sz w:val="21"/>
                <w:szCs w:val="21"/>
              </w:rPr>
            </w:pPr>
          </w:p>
        </w:tc>
        <w:tc>
          <w:tcPr>
            <w:tcW w:w="2649" w:type="dxa"/>
            <w:tcBorders>
              <w:top w:val="nil"/>
              <w:left w:val="nil"/>
              <w:bottom w:val="nil"/>
              <w:right w:val="nil"/>
            </w:tcBorders>
            <w:shd w:val="clear" w:color="auto" w:fill="auto"/>
            <w:vAlign w:val="bottom"/>
          </w:tcPr>
          <w:p w14:paraId="529E7FAB"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-0.0021***</w:t>
            </w:r>
            <w:r w:rsidRPr="006D55DE">
              <w:rPr>
                <w:rFonts w:asciiTheme="majorBidi" w:hAnsiTheme="majorBidi" w:cstheme="majorBidi"/>
                <w:sz w:val="21"/>
                <w:szCs w:val="21"/>
              </w:rPr>
              <w:br/>
              <w:t>(-3.470)</w:t>
            </w:r>
          </w:p>
        </w:tc>
      </w:tr>
      <w:tr w:rsidR="00C623E5" w14:paraId="0FB71FC5" w14:textId="77777777" w:rsidTr="00DF6C6A">
        <w:trPr>
          <w:trHeight w:val="432"/>
          <w:jc w:val="center"/>
        </w:trPr>
        <w:tc>
          <w:tcPr>
            <w:tcW w:w="4206" w:type="dxa"/>
            <w:tcBorders>
              <w:top w:val="nil"/>
              <w:left w:val="nil"/>
              <w:bottom w:val="nil"/>
              <w:right w:val="nil"/>
            </w:tcBorders>
            <w:vAlign w:val="center"/>
          </w:tcPr>
          <w:p w14:paraId="4FBB4D88"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SIZE</w:t>
            </w:r>
          </w:p>
        </w:tc>
        <w:tc>
          <w:tcPr>
            <w:tcW w:w="2410" w:type="dxa"/>
            <w:tcBorders>
              <w:top w:val="nil"/>
              <w:left w:val="nil"/>
              <w:bottom w:val="nil"/>
              <w:right w:val="nil"/>
            </w:tcBorders>
            <w:shd w:val="clear" w:color="auto" w:fill="auto"/>
            <w:vAlign w:val="bottom"/>
          </w:tcPr>
          <w:p w14:paraId="5F9A41A8"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-0.0021***</w:t>
            </w:r>
            <w:r w:rsidRPr="006D55DE">
              <w:rPr>
                <w:rFonts w:asciiTheme="majorBidi" w:hAnsiTheme="majorBidi" w:cstheme="majorBidi"/>
                <w:sz w:val="21"/>
                <w:szCs w:val="21"/>
              </w:rPr>
              <w:br/>
              <w:t>(-5.030)</w:t>
            </w:r>
          </w:p>
        </w:tc>
        <w:tc>
          <w:tcPr>
            <w:tcW w:w="2649" w:type="dxa"/>
            <w:tcBorders>
              <w:top w:val="nil"/>
              <w:left w:val="nil"/>
              <w:bottom w:val="nil"/>
              <w:right w:val="nil"/>
            </w:tcBorders>
            <w:shd w:val="clear" w:color="auto" w:fill="auto"/>
            <w:vAlign w:val="bottom"/>
          </w:tcPr>
          <w:p w14:paraId="3BD5AF69"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-0.0014*</w:t>
            </w:r>
            <w:r w:rsidRPr="006D55DE">
              <w:rPr>
                <w:rFonts w:asciiTheme="majorBidi" w:hAnsiTheme="majorBidi" w:cstheme="majorBidi"/>
                <w:sz w:val="21"/>
                <w:szCs w:val="21"/>
              </w:rPr>
              <w:br/>
              <w:t>(-1.920)</w:t>
            </w:r>
          </w:p>
        </w:tc>
      </w:tr>
      <w:tr w:rsidR="00C623E5" w14:paraId="34986DCA" w14:textId="77777777" w:rsidTr="00DF6C6A">
        <w:trPr>
          <w:trHeight w:val="432"/>
          <w:jc w:val="center"/>
        </w:trPr>
        <w:tc>
          <w:tcPr>
            <w:tcW w:w="4206" w:type="dxa"/>
            <w:tcBorders>
              <w:top w:val="nil"/>
              <w:left w:val="nil"/>
              <w:bottom w:val="nil"/>
              <w:right w:val="nil"/>
            </w:tcBorders>
            <w:vAlign w:val="center"/>
          </w:tcPr>
          <w:p w14:paraId="7F4A8D1F"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BTMV</w:t>
            </w:r>
          </w:p>
        </w:tc>
        <w:tc>
          <w:tcPr>
            <w:tcW w:w="2410" w:type="dxa"/>
            <w:tcBorders>
              <w:top w:val="nil"/>
              <w:left w:val="nil"/>
              <w:bottom w:val="nil"/>
              <w:right w:val="nil"/>
            </w:tcBorders>
            <w:shd w:val="clear" w:color="auto" w:fill="auto"/>
            <w:vAlign w:val="bottom"/>
          </w:tcPr>
          <w:p w14:paraId="6A14E62E"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0.0049***</w:t>
            </w:r>
            <w:r w:rsidRPr="006D55DE">
              <w:rPr>
                <w:rFonts w:asciiTheme="majorBidi" w:hAnsiTheme="majorBidi" w:cstheme="majorBidi"/>
                <w:sz w:val="21"/>
                <w:szCs w:val="21"/>
              </w:rPr>
              <w:br/>
              <w:t>(4.830)</w:t>
            </w:r>
          </w:p>
        </w:tc>
        <w:tc>
          <w:tcPr>
            <w:tcW w:w="2649" w:type="dxa"/>
            <w:tcBorders>
              <w:top w:val="nil"/>
              <w:left w:val="nil"/>
              <w:bottom w:val="nil"/>
              <w:right w:val="nil"/>
            </w:tcBorders>
            <w:shd w:val="clear" w:color="auto" w:fill="auto"/>
            <w:vAlign w:val="bottom"/>
          </w:tcPr>
          <w:p w14:paraId="3ECF5FBB"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0.0072***</w:t>
            </w:r>
            <w:r w:rsidRPr="006D55DE">
              <w:rPr>
                <w:rFonts w:asciiTheme="majorBidi" w:hAnsiTheme="majorBidi" w:cstheme="majorBidi"/>
                <w:sz w:val="21"/>
                <w:szCs w:val="21"/>
              </w:rPr>
              <w:br/>
              <w:t>(3.350)</w:t>
            </w:r>
          </w:p>
        </w:tc>
      </w:tr>
      <w:tr w:rsidR="00C623E5" w14:paraId="7A964796" w14:textId="77777777" w:rsidTr="00DF6C6A">
        <w:trPr>
          <w:trHeight w:val="432"/>
          <w:jc w:val="center"/>
        </w:trPr>
        <w:tc>
          <w:tcPr>
            <w:tcW w:w="4206" w:type="dxa"/>
            <w:tcBorders>
              <w:top w:val="nil"/>
              <w:left w:val="nil"/>
              <w:bottom w:val="nil"/>
              <w:right w:val="nil"/>
            </w:tcBorders>
            <w:vAlign w:val="center"/>
          </w:tcPr>
          <w:p w14:paraId="56B8A497"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RLAG</w:t>
            </w:r>
          </w:p>
        </w:tc>
        <w:tc>
          <w:tcPr>
            <w:tcW w:w="2410" w:type="dxa"/>
            <w:tcBorders>
              <w:top w:val="nil"/>
              <w:left w:val="nil"/>
              <w:bottom w:val="nil"/>
              <w:right w:val="nil"/>
            </w:tcBorders>
            <w:shd w:val="clear" w:color="auto" w:fill="auto"/>
            <w:vAlign w:val="bottom"/>
          </w:tcPr>
          <w:p w14:paraId="048F1644"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-0.0000</w:t>
            </w:r>
            <w:r w:rsidRPr="006D55DE">
              <w:rPr>
                <w:rFonts w:asciiTheme="majorBidi" w:hAnsiTheme="majorBidi" w:cstheme="majorBidi"/>
                <w:sz w:val="21"/>
                <w:szCs w:val="21"/>
              </w:rPr>
              <w:br/>
              <w:t>(-0.160)</w:t>
            </w:r>
          </w:p>
        </w:tc>
        <w:tc>
          <w:tcPr>
            <w:tcW w:w="2649" w:type="dxa"/>
            <w:tcBorders>
              <w:top w:val="nil"/>
              <w:left w:val="nil"/>
              <w:bottom w:val="nil"/>
              <w:right w:val="nil"/>
            </w:tcBorders>
            <w:shd w:val="clear" w:color="auto" w:fill="auto"/>
            <w:vAlign w:val="bottom"/>
          </w:tcPr>
          <w:p w14:paraId="0055E747"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-0.0000</w:t>
            </w:r>
            <w:r w:rsidRPr="006D55DE">
              <w:rPr>
                <w:rFonts w:asciiTheme="majorBidi" w:hAnsiTheme="majorBidi" w:cstheme="majorBidi"/>
                <w:sz w:val="21"/>
                <w:szCs w:val="21"/>
              </w:rPr>
              <w:br/>
              <w:t>(-0.120)</w:t>
            </w:r>
          </w:p>
        </w:tc>
      </w:tr>
      <w:tr w:rsidR="00C623E5" w14:paraId="067E9C00" w14:textId="77777777" w:rsidTr="00DF6C6A">
        <w:trPr>
          <w:trHeight w:val="432"/>
          <w:jc w:val="center"/>
        </w:trPr>
        <w:tc>
          <w:tcPr>
            <w:tcW w:w="4206" w:type="dxa"/>
            <w:tcBorders>
              <w:top w:val="nil"/>
              <w:left w:val="nil"/>
              <w:bottom w:val="nil"/>
              <w:right w:val="nil"/>
            </w:tcBorders>
            <w:vAlign w:val="center"/>
          </w:tcPr>
          <w:p w14:paraId="7245398E"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FORC</w:t>
            </w:r>
          </w:p>
        </w:tc>
        <w:tc>
          <w:tcPr>
            <w:tcW w:w="2410" w:type="dxa"/>
            <w:tcBorders>
              <w:top w:val="nil"/>
              <w:left w:val="nil"/>
              <w:bottom w:val="nil"/>
              <w:right w:val="nil"/>
            </w:tcBorders>
            <w:shd w:val="clear" w:color="auto" w:fill="auto"/>
            <w:vAlign w:val="bottom"/>
          </w:tcPr>
          <w:p w14:paraId="64BDF2BF"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0.0002***</w:t>
            </w:r>
            <w:r w:rsidRPr="006D55DE">
              <w:rPr>
                <w:rFonts w:asciiTheme="majorBidi" w:hAnsiTheme="majorBidi" w:cstheme="majorBidi"/>
                <w:sz w:val="21"/>
                <w:szCs w:val="21"/>
              </w:rPr>
              <w:br/>
              <w:t>(2.630)</w:t>
            </w:r>
          </w:p>
        </w:tc>
        <w:tc>
          <w:tcPr>
            <w:tcW w:w="2649" w:type="dxa"/>
            <w:tcBorders>
              <w:top w:val="nil"/>
              <w:left w:val="nil"/>
              <w:bottom w:val="nil"/>
              <w:right w:val="nil"/>
            </w:tcBorders>
            <w:shd w:val="clear" w:color="auto" w:fill="auto"/>
            <w:vAlign w:val="bottom"/>
          </w:tcPr>
          <w:p w14:paraId="66167475"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0.0005***</w:t>
            </w:r>
            <w:r w:rsidRPr="006D55DE">
              <w:rPr>
                <w:rFonts w:asciiTheme="majorBidi" w:hAnsiTheme="majorBidi" w:cstheme="majorBidi"/>
                <w:sz w:val="21"/>
                <w:szCs w:val="21"/>
              </w:rPr>
              <w:br/>
              <w:t>(2.990)</w:t>
            </w:r>
          </w:p>
        </w:tc>
      </w:tr>
      <w:tr w:rsidR="00C623E5" w:rsidRPr="002E1EC0" w14:paraId="226EED6B" w14:textId="77777777" w:rsidTr="00DF6C6A">
        <w:trPr>
          <w:trHeight w:val="288"/>
          <w:jc w:val="center"/>
        </w:trPr>
        <w:tc>
          <w:tcPr>
            <w:tcW w:w="4206" w:type="dxa"/>
            <w:tcBorders>
              <w:top w:val="nil"/>
              <w:left w:val="nil"/>
              <w:bottom w:val="nil"/>
              <w:right w:val="nil"/>
            </w:tcBorders>
            <w:vAlign w:val="center"/>
          </w:tcPr>
          <w:p w14:paraId="2E687C70"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Number of Observations</w:t>
            </w:r>
          </w:p>
        </w:tc>
        <w:tc>
          <w:tcPr>
            <w:tcW w:w="2410" w:type="dxa"/>
            <w:tcBorders>
              <w:top w:val="nil"/>
              <w:left w:val="nil"/>
              <w:bottom w:val="nil"/>
              <w:right w:val="nil"/>
            </w:tcBorders>
            <w:vAlign w:val="center"/>
          </w:tcPr>
          <w:p w14:paraId="797A9379"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21,692</w:t>
            </w:r>
          </w:p>
        </w:tc>
        <w:tc>
          <w:tcPr>
            <w:tcW w:w="2649" w:type="dxa"/>
            <w:tcBorders>
              <w:top w:val="nil"/>
              <w:left w:val="nil"/>
              <w:bottom w:val="nil"/>
              <w:right w:val="nil"/>
            </w:tcBorders>
            <w:vAlign w:val="center"/>
          </w:tcPr>
          <w:p w14:paraId="6E789166"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21,692</w:t>
            </w:r>
          </w:p>
        </w:tc>
      </w:tr>
      <w:tr w:rsidR="00C623E5" w:rsidRPr="002E1EC0" w14:paraId="7068F350" w14:textId="77777777" w:rsidTr="00BA5205">
        <w:trPr>
          <w:trHeight w:val="288"/>
          <w:jc w:val="center"/>
        </w:trPr>
        <w:tc>
          <w:tcPr>
            <w:tcW w:w="4206" w:type="dxa"/>
            <w:tcBorders>
              <w:top w:val="nil"/>
              <w:left w:val="nil"/>
              <w:bottom w:val="nil"/>
              <w:right w:val="nil"/>
            </w:tcBorders>
            <w:vAlign w:val="center"/>
          </w:tcPr>
          <w:p w14:paraId="1496E2FD" w14:textId="77777777" w:rsidR="00C623E5" w:rsidRPr="006D55DE" w:rsidRDefault="00C623E5" w:rsidP="00DF6C6A">
            <w:pPr>
              <w:tabs>
                <w:tab w:val="left" w:pos="567"/>
              </w:tabs>
              <w:rPr>
                <w:rFonts w:asciiTheme="majorBidi" w:hAnsiTheme="majorBidi" w:cstheme="majorBidi"/>
                <w:sz w:val="21"/>
                <w:szCs w:val="21"/>
              </w:rPr>
            </w:pPr>
            <w:r w:rsidRPr="006D55DE">
              <w:rPr>
                <w:rFonts w:asciiTheme="majorBidi" w:hAnsiTheme="majorBidi" w:cstheme="majorBidi"/>
                <w:sz w:val="21"/>
                <w:szCs w:val="21"/>
              </w:rPr>
              <w:t>Year/Industry Dummies</w:t>
            </w:r>
          </w:p>
        </w:tc>
        <w:tc>
          <w:tcPr>
            <w:tcW w:w="2410" w:type="dxa"/>
            <w:tcBorders>
              <w:top w:val="nil"/>
              <w:left w:val="nil"/>
              <w:bottom w:val="nil"/>
              <w:right w:val="nil"/>
            </w:tcBorders>
            <w:vAlign w:val="center"/>
          </w:tcPr>
          <w:p w14:paraId="7B8EB177"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Yes</w:t>
            </w:r>
          </w:p>
        </w:tc>
        <w:tc>
          <w:tcPr>
            <w:tcW w:w="2649" w:type="dxa"/>
            <w:tcBorders>
              <w:top w:val="nil"/>
              <w:left w:val="nil"/>
              <w:bottom w:val="nil"/>
              <w:right w:val="nil"/>
            </w:tcBorders>
            <w:vAlign w:val="center"/>
          </w:tcPr>
          <w:p w14:paraId="2C3B0CDB" w14:textId="77777777" w:rsidR="00C623E5" w:rsidRPr="006D55DE" w:rsidRDefault="00C623E5" w:rsidP="00DF6C6A">
            <w:pPr>
              <w:tabs>
                <w:tab w:val="left" w:pos="567"/>
              </w:tabs>
              <w:jc w:val="center"/>
              <w:rPr>
                <w:rFonts w:asciiTheme="majorBidi" w:hAnsiTheme="majorBidi" w:cstheme="majorBidi"/>
                <w:sz w:val="21"/>
                <w:szCs w:val="21"/>
              </w:rPr>
            </w:pPr>
            <w:r w:rsidRPr="006D55DE">
              <w:rPr>
                <w:rFonts w:asciiTheme="majorBidi" w:hAnsiTheme="majorBidi" w:cstheme="majorBidi"/>
                <w:sz w:val="21"/>
                <w:szCs w:val="21"/>
              </w:rPr>
              <w:t>Yes</w:t>
            </w:r>
          </w:p>
        </w:tc>
      </w:tr>
      <w:tr w:rsidR="00BA5205" w:rsidRPr="002E1EC0" w14:paraId="70664DCE" w14:textId="77777777" w:rsidTr="00BA5205">
        <w:trPr>
          <w:trHeight w:val="288"/>
          <w:jc w:val="center"/>
        </w:trPr>
        <w:tc>
          <w:tcPr>
            <w:tcW w:w="9265" w:type="dxa"/>
            <w:gridSpan w:val="3"/>
            <w:tcBorders>
              <w:top w:val="nil"/>
              <w:left w:val="nil"/>
              <w:bottom w:val="single" w:sz="4" w:space="0" w:color="auto"/>
              <w:right w:val="nil"/>
            </w:tcBorders>
            <w:vAlign w:val="center"/>
          </w:tcPr>
          <w:p w14:paraId="49438B3E" w14:textId="77777777" w:rsidR="00BA5205" w:rsidRDefault="00BA5205" w:rsidP="00BA5205">
            <w:pPr>
              <w:tabs>
                <w:tab w:val="left" w:pos="567"/>
              </w:tabs>
              <w:jc w:val="both"/>
              <w:rPr>
                <w:rFonts w:asciiTheme="majorBidi" w:hAnsiTheme="majorBidi" w:cstheme="majorBidi"/>
                <w:color w:val="000000"/>
                <w:sz w:val="18"/>
                <w:szCs w:val="18"/>
              </w:rPr>
            </w:pPr>
          </w:p>
          <w:p w14:paraId="4D988D01" w14:textId="4615B167" w:rsidR="00BA5205" w:rsidRPr="00BA5205" w:rsidRDefault="00BA5205" w:rsidP="00BA5205">
            <w:pPr>
              <w:tabs>
                <w:tab w:val="left" w:pos="567"/>
              </w:tabs>
              <w:spacing w:after="60"/>
              <w:jc w:val="both"/>
              <w:rPr>
                <w:rFonts w:asciiTheme="majorBidi" w:hAnsiTheme="majorBidi" w:cstheme="majorBidi"/>
                <w:sz w:val="18"/>
                <w:szCs w:val="18"/>
              </w:rPr>
            </w:pPr>
            <w:r w:rsidRPr="00BA5205">
              <w:rPr>
                <w:rFonts w:asciiTheme="majorBidi" w:hAnsiTheme="majorBidi" w:cstheme="majorBidi"/>
                <w:color w:val="000000"/>
                <w:sz w:val="18"/>
                <w:szCs w:val="18"/>
              </w:rPr>
              <w:t>*Significant at the 10% level. **Significant at the 5% level. ***Significant at the 1% level.</w:t>
            </w:r>
          </w:p>
        </w:tc>
      </w:tr>
    </w:tbl>
    <w:p w14:paraId="4F9E3D8D" w14:textId="4C0A5EE0" w:rsidR="00C623E5" w:rsidRPr="006D55DE" w:rsidRDefault="006D55DE" w:rsidP="00BA5205">
      <w:pPr>
        <w:tabs>
          <w:tab w:val="left" w:pos="567"/>
        </w:tabs>
        <w:spacing w:after="0" w:line="288" w:lineRule="auto"/>
        <w:jc w:val="both"/>
        <w:rPr>
          <w:rFonts w:ascii="Times New Roman" w:hAnsi="Times New Roman" w:cs="Times New Roman"/>
          <w:sz w:val="24"/>
          <w:szCs w:val="24"/>
        </w:rPr>
      </w:pPr>
      <w:r>
        <w:rPr>
          <w:rFonts w:asciiTheme="majorBidi" w:hAnsiTheme="majorBidi" w:cstheme="majorBidi"/>
          <w:color w:val="000000"/>
        </w:rPr>
        <w:lastRenderedPageBreak/>
        <w:tab/>
      </w:r>
      <w:r w:rsidR="00C623E5" w:rsidRPr="006D55DE">
        <w:rPr>
          <w:rFonts w:asciiTheme="majorBidi" w:hAnsiTheme="majorBidi" w:cstheme="majorBidi"/>
          <w:color w:val="000000"/>
          <w:sz w:val="24"/>
          <w:szCs w:val="24"/>
        </w:rPr>
        <w:t>T</w:t>
      </w:r>
      <w:r w:rsidRPr="006D55DE">
        <w:rPr>
          <w:rFonts w:asciiTheme="majorBidi" w:hAnsiTheme="majorBidi" w:cstheme="majorBidi"/>
          <w:color w:val="000000"/>
          <w:sz w:val="24"/>
          <w:szCs w:val="24"/>
        </w:rPr>
        <w:t xml:space="preserve">able 6 </w:t>
      </w:r>
      <w:r w:rsidR="00C623E5" w:rsidRPr="006D55DE">
        <w:rPr>
          <w:rFonts w:asciiTheme="majorBidi" w:hAnsiTheme="majorBidi" w:cstheme="majorBidi"/>
          <w:color w:val="000000"/>
          <w:sz w:val="24"/>
          <w:szCs w:val="24"/>
        </w:rPr>
        <w:t xml:space="preserve">presents the results of running ordinary least squares regressions using models 2 and 3 and the alternative measures. Refer to the text for full explanation of the models. The dependent variable, </w:t>
      </w:r>
      <w:r w:rsidR="00C623E5" w:rsidRPr="006D55DE">
        <w:rPr>
          <w:rFonts w:ascii="Times New Roman" w:hAnsi="Times New Roman" w:cs="Times New Roman"/>
          <w:i/>
          <w:iCs/>
          <w:sz w:val="24"/>
          <w:szCs w:val="24"/>
        </w:rPr>
        <w:t>CAR</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i/>
          <w:iCs/>
          <w:sz w:val="24"/>
          <w:szCs w:val="24"/>
        </w:rPr>
        <w:t xml:space="preserve">, </w:t>
      </w:r>
      <w:r w:rsidR="00C623E5" w:rsidRPr="006D55DE">
        <w:rPr>
          <w:rFonts w:ascii="Times New Roman" w:hAnsi="Times New Roman" w:cs="Times New Roman"/>
          <w:sz w:val="24"/>
          <w:szCs w:val="24"/>
        </w:rPr>
        <w:t>is the cumulative abnormal return calculated for the period specified in the brackets.</w:t>
      </w:r>
      <w:r w:rsidR="00C623E5" w:rsidRPr="006D55DE">
        <w:rPr>
          <w:rFonts w:ascii="Times New Roman" w:hAnsi="Times New Roman" w:cs="Times New Roman"/>
          <w:i/>
          <w:iCs/>
          <w:sz w:val="24"/>
          <w:szCs w:val="24"/>
        </w:rPr>
        <w:t xml:space="preserve"> NUE</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i/>
          <w:iCs/>
          <w:sz w:val="24"/>
          <w:szCs w:val="24"/>
        </w:rPr>
        <w:t xml:space="preserve"> </w:t>
      </w:r>
      <w:r w:rsidR="00C623E5" w:rsidRPr="006D55DE">
        <w:rPr>
          <w:rFonts w:ascii="Times New Roman" w:hAnsi="Times New Roman" w:cs="Times New Roman"/>
          <w:sz w:val="24"/>
          <w:szCs w:val="24"/>
        </w:rPr>
        <w:t>(</w:t>
      </w:r>
      <w:r w:rsidR="00C623E5" w:rsidRPr="006D55DE">
        <w:rPr>
          <w:rFonts w:ascii="Times New Roman" w:hAnsi="Times New Roman" w:cs="Times New Roman"/>
          <w:i/>
          <w:iCs/>
          <w:sz w:val="24"/>
          <w:szCs w:val="24"/>
        </w:rPr>
        <w:t>PUE</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the negative (positive) UE measure which takes the value of SUE when it is negative (positive) or 0 otherwise. </w:t>
      </w:r>
      <w:r w:rsidR="00C623E5" w:rsidRPr="006D55DE">
        <w:rPr>
          <w:rFonts w:ascii="Times New Roman" w:hAnsi="Times New Roman" w:cs="Times New Roman"/>
          <w:i/>
          <w:iCs/>
          <w:sz w:val="24"/>
          <w:szCs w:val="24"/>
        </w:rPr>
        <w:t>GOVHA</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a dummy variable which takes the value 1 if the first principal component score for the announcement year is above the median value for all other observations or 0 otherwise. </w:t>
      </w:r>
      <w:r w:rsidR="00C623E5" w:rsidRPr="006D55DE">
        <w:rPr>
          <w:rFonts w:ascii="Times New Roman" w:hAnsi="Times New Roman" w:cs="Times New Roman"/>
          <w:i/>
          <w:iCs/>
          <w:sz w:val="24"/>
          <w:szCs w:val="24"/>
        </w:rPr>
        <w:t>SMIPA</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a dummy variable which takes the value 1 if the value of the six factors Sentiment Index for the particular month is above the median value for all observations or 0 otherwise. </w:t>
      </w:r>
      <w:r w:rsidR="00C623E5" w:rsidRPr="006D55DE">
        <w:rPr>
          <w:rFonts w:ascii="Times New Roman" w:hAnsi="Times New Roman" w:cs="Times New Roman"/>
          <w:i/>
          <w:iCs/>
          <w:sz w:val="24"/>
          <w:szCs w:val="24"/>
        </w:rPr>
        <w:t>VIXHA</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a dummy variable which takes the value 1 if the detrended stock turnover level (uncertainty measure) value one day prior to the announcement is above the median value for all observations or 0 otherwise. </w:t>
      </w:r>
      <w:r w:rsidR="00C623E5" w:rsidRPr="006D55DE">
        <w:rPr>
          <w:rFonts w:ascii="Times New Roman" w:hAnsi="Times New Roman" w:cs="Times New Roman"/>
          <w:i/>
          <w:iCs/>
          <w:sz w:val="24"/>
          <w:szCs w:val="24"/>
        </w:rPr>
        <w:t>PSMIPA</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a dummy variable which takes the value 1 if the value of the six factors Sentiment Index increases over the announcement period (Month 1 to Month 3), while </w:t>
      </w:r>
      <w:r w:rsidR="00C623E5" w:rsidRPr="006D55DE">
        <w:rPr>
          <w:rFonts w:ascii="Times New Roman" w:hAnsi="Times New Roman" w:cs="Times New Roman"/>
          <w:i/>
          <w:iCs/>
          <w:sz w:val="24"/>
          <w:szCs w:val="24"/>
        </w:rPr>
        <w:t>∆VIXHA</w:t>
      </w:r>
      <w:r w:rsidR="00C623E5" w:rsidRPr="006D55DE">
        <w:rPr>
          <w:rFonts w:ascii="Times New Roman" w:hAnsi="Times New Roman" w:cs="Times New Roman"/>
          <w:i/>
          <w:iCs/>
          <w:sz w:val="24"/>
          <w:szCs w:val="24"/>
          <w:vertAlign w:val="subscript"/>
        </w:rPr>
        <w:t>i,t</w:t>
      </w:r>
      <w:r w:rsidR="00C623E5" w:rsidRPr="006D55DE">
        <w:rPr>
          <w:rFonts w:ascii="Times New Roman" w:hAnsi="Times New Roman" w:cs="Times New Roman"/>
          <w:sz w:val="24"/>
          <w:szCs w:val="24"/>
        </w:rPr>
        <w:t xml:space="preserve"> is a dummy variable that measures change in detrended stock turnover level over the studied period and takes the value 1 if the value increases over the post-announcement period (T+2 to T+60) or 0 otherwise. All variables are defined in </w:t>
      </w:r>
      <w:r w:rsidR="00C623E5" w:rsidRPr="006D55DE">
        <w:rPr>
          <w:rFonts w:ascii="Times New Roman" w:hAnsi="Times New Roman" w:cs="Times New Roman"/>
          <w:i/>
          <w:iCs/>
          <w:sz w:val="24"/>
          <w:szCs w:val="24"/>
        </w:rPr>
        <w:t>Appendix I</w:t>
      </w:r>
      <w:r w:rsidR="00C623E5" w:rsidRPr="006D55DE">
        <w:rPr>
          <w:rFonts w:asciiTheme="majorBidi" w:hAnsiTheme="majorBidi" w:cstheme="majorBidi"/>
          <w:color w:val="000000"/>
          <w:sz w:val="24"/>
          <w:szCs w:val="24"/>
        </w:rPr>
        <w:t xml:space="preserve">. The standard errors are clustered across firm and time. </w:t>
      </w:r>
    </w:p>
    <w:p w14:paraId="1CCE28C8" w14:textId="6B292B3C" w:rsidR="00AA7196" w:rsidRDefault="00AA7196" w:rsidP="008F42C0">
      <w:pPr>
        <w:tabs>
          <w:tab w:val="left" w:pos="567"/>
        </w:tabs>
        <w:spacing w:after="0" w:line="288" w:lineRule="auto"/>
        <w:jc w:val="both"/>
        <w:rPr>
          <w:rFonts w:asciiTheme="majorBidi" w:hAnsiTheme="majorBidi" w:cstheme="majorBidi"/>
          <w:b/>
          <w:bCs/>
          <w:sz w:val="24"/>
          <w:szCs w:val="24"/>
        </w:rPr>
      </w:pPr>
    </w:p>
    <w:p w14:paraId="6B1E9469" w14:textId="5AE30E56" w:rsidR="000E50E7" w:rsidRPr="00703E8D" w:rsidRDefault="000E50E7" w:rsidP="00BA14B0">
      <w:pPr>
        <w:pStyle w:val="ListParagraph"/>
        <w:keepNext/>
        <w:numPr>
          <w:ilvl w:val="0"/>
          <w:numId w:val="38"/>
        </w:numPr>
        <w:tabs>
          <w:tab w:val="left" w:pos="284"/>
        </w:tabs>
        <w:spacing w:after="0" w:line="288" w:lineRule="auto"/>
        <w:ind w:left="0" w:firstLine="0"/>
        <w:rPr>
          <w:rFonts w:asciiTheme="majorBidi" w:hAnsiTheme="majorBidi" w:cstheme="majorBidi"/>
          <w:b/>
          <w:bCs/>
          <w:sz w:val="24"/>
          <w:szCs w:val="24"/>
        </w:rPr>
      </w:pPr>
      <w:r>
        <w:rPr>
          <w:rFonts w:asciiTheme="majorBidi" w:hAnsiTheme="majorBidi" w:cstheme="majorBidi"/>
          <w:b/>
          <w:bCs/>
          <w:sz w:val="24"/>
          <w:szCs w:val="24"/>
        </w:rPr>
        <w:t>Conclusion</w:t>
      </w:r>
      <w:r w:rsidR="0010171C">
        <w:rPr>
          <w:rFonts w:asciiTheme="majorBidi" w:hAnsiTheme="majorBidi" w:cstheme="majorBidi"/>
          <w:b/>
          <w:bCs/>
          <w:sz w:val="24"/>
          <w:szCs w:val="24"/>
        </w:rPr>
        <w:t>s</w:t>
      </w:r>
    </w:p>
    <w:p w14:paraId="79EFBD77" w14:textId="77777777" w:rsidR="00AA7196" w:rsidRPr="00AA7196" w:rsidRDefault="00AA7196" w:rsidP="008F42C0">
      <w:pPr>
        <w:tabs>
          <w:tab w:val="left" w:pos="567"/>
        </w:tabs>
        <w:spacing w:after="0" w:line="288" w:lineRule="auto"/>
        <w:jc w:val="both"/>
        <w:rPr>
          <w:rFonts w:asciiTheme="majorBidi" w:hAnsiTheme="majorBidi" w:cstheme="majorBidi"/>
          <w:sz w:val="12"/>
          <w:szCs w:val="12"/>
        </w:rPr>
      </w:pPr>
    </w:p>
    <w:p w14:paraId="3165C4F4" w14:textId="276114FE" w:rsidR="0047392D" w:rsidRDefault="0047392D" w:rsidP="008F42C0">
      <w:pPr>
        <w:tabs>
          <w:tab w:val="left" w:pos="567"/>
        </w:tabs>
        <w:spacing w:after="0" w:line="288" w:lineRule="auto"/>
        <w:jc w:val="both"/>
        <w:rPr>
          <w:rFonts w:asciiTheme="majorBidi" w:hAnsiTheme="majorBidi" w:cstheme="majorBidi"/>
          <w:sz w:val="24"/>
          <w:szCs w:val="24"/>
        </w:rPr>
      </w:pPr>
      <w:r w:rsidRPr="0047392D">
        <w:rPr>
          <w:rFonts w:asciiTheme="majorBidi" w:hAnsiTheme="majorBidi" w:cstheme="majorBidi"/>
          <w:sz w:val="24"/>
          <w:szCs w:val="24"/>
        </w:rPr>
        <w:t xml:space="preserve">This study examines the role of the firm’s corporate governance characteristics in influencing market participants’ initial reaction to earnings announcement while controlling for both market sentiment and uncertainty. Our findings confirm the role of governance in significantly strengthening the initial reaction to earnings announcement with the response to a quantum of both good and bad earnings news being greater for firms with a high level of corporate governance. Our results are consistent with investors having more confidence in the quality of earnings announcements made by better governed firms which leads them to attribute more credibility to any surprise element in these announcements. This finding is supported by prior findings in the literature regarding the role of corporate governance in improving the quality attached to the firm’s announcements (Beekes </w:t>
      </w:r>
      <w:r w:rsidR="006D1807" w:rsidRPr="006D1807">
        <w:rPr>
          <w:rFonts w:asciiTheme="majorBidi" w:hAnsiTheme="majorBidi" w:cstheme="majorBidi"/>
          <w:i/>
          <w:iCs/>
          <w:sz w:val="24"/>
          <w:szCs w:val="24"/>
        </w:rPr>
        <w:t>et al.</w:t>
      </w:r>
      <w:r w:rsidRPr="0047392D">
        <w:rPr>
          <w:rFonts w:asciiTheme="majorBidi" w:hAnsiTheme="majorBidi" w:cstheme="majorBidi"/>
          <w:sz w:val="24"/>
          <w:szCs w:val="24"/>
        </w:rPr>
        <w:t xml:space="preserve"> 2016</w:t>
      </w:r>
      <w:r w:rsidR="00E77BD7" w:rsidRPr="00E77BD7">
        <w:rPr>
          <w:rFonts w:asciiTheme="majorBidi" w:hAnsiTheme="majorBidi" w:cstheme="majorBidi"/>
          <w:sz w:val="24"/>
          <w:szCs w:val="24"/>
        </w:rPr>
        <w:t>,</w:t>
      </w:r>
      <w:r w:rsidRPr="0047392D">
        <w:rPr>
          <w:rFonts w:asciiTheme="majorBidi" w:hAnsiTheme="majorBidi" w:cstheme="majorBidi"/>
          <w:sz w:val="24"/>
          <w:szCs w:val="24"/>
        </w:rPr>
        <w:t xml:space="preserve"> Beekes and Brown 2006</w:t>
      </w:r>
      <w:r w:rsidR="00E77BD7" w:rsidRPr="00E77BD7">
        <w:rPr>
          <w:rFonts w:asciiTheme="majorBidi" w:hAnsiTheme="majorBidi" w:cstheme="majorBidi"/>
          <w:sz w:val="24"/>
          <w:szCs w:val="24"/>
        </w:rPr>
        <w:t>,</w:t>
      </w:r>
      <w:r w:rsidRPr="0047392D">
        <w:rPr>
          <w:rFonts w:asciiTheme="majorBidi" w:hAnsiTheme="majorBidi" w:cstheme="majorBidi"/>
          <w:sz w:val="24"/>
          <w:szCs w:val="24"/>
        </w:rPr>
        <w:t xml:space="preserve"> Cai </w:t>
      </w:r>
      <w:r w:rsidR="006D1807" w:rsidRPr="006D1807">
        <w:rPr>
          <w:rFonts w:asciiTheme="majorBidi" w:hAnsiTheme="majorBidi" w:cstheme="majorBidi"/>
          <w:i/>
          <w:iCs/>
          <w:sz w:val="24"/>
          <w:szCs w:val="24"/>
        </w:rPr>
        <w:t>et al.</w:t>
      </w:r>
      <w:r w:rsidRPr="0047392D">
        <w:rPr>
          <w:rFonts w:asciiTheme="majorBidi" w:hAnsiTheme="majorBidi" w:cstheme="majorBidi"/>
          <w:sz w:val="24"/>
          <w:szCs w:val="24"/>
        </w:rPr>
        <w:t xml:space="preserve"> 2006</w:t>
      </w:r>
      <w:r w:rsidR="00E77BD7" w:rsidRPr="00E77BD7">
        <w:rPr>
          <w:rFonts w:asciiTheme="majorBidi" w:hAnsiTheme="majorBidi" w:cstheme="majorBidi"/>
          <w:sz w:val="24"/>
          <w:szCs w:val="24"/>
        </w:rPr>
        <w:t>,</w:t>
      </w:r>
      <w:r w:rsidRPr="0047392D">
        <w:rPr>
          <w:rFonts w:asciiTheme="majorBidi" w:hAnsiTheme="majorBidi" w:cstheme="majorBidi"/>
          <w:sz w:val="24"/>
          <w:szCs w:val="24"/>
        </w:rPr>
        <w:t xml:space="preserve"> Hass </w:t>
      </w:r>
      <w:r w:rsidRPr="00AA7196">
        <w:rPr>
          <w:rFonts w:asciiTheme="majorBidi" w:hAnsiTheme="majorBidi" w:cstheme="majorBidi"/>
          <w:i/>
          <w:iCs/>
          <w:sz w:val="24"/>
          <w:szCs w:val="24"/>
        </w:rPr>
        <w:t>et al.</w:t>
      </w:r>
      <w:r w:rsidRPr="0047392D">
        <w:rPr>
          <w:rFonts w:asciiTheme="majorBidi" w:hAnsiTheme="majorBidi" w:cstheme="majorBidi"/>
          <w:sz w:val="24"/>
          <w:szCs w:val="24"/>
        </w:rPr>
        <w:t xml:space="preserve"> 2014). </w:t>
      </w:r>
    </w:p>
    <w:p w14:paraId="4911EA4B" w14:textId="77777777" w:rsidR="00AA7196" w:rsidRPr="0047392D" w:rsidRDefault="00AA7196" w:rsidP="008F42C0">
      <w:pPr>
        <w:tabs>
          <w:tab w:val="left" w:pos="567"/>
        </w:tabs>
        <w:spacing w:after="0" w:line="288" w:lineRule="auto"/>
        <w:jc w:val="both"/>
        <w:rPr>
          <w:rFonts w:asciiTheme="majorBidi" w:hAnsiTheme="majorBidi" w:cstheme="majorBidi"/>
          <w:sz w:val="24"/>
          <w:szCs w:val="24"/>
        </w:rPr>
      </w:pPr>
    </w:p>
    <w:p w14:paraId="284186F4" w14:textId="4BB98FEC" w:rsidR="0047392D" w:rsidRDefault="00AA7196" w:rsidP="008F42C0">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7392D" w:rsidRPr="0047392D">
        <w:rPr>
          <w:rFonts w:asciiTheme="majorBidi" w:hAnsiTheme="majorBidi" w:cstheme="majorBidi"/>
          <w:sz w:val="24"/>
          <w:szCs w:val="24"/>
        </w:rPr>
        <w:t xml:space="preserve">The study also investigates the role of governance during the post earnings announcement period. Interestingly, our analysis highlights that corporate governance does not play a role in explaining the PEAD which is a phenomenon that is largely explained by changes in market uncertainty and prevailing market sentiment. A likely explanation for this finding being that investors only turn to reassessing their initial reaction to an earnings announcement when there is a change in the environment that prevailed at the time of the announcement. Corporate governance changes very little over the post-announcement period which contributes to our finding that corporate governance is not a stimulus for investors to reassess their initial reaction </w:t>
      </w:r>
      <w:r w:rsidR="0047392D" w:rsidRPr="0047392D">
        <w:rPr>
          <w:rFonts w:asciiTheme="majorBidi" w:hAnsiTheme="majorBidi" w:cstheme="majorBidi"/>
          <w:sz w:val="24"/>
          <w:szCs w:val="24"/>
        </w:rPr>
        <w:lastRenderedPageBreak/>
        <w:t xml:space="preserve">to the announcement. In contrast, both market uncertainty and sentiment do change over relatively small periods of time and so it is not surprising to find that they do contribute to the PEAD. </w:t>
      </w:r>
    </w:p>
    <w:p w14:paraId="28D33E5B" w14:textId="77777777" w:rsidR="00AA7196" w:rsidRPr="0047392D" w:rsidRDefault="00AA7196" w:rsidP="008F42C0">
      <w:pPr>
        <w:tabs>
          <w:tab w:val="left" w:pos="567"/>
        </w:tabs>
        <w:spacing w:after="0" w:line="288" w:lineRule="auto"/>
        <w:jc w:val="both"/>
        <w:rPr>
          <w:rFonts w:asciiTheme="majorBidi" w:hAnsiTheme="majorBidi" w:cstheme="majorBidi"/>
          <w:sz w:val="24"/>
          <w:szCs w:val="24"/>
        </w:rPr>
      </w:pPr>
    </w:p>
    <w:p w14:paraId="74E30EF6" w14:textId="27A21E8A" w:rsidR="0047392D" w:rsidRDefault="00AA7196" w:rsidP="008F42C0">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7392D" w:rsidRPr="0047392D">
        <w:rPr>
          <w:rFonts w:asciiTheme="majorBidi" w:hAnsiTheme="majorBidi" w:cstheme="majorBidi"/>
          <w:sz w:val="24"/>
          <w:szCs w:val="24"/>
        </w:rPr>
        <w:t xml:space="preserve">Bernard and Thomas (1989, 1990), Francis </w:t>
      </w:r>
      <w:r w:rsidR="0047392D" w:rsidRPr="008D4AFE">
        <w:rPr>
          <w:rFonts w:asciiTheme="majorBidi" w:hAnsiTheme="majorBidi" w:cstheme="majorBidi"/>
          <w:i/>
          <w:iCs/>
          <w:sz w:val="24"/>
          <w:szCs w:val="24"/>
        </w:rPr>
        <w:t>et al.</w:t>
      </w:r>
      <w:r w:rsidR="0047392D" w:rsidRPr="0047392D">
        <w:rPr>
          <w:rFonts w:asciiTheme="majorBidi" w:hAnsiTheme="majorBidi" w:cstheme="majorBidi"/>
          <w:sz w:val="24"/>
          <w:szCs w:val="24"/>
        </w:rPr>
        <w:t xml:space="preserve"> (2007) and Zhang (2006) all attribute the delayed response to earnings announcements to uncertainty about the quality of the information signals. We undertake further analysis which confirms that the major contributing factor to the observed relationship between better governance and a greater market response to earnings announcements is the role of governance in reducing information uncertainty and improving the firm’s information environment (Byard </w:t>
      </w:r>
      <w:r w:rsidR="006D1807" w:rsidRPr="006D1807">
        <w:rPr>
          <w:rFonts w:asciiTheme="majorBidi" w:hAnsiTheme="majorBidi" w:cstheme="majorBidi"/>
          <w:i/>
          <w:iCs/>
          <w:sz w:val="24"/>
          <w:szCs w:val="24"/>
        </w:rPr>
        <w:t>et al.</w:t>
      </w:r>
      <w:r w:rsidR="0047392D" w:rsidRPr="0047392D">
        <w:rPr>
          <w:rFonts w:asciiTheme="majorBidi" w:hAnsiTheme="majorBidi" w:cstheme="majorBidi"/>
          <w:sz w:val="24"/>
          <w:szCs w:val="24"/>
        </w:rPr>
        <w:t xml:space="preserve"> 2006</w:t>
      </w:r>
      <w:r w:rsidR="00E77BD7" w:rsidRPr="00E77BD7">
        <w:rPr>
          <w:rFonts w:asciiTheme="majorBidi" w:hAnsiTheme="majorBidi" w:cstheme="majorBidi"/>
          <w:sz w:val="24"/>
          <w:szCs w:val="24"/>
        </w:rPr>
        <w:t>,</w:t>
      </w:r>
      <w:r w:rsidR="0047392D" w:rsidRPr="0047392D">
        <w:rPr>
          <w:rFonts w:asciiTheme="majorBidi" w:hAnsiTheme="majorBidi" w:cstheme="majorBidi"/>
          <w:sz w:val="24"/>
          <w:szCs w:val="24"/>
        </w:rPr>
        <w:t xml:space="preserve"> Hass </w:t>
      </w:r>
      <w:r w:rsidR="006D1807" w:rsidRPr="006D1807">
        <w:rPr>
          <w:rFonts w:asciiTheme="majorBidi" w:hAnsiTheme="majorBidi" w:cstheme="majorBidi"/>
          <w:i/>
          <w:iCs/>
          <w:sz w:val="24"/>
          <w:szCs w:val="24"/>
        </w:rPr>
        <w:t>et al.</w:t>
      </w:r>
      <w:r w:rsidR="0047392D" w:rsidRPr="0047392D">
        <w:rPr>
          <w:rFonts w:asciiTheme="majorBidi" w:hAnsiTheme="majorBidi" w:cstheme="majorBidi"/>
          <w:sz w:val="24"/>
          <w:szCs w:val="24"/>
        </w:rPr>
        <w:t xml:space="preserve"> 2014). This suggests that there are two channels through which governance influences investors' reaction to information signals, one is direct through how investors perceive the firm’s governance quality and its link to the firm’s performance and valuation, whereas the other one is indirect through how governance influences investors’ perception of the quality of the information signal. </w:t>
      </w:r>
    </w:p>
    <w:p w14:paraId="7D6B9E00" w14:textId="77777777" w:rsidR="00AA7196" w:rsidRDefault="00AA7196" w:rsidP="008F42C0">
      <w:pPr>
        <w:tabs>
          <w:tab w:val="left" w:pos="567"/>
        </w:tabs>
        <w:spacing w:after="0" w:line="288" w:lineRule="auto"/>
        <w:jc w:val="both"/>
        <w:rPr>
          <w:rFonts w:asciiTheme="majorBidi" w:hAnsiTheme="majorBidi" w:cstheme="majorBidi"/>
          <w:sz w:val="24"/>
          <w:szCs w:val="24"/>
        </w:rPr>
      </w:pPr>
    </w:p>
    <w:p w14:paraId="3DB01576" w14:textId="287D5279" w:rsidR="0019623D" w:rsidRDefault="00AA7196" w:rsidP="008F42C0">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19623D">
        <w:rPr>
          <w:rFonts w:asciiTheme="majorBidi" w:hAnsiTheme="majorBidi" w:cstheme="majorBidi"/>
          <w:sz w:val="24"/>
          <w:szCs w:val="24"/>
        </w:rPr>
        <w:t xml:space="preserve">Finally, we found that market uncertainty and information uncertainty influence the decision-making process of investors in different ways. Market uncertainty causes them to take a more pessimistic stance when evaluating information which causes them to downplay good news but enhance their response to bad news. In contrast, information uncertainty causes them to attach less credibility to all news which causes investors to moderate their response to both good and bad news. </w:t>
      </w:r>
    </w:p>
    <w:p w14:paraId="6AD1A93F" w14:textId="77777777" w:rsidR="00AA7196" w:rsidRPr="0047392D" w:rsidRDefault="00AA7196" w:rsidP="008F42C0">
      <w:pPr>
        <w:tabs>
          <w:tab w:val="left" w:pos="567"/>
        </w:tabs>
        <w:spacing w:after="0" w:line="288" w:lineRule="auto"/>
        <w:jc w:val="both"/>
        <w:rPr>
          <w:rFonts w:asciiTheme="majorBidi" w:hAnsiTheme="majorBidi" w:cstheme="majorBidi"/>
          <w:sz w:val="24"/>
          <w:szCs w:val="24"/>
        </w:rPr>
      </w:pPr>
    </w:p>
    <w:p w14:paraId="30445771" w14:textId="6BE4417F" w:rsidR="000553DC" w:rsidRDefault="00AA7196" w:rsidP="008F42C0">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7392D" w:rsidRPr="0047392D">
        <w:rPr>
          <w:rFonts w:asciiTheme="majorBidi" w:hAnsiTheme="majorBidi" w:cstheme="majorBidi"/>
          <w:sz w:val="24"/>
          <w:szCs w:val="24"/>
        </w:rPr>
        <w:t>Overall, this study contributes to the stream of research focusing on studying and understanding the response of market participants to different types of news and events under different market and firm-specific conditions. The study also adds to previous attempts to explain the persistence of the PEAD</w:t>
      </w:r>
      <w:r w:rsidR="00FF30DB">
        <w:rPr>
          <w:rFonts w:asciiTheme="majorBidi" w:hAnsiTheme="majorBidi" w:cstheme="majorBidi"/>
          <w:sz w:val="24"/>
          <w:szCs w:val="24"/>
        </w:rPr>
        <w:t xml:space="preserve"> and brings into question whether it is </w:t>
      </w:r>
      <w:r w:rsidR="00923B02">
        <w:rPr>
          <w:rFonts w:asciiTheme="majorBidi" w:hAnsiTheme="majorBidi" w:cstheme="majorBidi"/>
          <w:sz w:val="24"/>
          <w:szCs w:val="24"/>
        </w:rPr>
        <w:t>necessarily a process for moving prices back to a more efficient level.</w:t>
      </w:r>
      <w:r w:rsidR="00A546A9">
        <w:rPr>
          <w:rFonts w:asciiTheme="majorBidi" w:hAnsiTheme="majorBidi" w:cstheme="majorBidi"/>
          <w:sz w:val="24"/>
          <w:szCs w:val="24"/>
        </w:rPr>
        <w:t xml:space="preserve"> </w:t>
      </w:r>
      <w:r w:rsidR="0047392D" w:rsidRPr="0047392D">
        <w:rPr>
          <w:rFonts w:asciiTheme="majorBidi" w:hAnsiTheme="majorBidi" w:cstheme="majorBidi"/>
          <w:sz w:val="24"/>
          <w:szCs w:val="24"/>
        </w:rPr>
        <w:t>The insights from this study may help inform various trading and pricing decisions by investors in the market and contribute to better understanding of investors’ behaviour around earnings announcements. Since the focus of this paper is on the overall governance quality of a firm, future research can focus on finding the specific governance attributes that contribute most to the observed relationship. Future research can also examine the impact of using governance quality as an indicator to guide trading strategies targeted towards extracting value from the PEAD.</w:t>
      </w:r>
    </w:p>
    <w:p w14:paraId="2EB18BF1" w14:textId="77777777" w:rsidR="00A82954" w:rsidRPr="00355E0F" w:rsidRDefault="00A82954" w:rsidP="008F42C0">
      <w:pPr>
        <w:tabs>
          <w:tab w:val="left" w:pos="567"/>
        </w:tabs>
        <w:spacing w:after="0" w:line="288" w:lineRule="auto"/>
        <w:jc w:val="both"/>
        <w:rPr>
          <w:rFonts w:asciiTheme="majorBidi" w:hAnsiTheme="majorBidi" w:cstheme="majorBidi"/>
          <w:sz w:val="24"/>
          <w:szCs w:val="24"/>
        </w:rPr>
      </w:pPr>
    </w:p>
    <w:p w14:paraId="234B91F4" w14:textId="77777777" w:rsidR="00267991" w:rsidRDefault="00267991" w:rsidP="008F42C0">
      <w:pPr>
        <w:tabs>
          <w:tab w:val="left" w:pos="567"/>
        </w:tabs>
        <w:spacing w:after="0" w:line="288" w:lineRule="auto"/>
        <w:rPr>
          <w:rFonts w:ascii="Times New Roman" w:hAnsi="Times New Roman" w:cs="Times New Roman"/>
          <w:b/>
          <w:bCs/>
          <w:sz w:val="24"/>
          <w:szCs w:val="24"/>
        </w:rPr>
      </w:pPr>
    </w:p>
    <w:p w14:paraId="7C3174E7" w14:textId="77777777" w:rsidR="00267991" w:rsidRDefault="00267991" w:rsidP="008F42C0">
      <w:pPr>
        <w:tabs>
          <w:tab w:val="left" w:pos="567"/>
        </w:tabs>
        <w:spacing w:after="0" w:line="288" w:lineRule="auto"/>
        <w:rPr>
          <w:rFonts w:ascii="Times New Roman" w:hAnsi="Times New Roman" w:cs="Times New Roman"/>
          <w:b/>
          <w:bCs/>
          <w:sz w:val="24"/>
          <w:szCs w:val="24"/>
        </w:rPr>
      </w:pPr>
    </w:p>
    <w:p w14:paraId="1D165EC6" w14:textId="77777777" w:rsidR="00267991" w:rsidRDefault="00267991" w:rsidP="008F42C0">
      <w:pPr>
        <w:tabs>
          <w:tab w:val="left" w:pos="567"/>
        </w:tabs>
        <w:spacing w:after="0" w:line="288" w:lineRule="auto"/>
        <w:rPr>
          <w:rFonts w:ascii="Times New Roman" w:hAnsi="Times New Roman" w:cs="Times New Roman"/>
          <w:b/>
          <w:bCs/>
          <w:sz w:val="24"/>
          <w:szCs w:val="24"/>
        </w:rPr>
      </w:pPr>
    </w:p>
    <w:p w14:paraId="4256B883" w14:textId="59C1C938" w:rsidR="00267991" w:rsidRDefault="00267991" w:rsidP="008F42C0">
      <w:pPr>
        <w:tabs>
          <w:tab w:val="left" w:pos="567"/>
        </w:tabs>
        <w:spacing w:after="0" w:line="288" w:lineRule="auto"/>
        <w:rPr>
          <w:rFonts w:ascii="Times New Roman" w:hAnsi="Times New Roman" w:cs="Times New Roman"/>
          <w:b/>
          <w:bCs/>
          <w:sz w:val="24"/>
          <w:szCs w:val="24"/>
        </w:rPr>
      </w:pPr>
    </w:p>
    <w:p w14:paraId="65988F7B" w14:textId="77777777" w:rsidR="004E7A2C" w:rsidRDefault="004E7A2C" w:rsidP="008F42C0">
      <w:pPr>
        <w:tabs>
          <w:tab w:val="left" w:pos="567"/>
        </w:tabs>
        <w:spacing w:after="0" w:line="288" w:lineRule="auto"/>
        <w:rPr>
          <w:rFonts w:ascii="Times New Roman" w:hAnsi="Times New Roman" w:cs="Times New Roman"/>
          <w:b/>
          <w:bCs/>
          <w:sz w:val="24"/>
          <w:szCs w:val="24"/>
        </w:rPr>
      </w:pPr>
    </w:p>
    <w:p w14:paraId="48DB695C" w14:textId="14A6FF30" w:rsidR="002D3472" w:rsidRDefault="00BA14B0" w:rsidP="008F42C0">
      <w:pPr>
        <w:tabs>
          <w:tab w:val="left" w:pos="567"/>
        </w:tabs>
        <w:spacing w:after="0" w:line="288" w:lineRule="auto"/>
        <w:rPr>
          <w:rFonts w:ascii="Times New Roman" w:hAnsi="Times New Roman" w:cs="Times New Roman"/>
          <w:b/>
          <w:bCs/>
          <w:sz w:val="24"/>
          <w:szCs w:val="24"/>
        </w:rPr>
      </w:pPr>
      <w:r>
        <w:rPr>
          <w:rFonts w:ascii="Times New Roman" w:hAnsi="Times New Roman" w:cs="Times New Roman"/>
          <w:b/>
          <w:bCs/>
          <w:sz w:val="24"/>
          <w:szCs w:val="24"/>
        </w:rPr>
        <w:lastRenderedPageBreak/>
        <w:t>R</w:t>
      </w:r>
      <w:r w:rsidR="002D3472">
        <w:rPr>
          <w:rFonts w:ascii="Times New Roman" w:hAnsi="Times New Roman" w:cs="Times New Roman"/>
          <w:b/>
          <w:bCs/>
          <w:sz w:val="24"/>
          <w:szCs w:val="24"/>
        </w:rPr>
        <w:t>eferences</w:t>
      </w:r>
    </w:p>
    <w:p w14:paraId="1D3F7922" w14:textId="77777777" w:rsidR="00BA14B0" w:rsidRPr="00BA14B0" w:rsidRDefault="00BA14B0" w:rsidP="008F42C0">
      <w:pPr>
        <w:tabs>
          <w:tab w:val="left" w:pos="567"/>
        </w:tabs>
        <w:autoSpaceDE w:val="0"/>
        <w:autoSpaceDN w:val="0"/>
        <w:adjustRightInd w:val="0"/>
        <w:spacing w:after="0" w:line="240" w:lineRule="auto"/>
        <w:ind w:left="720" w:hanging="720"/>
        <w:jc w:val="both"/>
        <w:rPr>
          <w:rFonts w:asciiTheme="majorBidi" w:hAnsiTheme="majorBidi" w:cstheme="majorBidi"/>
          <w:sz w:val="10"/>
          <w:szCs w:val="10"/>
          <w:lang w:val="en-US"/>
        </w:rPr>
      </w:pPr>
    </w:p>
    <w:p w14:paraId="3F3B96C6" w14:textId="6537803C"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310FF2">
        <w:rPr>
          <w:rFonts w:asciiTheme="majorBidi" w:hAnsiTheme="majorBidi" w:cstheme="majorBidi"/>
          <w:lang w:val="en-US"/>
        </w:rPr>
        <w:t>A</w:t>
      </w:r>
      <w:r w:rsidRPr="00D3260F">
        <w:rPr>
          <w:rFonts w:ascii="Times New Roman" w:hAnsi="Times New Roman" w:cs="Times New Roman"/>
          <w:lang w:val="en-US"/>
        </w:rPr>
        <w:t xml:space="preserve">ggarwal, R., Erel, I., Stulz, R., &amp; Williamson, R. (2010). Differences in Governance Practices between U.S. and Foreign Firms: Measurement, Causes, and Consequences. </w:t>
      </w:r>
      <w:r w:rsidRPr="00D3260F">
        <w:rPr>
          <w:rFonts w:ascii="Times New Roman" w:hAnsi="Times New Roman" w:cs="Times New Roman"/>
          <w:i/>
          <w:iCs/>
          <w:lang w:val="en-US"/>
        </w:rPr>
        <w:t>The Review of Financial Studies, 23</w:t>
      </w:r>
      <w:r w:rsidRPr="00D3260F">
        <w:rPr>
          <w:rFonts w:ascii="Times New Roman" w:hAnsi="Times New Roman" w:cs="Times New Roman"/>
          <w:lang w:val="en-US"/>
        </w:rPr>
        <w:t>(3), 3131-3169.</w:t>
      </w:r>
    </w:p>
    <w:p w14:paraId="6C13EF76"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Anderson, A., &amp; Gupta, P. P. (2009). A cross-country comparison of corporate governance and firm performance: Do financial structure and the legal system matter? </w:t>
      </w:r>
      <w:r w:rsidRPr="00D3260F">
        <w:rPr>
          <w:rFonts w:ascii="Times New Roman" w:hAnsi="Times New Roman" w:cs="Times New Roman"/>
          <w:i/>
          <w:iCs/>
          <w:lang w:val="en-US"/>
        </w:rPr>
        <w:t>Journal of Contemporary Accounting &amp; Economics, 5</w:t>
      </w:r>
      <w:r w:rsidRPr="00D3260F">
        <w:rPr>
          <w:rFonts w:ascii="Times New Roman" w:hAnsi="Times New Roman" w:cs="Times New Roman"/>
          <w:lang w:val="en-US"/>
        </w:rPr>
        <w:t>(2), 61-79.</w:t>
      </w:r>
    </w:p>
    <w:p w14:paraId="53D67149"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Anderson, E. W., Ghysels, E., &amp; Juergens, J. L. (2009). The impact of risk and uncertainty on expected returns. </w:t>
      </w:r>
      <w:r w:rsidRPr="00D3260F">
        <w:rPr>
          <w:rFonts w:ascii="Times New Roman" w:hAnsi="Times New Roman" w:cs="Times New Roman"/>
          <w:i/>
          <w:iCs/>
          <w:lang w:val="en-US"/>
        </w:rPr>
        <w:t>Journal of Financial Economics, 94</w:t>
      </w:r>
      <w:r w:rsidRPr="00D3260F">
        <w:rPr>
          <w:rFonts w:ascii="Times New Roman" w:hAnsi="Times New Roman" w:cs="Times New Roman"/>
          <w:lang w:val="en-US"/>
        </w:rPr>
        <w:t>(2), 233-263.</w:t>
      </w:r>
    </w:p>
    <w:p w14:paraId="64C4DB4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Baker, M., &amp; Wurgler, J. (2006). Investor Sentiment and the Cross-Section of Stock Returns. </w:t>
      </w:r>
      <w:r w:rsidRPr="00D3260F">
        <w:rPr>
          <w:rFonts w:ascii="Times New Roman" w:hAnsi="Times New Roman" w:cs="Times New Roman"/>
          <w:i/>
          <w:iCs/>
          <w:lang w:val="en-US"/>
        </w:rPr>
        <w:t>The Journal of Finance, 61</w:t>
      </w:r>
      <w:r w:rsidRPr="00D3260F">
        <w:rPr>
          <w:rFonts w:ascii="Times New Roman" w:hAnsi="Times New Roman" w:cs="Times New Roman"/>
          <w:lang w:val="en-US"/>
        </w:rPr>
        <w:t>(4), 1645-1680.</w:t>
      </w:r>
    </w:p>
    <w:p w14:paraId="6F1C2F5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Baker, M., &amp; Wurgler, J. (2007). Investor Sentiment in the Stock Market. </w:t>
      </w:r>
      <w:r w:rsidRPr="00D3260F">
        <w:rPr>
          <w:rFonts w:ascii="Times New Roman" w:hAnsi="Times New Roman" w:cs="Times New Roman"/>
          <w:i/>
          <w:iCs/>
          <w:lang w:val="en-US"/>
        </w:rPr>
        <w:t>The Journal of Economic Perspectives, 21</w:t>
      </w:r>
      <w:r w:rsidRPr="00D3260F">
        <w:rPr>
          <w:rFonts w:ascii="Times New Roman" w:hAnsi="Times New Roman" w:cs="Times New Roman"/>
          <w:lang w:val="en-US"/>
        </w:rPr>
        <w:t>(2), 129-151.</w:t>
      </w:r>
    </w:p>
    <w:p w14:paraId="2752126D"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Bartov, E., Radhakrishnan, S., &amp; Krinsky, I. (2000). Investor Sophistication and Patterns in Stock Returns after Earnings Announcements. </w:t>
      </w:r>
      <w:r w:rsidRPr="00D3260F">
        <w:rPr>
          <w:rFonts w:ascii="Times New Roman" w:hAnsi="Times New Roman" w:cs="Times New Roman"/>
          <w:i/>
          <w:iCs/>
          <w:lang w:val="en-US"/>
        </w:rPr>
        <w:t>The Accounting Review, 75</w:t>
      </w:r>
      <w:r w:rsidRPr="00D3260F">
        <w:rPr>
          <w:rFonts w:ascii="Times New Roman" w:hAnsi="Times New Roman" w:cs="Times New Roman"/>
          <w:lang w:val="en-US"/>
        </w:rPr>
        <w:t>(1), 43-63.</w:t>
      </w:r>
    </w:p>
    <w:p w14:paraId="12999B05"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Beekes, W., &amp; Brown, P. (2006). Do Better‐Governed Australian Firms Make More Informative Disclosures? </w:t>
      </w:r>
      <w:r w:rsidRPr="00D3260F">
        <w:rPr>
          <w:rFonts w:ascii="Times New Roman" w:hAnsi="Times New Roman" w:cs="Times New Roman"/>
          <w:i/>
          <w:iCs/>
          <w:lang w:val="en-US"/>
        </w:rPr>
        <w:t>Journal of Business Finance &amp; Accounting, 33</w:t>
      </w:r>
      <w:r w:rsidRPr="00D3260F">
        <w:rPr>
          <w:rFonts w:ascii="Times New Roman" w:hAnsi="Times New Roman" w:cs="Times New Roman"/>
          <w:lang w:val="en-US"/>
        </w:rPr>
        <w:t>(3‐4), 422-450.</w:t>
      </w:r>
    </w:p>
    <w:p w14:paraId="29DCC3D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Beekes, W., Brown, P., Zhan, W., &amp; Zhang, Q. (2016). Corporate Governance, Companies’ Disclosure Practices and Market Transparency: A Cross Country Study. </w:t>
      </w:r>
      <w:r w:rsidRPr="00D3260F">
        <w:rPr>
          <w:rFonts w:ascii="Times New Roman" w:hAnsi="Times New Roman" w:cs="Times New Roman"/>
          <w:i/>
          <w:iCs/>
          <w:lang w:val="en-US"/>
        </w:rPr>
        <w:t>Journal of Business Finance &amp; Accounting, 43</w:t>
      </w:r>
      <w:r w:rsidRPr="00D3260F">
        <w:rPr>
          <w:rFonts w:ascii="Times New Roman" w:hAnsi="Times New Roman" w:cs="Times New Roman"/>
          <w:lang w:val="en-US"/>
        </w:rPr>
        <w:t>(3-4), 263-297.</w:t>
      </w:r>
    </w:p>
    <w:p w14:paraId="1552E634"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Bernard, V. L., &amp; Thomas, J. K. (1989). Post-Earnings-Announcement Drift: Delayed Price Response or Risk Premium? </w:t>
      </w:r>
      <w:r w:rsidRPr="00D3260F">
        <w:rPr>
          <w:rFonts w:ascii="Times New Roman" w:hAnsi="Times New Roman" w:cs="Times New Roman"/>
          <w:i/>
          <w:iCs/>
          <w:lang w:val="en-US"/>
        </w:rPr>
        <w:t>Journal of Accounting Research, 27</w:t>
      </w:r>
      <w:r w:rsidRPr="00D3260F">
        <w:rPr>
          <w:rFonts w:ascii="Times New Roman" w:hAnsi="Times New Roman" w:cs="Times New Roman"/>
          <w:lang w:val="en-US"/>
        </w:rPr>
        <w:t>, 1-36.</w:t>
      </w:r>
    </w:p>
    <w:p w14:paraId="28562877"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Bernard, V. L., &amp; Thomas, J. K. (1990). Evidence that stock prices do not fully reflect the implications of current earnings for future earnings. </w:t>
      </w:r>
      <w:r w:rsidRPr="00D3260F">
        <w:rPr>
          <w:rFonts w:ascii="Times New Roman" w:hAnsi="Times New Roman" w:cs="Times New Roman"/>
          <w:i/>
          <w:iCs/>
          <w:lang w:val="en-US"/>
        </w:rPr>
        <w:t>Journal of Accounting and Economics, 13</w:t>
      </w:r>
      <w:r w:rsidRPr="00D3260F">
        <w:rPr>
          <w:rFonts w:ascii="Times New Roman" w:hAnsi="Times New Roman" w:cs="Times New Roman"/>
          <w:lang w:val="en-US"/>
        </w:rPr>
        <w:t>(4), 305-340.</w:t>
      </w:r>
    </w:p>
    <w:p w14:paraId="0C5B3354"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Bharath, S. T., Pasquariello, P., &amp; Wu, G. (2009). Does Asymmetric Information Drive Capital Structure Decisions? </w:t>
      </w:r>
      <w:r w:rsidRPr="00D3260F">
        <w:rPr>
          <w:rFonts w:ascii="Times New Roman" w:hAnsi="Times New Roman" w:cs="Times New Roman"/>
          <w:i/>
          <w:iCs/>
          <w:lang w:val="en-US"/>
        </w:rPr>
        <w:t>The Review of Financial Studies, 22</w:t>
      </w:r>
      <w:r w:rsidRPr="00D3260F">
        <w:rPr>
          <w:rFonts w:ascii="Times New Roman" w:hAnsi="Times New Roman" w:cs="Times New Roman"/>
          <w:lang w:val="en-US"/>
        </w:rPr>
        <w:t>(8), 3211-3243.</w:t>
      </w:r>
    </w:p>
    <w:p w14:paraId="21CCC5A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Bhat, G., Hope, O.-K., &amp; Kang, T. (2006). Does corporate governance transparency affect the accuracy of analyst forecasts? </w:t>
      </w:r>
      <w:r w:rsidRPr="00D3260F">
        <w:rPr>
          <w:rFonts w:ascii="Times New Roman" w:hAnsi="Times New Roman" w:cs="Times New Roman"/>
          <w:i/>
          <w:iCs/>
          <w:lang w:val="en-US"/>
        </w:rPr>
        <w:t>Accounting &amp; Finance, 46</w:t>
      </w:r>
      <w:r w:rsidRPr="00D3260F">
        <w:rPr>
          <w:rFonts w:ascii="Times New Roman" w:hAnsi="Times New Roman" w:cs="Times New Roman"/>
          <w:lang w:val="en-US"/>
        </w:rPr>
        <w:t>(5), 715-732.</w:t>
      </w:r>
    </w:p>
    <w:p w14:paraId="47C86579"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Bird, R., Choi, D. F. S., &amp; Yeung, D. (2014). Market uncertainty, market sentiment, and the post-earnings announcement drift. </w:t>
      </w:r>
      <w:r w:rsidRPr="00D3260F">
        <w:rPr>
          <w:rFonts w:ascii="Times New Roman" w:hAnsi="Times New Roman" w:cs="Times New Roman"/>
          <w:i/>
          <w:iCs/>
          <w:lang w:val="en-US"/>
        </w:rPr>
        <w:t>Review of Quantitative Finance and Accounting, 43</w:t>
      </w:r>
      <w:r w:rsidRPr="00D3260F">
        <w:rPr>
          <w:rFonts w:ascii="Times New Roman" w:hAnsi="Times New Roman" w:cs="Times New Roman"/>
          <w:lang w:val="en-US"/>
        </w:rPr>
        <w:t>(1), 45-73.</w:t>
      </w:r>
    </w:p>
    <w:p w14:paraId="6DE9B4D0"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Bird, R., &amp; Yeung, D. (2012). How do investors react under uncertainty? </w:t>
      </w:r>
      <w:r w:rsidRPr="00D3260F">
        <w:rPr>
          <w:rFonts w:ascii="Times New Roman" w:hAnsi="Times New Roman" w:cs="Times New Roman"/>
          <w:i/>
          <w:iCs/>
          <w:lang w:val="en-US"/>
        </w:rPr>
        <w:t>Pacific-Basin Finance Journal, 20</w:t>
      </w:r>
      <w:r w:rsidRPr="00D3260F">
        <w:rPr>
          <w:rFonts w:ascii="Times New Roman" w:hAnsi="Times New Roman" w:cs="Times New Roman"/>
          <w:lang w:val="en-US"/>
        </w:rPr>
        <w:t>(2), 310-327.</w:t>
      </w:r>
    </w:p>
    <w:p w14:paraId="39CA71F2" w14:textId="77777777" w:rsidR="00310FF2" w:rsidRPr="00BA14B0"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it-IT"/>
        </w:rPr>
      </w:pPr>
      <w:r w:rsidRPr="00D3260F">
        <w:rPr>
          <w:rFonts w:ascii="Times New Roman" w:hAnsi="Times New Roman" w:cs="Times New Roman"/>
          <w:lang w:val="en-US"/>
        </w:rPr>
        <w:t xml:space="preserve">Bloom, N. (2009). The Impact of Uncertainty Shocks. </w:t>
      </w:r>
      <w:r w:rsidRPr="00BA14B0">
        <w:rPr>
          <w:rFonts w:ascii="Times New Roman" w:hAnsi="Times New Roman" w:cs="Times New Roman"/>
          <w:i/>
          <w:iCs/>
          <w:lang w:val="it-IT"/>
        </w:rPr>
        <w:t>Econometrica, 77</w:t>
      </w:r>
      <w:r w:rsidRPr="00BA14B0">
        <w:rPr>
          <w:rFonts w:ascii="Times New Roman" w:hAnsi="Times New Roman" w:cs="Times New Roman"/>
          <w:lang w:val="it-IT"/>
        </w:rPr>
        <w:t>(3), 623-685.</w:t>
      </w:r>
    </w:p>
    <w:p w14:paraId="2682176C"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BA14B0">
        <w:rPr>
          <w:rFonts w:ascii="Times New Roman" w:hAnsi="Times New Roman" w:cs="Times New Roman"/>
          <w:lang w:val="it-IT"/>
        </w:rPr>
        <w:t xml:space="preserve">Bonetti, P., Magnan, M. L., &amp; Parbonetti, A. (2016). </w:t>
      </w:r>
      <w:r w:rsidRPr="00D3260F">
        <w:rPr>
          <w:rFonts w:ascii="Times New Roman" w:hAnsi="Times New Roman" w:cs="Times New Roman"/>
          <w:lang w:val="en-US"/>
        </w:rPr>
        <w:t xml:space="preserve">The Influence of Country- and Firm-level Governance on Financial Reporting Quality: Revisiting the Evidence. </w:t>
      </w:r>
      <w:r w:rsidRPr="00D3260F">
        <w:rPr>
          <w:rFonts w:ascii="Times New Roman" w:hAnsi="Times New Roman" w:cs="Times New Roman"/>
          <w:i/>
          <w:iCs/>
          <w:lang w:val="en-US"/>
        </w:rPr>
        <w:t>Journal of Business Finance &amp; Accounting, 43</w:t>
      </w:r>
      <w:r w:rsidRPr="00D3260F">
        <w:rPr>
          <w:rFonts w:ascii="Times New Roman" w:hAnsi="Times New Roman" w:cs="Times New Roman"/>
          <w:lang w:val="en-US"/>
        </w:rPr>
        <w:t>(9-10), 1059-1094.</w:t>
      </w:r>
    </w:p>
    <w:p w14:paraId="67C96126"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Brav, A., &amp; Heaton, J. B. (2002). Competing Theories of Financial Anomalies. </w:t>
      </w:r>
      <w:r w:rsidRPr="00D3260F">
        <w:rPr>
          <w:rFonts w:ascii="Times New Roman" w:hAnsi="Times New Roman" w:cs="Times New Roman"/>
          <w:i/>
          <w:iCs/>
          <w:lang w:val="en-US"/>
        </w:rPr>
        <w:t>The Review of Financial Studies, 15</w:t>
      </w:r>
      <w:r w:rsidRPr="00D3260F">
        <w:rPr>
          <w:rFonts w:ascii="Times New Roman" w:hAnsi="Times New Roman" w:cs="Times New Roman"/>
          <w:lang w:val="en-US"/>
        </w:rPr>
        <w:t>(2), 575-606.</w:t>
      </w:r>
    </w:p>
    <w:p w14:paraId="33A0E39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Brown, G. W., &amp; Cliff, M. T. (2004). Investor sentiment and the near-term stock market. </w:t>
      </w:r>
      <w:r w:rsidRPr="00D3260F">
        <w:rPr>
          <w:rFonts w:ascii="Times New Roman" w:hAnsi="Times New Roman" w:cs="Times New Roman"/>
          <w:i/>
          <w:iCs/>
          <w:lang w:val="en-US"/>
        </w:rPr>
        <w:t>Journal of Empirical Finance, 11</w:t>
      </w:r>
      <w:r w:rsidRPr="00D3260F">
        <w:rPr>
          <w:rFonts w:ascii="Times New Roman" w:hAnsi="Times New Roman" w:cs="Times New Roman"/>
          <w:lang w:val="en-US"/>
        </w:rPr>
        <w:t>(1), 1-27.</w:t>
      </w:r>
    </w:p>
    <w:p w14:paraId="3E49050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Brown, L. D., &amp; Caylor, M. L. (2006). Corporate governance and firm valuation. </w:t>
      </w:r>
      <w:r w:rsidRPr="00D3260F">
        <w:rPr>
          <w:rFonts w:ascii="Times New Roman" w:hAnsi="Times New Roman" w:cs="Times New Roman"/>
          <w:i/>
          <w:iCs/>
          <w:lang w:val="en-US"/>
        </w:rPr>
        <w:t>Journal of Accounting and Public Policy, 25</w:t>
      </w:r>
      <w:r w:rsidRPr="00D3260F">
        <w:rPr>
          <w:rFonts w:ascii="Times New Roman" w:hAnsi="Times New Roman" w:cs="Times New Roman"/>
          <w:lang w:val="en-US"/>
        </w:rPr>
        <w:t>(4), 409-434.</w:t>
      </w:r>
    </w:p>
    <w:p w14:paraId="1253D01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Brown, P., Beekes, W., &amp; Verhoeven, P. (2011). Corporate governance, accounting and finance: A review. </w:t>
      </w:r>
      <w:r w:rsidRPr="00D3260F">
        <w:rPr>
          <w:rFonts w:ascii="Times New Roman" w:hAnsi="Times New Roman" w:cs="Times New Roman"/>
          <w:i/>
          <w:iCs/>
          <w:lang w:val="en-US"/>
        </w:rPr>
        <w:t>Accounting &amp; Finance, 51</w:t>
      </w:r>
      <w:r w:rsidRPr="00D3260F">
        <w:rPr>
          <w:rFonts w:ascii="Times New Roman" w:hAnsi="Times New Roman" w:cs="Times New Roman"/>
          <w:lang w:val="en-US"/>
        </w:rPr>
        <w:t>(1), 96-172.</w:t>
      </w:r>
    </w:p>
    <w:p w14:paraId="3461D7D2"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Byard, D., Li, Y., &amp; Weintrop, J. (2006). Corporate governance and the quality of financial analysts’ information. </w:t>
      </w:r>
      <w:r w:rsidRPr="00D3260F">
        <w:rPr>
          <w:rFonts w:ascii="Times New Roman" w:hAnsi="Times New Roman" w:cs="Times New Roman"/>
          <w:i/>
          <w:iCs/>
          <w:lang w:val="en-US"/>
        </w:rPr>
        <w:t>Journal of Accounting and Public Policy, 25</w:t>
      </w:r>
      <w:r w:rsidRPr="00D3260F">
        <w:rPr>
          <w:rFonts w:ascii="Times New Roman" w:hAnsi="Times New Roman" w:cs="Times New Roman"/>
          <w:lang w:val="en-US"/>
        </w:rPr>
        <w:t>(5), 609-625.</w:t>
      </w:r>
    </w:p>
    <w:p w14:paraId="28A15D3F"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Cai, C. X., Keasey, K., &amp; Short, H. (2006). Corporate Governance and Information Efficiency in Security Markets. </w:t>
      </w:r>
      <w:r w:rsidRPr="00D3260F">
        <w:rPr>
          <w:rFonts w:ascii="Times New Roman" w:hAnsi="Times New Roman" w:cs="Times New Roman"/>
          <w:i/>
          <w:iCs/>
          <w:lang w:val="en-US"/>
        </w:rPr>
        <w:t>European Financial Management, 12</w:t>
      </w:r>
      <w:r w:rsidRPr="00D3260F">
        <w:rPr>
          <w:rFonts w:ascii="Times New Roman" w:hAnsi="Times New Roman" w:cs="Times New Roman"/>
          <w:lang w:val="en-US"/>
        </w:rPr>
        <w:t>(5), 763-787.</w:t>
      </w:r>
    </w:p>
    <w:p w14:paraId="5182F814"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Caskey, J. A. (2009). Information in Equity Markets with Ambiguity-Averse Investors. </w:t>
      </w:r>
      <w:r w:rsidRPr="00D3260F">
        <w:rPr>
          <w:rFonts w:ascii="Times New Roman" w:hAnsi="Times New Roman" w:cs="Times New Roman"/>
          <w:i/>
          <w:iCs/>
          <w:lang w:val="en-US"/>
        </w:rPr>
        <w:t>The Review of Financial Studies, 22</w:t>
      </w:r>
      <w:r w:rsidRPr="00D3260F">
        <w:rPr>
          <w:rFonts w:ascii="Times New Roman" w:hAnsi="Times New Roman" w:cs="Times New Roman"/>
          <w:lang w:val="en-US"/>
        </w:rPr>
        <w:t>(9), 3595-3627.</w:t>
      </w:r>
    </w:p>
    <w:p w14:paraId="2873E7F7"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lastRenderedPageBreak/>
        <w:t xml:space="preserve">Chen, Z., &amp; Epstein, L. (2002). Ambiguity, Risk, and Asset Returns in Continuous Time. </w:t>
      </w:r>
      <w:r w:rsidRPr="00D3260F">
        <w:rPr>
          <w:rFonts w:ascii="Times New Roman" w:hAnsi="Times New Roman" w:cs="Times New Roman"/>
          <w:i/>
          <w:iCs/>
          <w:lang w:val="en-US"/>
        </w:rPr>
        <w:t>Econometrica, 70</w:t>
      </w:r>
      <w:r w:rsidRPr="00D3260F">
        <w:rPr>
          <w:rFonts w:ascii="Times New Roman" w:hAnsi="Times New Roman" w:cs="Times New Roman"/>
          <w:lang w:val="en-US"/>
        </w:rPr>
        <w:t>(4), 1403-1443.</w:t>
      </w:r>
    </w:p>
    <w:p w14:paraId="2F92DE93" w14:textId="3DEA278B" w:rsidR="000F7C18" w:rsidRPr="00D3260F" w:rsidRDefault="000F7C18"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Chen, Y., Chen, D., Weimin Wang, W., &amp; Zheng, D., (2018), Political uncertainty and firms' information environment: Evidence from China.  </w:t>
      </w:r>
      <w:r w:rsidRPr="00D3260F">
        <w:rPr>
          <w:rFonts w:ascii="Times New Roman" w:hAnsi="Times New Roman" w:cs="Times New Roman"/>
          <w:i/>
          <w:lang w:val="en-US"/>
        </w:rPr>
        <w:t>Journal of Accounting and Public Policy</w:t>
      </w:r>
      <w:r w:rsidRPr="00D3260F">
        <w:rPr>
          <w:rFonts w:ascii="Times New Roman" w:hAnsi="Times New Roman" w:cs="Times New Roman"/>
          <w:lang w:val="en-US"/>
        </w:rPr>
        <w:t xml:space="preserve">, 37(1), 39-64. </w:t>
      </w:r>
    </w:p>
    <w:p w14:paraId="0196BA43"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Choi, H. m. (2014). When Good News Is Not So Good: Economy‐wide Uncertainty and Stock Returns. </w:t>
      </w:r>
      <w:r w:rsidRPr="00D3260F">
        <w:rPr>
          <w:rFonts w:ascii="Times New Roman" w:hAnsi="Times New Roman" w:cs="Times New Roman"/>
          <w:i/>
          <w:iCs/>
          <w:lang w:val="en-US"/>
        </w:rPr>
        <w:t>Journal of Business Finance &amp; Accounting, 41</w:t>
      </w:r>
      <w:r w:rsidRPr="00D3260F">
        <w:rPr>
          <w:rFonts w:ascii="Times New Roman" w:hAnsi="Times New Roman" w:cs="Times New Roman"/>
          <w:lang w:val="en-US"/>
        </w:rPr>
        <w:t>(9-10), 1101-1123.</w:t>
      </w:r>
    </w:p>
    <w:p w14:paraId="0E74536A"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Chung, S.-L., Hung, C.-H., &amp; Yeh, C.-Y. (2012). When does investor sentiment predict stock returns? </w:t>
      </w:r>
      <w:r w:rsidRPr="00D3260F">
        <w:rPr>
          <w:rFonts w:ascii="Times New Roman" w:hAnsi="Times New Roman" w:cs="Times New Roman"/>
          <w:i/>
          <w:iCs/>
          <w:lang w:val="en-US"/>
        </w:rPr>
        <w:t>Journal of Empirical Finance, 19</w:t>
      </w:r>
      <w:r w:rsidRPr="00D3260F">
        <w:rPr>
          <w:rFonts w:ascii="Times New Roman" w:hAnsi="Times New Roman" w:cs="Times New Roman"/>
          <w:lang w:val="en-US"/>
        </w:rPr>
        <w:t>(2), 217-240.</w:t>
      </w:r>
    </w:p>
    <w:p w14:paraId="1FB0D065"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Connolly, R., Stivers, C., &amp; Sun, L. (2005). Stock Market Uncertainty and the Stock-Bond Return Relation. </w:t>
      </w:r>
      <w:r w:rsidRPr="00D3260F">
        <w:rPr>
          <w:rFonts w:ascii="Times New Roman" w:hAnsi="Times New Roman" w:cs="Times New Roman"/>
          <w:i/>
          <w:iCs/>
          <w:lang w:val="en-US"/>
        </w:rPr>
        <w:t>The Journal of Financial and Quantitative Analysis, 40</w:t>
      </w:r>
      <w:r w:rsidRPr="00D3260F">
        <w:rPr>
          <w:rFonts w:ascii="Times New Roman" w:hAnsi="Times New Roman" w:cs="Times New Roman"/>
          <w:lang w:val="en-US"/>
        </w:rPr>
        <w:t>(1), 161-194.</w:t>
      </w:r>
    </w:p>
    <w:p w14:paraId="5D376B39"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Conrad, J., Cornell, B., &amp; Landsman, W. R. (2002). When Is Bad News Really Bad News? </w:t>
      </w:r>
      <w:r w:rsidRPr="00D3260F">
        <w:rPr>
          <w:rFonts w:ascii="Times New Roman" w:hAnsi="Times New Roman" w:cs="Times New Roman"/>
          <w:i/>
          <w:iCs/>
          <w:lang w:val="en-US"/>
        </w:rPr>
        <w:t>The Journal of Finance, 57</w:t>
      </w:r>
      <w:r w:rsidRPr="00D3260F">
        <w:rPr>
          <w:rFonts w:ascii="Times New Roman" w:hAnsi="Times New Roman" w:cs="Times New Roman"/>
          <w:lang w:val="en-US"/>
        </w:rPr>
        <w:t>(6), 2507-2532.</w:t>
      </w:r>
    </w:p>
    <w:p w14:paraId="3219589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Dargenidou, C., McLeay, S., &amp; Raonic, I. (2007). Ownership, Investor Protection and Earnings Expectations. </w:t>
      </w:r>
      <w:r w:rsidRPr="00D3260F">
        <w:rPr>
          <w:rFonts w:ascii="Times New Roman" w:hAnsi="Times New Roman" w:cs="Times New Roman"/>
          <w:i/>
          <w:iCs/>
          <w:lang w:val="en-US"/>
        </w:rPr>
        <w:t>Journal of Business Finance &amp; Accounting, 34</w:t>
      </w:r>
      <w:r w:rsidRPr="00D3260F">
        <w:rPr>
          <w:rFonts w:ascii="Times New Roman" w:hAnsi="Times New Roman" w:cs="Times New Roman"/>
          <w:lang w:val="en-US"/>
        </w:rPr>
        <w:t>(1‐2), 247-268.</w:t>
      </w:r>
    </w:p>
    <w:p w14:paraId="11676F39"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David, A., &amp; Veronesi, P. (2002). </w:t>
      </w:r>
      <w:r w:rsidRPr="00D3260F">
        <w:rPr>
          <w:rFonts w:ascii="Times New Roman" w:hAnsi="Times New Roman" w:cs="Times New Roman"/>
          <w:i/>
          <w:iCs/>
          <w:lang w:val="en-US"/>
        </w:rPr>
        <w:t>Option Prices with Uncertain Fundamentals</w:t>
      </w:r>
      <w:r w:rsidRPr="00D3260F">
        <w:rPr>
          <w:rFonts w:ascii="Times New Roman" w:hAnsi="Times New Roman" w:cs="Times New Roman"/>
          <w:lang w:val="en-US"/>
        </w:rPr>
        <w:t xml:space="preserve">. Working Paper. University of Chicago.  </w:t>
      </w:r>
    </w:p>
    <w:p w14:paraId="4822883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De Long, J. B., Shleifer, A., Summers, L. H., &amp; Waldmann, R. J. (1990). Noise Trader Risk in Financial Markets. </w:t>
      </w:r>
      <w:r w:rsidRPr="00D3260F">
        <w:rPr>
          <w:rFonts w:ascii="Times New Roman" w:hAnsi="Times New Roman" w:cs="Times New Roman"/>
          <w:i/>
          <w:iCs/>
          <w:lang w:val="en-US"/>
        </w:rPr>
        <w:t>Journal of Political Economy, 98</w:t>
      </w:r>
      <w:r w:rsidRPr="00D3260F">
        <w:rPr>
          <w:rFonts w:ascii="Times New Roman" w:hAnsi="Times New Roman" w:cs="Times New Roman"/>
          <w:lang w:val="en-US"/>
        </w:rPr>
        <w:t>(4), 703-738.</w:t>
      </w:r>
    </w:p>
    <w:p w14:paraId="6FCF9943"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DeFond, M., Hung, M., &amp; Trezevant, R. (2007). Investor protection and the information content of annual earnings announcements: International evidence. </w:t>
      </w:r>
      <w:r w:rsidRPr="00D3260F">
        <w:rPr>
          <w:rFonts w:ascii="Times New Roman" w:hAnsi="Times New Roman" w:cs="Times New Roman"/>
          <w:i/>
          <w:iCs/>
          <w:lang w:val="en-US"/>
        </w:rPr>
        <w:t>Journal of Accounting and Economics, 43</w:t>
      </w:r>
      <w:r w:rsidRPr="00D3260F">
        <w:rPr>
          <w:rFonts w:ascii="Times New Roman" w:hAnsi="Times New Roman" w:cs="Times New Roman"/>
          <w:lang w:val="en-US"/>
        </w:rPr>
        <w:t>(1), 37-67.</w:t>
      </w:r>
    </w:p>
    <w:p w14:paraId="7A7D1A75" w14:textId="203ABD6A" w:rsidR="00FB0A7C" w:rsidRPr="00D3260F" w:rsidRDefault="00FB0A7C"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Dixit, A., &amp; Pindyck, R., (1994). </w:t>
      </w:r>
      <w:r w:rsidRPr="00D3260F">
        <w:rPr>
          <w:rFonts w:ascii="Times New Roman" w:hAnsi="Times New Roman" w:cs="Times New Roman"/>
          <w:i/>
          <w:lang w:val="en-US"/>
        </w:rPr>
        <w:t>Investment under Uncertainty</w:t>
      </w:r>
      <w:r w:rsidRPr="00D3260F">
        <w:rPr>
          <w:rFonts w:ascii="Times New Roman" w:hAnsi="Times New Roman" w:cs="Times New Roman"/>
          <w:lang w:val="en-US"/>
        </w:rPr>
        <w:t>.  Princeton University Press.</w:t>
      </w:r>
    </w:p>
    <w:p w14:paraId="0A379AE6"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Doyle, J. T., Lundholm, R. J., &amp; Soliman, M. T. (2006). The Extreme Future Stock Returns following I/B/E/S Earnings Surprises. </w:t>
      </w:r>
      <w:r w:rsidRPr="00D3260F">
        <w:rPr>
          <w:rFonts w:ascii="Times New Roman" w:hAnsi="Times New Roman" w:cs="Times New Roman"/>
          <w:i/>
          <w:iCs/>
          <w:lang w:val="en-US"/>
        </w:rPr>
        <w:t>Journal of Accounting Research, 44</w:t>
      </w:r>
      <w:r w:rsidRPr="00D3260F">
        <w:rPr>
          <w:rFonts w:ascii="Times New Roman" w:hAnsi="Times New Roman" w:cs="Times New Roman"/>
          <w:lang w:val="en-US"/>
        </w:rPr>
        <w:t>(5), 849-887.</w:t>
      </w:r>
    </w:p>
    <w:p w14:paraId="123E3144"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Draper, P., &amp; Paudyal, K. (2008). Information Asymmetry and Bidders' Gains. </w:t>
      </w:r>
      <w:r w:rsidRPr="00D3260F">
        <w:rPr>
          <w:rFonts w:ascii="Times New Roman" w:hAnsi="Times New Roman" w:cs="Times New Roman"/>
          <w:i/>
          <w:iCs/>
          <w:lang w:val="en-US"/>
        </w:rPr>
        <w:t>Journal of Business Finance &amp; Accounting, 35</w:t>
      </w:r>
      <w:r w:rsidRPr="00D3260F">
        <w:rPr>
          <w:rFonts w:ascii="Times New Roman" w:hAnsi="Times New Roman" w:cs="Times New Roman"/>
          <w:lang w:val="en-US"/>
        </w:rPr>
        <w:t>(3‐4), 376-405.</w:t>
      </w:r>
    </w:p>
    <w:p w14:paraId="76F4AAA8"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Drechsler, I. (2013). Uncertainty, Time-Varying Fear, and Asset Prices. </w:t>
      </w:r>
      <w:r w:rsidRPr="00D3260F">
        <w:rPr>
          <w:rFonts w:ascii="Times New Roman" w:hAnsi="Times New Roman" w:cs="Times New Roman"/>
          <w:i/>
          <w:iCs/>
          <w:lang w:val="en-US"/>
        </w:rPr>
        <w:t>The Journal of Finance, 68</w:t>
      </w:r>
      <w:r w:rsidRPr="00D3260F">
        <w:rPr>
          <w:rFonts w:ascii="Times New Roman" w:hAnsi="Times New Roman" w:cs="Times New Roman"/>
          <w:lang w:val="en-US"/>
        </w:rPr>
        <w:t>(5), 1843-1889.</w:t>
      </w:r>
    </w:p>
    <w:p w14:paraId="2343EEA3"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Epstein, L. G., &amp; Schneider, M. (2008). Ambiguity, Information Quality, and Asset Pricing. </w:t>
      </w:r>
      <w:r w:rsidRPr="00D3260F">
        <w:rPr>
          <w:rFonts w:ascii="Times New Roman" w:hAnsi="Times New Roman" w:cs="Times New Roman"/>
          <w:i/>
          <w:iCs/>
          <w:lang w:val="en-US"/>
        </w:rPr>
        <w:t>The Journal of Finance, 63</w:t>
      </w:r>
      <w:r w:rsidRPr="00D3260F">
        <w:rPr>
          <w:rFonts w:ascii="Times New Roman" w:hAnsi="Times New Roman" w:cs="Times New Roman"/>
          <w:lang w:val="en-US"/>
        </w:rPr>
        <w:t>(1), 197-228.</w:t>
      </w:r>
    </w:p>
    <w:p w14:paraId="0026A395"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Francis, J., Lafond, R., Olsson, P., &amp; Schipper, K. (2007). Information Uncertainty and Post‐Earnings‐Announcement‐Drift. </w:t>
      </w:r>
      <w:r w:rsidRPr="00D3260F">
        <w:rPr>
          <w:rFonts w:ascii="Times New Roman" w:hAnsi="Times New Roman" w:cs="Times New Roman"/>
          <w:i/>
          <w:iCs/>
          <w:lang w:val="en-US"/>
        </w:rPr>
        <w:t>Journal of Business Finance &amp; Accounting, 34</w:t>
      </w:r>
      <w:r w:rsidRPr="00D3260F">
        <w:rPr>
          <w:rFonts w:ascii="Times New Roman" w:hAnsi="Times New Roman" w:cs="Times New Roman"/>
          <w:lang w:val="en-US"/>
        </w:rPr>
        <w:t>(3‐4), 403-433.</w:t>
      </w:r>
    </w:p>
    <w:p w14:paraId="655E3FBA"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Gerard, X. (2012). Information Uncertainty and the Post Earnings Announcement Drift in Europe. </w:t>
      </w:r>
      <w:r w:rsidRPr="00D3260F">
        <w:rPr>
          <w:rFonts w:ascii="Times New Roman" w:hAnsi="Times New Roman" w:cs="Times New Roman"/>
          <w:i/>
          <w:iCs/>
          <w:lang w:val="en-US"/>
        </w:rPr>
        <w:t>Financial Analysts Journal, 68</w:t>
      </w:r>
      <w:r w:rsidRPr="00D3260F">
        <w:rPr>
          <w:rFonts w:ascii="Times New Roman" w:hAnsi="Times New Roman" w:cs="Times New Roman"/>
          <w:lang w:val="en-US"/>
        </w:rPr>
        <w:t>(2), 51-69.</w:t>
      </w:r>
    </w:p>
    <w:p w14:paraId="6BBFB00A"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Hass, L. H., Vergauwe, S., &amp; Zhang, Q. (2014). Corporate governance and the information environment: Evidence from Chinese stock markets. </w:t>
      </w:r>
      <w:r w:rsidRPr="00D3260F">
        <w:rPr>
          <w:rFonts w:ascii="Times New Roman" w:hAnsi="Times New Roman" w:cs="Times New Roman"/>
          <w:i/>
          <w:iCs/>
          <w:lang w:val="en-US"/>
        </w:rPr>
        <w:t>International Review of Financial Analysis, 36</w:t>
      </w:r>
      <w:r w:rsidRPr="00D3260F">
        <w:rPr>
          <w:rFonts w:ascii="Times New Roman" w:hAnsi="Times New Roman" w:cs="Times New Roman"/>
          <w:lang w:val="en-US"/>
        </w:rPr>
        <w:t>, 106-119.</w:t>
      </w:r>
    </w:p>
    <w:p w14:paraId="33D16652"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Jiang, G., Lee, C. M. C., &amp; Zhang, Y. (2005). Information Uncertainty and Expected Returns. </w:t>
      </w:r>
      <w:r w:rsidRPr="00D3260F">
        <w:rPr>
          <w:rFonts w:ascii="Times New Roman" w:hAnsi="Times New Roman" w:cs="Times New Roman"/>
          <w:i/>
          <w:iCs/>
          <w:lang w:val="en-US"/>
        </w:rPr>
        <w:t>Review of Accounting Studies, 10</w:t>
      </w:r>
      <w:r w:rsidRPr="00D3260F">
        <w:rPr>
          <w:rFonts w:ascii="Times New Roman" w:hAnsi="Times New Roman" w:cs="Times New Roman"/>
          <w:lang w:val="en-US"/>
        </w:rPr>
        <w:t>(2), 185-221.</w:t>
      </w:r>
    </w:p>
    <w:p w14:paraId="5D428D8F" w14:textId="77777777" w:rsidR="00FB0A7C" w:rsidRPr="00D3260F" w:rsidRDefault="00FB0A7C"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Kang, W., Lee, K., &amp; Ratti, R.A. (2014) Economic policy uncertainty and firm-level investment. </w:t>
      </w:r>
      <w:r w:rsidRPr="00D3260F">
        <w:rPr>
          <w:rFonts w:ascii="Times New Roman" w:hAnsi="Times New Roman" w:cs="Times New Roman"/>
          <w:i/>
          <w:lang w:val="en-US"/>
        </w:rPr>
        <w:t>Journal of Macroeconomics</w:t>
      </w:r>
      <w:r w:rsidRPr="00D3260F">
        <w:rPr>
          <w:rFonts w:ascii="Times New Roman" w:hAnsi="Times New Roman" w:cs="Times New Roman"/>
          <w:lang w:val="en-US"/>
        </w:rPr>
        <w:t xml:space="preserve">, 39(A), 42-53. </w:t>
      </w:r>
    </w:p>
    <w:p w14:paraId="034F26D8"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Kanagaretnam, K., Lobo, G. J., &amp; Whalen, D. J. (2007). Does good corporate governance reduce information asymmetry around quarterly earnings announcements? </w:t>
      </w:r>
      <w:r w:rsidRPr="00D3260F">
        <w:rPr>
          <w:rFonts w:ascii="Times New Roman" w:hAnsi="Times New Roman" w:cs="Times New Roman"/>
          <w:i/>
          <w:iCs/>
          <w:lang w:val="en-US"/>
        </w:rPr>
        <w:t>Journal of Accounting and Public Policy, 26</w:t>
      </w:r>
      <w:r w:rsidRPr="00D3260F">
        <w:rPr>
          <w:rFonts w:ascii="Times New Roman" w:hAnsi="Times New Roman" w:cs="Times New Roman"/>
          <w:lang w:val="en-US"/>
        </w:rPr>
        <w:t>(4), 497-522.</w:t>
      </w:r>
    </w:p>
    <w:p w14:paraId="0E91D1C9"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Keynes, J. M. (1937). The General Theory of Employment. </w:t>
      </w:r>
      <w:r w:rsidRPr="00D3260F">
        <w:rPr>
          <w:rFonts w:ascii="Times New Roman" w:hAnsi="Times New Roman" w:cs="Times New Roman"/>
          <w:i/>
          <w:iCs/>
          <w:lang w:val="en-US"/>
        </w:rPr>
        <w:t>The Quarterly Journal of Economics, 51</w:t>
      </w:r>
      <w:r w:rsidRPr="00D3260F">
        <w:rPr>
          <w:rFonts w:ascii="Times New Roman" w:hAnsi="Times New Roman" w:cs="Times New Roman"/>
          <w:lang w:val="en-US"/>
        </w:rPr>
        <w:t>(2), 209–223.</w:t>
      </w:r>
    </w:p>
    <w:p w14:paraId="0B29D109" w14:textId="77777777" w:rsidR="00310FF2" w:rsidRPr="00D3260F" w:rsidRDefault="00310FF2" w:rsidP="00A54DDE">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Knight, F. H. (1921). </w:t>
      </w:r>
      <w:r w:rsidRPr="00D3260F">
        <w:rPr>
          <w:rFonts w:ascii="Times New Roman" w:hAnsi="Times New Roman" w:cs="Times New Roman"/>
          <w:i/>
          <w:iCs/>
          <w:lang w:val="en-US"/>
        </w:rPr>
        <w:t>Risk, Uncertainty and Profit</w:t>
      </w:r>
      <w:r w:rsidRPr="00D3260F">
        <w:rPr>
          <w:rFonts w:ascii="Times New Roman" w:hAnsi="Times New Roman" w:cs="Times New Roman"/>
          <w:lang w:val="en-US"/>
        </w:rPr>
        <w:t>. Boston: Houghton Mifflin Company.</w:t>
      </w:r>
    </w:p>
    <w:p w14:paraId="5E44F58C" w14:textId="5F8D1EF4" w:rsidR="00310FF2" w:rsidRPr="00D3260F" w:rsidRDefault="00310FF2" w:rsidP="00A54DDE">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Kothari, S. P., &amp; Warner, J. B. (2007). Chapter 1 - Econometrics of Event Studies. In B. E. Eckbo (Ed.), </w:t>
      </w:r>
      <w:r w:rsidRPr="00D3260F">
        <w:rPr>
          <w:rFonts w:ascii="Times New Roman" w:hAnsi="Times New Roman" w:cs="Times New Roman"/>
          <w:i/>
          <w:iCs/>
          <w:lang w:val="en-US"/>
        </w:rPr>
        <w:t>Handbook of Empirical Corporate Finance</w:t>
      </w:r>
      <w:r w:rsidRPr="00D3260F">
        <w:rPr>
          <w:rFonts w:ascii="Times New Roman" w:hAnsi="Times New Roman" w:cs="Times New Roman"/>
          <w:lang w:val="en-US"/>
        </w:rPr>
        <w:t xml:space="preserve"> (pp. 3-36). San Diego: Elsevier.</w:t>
      </w:r>
    </w:p>
    <w:p w14:paraId="168CED4E"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Krishnaswami, S., &amp; Subramaniam, V. (1999). Information asymmetry, valuation, and the corporate spin-off decision. </w:t>
      </w:r>
      <w:r w:rsidRPr="00D3260F">
        <w:rPr>
          <w:rFonts w:ascii="Times New Roman" w:hAnsi="Times New Roman" w:cs="Times New Roman"/>
          <w:i/>
          <w:iCs/>
          <w:lang w:val="en-US"/>
        </w:rPr>
        <w:t>Journal of Financial Economics, 53</w:t>
      </w:r>
      <w:r w:rsidRPr="00D3260F">
        <w:rPr>
          <w:rFonts w:ascii="Times New Roman" w:hAnsi="Times New Roman" w:cs="Times New Roman"/>
          <w:lang w:val="en-US"/>
        </w:rPr>
        <w:t>(1), 73-112.</w:t>
      </w:r>
    </w:p>
    <w:p w14:paraId="37787CF6"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lastRenderedPageBreak/>
        <w:t xml:space="preserve">Kumar, A. (2009). Hard-to-Value Stocks, Behavioral Biases, and Informed Trading. </w:t>
      </w:r>
      <w:r w:rsidRPr="00D3260F">
        <w:rPr>
          <w:rFonts w:ascii="Times New Roman" w:hAnsi="Times New Roman" w:cs="Times New Roman"/>
          <w:i/>
          <w:iCs/>
          <w:lang w:val="en-US"/>
        </w:rPr>
        <w:t>Journal of Financial and Quantitative Analysis, 44</w:t>
      </w:r>
      <w:r w:rsidRPr="00D3260F">
        <w:rPr>
          <w:rFonts w:ascii="Times New Roman" w:hAnsi="Times New Roman" w:cs="Times New Roman"/>
          <w:lang w:val="en-US"/>
        </w:rPr>
        <w:t>(6), 1375-1401.</w:t>
      </w:r>
    </w:p>
    <w:p w14:paraId="245EC8FA"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Lemmon, M., &amp; Evgenia, P. (2006). Consumer Confidence and Asset Prices: Some Empirical Evidence. </w:t>
      </w:r>
      <w:r w:rsidRPr="00D3260F">
        <w:rPr>
          <w:rFonts w:ascii="Times New Roman" w:hAnsi="Times New Roman" w:cs="Times New Roman"/>
          <w:i/>
          <w:iCs/>
          <w:lang w:val="en-US"/>
        </w:rPr>
        <w:t>The Review of Financial Studies, 19</w:t>
      </w:r>
      <w:r w:rsidRPr="00D3260F">
        <w:rPr>
          <w:rFonts w:ascii="Times New Roman" w:hAnsi="Times New Roman" w:cs="Times New Roman"/>
          <w:lang w:val="en-US"/>
        </w:rPr>
        <w:t>(4), 1499-1529.</w:t>
      </w:r>
    </w:p>
    <w:p w14:paraId="6350EFF7"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Liu, W., Strong, N., &amp; Xu, X. (2003). Post–earnings–announcement Drift in the UK. </w:t>
      </w:r>
      <w:r w:rsidRPr="00D3260F">
        <w:rPr>
          <w:rFonts w:ascii="Times New Roman" w:hAnsi="Times New Roman" w:cs="Times New Roman"/>
          <w:i/>
          <w:iCs/>
          <w:lang w:val="en-US"/>
        </w:rPr>
        <w:t>European Financial Management, 9</w:t>
      </w:r>
      <w:r w:rsidRPr="00D3260F">
        <w:rPr>
          <w:rFonts w:ascii="Times New Roman" w:hAnsi="Times New Roman" w:cs="Times New Roman"/>
          <w:lang w:val="en-US"/>
        </w:rPr>
        <w:t>(1), 89-116.</w:t>
      </w:r>
    </w:p>
    <w:p w14:paraId="3312CC12"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Livnat, J., &amp; Mendenhall, R. R. (2006). Comparing the Post-Earnings Announcement Drift for Surprises Calculated from Analyst and Time Series Forecasts. </w:t>
      </w:r>
      <w:r w:rsidRPr="00D3260F">
        <w:rPr>
          <w:rFonts w:ascii="Times New Roman" w:hAnsi="Times New Roman" w:cs="Times New Roman"/>
          <w:i/>
          <w:iCs/>
          <w:lang w:val="en-US"/>
        </w:rPr>
        <w:t>Journal of Accounting Research, 44</w:t>
      </w:r>
      <w:r w:rsidRPr="00D3260F">
        <w:rPr>
          <w:rFonts w:ascii="Times New Roman" w:hAnsi="Times New Roman" w:cs="Times New Roman"/>
          <w:lang w:val="en-US"/>
        </w:rPr>
        <w:t>(1), 177-205.</w:t>
      </w:r>
    </w:p>
    <w:p w14:paraId="18FBE2D8" w14:textId="761FACCC" w:rsidR="00FB0A7C" w:rsidRPr="00D3260F" w:rsidRDefault="00FB0A7C"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McDonald, R., &amp; Siegel, D., (1986), The Value of Waiting to Invest, Quarterly Journal of Economics 101, 706-727.</w:t>
      </w:r>
    </w:p>
    <w:p w14:paraId="732B933F"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MacKinlay, A. C. (1997). Event Studies in Economics and Finance. </w:t>
      </w:r>
      <w:r w:rsidRPr="00D3260F">
        <w:rPr>
          <w:rFonts w:ascii="Times New Roman" w:hAnsi="Times New Roman" w:cs="Times New Roman"/>
          <w:i/>
          <w:iCs/>
          <w:lang w:val="en-US"/>
        </w:rPr>
        <w:t>Journal of Economic Literature, 35</w:t>
      </w:r>
      <w:r w:rsidRPr="00D3260F">
        <w:rPr>
          <w:rFonts w:ascii="Times New Roman" w:hAnsi="Times New Roman" w:cs="Times New Roman"/>
          <w:lang w:val="en-US"/>
        </w:rPr>
        <w:t>(1), 13-39.</w:t>
      </w:r>
    </w:p>
    <w:p w14:paraId="69BCC76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Mendenhall, R. R. (2004). Arbitrage Risk and Post Earnings Announcement Drift. </w:t>
      </w:r>
      <w:r w:rsidRPr="00D3260F">
        <w:rPr>
          <w:rFonts w:ascii="Times New Roman" w:hAnsi="Times New Roman" w:cs="Times New Roman"/>
          <w:i/>
          <w:iCs/>
          <w:lang w:val="en-US"/>
        </w:rPr>
        <w:t>The Journal of Business, 77</w:t>
      </w:r>
      <w:r w:rsidRPr="00D3260F">
        <w:rPr>
          <w:rFonts w:ascii="Times New Roman" w:hAnsi="Times New Roman" w:cs="Times New Roman"/>
          <w:lang w:val="en-US"/>
        </w:rPr>
        <w:t>(4), 875-894.</w:t>
      </w:r>
    </w:p>
    <w:p w14:paraId="0A39B8DF"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Mian, G. M., &amp; Sankaraguruswamy, S. (2012). Investor Sentiment and Stock Market Response to Earnings News. </w:t>
      </w:r>
      <w:r w:rsidRPr="00D3260F">
        <w:rPr>
          <w:rFonts w:ascii="Times New Roman" w:hAnsi="Times New Roman" w:cs="Times New Roman"/>
          <w:i/>
          <w:iCs/>
          <w:lang w:val="en-US"/>
        </w:rPr>
        <w:t>The Accounting Review, 87</w:t>
      </w:r>
      <w:r w:rsidRPr="00D3260F">
        <w:rPr>
          <w:rFonts w:ascii="Times New Roman" w:hAnsi="Times New Roman" w:cs="Times New Roman"/>
          <w:lang w:val="en-US"/>
        </w:rPr>
        <w:t>(4), 1357-1384.</w:t>
      </w:r>
    </w:p>
    <w:p w14:paraId="6375F450"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Ozoguz, A. (2009). Good Times or Bad Times? Investors' Uncertainty and Stock Returns. </w:t>
      </w:r>
      <w:r w:rsidRPr="00D3260F">
        <w:rPr>
          <w:rFonts w:ascii="Times New Roman" w:hAnsi="Times New Roman" w:cs="Times New Roman"/>
          <w:i/>
          <w:iCs/>
          <w:lang w:val="en-US"/>
        </w:rPr>
        <w:t>The Review of Financial Studies, 22</w:t>
      </w:r>
      <w:r w:rsidRPr="00D3260F">
        <w:rPr>
          <w:rFonts w:ascii="Times New Roman" w:hAnsi="Times New Roman" w:cs="Times New Roman"/>
          <w:lang w:val="en-US"/>
        </w:rPr>
        <w:t>(11), 4377-4422.</w:t>
      </w:r>
    </w:p>
    <w:p w14:paraId="637ABE34" w14:textId="1B478ACF" w:rsidR="00950C5C"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Pevzner, M., Xie, F., &amp; Xin, X. (2015). When firms talk, do investors listen? The role of trust in stock market reactions to corporate earnings announcements. </w:t>
      </w:r>
      <w:r w:rsidRPr="00D3260F">
        <w:rPr>
          <w:rFonts w:ascii="Times New Roman" w:hAnsi="Times New Roman" w:cs="Times New Roman"/>
          <w:i/>
          <w:iCs/>
          <w:lang w:val="en-US"/>
        </w:rPr>
        <w:t>Journal of Financial Economics, 117</w:t>
      </w:r>
      <w:r w:rsidRPr="00D3260F">
        <w:rPr>
          <w:rFonts w:ascii="Times New Roman" w:hAnsi="Times New Roman" w:cs="Times New Roman"/>
          <w:lang w:val="en-US"/>
        </w:rPr>
        <w:t>(1), 190-223.</w:t>
      </w:r>
    </w:p>
    <w:p w14:paraId="76DFABDA" w14:textId="22A4ED56" w:rsidR="00950C5C" w:rsidRPr="00D3260F" w:rsidRDefault="00950C5C"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Rodrik, D., (1991). Policy uncertainty and private investment. </w:t>
      </w:r>
      <w:r w:rsidRPr="00D3260F">
        <w:rPr>
          <w:rFonts w:ascii="Times New Roman" w:hAnsi="Times New Roman" w:cs="Times New Roman"/>
          <w:i/>
          <w:lang w:val="en-US"/>
        </w:rPr>
        <w:t>Journal of Development Economics, 36</w:t>
      </w:r>
      <w:r w:rsidRPr="00D3260F">
        <w:rPr>
          <w:rFonts w:ascii="Times New Roman" w:hAnsi="Times New Roman" w:cs="Times New Roman"/>
          <w:lang w:val="en-US"/>
        </w:rPr>
        <w:t>, 229-242.</w:t>
      </w:r>
    </w:p>
    <w:p w14:paraId="5EB65F30"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Sadka, R. (2006). Momentum and post-earnings-announcement drift anomalies: The role of liquidity risk. </w:t>
      </w:r>
      <w:r w:rsidRPr="00D3260F">
        <w:rPr>
          <w:rFonts w:ascii="Times New Roman" w:hAnsi="Times New Roman" w:cs="Times New Roman"/>
          <w:i/>
          <w:iCs/>
          <w:lang w:val="en-US"/>
        </w:rPr>
        <w:t>Journal of Financial Economics, 80</w:t>
      </w:r>
      <w:r w:rsidRPr="00D3260F">
        <w:rPr>
          <w:rFonts w:ascii="Times New Roman" w:hAnsi="Times New Roman" w:cs="Times New Roman"/>
          <w:lang w:val="en-US"/>
        </w:rPr>
        <w:t>(2), 309-349.</w:t>
      </w:r>
    </w:p>
    <w:p w14:paraId="156E9E2A"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Van Ness, B. F., Van Ness, R. A., &amp; Warr, R. S. (2001). How Well Do Adverse Selection Components Measure Adverse Selection? </w:t>
      </w:r>
      <w:r w:rsidRPr="00D3260F">
        <w:rPr>
          <w:rFonts w:ascii="Times New Roman" w:hAnsi="Times New Roman" w:cs="Times New Roman"/>
          <w:i/>
          <w:iCs/>
          <w:lang w:val="en-US"/>
        </w:rPr>
        <w:t>Financial Management, 30</w:t>
      </w:r>
      <w:r w:rsidRPr="00D3260F">
        <w:rPr>
          <w:rFonts w:ascii="Times New Roman" w:hAnsi="Times New Roman" w:cs="Times New Roman"/>
          <w:lang w:val="en-US"/>
        </w:rPr>
        <w:t>(3), 77-98.</w:t>
      </w:r>
    </w:p>
    <w:p w14:paraId="6384A6A3" w14:textId="17AAA635" w:rsidR="00FB0A7C"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Williams, C. D. (2015). Asymmetric Responses to Earnings News: A Case for Ambiguity. </w:t>
      </w:r>
      <w:r w:rsidRPr="00D3260F">
        <w:rPr>
          <w:rFonts w:ascii="Times New Roman" w:hAnsi="Times New Roman" w:cs="Times New Roman"/>
          <w:i/>
          <w:iCs/>
          <w:lang w:val="en-US"/>
        </w:rPr>
        <w:t>Accounting Review, 90</w:t>
      </w:r>
      <w:r w:rsidRPr="00D3260F">
        <w:rPr>
          <w:rFonts w:ascii="Times New Roman" w:hAnsi="Times New Roman" w:cs="Times New Roman"/>
          <w:lang w:val="en-US"/>
        </w:rPr>
        <w:t>(2), 785-817.</w:t>
      </w:r>
    </w:p>
    <w:p w14:paraId="24F55E71"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Zhang, X. F. (2006). Information Uncertainty and Stock Returns. </w:t>
      </w:r>
      <w:r w:rsidRPr="00D3260F">
        <w:rPr>
          <w:rFonts w:ascii="Times New Roman" w:hAnsi="Times New Roman" w:cs="Times New Roman"/>
          <w:i/>
          <w:iCs/>
          <w:lang w:val="en-US"/>
        </w:rPr>
        <w:t>The Journal of Finance, 61</w:t>
      </w:r>
      <w:r w:rsidRPr="00D3260F">
        <w:rPr>
          <w:rFonts w:ascii="Times New Roman" w:hAnsi="Times New Roman" w:cs="Times New Roman"/>
          <w:lang w:val="en-US"/>
        </w:rPr>
        <w:t>(1), 105-137.</w:t>
      </w:r>
    </w:p>
    <w:p w14:paraId="7434E5F8" w14:textId="77777777" w:rsidR="00310FF2" w:rsidRPr="00D3260F" w:rsidRDefault="00310FF2" w:rsidP="008F42C0">
      <w:pPr>
        <w:tabs>
          <w:tab w:val="left" w:pos="567"/>
        </w:tabs>
        <w:autoSpaceDE w:val="0"/>
        <w:autoSpaceDN w:val="0"/>
        <w:adjustRightInd w:val="0"/>
        <w:spacing w:after="0" w:line="240" w:lineRule="auto"/>
        <w:ind w:left="720" w:hanging="720"/>
        <w:jc w:val="both"/>
        <w:rPr>
          <w:rFonts w:ascii="Times New Roman" w:hAnsi="Times New Roman" w:cs="Times New Roman"/>
          <w:lang w:val="en-US"/>
        </w:rPr>
      </w:pPr>
      <w:r w:rsidRPr="00D3260F">
        <w:rPr>
          <w:rFonts w:ascii="Times New Roman" w:hAnsi="Times New Roman" w:cs="Times New Roman"/>
          <w:lang w:val="en-US"/>
        </w:rPr>
        <w:t xml:space="preserve">Zouaoui, M., Nouyrigat, G., &amp; Beer, F. (2011). How Does Investor Sentiment Affect Stock Market Crises? Evidence from Panel Data. </w:t>
      </w:r>
      <w:r w:rsidRPr="00D3260F">
        <w:rPr>
          <w:rFonts w:ascii="Times New Roman" w:hAnsi="Times New Roman" w:cs="Times New Roman"/>
          <w:i/>
          <w:iCs/>
          <w:lang w:val="en-US"/>
        </w:rPr>
        <w:t>Financial Review, 46</w:t>
      </w:r>
      <w:r w:rsidRPr="00D3260F">
        <w:rPr>
          <w:rFonts w:ascii="Times New Roman" w:hAnsi="Times New Roman" w:cs="Times New Roman"/>
          <w:lang w:val="en-US"/>
        </w:rPr>
        <w:t>(4), 723-747.</w:t>
      </w:r>
    </w:p>
    <w:p w14:paraId="1EA6861C" w14:textId="6E7A8E73" w:rsidR="004938B4" w:rsidRDefault="006A742F" w:rsidP="00A20DC4">
      <w:pPr>
        <w:tabs>
          <w:tab w:val="left" w:pos="567"/>
        </w:tabs>
        <w:autoSpaceDE w:val="0"/>
        <w:autoSpaceDN w:val="0"/>
        <w:adjustRightInd w:val="0"/>
        <w:spacing w:after="0" w:line="288"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0AC37339" w14:textId="77777777" w:rsidR="006B5D5E" w:rsidRDefault="006B5D5E" w:rsidP="008F42C0">
      <w:pPr>
        <w:tabs>
          <w:tab w:val="left" w:pos="567"/>
        </w:tabs>
        <w:spacing w:after="0" w:line="288" w:lineRule="auto"/>
        <w:rPr>
          <w:rFonts w:ascii="Times New Roman" w:hAnsi="Times New Roman" w:cs="Times New Roman"/>
          <w:b/>
          <w:bCs/>
          <w:sz w:val="24"/>
          <w:szCs w:val="24"/>
        </w:rPr>
        <w:sectPr w:rsidR="006B5D5E" w:rsidSect="00BE1CDD">
          <w:endnotePr>
            <w:numFmt w:val="decimal"/>
          </w:endnotePr>
          <w:pgSz w:w="12240" w:h="15840" w:code="1"/>
          <w:pgMar w:top="1440" w:right="1440" w:bottom="1440" w:left="1440" w:header="720" w:footer="720" w:gutter="0"/>
          <w:pgNumType w:start="27"/>
          <w:cols w:space="720"/>
          <w:titlePg/>
          <w:docGrid w:linePitch="360"/>
        </w:sectPr>
      </w:pPr>
    </w:p>
    <w:tbl>
      <w:tblPr>
        <w:tblStyle w:val="TableGrid"/>
        <w:tblW w:w="9707" w:type="dxa"/>
        <w:jc w:val="center"/>
        <w:tblLook w:val="04A0" w:firstRow="1" w:lastRow="0" w:firstColumn="1" w:lastColumn="0" w:noHBand="0" w:noVBand="1"/>
      </w:tblPr>
      <w:tblGrid>
        <w:gridCol w:w="2155"/>
        <w:gridCol w:w="7552"/>
      </w:tblGrid>
      <w:tr w:rsidR="00F319F4" w14:paraId="5850C649" w14:textId="77777777" w:rsidTr="00770537">
        <w:trPr>
          <w:jc w:val="center"/>
        </w:trPr>
        <w:tc>
          <w:tcPr>
            <w:tcW w:w="9707"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0E82EFF2" w14:textId="2A928BF0" w:rsidR="00076D71" w:rsidRDefault="00076D71" w:rsidP="00770537">
            <w:pPr>
              <w:keepNext/>
              <w:tabs>
                <w:tab w:val="left" w:pos="567"/>
              </w:tabs>
              <w:spacing w:line="288" w:lineRule="auto"/>
              <w:ind w:right="288"/>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I</w:t>
            </w:r>
          </w:p>
          <w:p w14:paraId="7D2039A7" w14:textId="764A0300" w:rsidR="00F319F4" w:rsidRPr="00B16EAE" w:rsidRDefault="00D227D8" w:rsidP="00770537">
            <w:pPr>
              <w:keepNext/>
              <w:tabs>
                <w:tab w:val="left" w:pos="567"/>
              </w:tabs>
              <w:spacing w:line="288" w:lineRule="auto"/>
              <w:ind w:right="288"/>
              <w:jc w:val="center"/>
              <w:rPr>
                <w:rFonts w:ascii="Times New Roman" w:hAnsi="Times New Roman" w:cs="Times New Roman"/>
                <w:b/>
                <w:bCs/>
              </w:rPr>
            </w:pPr>
            <w:r w:rsidRPr="00B16EAE">
              <w:rPr>
                <w:rFonts w:ascii="Times New Roman" w:hAnsi="Times New Roman" w:cs="Times New Roman"/>
                <w:b/>
                <w:bCs/>
              </w:rPr>
              <w:t xml:space="preserve">Definitions of </w:t>
            </w:r>
            <w:r w:rsidR="00CA430A" w:rsidRPr="00B16EAE">
              <w:rPr>
                <w:rFonts w:ascii="Times New Roman" w:hAnsi="Times New Roman" w:cs="Times New Roman"/>
                <w:b/>
                <w:bCs/>
              </w:rPr>
              <w:t>M</w:t>
            </w:r>
            <w:r w:rsidRPr="00B16EAE">
              <w:rPr>
                <w:rFonts w:ascii="Times New Roman" w:hAnsi="Times New Roman" w:cs="Times New Roman"/>
                <w:b/>
                <w:bCs/>
              </w:rPr>
              <w:t xml:space="preserve">ain </w:t>
            </w:r>
            <w:r w:rsidR="00CA430A" w:rsidRPr="00B16EAE">
              <w:rPr>
                <w:rFonts w:ascii="Times New Roman" w:hAnsi="Times New Roman" w:cs="Times New Roman"/>
                <w:b/>
                <w:bCs/>
              </w:rPr>
              <w:t>V</w:t>
            </w:r>
            <w:r w:rsidR="00F319F4" w:rsidRPr="00B16EAE">
              <w:rPr>
                <w:rFonts w:ascii="Times New Roman" w:hAnsi="Times New Roman" w:cs="Times New Roman"/>
                <w:b/>
                <w:bCs/>
              </w:rPr>
              <w:t>ariable</w:t>
            </w:r>
            <w:r w:rsidRPr="00B16EAE">
              <w:rPr>
                <w:rFonts w:ascii="Times New Roman" w:hAnsi="Times New Roman" w:cs="Times New Roman"/>
                <w:b/>
                <w:bCs/>
              </w:rPr>
              <w:t>s</w:t>
            </w:r>
          </w:p>
        </w:tc>
      </w:tr>
      <w:tr w:rsidR="00F319F4" w14:paraId="16507EED" w14:textId="77777777" w:rsidTr="00770537">
        <w:trPr>
          <w:trHeight w:val="50"/>
          <w:jc w:val="center"/>
        </w:trPr>
        <w:tc>
          <w:tcPr>
            <w:tcW w:w="2155"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2DD3B9DC" w14:textId="77777777" w:rsidR="00F319F4" w:rsidRPr="00A14C99" w:rsidRDefault="00F319F4" w:rsidP="00770537">
            <w:pPr>
              <w:keepNext/>
              <w:tabs>
                <w:tab w:val="left" w:pos="567"/>
              </w:tabs>
              <w:spacing w:before="60" w:after="60" w:line="288" w:lineRule="auto"/>
              <w:ind w:right="288"/>
              <w:jc w:val="center"/>
              <w:rPr>
                <w:rFonts w:ascii="Times New Roman" w:hAnsi="Times New Roman" w:cs="Times New Roman"/>
              </w:rPr>
            </w:pPr>
            <w:r w:rsidRPr="00A14C99">
              <w:rPr>
                <w:rFonts w:ascii="Times New Roman" w:hAnsi="Times New Roman" w:cs="Times New Roman"/>
              </w:rPr>
              <w:t>Variable</w:t>
            </w:r>
          </w:p>
        </w:tc>
        <w:tc>
          <w:tcPr>
            <w:tcW w:w="755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2E8DF082" w14:textId="77777777" w:rsidR="00F319F4" w:rsidRPr="00A14C99" w:rsidRDefault="00F319F4" w:rsidP="00770537">
            <w:pPr>
              <w:keepNext/>
              <w:tabs>
                <w:tab w:val="left" w:pos="567"/>
              </w:tabs>
              <w:spacing w:before="60" w:after="60" w:line="288" w:lineRule="auto"/>
              <w:ind w:right="288"/>
              <w:jc w:val="center"/>
              <w:rPr>
                <w:rFonts w:ascii="Times New Roman" w:hAnsi="Times New Roman" w:cs="Times New Roman"/>
              </w:rPr>
            </w:pPr>
            <w:r w:rsidRPr="00A14C99">
              <w:rPr>
                <w:rFonts w:ascii="Times New Roman" w:hAnsi="Times New Roman" w:cs="Times New Roman"/>
              </w:rPr>
              <w:t>Definition</w:t>
            </w:r>
          </w:p>
        </w:tc>
      </w:tr>
      <w:tr w:rsidR="00F319F4" w:rsidRPr="00CA430A" w14:paraId="60B5CC51" w14:textId="77777777" w:rsidTr="00770537">
        <w:trPr>
          <w:jc w:val="center"/>
        </w:trPr>
        <w:tc>
          <w:tcPr>
            <w:tcW w:w="2155"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921F974" w14:textId="77777777" w:rsidR="00F319F4" w:rsidRPr="00CA430A" w:rsidRDefault="00D227D8" w:rsidP="00770537">
            <w:pPr>
              <w:keepNext/>
              <w:tabs>
                <w:tab w:val="left" w:pos="567"/>
              </w:tabs>
              <w:ind w:right="288"/>
              <w:rPr>
                <w:rFonts w:ascii="Times New Roman" w:hAnsi="Times New Roman" w:cs="Times New Roman"/>
              </w:rPr>
            </w:pPr>
            <w:bookmarkStart w:id="16" w:name="_Hlk32901652"/>
            <w:r w:rsidRPr="00CA430A">
              <w:rPr>
                <w:rFonts w:ascii="Times New Roman" w:hAnsi="Times New Roman" w:cs="Times New Roman"/>
              </w:rPr>
              <w:t>Cumulative Abnormal Returns (</w:t>
            </w:r>
            <w:r w:rsidR="00F319F4" w:rsidRPr="00CA430A">
              <w:rPr>
                <w:rFonts w:ascii="Times New Roman" w:hAnsi="Times New Roman" w:cs="Times New Roman"/>
              </w:rPr>
              <w:t>CAR</w:t>
            </w:r>
            <w:r w:rsidRPr="00CA430A">
              <w:rPr>
                <w:rFonts w:ascii="Times New Roman" w:hAnsi="Times New Roman" w:cs="Times New Roman"/>
              </w:rPr>
              <w:t>)</w:t>
            </w:r>
          </w:p>
        </w:tc>
        <w:tc>
          <w:tcPr>
            <w:tcW w:w="755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608B07F" w14:textId="5233E552" w:rsidR="00A75737" w:rsidRDefault="00A75737"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CAR is calculated for the specific period the by subtracting the expected return calculated using the market model (</w:t>
            </w:r>
            <w:r w:rsidR="00A54DDE">
              <w:rPr>
                <w:rFonts w:ascii="Times New Roman" w:hAnsi="Times New Roman" w:cs="Times New Roman"/>
              </w:rPr>
              <w:t xml:space="preserve">that is, </w:t>
            </w:r>
            <w:r w:rsidRPr="00CA430A">
              <w:rPr>
                <w:rFonts w:ascii="Times New Roman" w:hAnsi="Times New Roman" w:cs="Times New Roman"/>
              </w:rPr>
              <w:t>the Capital Asset Pricing Model or CAPM) from the actual return.</w:t>
            </w:r>
          </w:p>
          <w:p w14:paraId="18466C4F" w14:textId="1AB8FE83"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F319F4" w:rsidRPr="00CA430A" w14:paraId="6B1C30B1" w14:textId="77777777" w:rsidTr="00770537">
        <w:trPr>
          <w:jc w:val="center"/>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C336A" w14:textId="77777777" w:rsidR="00F319F4" w:rsidRPr="00CA430A" w:rsidRDefault="00D227D8" w:rsidP="00770537">
            <w:pPr>
              <w:keepNext/>
              <w:tabs>
                <w:tab w:val="left" w:pos="567"/>
              </w:tabs>
              <w:ind w:right="288"/>
              <w:rPr>
                <w:rFonts w:ascii="Times New Roman" w:hAnsi="Times New Roman" w:cs="Times New Roman"/>
              </w:rPr>
            </w:pPr>
            <w:r w:rsidRPr="00CA430A">
              <w:rPr>
                <w:rFonts w:ascii="Times New Roman" w:hAnsi="Times New Roman" w:cs="Times New Roman"/>
              </w:rPr>
              <w:t>Standardized Unexpected Earnings (</w:t>
            </w:r>
            <w:r w:rsidR="00F319F4" w:rsidRPr="00CA430A">
              <w:rPr>
                <w:rFonts w:ascii="Times New Roman" w:hAnsi="Times New Roman" w:cs="Times New Roman"/>
              </w:rPr>
              <w:t>SUE</w:t>
            </w:r>
            <w:r w:rsidRPr="00CA430A">
              <w:rPr>
                <w:rFonts w:ascii="Times New Roman" w:hAnsi="Times New Roman" w:cs="Times New Roman"/>
              </w:rPr>
              <w:t>)</w:t>
            </w:r>
          </w:p>
        </w:tc>
        <w:tc>
          <w:tcPr>
            <w:tcW w:w="7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B26F3" w14:textId="77777777" w:rsidR="00A75737" w:rsidRDefault="00D227D8" w:rsidP="00770537">
            <w:pPr>
              <w:tabs>
                <w:tab w:val="left" w:pos="567"/>
              </w:tabs>
              <w:ind w:right="288"/>
              <w:jc w:val="both"/>
              <w:rPr>
                <w:rFonts w:ascii="Times New Roman" w:hAnsi="Times New Roman" w:cs="Times New Roman"/>
              </w:rPr>
            </w:pPr>
            <w:r w:rsidRPr="00CA430A">
              <w:rPr>
                <w:rFonts w:ascii="Times New Roman" w:hAnsi="Times New Roman" w:cs="Times New Roman"/>
              </w:rPr>
              <w:t xml:space="preserve">SUE is calculated as: </w:t>
            </w:r>
            <m:oMath>
              <m:sSub>
                <m:sSubPr>
                  <m:ctrlPr>
                    <w:rPr>
                      <w:rFonts w:ascii="Cambria Math" w:hAnsi="Cambria Math" w:cs="Times New Roman"/>
                      <w:i/>
                    </w:rPr>
                  </m:ctrlPr>
                </m:sSubPr>
                <m:e>
                  <m:r>
                    <w:rPr>
                      <w:rFonts w:ascii="Cambria Math" w:hAnsi="Cambria Math" w:cs="Times New Roman"/>
                    </w:rPr>
                    <m:t>SUE</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r>
                    <w:rPr>
                      <w:rFonts w:ascii="Cambria Math" w:hAnsi="Cambria Math" w:cs="Times New Roman"/>
                    </w:rPr>
                    <m:t xml:space="preserve">- </m:t>
                  </m:r>
                  <m:acc>
                    <m:accPr>
                      <m:chr m:val="̅"/>
                      <m:ctrlPr>
                        <w:rPr>
                          <w:rFonts w:ascii="Cambria Math" w:hAnsi="Cambria Math" w:cs="Times New Roman"/>
                          <w:i/>
                        </w:rPr>
                      </m:ctrlPr>
                    </m:acc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e>
                      </m:acc>
                    </m:e>
                  </m:acc>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den>
              </m:f>
            </m:oMath>
            <w:r w:rsidRPr="00CA430A">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oMath>
            <w:r w:rsidRPr="00CA430A">
              <w:rPr>
                <w:rFonts w:ascii="Times New Roman" w:hAnsi="Times New Roman" w:cs="Times New Roman"/>
              </w:rPr>
              <w:t xml:space="preserve"> is actual quarterly earnings per share for firm </w:t>
            </w:r>
            <w:r w:rsidRPr="00CA430A">
              <w:rPr>
                <w:rFonts w:ascii="Times New Roman" w:hAnsi="Times New Roman" w:cs="Times New Roman"/>
                <w:i/>
                <w:iCs/>
              </w:rPr>
              <w:t>i</w:t>
            </w:r>
            <w:r w:rsidRPr="00CA430A">
              <w:rPr>
                <w:rFonts w:ascii="Times New Roman" w:hAnsi="Times New Roman" w:cs="Times New Roman"/>
              </w:rPr>
              <w:t xml:space="preserve"> in quarter </w:t>
            </w:r>
            <w:r w:rsidRPr="00CA430A">
              <w:rPr>
                <w:rFonts w:ascii="Times New Roman" w:hAnsi="Times New Roman" w:cs="Times New Roman"/>
                <w:i/>
                <w:iCs/>
              </w:rPr>
              <w:t>t</w:t>
            </w:r>
            <w:r w:rsidRPr="00CA430A">
              <w:rPr>
                <w:rFonts w:ascii="Times New Roman" w:hAnsi="Times New Roman" w:cs="Times New Roman"/>
              </w:rPr>
              <w:t xml:space="preserve">, </w:t>
            </w:r>
            <m:oMath>
              <m:acc>
                <m:accPr>
                  <m:chr m:val="̅"/>
                  <m:ctrlPr>
                    <w:rPr>
                      <w:rFonts w:ascii="Cambria Math" w:hAnsi="Cambria Math" w:cs="Times New Roman"/>
                      <w:i/>
                    </w:rPr>
                  </m:ctrlPr>
                </m:acc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e>
                  </m:acc>
                </m:e>
              </m:acc>
            </m:oMath>
            <w:r w:rsidRPr="00CA430A">
              <w:rPr>
                <w:rFonts w:ascii="Times New Roman" w:hAnsi="Times New Roman" w:cs="Times New Roman"/>
              </w:rPr>
              <w:t xml:space="preserve"> is the most recent consensus analysts’ forecast available prior to the announcement of the quarterly earnings per share for firm </w:t>
            </w:r>
            <w:r w:rsidRPr="00CA430A">
              <w:rPr>
                <w:rFonts w:ascii="Times New Roman" w:hAnsi="Times New Roman" w:cs="Times New Roman"/>
                <w:i/>
                <w:iCs/>
              </w:rPr>
              <w:t>i</w:t>
            </w:r>
            <w:r w:rsidRPr="00CA430A">
              <w:rPr>
                <w:rFonts w:ascii="Times New Roman" w:hAnsi="Times New Roman" w:cs="Times New Roman"/>
              </w:rPr>
              <w:t xml:space="preserve"> in quarter </w:t>
            </w:r>
            <w:r w:rsidRPr="00CA430A">
              <w:rPr>
                <w:rFonts w:ascii="Times New Roman" w:hAnsi="Times New Roman" w:cs="Times New Roman"/>
                <w:i/>
                <w:iCs/>
              </w:rPr>
              <w:t>t</w:t>
            </w:r>
            <w:r w:rsidRPr="00CA430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oMath>
            <w:r w:rsidRPr="00CA430A">
              <w:rPr>
                <w:rFonts w:ascii="Times New Roman" w:hAnsi="Times New Roman" w:cs="Times New Roman"/>
              </w:rPr>
              <w:t xml:space="preserve"> is the price for firm </w:t>
            </w:r>
            <w:r w:rsidRPr="00CA430A">
              <w:rPr>
                <w:rFonts w:ascii="Times New Roman" w:hAnsi="Times New Roman" w:cs="Times New Roman"/>
                <w:i/>
                <w:iCs/>
              </w:rPr>
              <w:t>i</w:t>
            </w:r>
            <w:r w:rsidRPr="00CA430A">
              <w:rPr>
                <w:rFonts w:ascii="Times New Roman" w:hAnsi="Times New Roman" w:cs="Times New Roman"/>
              </w:rPr>
              <w:t xml:space="preserve"> at the end of the quarter</w:t>
            </w:r>
            <w:r w:rsidR="00A75737" w:rsidRPr="00CA430A">
              <w:rPr>
                <w:rFonts w:ascii="Times New Roman" w:hAnsi="Times New Roman" w:cs="Times New Roman"/>
              </w:rPr>
              <w:t>.</w:t>
            </w:r>
          </w:p>
          <w:p w14:paraId="3E15F31B" w14:textId="5667C7DC" w:rsidR="00CA430A" w:rsidRPr="00770537" w:rsidRDefault="00CA430A" w:rsidP="00770537">
            <w:pPr>
              <w:tabs>
                <w:tab w:val="left" w:pos="567"/>
              </w:tabs>
              <w:ind w:right="288"/>
              <w:jc w:val="both"/>
              <w:rPr>
                <w:rFonts w:ascii="Times New Roman" w:hAnsi="Times New Roman" w:cs="Times New Roman"/>
                <w:sz w:val="16"/>
                <w:szCs w:val="16"/>
              </w:rPr>
            </w:pPr>
          </w:p>
        </w:tc>
      </w:tr>
      <w:tr w:rsidR="00F319F4" w:rsidRPr="00CA430A" w14:paraId="45F8FA26" w14:textId="77777777" w:rsidTr="00770537">
        <w:trPr>
          <w:jc w:val="center"/>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4E6FE" w14:textId="176999EE" w:rsidR="00F319F4" w:rsidRPr="00BA14B0" w:rsidRDefault="00D227D8" w:rsidP="00770537">
            <w:pPr>
              <w:keepNext/>
              <w:tabs>
                <w:tab w:val="left" w:pos="567"/>
              </w:tabs>
              <w:ind w:right="288"/>
              <w:rPr>
                <w:rFonts w:ascii="Times New Roman" w:hAnsi="Times New Roman" w:cs="Times New Roman"/>
                <w:lang w:val="it-IT"/>
              </w:rPr>
            </w:pPr>
            <w:r w:rsidRPr="00BA14B0">
              <w:rPr>
                <w:rFonts w:ascii="Times New Roman" w:hAnsi="Times New Roman" w:cs="Times New Roman"/>
                <w:lang w:val="it-IT"/>
              </w:rPr>
              <w:t xml:space="preserve">Positive </w:t>
            </w:r>
            <w:r w:rsidR="00A75737" w:rsidRPr="00BA14B0">
              <w:rPr>
                <w:rFonts w:ascii="Times New Roman" w:hAnsi="Times New Roman" w:cs="Times New Roman"/>
                <w:lang w:val="it-IT"/>
              </w:rPr>
              <w:t>SUE (PUE)/Negative SUE (NUE)</w:t>
            </w:r>
          </w:p>
        </w:tc>
        <w:tc>
          <w:tcPr>
            <w:tcW w:w="7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F5A1C" w14:textId="77777777" w:rsidR="00A75737" w:rsidRDefault="00A75737" w:rsidP="00770537">
            <w:pPr>
              <w:tabs>
                <w:tab w:val="left" w:pos="567"/>
              </w:tabs>
              <w:ind w:right="288"/>
              <w:jc w:val="both"/>
              <w:rPr>
                <w:rFonts w:ascii="Times New Roman" w:hAnsi="Times New Roman" w:cs="Times New Roman"/>
              </w:rPr>
            </w:pPr>
            <w:bookmarkStart w:id="17" w:name="_Hlk32901827"/>
            <w:r w:rsidRPr="00CA430A">
              <w:rPr>
                <w:rFonts w:ascii="Times New Roman" w:hAnsi="Times New Roman" w:cs="Times New Roman"/>
              </w:rPr>
              <w:t>PUE/NUE is the positive (negative) SUE measure which takes the value of SUE when it is positive (negative) or 0 otherwise.</w:t>
            </w:r>
            <w:bookmarkEnd w:id="17"/>
          </w:p>
          <w:p w14:paraId="3786B5CB" w14:textId="37C224ED" w:rsidR="00CA430A" w:rsidRPr="00CA430A" w:rsidRDefault="00CA430A" w:rsidP="00770537">
            <w:pPr>
              <w:tabs>
                <w:tab w:val="left" w:pos="567"/>
              </w:tabs>
              <w:ind w:right="288"/>
              <w:jc w:val="both"/>
              <w:rPr>
                <w:rFonts w:ascii="Times New Roman" w:hAnsi="Times New Roman" w:cs="Times New Roman"/>
              </w:rPr>
            </w:pPr>
          </w:p>
        </w:tc>
      </w:tr>
      <w:tr w:rsidR="00F319F4" w:rsidRPr="00CA430A" w14:paraId="53C041DA" w14:textId="77777777" w:rsidTr="00770537">
        <w:trPr>
          <w:jc w:val="center"/>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14FA1" w14:textId="77777777" w:rsidR="00F319F4" w:rsidRPr="00CA430A" w:rsidRDefault="00FD5413" w:rsidP="00770537">
            <w:pPr>
              <w:keepNext/>
              <w:tabs>
                <w:tab w:val="left" w:pos="567"/>
              </w:tabs>
              <w:ind w:right="288"/>
              <w:rPr>
                <w:rFonts w:ascii="Times New Roman" w:hAnsi="Times New Roman" w:cs="Times New Roman"/>
              </w:rPr>
            </w:pPr>
            <w:r w:rsidRPr="00CA430A">
              <w:rPr>
                <w:rFonts w:ascii="Times New Roman" w:hAnsi="Times New Roman" w:cs="Times New Roman"/>
              </w:rPr>
              <w:t>Governance (</w:t>
            </w:r>
            <w:r w:rsidR="00F319F4" w:rsidRPr="00CA430A">
              <w:rPr>
                <w:rFonts w:ascii="Times New Roman" w:hAnsi="Times New Roman" w:cs="Times New Roman"/>
              </w:rPr>
              <w:t>GOVH</w:t>
            </w:r>
            <w:r w:rsidRPr="00CA430A">
              <w:rPr>
                <w:rFonts w:ascii="Times New Roman" w:hAnsi="Times New Roman" w:cs="Times New Roman"/>
              </w:rPr>
              <w:t>)</w:t>
            </w:r>
          </w:p>
        </w:tc>
        <w:tc>
          <w:tcPr>
            <w:tcW w:w="7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A915" w14:textId="77777777" w:rsidR="00FD5413" w:rsidRDefault="00FD5413"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GOVH is a dummy variable which takes the value 1 if the governance index</w:t>
            </w:r>
            <w:r w:rsidR="000A434C" w:rsidRPr="00CA430A">
              <w:rPr>
                <w:rFonts w:ascii="Times New Roman" w:hAnsi="Times New Roman" w:cs="Times New Roman"/>
              </w:rPr>
              <w:t xml:space="preserve"> (GOV)</w:t>
            </w:r>
            <w:r w:rsidRPr="00CA430A">
              <w:rPr>
                <w:rFonts w:ascii="Times New Roman" w:hAnsi="Times New Roman" w:cs="Times New Roman"/>
              </w:rPr>
              <w:t xml:space="preserve"> value for the announcement year is above the median value for all other observations or 0 otherwise. Higher governance index value indicates better governed firms.</w:t>
            </w:r>
          </w:p>
          <w:p w14:paraId="13558AF3" w14:textId="1E00BEFD"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F319F4" w:rsidRPr="00CA430A" w14:paraId="5686080F" w14:textId="77777777" w:rsidTr="00770537">
        <w:trPr>
          <w:jc w:val="center"/>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AB1D2B" w14:textId="77777777" w:rsidR="00F319F4" w:rsidRPr="00CA430A" w:rsidRDefault="00FD5413" w:rsidP="00770537">
            <w:pPr>
              <w:keepNext/>
              <w:tabs>
                <w:tab w:val="left" w:pos="567"/>
              </w:tabs>
              <w:ind w:right="288"/>
              <w:rPr>
                <w:rFonts w:ascii="Times New Roman" w:hAnsi="Times New Roman" w:cs="Times New Roman"/>
              </w:rPr>
            </w:pPr>
            <w:bookmarkStart w:id="18" w:name="_Hlk32901933"/>
            <w:r w:rsidRPr="00CA430A">
              <w:rPr>
                <w:rFonts w:ascii="Times New Roman" w:hAnsi="Times New Roman" w:cs="Times New Roman"/>
              </w:rPr>
              <w:t>Sentiment (</w:t>
            </w:r>
            <w:r w:rsidR="00F319F4" w:rsidRPr="00CA430A">
              <w:rPr>
                <w:rFonts w:ascii="Times New Roman" w:hAnsi="Times New Roman" w:cs="Times New Roman"/>
              </w:rPr>
              <w:t>SMI</w:t>
            </w:r>
            <w:r w:rsidR="00D227D8" w:rsidRPr="00CA430A">
              <w:rPr>
                <w:rFonts w:ascii="Times New Roman" w:hAnsi="Times New Roman" w:cs="Times New Roman"/>
              </w:rPr>
              <w:t>P</w:t>
            </w:r>
            <w:r w:rsidR="00F319F4" w:rsidRPr="00CA430A">
              <w:rPr>
                <w:rFonts w:ascii="Times New Roman" w:hAnsi="Times New Roman" w:cs="Times New Roman"/>
              </w:rPr>
              <w:t>/PSMI</w:t>
            </w:r>
            <w:r w:rsidR="00D227D8" w:rsidRPr="00CA430A">
              <w:rPr>
                <w:rFonts w:ascii="Times New Roman" w:hAnsi="Times New Roman" w:cs="Times New Roman"/>
              </w:rPr>
              <w:t>P</w:t>
            </w:r>
            <w:r w:rsidRPr="00CA430A">
              <w:rPr>
                <w:rFonts w:ascii="Times New Roman" w:hAnsi="Times New Roman" w:cs="Times New Roman"/>
              </w:rPr>
              <w:t>)</w:t>
            </w:r>
          </w:p>
        </w:tc>
        <w:tc>
          <w:tcPr>
            <w:tcW w:w="7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AAD58" w14:textId="4CA59923" w:rsidR="00FD5413" w:rsidRDefault="00FD5413"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SMIP is a dummy variable which takes the value 1 if the cumulative return on S&amp;P 1500 (sentiment measure) five-days prior to the announcement</w:t>
            </w:r>
            <w:r w:rsidR="000A434C" w:rsidRPr="00CA430A">
              <w:rPr>
                <w:rFonts w:ascii="Times New Roman" w:hAnsi="Times New Roman" w:cs="Times New Roman"/>
              </w:rPr>
              <w:t xml:space="preserve"> (SMI)</w:t>
            </w:r>
            <w:r w:rsidRPr="00CA430A">
              <w:rPr>
                <w:rFonts w:ascii="Times New Roman" w:hAnsi="Times New Roman" w:cs="Times New Roman"/>
              </w:rPr>
              <w:t xml:space="preserve"> is positive or 0 otherwise. </w:t>
            </w:r>
          </w:p>
          <w:p w14:paraId="07F0AC35" w14:textId="77777777" w:rsidR="00770537" w:rsidRPr="00770537" w:rsidRDefault="00770537" w:rsidP="00770537">
            <w:pPr>
              <w:keepNext/>
              <w:tabs>
                <w:tab w:val="left" w:pos="567"/>
              </w:tabs>
              <w:ind w:right="288"/>
              <w:jc w:val="both"/>
              <w:rPr>
                <w:rFonts w:ascii="Times New Roman" w:hAnsi="Times New Roman" w:cs="Times New Roman"/>
                <w:sz w:val="10"/>
                <w:szCs w:val="10"/>
              </w:rPr>
            </w:pPr>
          </w:p>
          <w:p w14:paraId="6BFC5C4B" w14:textId="77777777" w:rsidR="00FD5413" w:rsidRDefault="00FD5413"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PSMIP is a dummy variable which takes the value 1 if the sum of the daily returns on S&amp;P 1500 (sentiment measure) over the post-announcement period</w:t>
            </w:r>
            <w:r w:rsidR="000A434C" w:rsidRPr="00CA430A">
              <w:rPr>
                <w:rFonts w:ascii="Times New Roman" w:hAnsi="Times New Roman" w:cs="Times New Roman"/>
              </w:rPr>
              <w:t xml:space="preserve"> (PSMI)</w:t>
            </w:r>
            <w:r w:rsidRPr="00CA430A">
              <w:rPr>
                <w:rFonts w:ascii="Times New Roman" w:hAnsi="Times New Roman" w:cs="Times New Roman"/>
              </w:rPr>
              <w:t xml:space="preserve"> is positive or 0 otherwise. </w:t>
            </w:r>
          </w:p>
          <w:p w14:paraId="0426909A" w14:textId="5D8254CE" w:rsidR="00CA430A" w:rsidRPr="00CA430A" w:rsidRDefault="00CA430A" w:rsidP="00770537">
            <w:pPr>
              <w:keepNext/>
              <w:tabs>
                <w:tab w:val="left" w:pos="567"/>
              </w:tabs>
              <w:ind w:right="288"/>
              <w:jc w:val="both"/>
              <w:rPr>
                <w:rFonts w:ascii="Times New Roman" w:hAnsi="Times New Roman" w:cs="Times New Roman"/>
              </w:rPr>
            </w:pPr>
          </w:p>
        </w:tc>
      </w:tr>
      <w:tr w:rsidR="00F319F4" w:rsidRPr="00CA430A" w14:paraId="4E37602C" w14:textId="77777777" w:rsidTr="00770537">
        <w:trPr>
          <w:jc w:val="center"/>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0166A" w14:textId="77777777" w:rsidR="00F319F4" w:rsidRPr="00CA430A" w:rsidRDefault="00FD5413" w:rsidP="00770537">
            <w:pPr>
              <w:keepNext/>
              <w:tabs>
                <w:tab w:val="left" w:pos="567"/>
              </w:tabs>
              <w:ind w:right="288"/>
              <w:rPr>
                <w:rFonts w:ascii="Times New Roman" w:hAnsi="Times New Roman" w:cs="Times New Roman"/>
              </w:rPr>
            </w:pPr>
            <w:r w:rsidRPr="00CA430A">
              <w:rPr>
                <w:rFonts w:ascii="Times New Roman" w:hAnsi="Times New Roman" w:cs="Times New Roman"/>
              </w:rPr>
              <w:t>Uncertainty (</w:t>
            </w:r>
            <w:r w:rsidR="00D227D8" w:rsidRPr="00CA430A">
              <w:rPr>
                <w:rFonts w:ascii="Times New Roman" w:hAnsi="Times New Roman" w:cs="Times New Roman"/>
              </w:rPr>
              <w:t>VIXH/∆VIXH</w:t>
            </w:r>
            <w:r w:rsidRPr="00CA430A">
              <w:rPr>
                <w:rFonts w:ascii="Times New Roman" w:hAnsi="Times New Roman" w:cs="Times New Roman"/>
              </w:rPr>
              <w:t>)</w:t>
            </w:r>
          </w:p>
        </w:tc>
        <w:tc>
          <w:tcPr>
            <w:tcW w:w="7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8E117" w14:textId="690979C4" w:rsidR="00FD5413" w:rsidRPr="00CA430A" w:rsidRDefault="00FD5413"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VIXH is a dummy variable which takes the value 1 if the volatility index or VIX (uncertainty measure) value one day prior to the announcement</w:t>
            </w:r>
            <w:r w:rsidR="000A434C" w:rsidRPr="00CA430A">
              <w:rPr>
                <w:rFonts w:ascii="Times New Roman" w:hAnsi="Times New Roman" w:cs="Times New Roman"/>
              </w:rPr>
              <w:t xml:space="preserve"> (VIX)</w:t>
            </w:r>
            <w:r w:rsidRPr="00CA430A">
              <w:rPr>
                <w:rFonts w:ascii="Times New Roman" w:hAnsi="Times New Roman" w:cs="Times New Roman"/>
              </w:rPr>
              <w:t xml:space="preserve"> is above the median value for all VIX observations or 0 otherwise. </w:t>
            </w:r>
          </w:p>
          <w:p w14:paraId="6ED74652" w14:textId="77777777" w:rsidR="00F319F4" w:rsidRDefault="00FD5413"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 xml:space="preserve">∆VIXH is a dummy variable that measures change in VIX (uncertainty measure) over the studied period </w:t>
            </w:r>
            <w:r w:rsidR="000A434C" w:rsidRPr="00CA430A">
              <w:rPr>
                <w:rFonts w:ascii="Times New Roman" w:hAnsi="Times New Roman" w:cs="Times New Roman"/>
              </w:rPr>
              <w:t xml:space="preserve">(∆VIX) </w:t>
            </w:r>
            <w:r w:rsidRPr="00CA430A">
              <w:rPr>
                <w:rFonts w:ascii="Times New Roman" w:hAnsi="Times New Roman" w:cs="Times New Roman"/>
              </w:rPr>
              <w:t>and takes the value 1 if the value of VIX increases over post announcement period (T+2 to T+60) or 0 otherwise.</w:t>
            </w:r>
          </w:p>
          <w:p w14:paraId="2BED6B3A" w14:textId="159777B0" w:rsidR="00CA430A" w:rsidRPr="00CA430A" w:rsidRDefault="00CA430A" w:rsidP="00770537">
            <w:pPr>
              <w:keepNext/>
              <w:tabs>
                <w:tab w:val="left" w:pos="567"/>
              </w:tabs>
              <w:ind w:right="288"/>
              <w:jc w:val="both"/>
              <w:rPr>
                <w:rFonts w:ascii="Times New Roman" w:hAnsi="Times New Roman" w:cs="Times New Roman"/>
              </w:rPr>
            </w:pPr>
          </w:p>
        </w:tc>
      </w:tr>
      <w:bookmarkEnd w:id="16"/>
      <w:bookmarkEnd w:id="18"/>
      <w:tr w:rsidR="00F319F4" w:rsidRPr="00CA430A" w14:paraId="67A55533" w14:textId="77777777" w:rsidTr="00770537">
        <w:trPr>
          <w:jc w:val="center"/>
        </w:trPr>
        <w:tc>
          <w:tcPr>
            <w:tcW w:w="2155" w:type="dxa"/>
            <w:tcBorders>
              <w:top w:val="single" w:sz="4" w:space="0" w:color="FFFFFF" w:themeColor="background1"/>
              <w:left w:val="single" w:sz="4" w:space="0" w:color="FFFFFF" w:themeColor="background1"/>
              <w:bottom w:val="nil"/>
              <w:right w:val="single" w:sz="4" w:space="0" w:color="FFFFFF" w:themeColor="background1"/>
            </w:tcBorders>
          </w:tcPr>
          <w:p w14:paraId="3D714922" w14:textId="36CB4B08" w:rsidR="00F319F4" w:rsidRPr="00CA430A" w:rsidRDefault="00A75737" w:rsidP="00770537">
            <w:pPr>
              <w:keepNext/>
              <w:tabs>
                <w:tab w:val="left" w:pos="567"/>
              </w:tabs>
              <w:ind w:right="288"/>
              <w:rPr>
                <w:rFonts w:ascii="Times New Roman" w:hAnsi="Times New Roman" w:cs="Times New Roman"/>
              </w:rPr>
            </w:pPr>
            <w:r w:rsidRPr="00CA430A">
              <w:rPr>
                <w:rFonts w:ascii="Times New Roman" w:hAnsi="Times New Roman" w:cs="Times New Roman"/>
              </w:rPr>
              <w:t xml:space="preserve">Information </w:t>
            </w:r>
            <w:r w:rsidR="000A434C" w:rsidRPr="00CA430A">
              <w:rPr>
                <w:rFonts w:ascii="Times New Roman" w:hAnsi="Times New Roman" w:cs="Times New Roman"/>
              </w:rPr>
              <w:t>Uncertainty</w:t>
            </w:r>
            <w:r w:rsidRPr="00CA430A">
              <w:rPr>
                <w:rFonts w:ascii="Times New Roman" w:hAnsi="Times New Roman" w:cs="Times New Roman"/>
              </w:rPr>
              <w:t xml:space="preserve"> (</w:t>
            </w:r>
            <w:r w:rsidR="00D227D8" w:rsidRPr="00CA430A">
              <w:rPr>
                <w:rFonts w:ascii="Times New Roman" w:hAnsi="Times New Roman" w:cs="Times New Roman"/>
              </w:rPr>
              <w:t>IF</w:t>
            </w:r>
            <w:r w:rsidR="000A434C" w:rsidRPr="00CA430A">
              <w:rPr>
                <w:rFonts w:ascii="Times New Roman" w:hAnsi="Times New Roman" w:cs="Times New Roman"/>
              </w:rPr>
              <w:t>U</w:t>
            </w:r>
            <w:r w:rsidR="00D227D8" w:rsidRPr="00CA430A">
              <w:rPr>
                <w:rFonts w:ascii="Times New Roman" w:hAnsi="Times New Roman" w:cs="Times New Roman"/>
              </w:rPr>
              <w:t>H</w:t>
            </w:r>
            <w:r w:rsidRPr="00CA430A">
              <w:rPr>
                <w:rFonts w:ascii="Times New Roman" w:hAnsi="Times New Roman" w:cs="Times New Roman"/>
              </w:rPr>
              <w:t>)</w:t>
            </w:r>
          </w:p>
        </w:tc>
        <w:tc>
          <w:tcPr>
            <w:tcW w:w="7552" w:type="dxa"/>
            <w:tcBorders>
              <w:top w:val="single" w:sz="4" w:space="0" w:color="FFFFFF" w:themeColor="background1"/>
              <w:left w:val="single" w:sz="4" w:space="0" w:color="FFFFFF" w:themeColor="background1"/>
              <w:bottom w:val="nil"/>
              <w:right w:val="single" w:sz="4" w:space="0" w:color="FFFFFF" w:themeColor="background1"/>
            </w:tcBorders>
          </w:tcPr>
          <w:p w14:paraId="18BB6370" w14:textId="76DE63BF" w:rsidR="00A75737" w:rsidRDefault="00A75737"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IF</w:t>
            </w:r>
            <w:r w:rsidR="000A434C" w:rsidRPr="00CA430A">
              <w:rPr>
                <w:rFonts w:ascii="Times New Roman" w:hAnsi="Times New Roman" w:cs="Times New Roman"/>
              </w:rPr>
              <w:t>U</w:t>
            </w:r>
            <w:r w:rsidRPr="00CA430A">
              <w:rPr>
                <w:rFonts w:ascii="Times New Roman" w:hAnsi="Times New Roman" w:cs="Times New Roman"/>
              </w:rPr>
              <w:t>H takes the value 1 if the value of the I</w:t>
            </w:r>
            <w:r w:rsidR="000A434C" w:rsidRPr="00CA430A">
              <w:rPr>
                <w:rFonts w:ascii="Times New Roman" w:hAnsi="Times New Roman" w:cs="Times New Roman"/>
              </w:rPr>
              <w:t>U</w:t>
            </w:r>
            <w:r w:rsidRPr="00CA430A">
              <w:rPr>
                <w:rFonts w:ascii="Times New Roman" w:hAnsi="Times New Roman" w:cs="Times New Roman"/>
              </w:rPr>
              <w:t xml:space="preserve"> measure (defined in </w:t>
            </w:r>
            <w:r w:rsidRPr="00CA430A">
              <w:rPr>
                <w:rFonts w:ascii="Times New Roman" w:hAnsi="Times New Roman" w:cs="Times New Roman"/>
                <w:i/>
                <w:iCs/>
              </w:rPr>
              <w:t>Table I</w:t>
            </w:r>
            <w:r w:rsidRPr="00CA430A">
              <w:rPr>
                <w:rFonts w:ascii="Times New Roman" w:hAnsi="Times New Roman" w:cs="Times New Roman"/>
              </w:rPr>
              <w:t>) for the announcement year is above the median value for all other observations or 0 otherwise. The I</w:t>
            </w:r>
            <w:r w:rsidR="000A434C" w:rsidRPr="00CA430A">
              <w:rPr>
                <w:rFonts w:ascii="Times New Roman" w:hAnsi="Times New Roman" w:cs="Times New Roman"/>
              </w:rPr>
              <w:t>U</w:t>
            </w:r>
            <w:r w:rsidRPr="00CA430A">
              <w:rPr>
                <w:rFonts w:ascii="Times New Roman" w:hAnsi="Times New Roman" w:cs="Times New Roman"/>
              </w:rPr>
              <w:t xml:space="preserve"> measures are constructed so that higher values indicate higher I</w:t>
            </w:r>
            <w:r w:rsidR="000A434C" w:rsidRPr="00CA430A">
              <w:rPr>
                <w:rFonts w:ascii="Times New Roman" w:hAnsi="Times New Roman" w:cs="Times New Roman"/>
              </w:rPr>
              <w:t>U</w:t>
            </w:r>
            <w:r w:rsidRPr="00CA430A">
              <w:rPr>
                <w:rFonts w:ascii="Times New Roman" w:hAnsi="Times New Roman" w:cs="Times New Roman"/>
              </w:rPr>
              <w:t>.</w:t>
            </w:r>
          </w:p>
          <w:p w14:paraId="70BB9739" w14:textId="66424E1C"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3B67ED" w:rsidRPr="00CA430A" w14:paraId="6F06C265" w14:textId="77777777" w:rsidTr="00770537">
        <w:trPr>
          <w:trHeight w:val="70"/>
          <w:jc w:val="center"/>
        </w:trPr>
        <w:tc>
          <w:tcPr>
            <w:tcW w:w="2155" w:type="dxa"/>
            <w:tcBorders>
              <w:top w:val="nil"/>
              <w:left w:val="nil"/>
              <w:bottom w:val="nil"/>
              <w:right w:val="nil"/>
            </w:tcBorders>
          </w:tcPr>
          <w:p w14:paraId="725B36E6" w14:textId="2194CB11" w:rsidR="003B67ED" w:rsidRPr="00CA430A" w:rsidRDefault="003B67ED" w:rsidP="00770537">
            <w:pPr>
              <w:keepNext/>
              <w:tabs>
                <w:tab w:val="left" w:pos="567"/>
              </w:tabs>
              <w:ind w:right="288"/>
              <w:rPr>
                <w:rFonts w:ascii="Times New Roman" w:hAnsi="Times New Roman" w:cs="Times New Roman"/>
              </w:rPr>
            </w:pPr>
            <w:r w:rsidRPr="00CA430A">
              <w:rPr>
                <w:rFonts w:ascii="Times New Roman" w:hAnsi="Times New Roman" w:cs="Times New Roman"/>
              </w:rPr>
              <w:t>SIZE</w:t>
            </w:r>
          </w:p>
        </w:tc>
        <w:tc>
          <w:tcPr>
            <w:tcW w:w="7552" w:type="dxa"/>
            <w:tcBorders>
              <w:top w:val="nil"/>
              <w:left w:val="nil"/>
              <w:bottom w:val="nil"/>
              <w:right w:val="nil"/>
            </w:tcBorders>
          </w:tcPr>
          <w:p w14:paraId="76C79426" w14:textId="77777777" w:rsidR="003B67ED" w:rsidRDefault="003B67ED"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SIZ</w:t>
            </w:r>
            <w:r w:rsidR="00076D71" w:rsidRPr="00CA430A">
              <w:rPr>
                <w:rFonts w:ascii="Times New Roman" w:hAnsi="Times New Roman" w:cs="Times New Roman"/>
              </w:rPr>
              <w:t>E is</w:t>
            </w:r>
            <w:r w:rsidRPr="00CA430A">
              <w:rPr>
                <w:rFonts w:ascii="Times New Roman" w:hAnsi="Times New Roman" w:cs="Times New Roman"/>
              </w:rPr>
              <w:t xml:space="preserve"> the log of the firm’s market value at the time of the announcement</w:t>
            </w:r>
            <w:r w:rsidR="00076D71" w:rsidRPr="00CA430A">
              <w:rPr>
                <w:rFonts w:ascii="Times New Roman" w:hAnsi="Times New Roman" w:cs="Times New Roman"/>
              </w:rPr>
              <w:t>.</w:t>
            </w:r>
          </w:p>
          <w:p w14:paraId="305604E6" w14:textId="67E27C4D"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076D71" w:rsidRPr="00CA430A" w14:paraId="64578B05" w14:textId="77777777" w:rsidTr="00770537">
        <w:trPr>
          <w:trHeight w:val="70"/>
          <w:jc w:val="center"/>
        </w:trPr>
        <w:tc>
          <w:tcPr>
            <w:tcW w:w="2155" w:type="dxa"/>
            <w:tcBorders>
              <w:top w:val="nil"/>
              <w:left w:val="single" w:sz="4" w:space="0" w:color="FFFFFF" w:themeColor="background1"/>
              <w:bottom w:val="nil"/>
              <w:right w:val="single" w:sz="4" w:space="0" w:color="FFFFFF" w:themeColor="background1"/>
            </w:tcBorders>
          </w:tcPr>
          <w:p w14:paraId="3B582E5B" w14:textId="670AF316" w:rsidR="00076D71" w:rsidRPr="00CA430A" w:rsidRDefault="00076D71" w:rsidP="00770537">
            <w:pPr>
              <w:keepNext/>
              <w:tabs>
                <w:tab w:val="left" w:pos="567"/>
              </w:tabs>
              <w:ind w:right="288"/>
              <w:rPr>
                <w:rFonts w:ascii="Times New Roman" w:hAnsi="Times New Roman" w:cs="Times New Roman"/>
              </w:rPr>
            </w:pPr>
            <w:r w:rsidRPr="00CA430A">
              <w:rPr>
                <w:rFonts w:ascii="Times New Roman" w:hAnsi="Times New Roman" w:cs="Times New Roman"/>
              </w:rPr>
              <w:t>BTMV</w:t>
            </w:r>
          </w:p>
        </w:tc>
        <w:tc>
          <w:tcPr>
            <w:tcW w:w="7552" w:type="dxa"/>
            <w:tcBorders>
              <w:top w:val="nil"/>
              <w:left w:val="single" w:sz="4" w:space="0" w:color="FFFFFF" w:themeColor="background1"/>
              <w:bottom w:val="nil"/>
              <w:right w:val="single" w:sz="4" w:space="0" w:color="FFFFFF" w:themeColor="background1"/>
            </w:tcBorders>
          </w:tcPr>
          <w:p w14:paraId="3D8E843C" w14:textId="77777777" w:rsidR="00076D71" w:rsidRDefault="00076D71"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BTMV is the firm’s book-to-market value ratio at the time of the announcement.</w:t>
            </w:r>
          </w:p>
          <w:p w14:paraId="40F7251C" w14:textId="618B7182"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076D71" w:rsidRPr="00CA430A" w14:paraId="141CE733" w14:textId="77777777" w:rsidTr="00770537">
        <w:trPr>
          <w:trHeight w:val="70"/>
          <w:jc w:val="center"/>
        </w:trPr>
        <w:tc>
          <w:tcPr>
            <w:tcW w:w="2155" w:type="dxa"/>
            <w:tcBorders>
              <w:top w:val="nil"/>
              <w:left w:val="nil"/>
              <w:bottom w:val="nil"/>
              <w:right w:val="nil"/>
            </w:tcBorders>
          </w:tcPr>
          <w:p w14:paraId="7FCB2ECB" w14:textId="72F493C8" w:rsidR="00076D71" w:rsidRPr="00CA430A" w:rsidRDefault="00076D71" w:rsidP="00770537">
            <w:pPr>
              <w:keepNext/>
              <w:tabs>
                <w:tab w:val="left" w:pos="567"/>
              </w:tabs>
              <w:ind w:right="288"/>
              <w:rPr>
                <w:rFonts w:ascii="Times New Roman" w:hAnsi="Times New Roman" w:cs="Times New Roman"/>
              </w:rPr>
            </w:pPr>
            <w:r w:rsidRPr="00CA430A">
              <w:rPr>
                <w:rFonts w:ascii="Times New Roman" w:hAnsi="Times New Roman" w:cs="Times New Roman"/>
              </w:rPr>
              <w:t>FORC</w:t>
            </w:r>
          </w:p>
        </w:tc>
        <w:tc>
          <w:tcPr>
            <w:tcW w:w="7552" w:type="dxa"/>
            <w:tcBorders>
              <w:top w:val="nil"/>
              <w:left w:val="nil"/>
              <w:bottom w:val="nil"/>
              <w:right w:val="nil"/>
            </w:tcBorders>
          </w:tcPr>
          <w:p w14:paraId="3621B75D" w14:textId="77777777" w:rsidR="00076D71" w:rsidRDefault="000A434C"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FORC is the number of reported earnings forecasts for the quarter in I/B/E/S database.</w:t>
            </w:r>
          </w:p>
          <w:p w14:paraId="30CF19C8" w14:textId="1F73BCE1" w:rsidR="00CA430A" w:rsidRPr="00770537" w:rsidRDefault="00CA430A" w:rsidP="00770537">
            <w:pPr>
              <w:keepNext/>
              <w:tabs>
                <w:tab w:val="left" w:pos="567"/>
              </w:tabs>
              <w:ind w:right="288"/>
              <w:jc w:val="both"/>
              <w:rPr>
                <w:rFonts w:ascii="Times New Roman" w:hAnsi="Times New Roman" w:cs="Times New Roman"/>
                <w:sz w:val="16"/>
                <w:szCs w:val="16"/>
              </w:rPr>
            </w:pPr>
          </w:p>
        </w:tc>
      </w:tr>
      <w:tr w:rsidR="008F4999" w:rsidRPr="00CA430A" w14:paraId="0DE1A5A3" w14:textId="77777777" w:rsidTr="00770537">
        <w:trPr>
          <w:trHeight w:val="70"/>
          <w:jc w:val="center"/>
        </w:trPr>
        <w:tc>
          <w:tcPr>
            <w:tcW w:w="2155" w:type="dxa"/>
            <w:tcBorders>
              <w:top w:val="nil"/>
              <w:left w:val="single" w:sz="4" w:space="0" w:color="FFFFFF" w:themeColor="background1"/>
              <w:bottom w:val="single" w:sz="12" w:space="0" w:color="auto"/>
              <w:right w:val="single" w:sz="4" w:space="0" w:color="FFFFFF" w:themeColor="background1"/>
            </w:tcBorders>
          </w:tcPr>
          <w:p w14:paraId="4CC26A28" w14:textId="71EC2A23" w:rsidR="008F4999" w:rsidRPr="00CA430A" w:rsidRDefault="008F4999" w:rsidP="00770537">
            <w:pPr>
              <w:keepNext/>
              <w:tabs>
                <w:tab w:val="left" w:pos="567"/>
              </w:tabs>
              <w:ind w:right="288"/>
              <w:rPr>
                <w:rFonts w:ascii="Times New Roman" w:hAnsi="Times New Roman" w:cs="Times New Roman"/>
              </w:rPr>
            </w:pPr>
            <w:r w:rsidRPr="00CA430A">
              <w:rPr>
                <w:rFonts w:ascii="Times New Roman" w:hAnsi="Times New Roman" w:cs="Times New Roman"/>
              </w:rPr>
              <w:t>RLAG</w:t>
            </w:r>
          </w:p>
        </w:tc>
        <w:tc>
          <w:tcPr>
            <w:tcW w:w="7552" w:type="dxa"/>
            <w:tcBorders>
              <w:top w:val="nil"/>
              <w:left w:val="single" w:sz="4" w:space="0" w:color="FFFFFF" w:themeColor="background1"/>
              <w:bottom w:val="single" w:sz="12" w:space="0" w:color="auto"/>
              <w:right w:val="single" w:sz="4" w:space="0" w:color="FFFFFF" w:themeColor="background1"/>
            </w:tcBorders>
          </w:tcPr>
          <w:p w14:paraId="1F9763F0" w14:textId="48935335" w:rsidR="008F4999" w:rsidRPr="00CA430A" w:rsidRDefault="008F4999" w:rsidP="00770537">
            <w:pPr>
              <w:keepNext/>
              <w:tabs>
                <w:tab w:val="left" w:pos="567"/>
              </w:tabs>
              <w:ind w:right="288"/>
              <w:jc w:val="both"/>
              <w:rPr>
                <w:rFonts w:ascii="Times New Roman" w:hAnsi="Times New Roman" w:cs="Times New Roman"/>
              </w:rPr>
            </w:pPr>
            <w:r w:rsidRPr="00CA430A">
              <w:rPr>
                <w:rFonts w:ascii="Times New Roman" w:hAnsi="Times New Roman" w:cs="Times New Roman"/>
              </w:rPr>
              <w:t>RLAG is the number of days from the end of the reporting period to the announcement date.</w:t>
            </w:r>
          </w:p>
        </w:tc>
      </w:tr>
    </w:tbl>
    <w:p w14:paraId="14C0E98F" w14:textId="5ACDC248" w:rsidR="00F319F4" w:rsidRDefault="00F319F4" w:rsidP="00B16EAE">
      <w:pPr>
        <w:tabs>
          <w:tab w:val="left" w:pos="567"/>
        </w:tabs>
        <w:spacing w:after="0" w:line="240" w:lineRule="auto"/>
        <w:ind w:right="288"/>
        <w:jc w:val="center"/>
        <w:rPr>
          <w:rFonts w:asciiTheme="majorBidi" w:hAnsiTheme="majorBidi"/>
          <w:b/>
          <w:bCs/>
          <w:sz w:val="24"/>
          <w:szCs w:val="24"/>
        </w:rPr>
      </w:pPr>
      <w:r w:rsidRPr="00CA430A">
        <w:rPr>
          <w:rFonts w:ascii="Times New Roman" w:hAnsi="Times New Roman" w:cs="Times New Roman"/>
          <w:b/>
          <w:bCs/>
        </w:rPr>
        <w:br w:type="page"/>
      </w:r>
      <w:r>
        <w:rPr>
          <w:rFonts w:asciiTheme="majorBidi" w:hAnsiTheme="majorBidi"/>
          <w:b/>
          <w:bCs/>
          <w:sz w:val="24"/>
          <w:szCs w:val="24"/>
        </w:rPr>
        <w:lastRenderedPageBreak/>
        <w:t>A</w:t>
      </w:r>
      <w:r w:rsidR="00076D71">
        <w:rPr>
          <w:rFonts w:asciiTheme="majorBidi" w:hAnsiTheme="majorBidi"/>
          <w:b/>
          <w:bCs/>
          <w:sz w:val="24"/>
          <w:szCs w:val="24"/>
        </w:rPr>
        <w:t>ppendix</w:t>
      </w:r>
      <w:r>
        <w:rPr>
          <w:rFonts w:asciiTheme="majorBidi" w:hAnsiTheme="majorBidi"/>
          <w:b/>
          <w:bCs/>
          <w:sz w:val="24"/>
          <w:szCs w:val="24"/>
        </w:rPr>
        <w:t xml:space="preserve"> II</w:t>
      </w:r>
    </w:p>
    <w:p w14:paraId="22A31F7F" w14:textId="77777777" w:rsidR="00F3108F" w:rsidRPr="00F3108F" w:rsidRDefault="00F3108F" w:rsidP="00B16EAE">
      <w:pPr>
        <w:tabs>
          <w:tab w:val="left" w:pos="567"/>
        </w:tabs>
        <w:spacing w:after="0" w:line="240" w:lineRule="auto"/>
        <w:ind w:right="288"/>
        <w:jc w:val="center"/>
        <w:rPr>
          <w:rFonts w:asciiTheme="majorBidi" w:hAnsiTheme="majorBidi"/>
          <w:b/>
          <w:bCs/>
          <w:sz w:val="12"/>
          <w:szCs w:val="12"/>
        </w:rPr>
      </w:pPr>
    </w:p>
    <w:p w14:paraId="75DD6ADE" w14:textId="77777777" w:rsidR="00B16EAE" w:rsidRPr="006D55DE" w:rsidRDefault="00B16EAE" w:rsidP="00B16EAE">
      <w:pPr>
        <w:tabs>
          <w:tab w:val="left" w:pos="567"/>
        </w:tabs>
        <w:spacing w:after="0" w:line="240" w:lineRule="auto"/>
        <w:ind w:right="288"/>
        <w:jc w:val="center"/>
        <w:rPr>
          <w:rFonts w:ascii="Times New Roman" w:hAnsi="Times New Roman" w:cs="Times New Roman"/>
          <w:sz w:val="8"/>
          <w:szCs w:val="8"/>
        </w:rPr>
      </w:pPr>
    </w:p>
    <w:tbl>
      <w:tblPr>
        <w:tblStyle w:val="TableGrid"/>
        <w:tblW w:w="10795" w:type="dxa"/>
        <w:jc w:val="center"/>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08"/>
        <w:gridCol w:w="10287"/>
      </w:tblGrid>
      <w:tr w:rsidR="00F319F4" w:rsidRPr="007678DA" w14:paraId="1721470C" w14:textId="77777777" w:rsidTr="00BD53EE">
        <w:trPr>
          <w:jc w:val="center"/>
        </w:trPr>
        <w:tc>
          <w:tcPr>
            <w:tcW w:w="10795" w:type="dxa"/>
            <w:gridSpan w:val="2"/>
            <w:tcBorders>
              <w:top w:val="single" w:sz="4" w:space="0" w:color="auto"/>
              <w:bottom w:val="nil"/>
            </w:tcBorders>
          </w:tcPr>
          <w:p w14:paraId="52848011" w14:textId="046880FB" w:rsidR="00BD53EE" w:rsidRPr="00770537" w:rsidRDefault="00F319F4" w:rsidP="00F3108F">
            <w:pPr>
              <w:tabs>
                <w:tab w:val="left" w:pos="567"/>
              </w:tabs>
              <w:spacing w:before="100" w:after="100"/>
              <w:jc w:val="center"/>
              <w:rPr>
                <w:rFonts w:ascii="Times New Roman" w:hAnsi="Times New Roman" w:cs="Times New Roman"/>
                <w:b/>
                <w:bCs/>
              </w:rPr>
            </w:pPr>
            <w:r w:rsidRPr="00770537">
              <w:rPr>
                <w:rFonts w:ascii="Times New Roman" w:hAnsi="Times New Roman" w:cs="Times New Roman"/>
                <w:b/>
                <w:bCs/>
              </w:rPr>
              <w:t xml:space="preserve">Corporate Governance </w:t>
            </w:r>
            <w:r w:rsidR="00A54DDE" w:rsidRPr="00770537">
              <w:rPr>
                <w:rFonts w:ascii="Times New Roman" w:hAnsi="Times New Roman" w:cs="Times New Roman"/>
                <w:b/>
                <w:bCs/>
              </w:rPr>
              <w:t>T</w:t>
            </w:r>
            <w:r w:rsidRPr="00770537">
              <w:rPr>
                <w:rFonts w:ascii="Times New Roman" w:hAnsi="Times New Roman" w:cs="Times New Roman"/>
                <w:b/>
                <w:bCs/>
              </w:rPr>
              <w:t xml:space="preserve">hresholds </w:t>
            </w:r>
          </w:p>
          <w:p w14:paraId="47CCCEAB" w14:textId="2B4C3AFE" w:rsidR="00F319F4" w:rsidRPr="00B16EAE" w:rsidRDefault="00F319F4" w:rsidP="00F3108F">
            <w:pPr>
              <w:tabs>
                <w:tab w:val="left" w:pos="567"/>
              </w:tabs>
              <w:spacing w:before="100" w:after="100"/>
              <w:jc w:val="center"/>
              <w:rPr>
                <w:rFonts w:ascii="Times New Roman" w:hAnsi="Times New Roman" w:cs="Times New Roman"/>
                <w:sz w:val="8"/>
                <w:szCs w:val="8"/>
              </w:rPr>
            </w:pPr>
            <w:r w:rsidRPr="00B16EAE">
              <w:rPr>
                <w:rFonts w:ascii="Times New Roman" w:hAnsi="Times New Roman" w:cs="Times New Roman"/>
              </w:rPr>
              <w:t xml:space="preserve">provided by the ISS Governance QuickScore 3.0 </w:t>
            </w:r>
            <w:r w:rsidR="00BD53EE" w:rsidRPr="00B16EAE">
              <w:rPr>
                <w:rFonts w:ascii="Times New Roman" w:hAnsi="Times New Roman" w:cs="Times New Roman"/>
              </w:rPr>
              <w:t>Attributes</w:t>
            </w:r>
          </w:p>
        </w:tc>
      </w:tr>
      <w:tr w:rsidR="00F319F4" w14:paraId="4AD3BA08" w14:textId="77777777" w:rsidTr="00BD53EE">
        <w:trPr>
          <w:jc w:val="center"/>
        </w:trPr>
        <w:tc>
          <w:tcPr>
            <w:tcW w:w="10795" w:type="dxa"/>
            <w:gridSpan w:val="2"/>
            <w:tcBorders>
              <w:top w:val="nil"/>
              <w:bottom w:val="single" w:sz="4" w:space="0" w:color="auto"/>
            </w:tcBorders>
            <w:vAlign w:val="center"/>
          </w:tcPr>
          <w:p w14:paraId="72AF516D" w14:textId="267FE38A" w:rsidR="00F319F4" w:rsidRPr="00BD53EE" w:rsidRDefault="00F319F4" w:rsidP="008F42C0">
            <w:pPr>
              <w:tabs>
                <w:tab w:val="left" w:pos="567"/>
              </w:tabs>
              <w:spacing w:line="288" w:lineRule="auto"/>
              <w:jc w:val="center"/>
              <w:rPr>
                <w:rFonts w:ascii="Times New Roman" w:hAnsi="Times New Roman" w:cs="Times New Roman"/>
                <w:b/>
                <w:bCs/>
                <w:sz w:val="4"/>
                <w:szCs w:val="4"/>
              </w:rPr>
            </w:pPr>
          </w:p>
        </w:tc>
      </w:tr>
      <w:tr w:rsidR="00F319F4" w14:paraId="5EB4335D" w14:textId="77777777" w:rsidTr="00BD53EE">
        <w:trPr>
          <w:jc w:val="center"/>
        </w:trPr>
        <w:tc>
          <w:tcPr>
            <w:tcW w:w="10795" w:type="dxa"/>
            <w:gridSpan w:val="2"/>
            <w:tcBorders>
              <w:top w:val="single" w:sz="4" w:space="0" w:color="auto"/>
            </w:tcBorders>
            <w:vAlign w:val="center"/>
          </w:tcPr>
          <w:p w14:paraId="3794B36D" w14:textId="77777777" w:rsidR="00F319F4" w:rsidRPr="00770537" w:rsidRDefault="00F319F4" w:rsidP="00F3108F">
            <w:pPr>
              <w:tabs>
                <w:tab w:val="left" w:pos="567"/>
              </w:tabs>
              <w:spacing w:before="100" w:after="60" w:line="288" w:lineRule="auto"/>
              <w:jc w:val="center"/>
              <w:rPr>
                <w:rFonts w:ascii="Times New Roman" w:hAnsi="Times New Roman" w:cs="Times New Roman"/>
              </w:rPr>
            </w:pPr>
            <w:r w:rsidRPr="00770537">
              <w:rPr>
                <w:rFonts w:ascii="Times New Roman" w:hAnsi="Times New Roman" w:cs="Times New Roman"/>
                <w:b/>
                <w:bCs/>
              </w:rPr>
              <w:t>Board Structure and Policies</w:t>
            </w:r>
          </w:p>
        </w:tc>
      </w:tr>
      <w:tr w:rsidR="00F319F4" w14:paraId="1150F37A" w14:textId="77777777" w:rsidTr="00BD53EE">
        <w:trPr>
          <w:jc w:val="center"/>
        </w:trPr>
        <w:tc>
          <w:tcPr>
            <w:tcW w:w="508" w:type="dxa"/>
            <w:vAlign w:val="center"/>
          </w:tcPr>
          <w:p w14:paraId="42235DA9"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61CD054B"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 xml:space="preserve">Average attendance of </w:t>
            </w:r>
            <w:r w:rsidRPr="0086310D">
              <w:rPr>
                <w:rFonts w:ascii="Times New Roman" w:hAnsi="Times New Roman" w:cs="Times New Roman"/>
              </w:rPr>
              <w:t xml:space="preserve">board meetings </w:t>
            </w:r>
            <w:r>
              <w:rPr>
                <w:rFonts w:ascii="Times New Roman" w:hAnsi="Times New Roman" w:cs="Times New Roman"/>
              </w:rPr>
              <w:t>is at least 75%</w:t>
            </w:r>
          </w:p>
        </w:tc>
      </w:tr>
      <w:tr w:rsidR="00F319F4" w14:paraId="298492DA" w14:textId="77777777" w:rsidTr="00BD53EE">
        <w:trPr>
          <w:jc w:val="center"/>
        </w:trPr>
        <w:tc>
          <w:tcPr>
            <w:tcW w:w="508" w:type="dxa"/>
            <w:vAlign w:val="center"/>
          </w:tcPr>
          <w:p w14:paraId="69995201"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9EBE387"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Board is controlled by more than 50% independent outside directors</w:t>
            </w:r>
          </w:p>
        </w:tc>
      </w:tr>
      <w:tr w:rsidR="00F319F4" w:rsidRPr="007678DA" w14:paraId="490BA9DF" w14:textId="77777777" w:rsidTr="00BD53EE">
        <w:trPr>
          <w:jc w:val="center"/>
        </w:trPr>
        <w:tc>
          <w:tcPr>
            <w:tcW w:w="508" w:type="dxa"/>
            <w:vAlign w:val="center"/>
          </w:tcPr>
          <w:p w14:paraId="5E0282BF"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15EB327" w14:textId="0977A7A0"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 xml:space="preserve">Board size is </w:t>
            </w:r>
            <w:r>
              <w:rPr>
                <w:rFonts w:ascii="Times New Roman" w:hAnsi="Times New Roman" w:cs="Times New Roman"/>
              </w:rPr>
              <w:t xml:space="preserve">not </w:t>
            </w:r>
            <w:r w:rsidRPr="0086310D">
              <w:rPr>
                <w:rFonts w:ascii="Times New Roman" w:hAnsi="Times New Roman" w:cs="Times New Roman"/>
              </w:rPr>
              <w:t xml:space="preserve">less than </w:t>
            </w:r>
            <w:r w:rsidR="00770537">
              <w:rPr>
                <w:rFonts w:ascii="Times New Roman" w:hAnsi="Times New Roman" w:cs="Times New Roman"/>
              </w:rPr>
              <w:t>six</w:t>
            </w:r>
            <w:r w:rsidRPr="0086310D">
              <w:rPr>
                <w:rFonts w:ascii="Times New Roman" w:hAnsi="Times New Roman" w:cs="Times New Roman"/>
              </w:rPr>
              <w:t xml:space="preserve"> but not greater than</w:t>
            </w:r>
            <w:r>
              <w:rPr>
                <w:rFonts w:ascii="Times New Roman" w:hAnsi="Times New Roman" w:cs="Times New Roman"/>
              </w:rPr>
              <w:t xml:space="preserve"> </w:t>
            </w:r>
            <w:r w:rsidRPr="0086310D">
              <w:rPr>
                <w:rFonts w:ascii="Times New Roman" w:hAnsi="Times New Roman" w:cs="Times New Roman"/>
              </w:rPr>
              <w:t>15</w:t>
            </w:r>
          </w:p>
        </w:tc>
      </w:tr>
      <w:tr w:rsidR="00F319F4" w:rsidRPr="007678DA" w14:paraId="66601FAE" w14:textId="77777777" w:rsidTr="00BD53EE">
        <w:trPr>
          <w:jc w:val="center"/>
        </w:trPr>
        <w:tc>
          <w:tcPr>
            <w:tcW w:w="508" w:type="dxa"/>
            <w:vAlign w:val="center"/>
          </w:tcPr>
          <w:p w14:paraId="5F80AD85"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668DBB87"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 xml:space="preserve">Board </w:t>
            </w:r>
            <w:r>
              <w:rPr>
                <w:rFonts w:ascii="Times New Roman" w:hAnsi="Times New Roman" w:cs="Times New Roman"/>
              </w:rPr>
              <w:t>is made up of at least 25% females</w:t>
            </w:r>
          </w:p>
        </w:tc>
      </w:tr>
      <w:tr w:rsidR="00F319F4" w:rsidRPr="007678DA" w14:paraId="6BF41A3D" w14:textId="77777777" w:rsidTr="00BD53EE">
        <w:trPr>
          <w:jc w:val="center"/>
        </w:trPr>
        <w:tc>
          <w:tcPr>
            <w:tcW w:w="508" w:type="dxa"/>
            <w:vAlign w:val="center"/>
          </w:tcPr>
          <w:p w14:paraId="10AC36CC"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9BEE8C2"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No former CEO on the board</w:t>
            </w:r>
          </w:p>
        </w:tc>
      </w:tr>
      <w:tr w:rsidR="00F319F4" w:rsidRPr="007678DA" w14:paraId="29DD425D" w14:textId="77777777" w:rsidTr="00BD53EE">
        <w:trPr>
          <w:jc w:val="center"/>
        </w:trPr>
        <w:tc>
          <w:tcPr>
            <w:tcW w:w="508" w:type="dxa"/>
            <w:vAlign w:val="center"/>
          </w:tcPr>
          <w:p w14:paraId="0E9F861B"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18E87BAC" w14:textId="13ED2DC2" w:rsidR="00F319F4"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At least 50</w:t>
            </w:r>
            <w:r w:rsidR="00770537">
              <w:rPr>
                <w:rFonts w:ascii="Times New Roman" w:hAnsi="Times New Roman" w:cs="Times New Roman"/>
              </w:rPr>
              <w:t xml:space="preserve"> percent</w:t>
            </w:r>
            <w:r>
              <w:rPr>
                <w:rFonts w:ascii="Times New Roman" w:hAnsi="Times New Roman" w:cs="Times New Roman"/>
              </w:rPr>
              <w:t xml:space="preserve"> of board members have external financial expertise</w:t>
            </w:r>
          </w:p>
        </w:tc>
      </w:tr>
      <w:tr w:rsidR="00F319F4" w:rsidRPr="007678DA" w14:paraId="184F6D25" w14:textId="77777777" w:rsidTr="00BD53EE">
        <w:trPr>
          <w:jc w:val="center"/>
        </w:trPr>
        <w:tc>
          <w:tcPr>
            <w:tcW w:w="508" w:type="dxa"/>
            <w:vAlign w:val="center"/>
          </w:tcPr>
          <w:p w14:paraId="2847AB33"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607F8CF5"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Chairman and C</w:t>
            </w:r>
            <w:r>
              <w:rPr>
                <w:rFonts w:ascii="Times New Roman" w:hAnsi="Times New Roman" w:cs="Times New Roman"/>
              </w:rPr>
              <w:t>EO are separated</w:t>
            </w:r>
          </w:p>
        </w:tc>
      </w:tr>
      <w:tr w:rsidR="00F319F4" w:rsidRPr="007678DA" w14:paraId="3FFC5CA1" w14:textId="77777777" w:rsidTr="00BD53EE">
        <w:trPr>
          <w:jc w:val="center"/>
        </w:trPr>
        <w:tc>
          <w:tcPr>
            <w:tcW w:w="508" w:type="dxa"/>
            <w:vAlign w:val="center"/>
          </w:tcPr>
          <w:p w14:paraId="3A1AEBA0"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5CE2208"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 xml:space="preserve">Compensation committee </w:t>
            </w:r>
            <w:r>
              <w:rPr>
                <w:rFonts w:ascii="Times New Roman" w:hAnsi="Times New Roman" w:cs="Times New Roman"/>
              </w:rPr>
              <w:t>is composed of independent directors only</w:t>
            </w:r>
          </w:p>
        </w:tc>
      </w:tr>
      <w:tr w:rsidR="00F319F4" w:rsidRPr="007678DA" w14:paraId="2C8F29F5" w14:textId="77777777" w:rsidTr="00BD53EE">
        <w:trPr>
          <w:jc w:val="center"/>
        </w:trPr>
        <w:tc>
          <w:tcPr>
            <w:tcW w:w="508" w:type="dxa"/>
            <w:vAlign w:val="center"/>
          </w:tcPr>
          <w:p w14:paraId="4F7A7084"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73B649A"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 xml:space="preserve">Nominating committee </w:t>
            </w:r>
            <w:r>
              <w:rPr>
                <w:rFonts w:ascii="Times New Roman" w:hAnsi="Times New Roman" w:cs="Times New Roman"/>
              </w:rPr>
              <w:t>is composed of independent directors only</w:t>
            </w:r>
          </w:p>
        </w:tc>
      </w:tr>
      <w:tr w:rsidR="00F319F4" w14:paraId="2C3DEC0C" w14:textId="77777777" w:rsidTr="00BD53EE">
        <w:trPr>
          <w:jc w:val="center"/>
        </w:trPr>
        <w:tc>
          <w:tcPr>
            <w:tcW w:w="508" w:type="dxa"/>
            <w:vAlign w:val="center"/>
          </w:tcPr>
          <w:p w14:paraId="0B4976D2"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1C600F76" w14:textId="77777777" w:rsidR="00F319F4" w:rsidRPr="008B706B" w:rsidRDefault="00F319F4" w:rsidP="008F42C0">
            <w:pPr>
              <w:tabs>
                <w:tab w:val="left" w:pos="567"/>
              </w:tabs>
              <w:spacing w:line="288" w:lineRule="auto"/>
              <w:rPr>
                <w:rFonts w:ascii="Times New Roman" w:hAnsi="Times New Roman" w:cs="Times New Roman"/>
              </w:rPr>
            </w:pPr>
            <w:r w:rsidRPr="00B6012A">
              <w:rPr>
                <w:rFonts w:ascii="Times New Roman" w:hAnsi="Times New Roman" w:cs="Times New Roman"/>
              </w:rPr>
              <w:t>Audit committee is composed of independent directors only</w:t>
            </w:r>
          </w:p>
        </w:tc>
      </w:tr>
      <w:tr w:rsidR="00F319F4" w14:paraId="60EA13C1" w14:textId="77777777" w:rsidTr="00BD53EE">
        <w:trPr>
          <w:jc w:val="center"/>
        </w:trPr>
        <w:tc>
          <w:tcPr>
            <w:tcW w:w="508" w:type="dxa"/>
            <w:vAlign w:val="center"/>
          </w:tcPr>
          <w:p w14:paraId="5E955B74"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2E25BD7" w14:textId="77777777" w:rsidR="00F319F4" w:rsidRPr="00B6012A" w:rsidRDefault="00F319F4" w:rsidP="008F42C0">
            <w:pPr>
              <w:tabs>
                <w:tab w:val="left" w:pos="567"/>
              </w:tabs>
              <w:spacing w:line="288" w:lineRule="auto"/>
              <w:rPr>
                <w:rFonts w:ascii="Times New Roman" w:hAnsi="Times New Roman" w:cs="Times New Roman"/>
              </w:rPr>
            </w:pPr>
            <w:r w:rsidRPr="008B706B">
              <w:rPr>
                <w:rFonts w:ascii="Times New Roman" w:hAnsi="Times New Roman" w:cs="Times New Roman"/>
              </w:rPr>
              <w:t>Governance committee or similar committee exists</w:t>
            </w:r>
          </w:p>
        </w:tc>
      </w:tr>
      <w:tr w:rsidR="00F319F4" w14:paraId="5F7BCCA3" w14:textId="77777777" w:rsidTr="00BD53EE">
        <w:trPr>
          <w:jc w:val="center"/>
        </w:trPr>
        <w:tc>
          <w:tcPr>
            <w:tcW w:w="508" w:type="dxa"/>
            <w:vAlign w:val="center"/>
          </w:tcPr>
          <w:p w14:paraId="0F04CC5A"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46204820" w14:textId="77777777" w:rsidR="00F319F4" w:rsidRPr="0086310D" w:rsidRDefault="00F319F4" w:rsidP="008F42C0">
            <w:pPr>
              <w:tabs>
                <w:tab w:val="left" w:pos="567"/>
              </w:tabs>
              <w:spacing w:line="288" w:lineRule="auto"/>
              <w:rPr>
                <w:rFonts w:ascii="Times New Roman" w:hAnsi="Times New Roman" w:cs="Times New Roman"/>
              </w:rPr>
            </w:pPr>
            <w:r w:rsidRPr="009B0095">
              <w:rPr>
                <w:rFonts w:ascii="Times New Roman" w:hAnsi="Times New Roman" w:cs="Times New Roman"/>
              </w:rPr>
              <w:t>Average number of other corporate af</w:t>
            </w:r>
            <w:r>
              <w:rPr>
                <w:rFonts w:ascii="Times New Roman" w:hAnsi="Times New Roman" w:cs="Times New Roman"/>
              </w:rPr>
              <w:t>filiations for the board member not greater than four</w:t>
            </w:r>
          </w:p>
        </w:tc>
      </w:tr>
      <w:tr w:rsidR="00F319F4" w14:paraId="34EAC4B2" w14:textId="77777777" w:rsidTr="00BD53EE">
        <w:trPr>
          <w:jc w:val="center"/>
        </w:trPr>
        <w:tc>
          <w:tcPr>
            <w:tcW w:w="508" w:type="dxa"/>
            <w:vAlign w:val="center"/>
          </w:tcPr>
          <w:p w14:paraId="2B668154"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167C2D83"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Governance guidel</w:t>
            </w:r>
            <w:r>
              <w:rPr>
                <w:rFonts w:ascii="Times New Roman" w:hAnsi="Times New Roman" w:cs="Times New Roman"/>
              </w:rPr>
              <w:t>ines are publicly disclosed</w:t>
            </w:r>
          </w:p>
        </w:tc>
      </w:tr>
      <w:tr w:rsidR="00F319F4" w14:paraId="5EC9872B" w14:textId="77777777" w:rsidTr="00BD53EE">
        <w:trPr>
          <w:jc w:val="center"/>
        </w:trPr>
        <w:tc>
          <w:tcPr>
            <w:tcW w:w="508" w:type="dxa"/>
            <w:vAlign w:val="center"/>
          </w:tcPr>
          <w:p w14:paraId="2D88ACCB"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6F59B033"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No staggered board (frequently elected board)</w:t>
            </w:r>
          </w:p>
        </w:tc>
      </w:tr>
      <w:tr w:rsidR="00F319F4" w14:paraId="0E085A7C" w14:textId="77777777" w:rsidTr="00A54DDE">
        <w:trPr>
          <w:trHeight w:val="181"/>
          <w:jc w:val="center"/>
        </w:trPr>
        <w:tc>
          <w:tcPr>
            <w:tcW w:w="508" w:type="dxa"/>
            <w:vAlign w:val="center"/>
          </w:tcPr>
          <w:p w14:paraId="74535329"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BAA443B" w14:textId="77777777" w:rsidR="00F319F4" w:rsidRPr="00B36DD0" w:rsidRDefault="00F319F4" w:rsidP="008F42C0">
            <w:pPr>
              <w:tabs>
                <w:tab w:val="left" w:pos="567"/>
              </w:tabs>
              <w:spacing w:line="288" w:lineRule="auto"/>
              <w:rPr>
                <w:rFonts w:ascii="Times New Roman" w:hAnsi="Times New Roman" w:cs="Times New Roman"/>
              </w:rPr>
            </w:pPr>
            <w:r w:rsidRPr="00B36DD0">
              <w:rPr>
                <w:rFonts w:ascii="Times New Roman" w:hAnsi="Times New Roman" w:cs="Times New Roman"/>
              </w:rPr>
              <w:t>Majority vote requirement to amend charte</w:t>
            </w:r>
            <w:r>
              <w:rPr>
                <w:rFonts w:ascii="Times New Roman" w:hAnsi="Times New Roman" w:cs="Times New Roman"/>
              </w:rPr>
              <w:t>r/bylaws (</w:t>
            </w:r>
            <w:r w:rsidRPr="00B36DD0">
              <w:rPr>
                <w:rFonts w:ascii="Times New Roman" w:hAnsi="Times New Roman" w:cs="Times New Roman"/>
              </w:rPr>
              <w:t>no rights to vote or supermajority required)</w:t>
            </w:r>
          </w:p>
        </w:tc>
      </w:tr>
      <w:tr w:rsidR="00F319F4" w14:paraId="113AC8D9" w14:textId="77777777" w:rsidTr="00BD53EE">
        <w:trPr>
          <w:jc w:val="center"/>
        </w:trPr>
        <w:tc>
          <w:tcPr>
            <w:tcW w:w="508" w:type="dxa"/>
            <w:vAlign w:val="center"/>
          </w:tcPr>
          <w:p w14:paraId="718412B9"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72CF2E94" w14:textId="68496E19"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 xml:space="preserve">No </w:t>
            </w:r>
            <w:r w:rsidRPr="00B36DD0">
              <w:rPr>
                <w:rFonts w:ascii="Times New Roman" w:hAnsi="Times New Roman" w:cs="Times New Roman"/>
              </w:rPr>
              <w:t xml:space="preserve">limitations </w:t>
            </w:r>
            <w:r>
              <w:rPr>
                <w:rFonts w:ascii="Times New Roman" w:hAnsi="Times New Roman" w:cs="Times New Roman"/>
              </w:rPr>
              <w:t>on</w:t>
            </w:r>
            <w:r w:rsidRPr="00B36DD0">
              <w:rPr>
                <w:rFonts w:ascii="Times New Roman" w:hAnsi="Times New Roman" w:cs="Times New Roman"/>
              </w:rPr>
              <w:t xml:space="preserve"> shareholders' right to remove board members</w:t>
            </w:r>
            <w:r w:rsidR="00770537">
              <w:rPr>
                <w:rFonts w:ascii="Times New Roman" w:hAnsi="Times New Roman" w:cs="Times New Roman"/>
              </w:rPr>
              <w:t xml:space="preserve"> </w:t>
            </w:r>
            <w:r w:rsidRPr="00B36DD0">
              <w:rPr>
                <w:rFonts w:ascii="Times New Roman" w:hAnsi="Times New Roman" w:cs="Times New Roman"/>
              </w:rPr>
              <w:t>(</w:t>
            </w:r>
            <w:r w:rsidR="009674FA">
              <w:rPr>
                <w:rFonts w:ascii="Times New Roman" w:hAnsi="Times New Roman" w:cs="Times New Roman"/>
              </w:rPr>
              <w:t xml:space="preserve">that is, </w:t>
            </w:r>
            <w:r w:rsidRPr="00B36DD0">
              <w:rPr>
                <w:rFonts w:ascii="Times New Roman" w:hAnsi="Times New Roman" w:cs="Times New Roman"/>
              </w:rPr>
              <w:t>only for cause, sup</w:t>
            </w:r>
            <w:r>
              <w:rPr>
                <w:rFonts w:ascii="Times New Roman" w:hAnsi="Times New Roman" w:cs="Times New Roman"/>
              </w:rPr>
              <w:t>ermajority vote required, etc.)</w:t>
            </w:r>
          </w:p>
        </w:tc>
      </w:tr>
      <w:tr w:rsidR="00F319F4" w14:paraId="78326FEE" w14:textId="77777777" w:rsidTr="00BD53EE">
        <w:trPr>
          <w:jc w:val="center"/>
        </w:trPr>
        <w:tc>
          <w:tcPr>
            <w:tcW w:w="508" w:type="dxa"/>
            <w:vAlign w:val="center"/>
          </w:tcPr>
          <w:p w14:paraId="1737E1A9"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55D8C60B" w14:textId="77777777" w:rsidR="00F319F4" w:rsidRPr="00B36DD0" w:rsidRDefault="00F319F4" w:rsidP="008F42C0">
            <w:pPr>
              <w:tabs>
                <w:tab w:val="left" w:pos="567"/>
              </w:tabs>
              <w:spacing w:line="288" w:lineRule="auto"/>
              <w:rPr>
                <w:rFonts w:ascii="Times New Roman" w:hAnsi="Times New Roman" w:cs="Times New Roman"/>
              </w:rPr>
            </w:pPr>
            <w:r w:rsidRPr="00B36DD0">
              <w:rPr>
                <w:rFonts w:ascii="Times New Roman" w:hAnsi="Times New Roman" w:cs="Times New Roman"/>
              </w:rPr>
              <w:t>Performance of the board is reviewed regularly</w:t>
            </w:r>
          </w:p>
        </w:tc>
      </w:tr>
      <w:tr w:rsidR="00F319F4" w14:paraId="00B91634" w14:textId="77777777" w:rsidTr="00BD53EE">
        <w:trPr>
          <w:jc w:val="center"/>
        </w:trPr>
        <w:tc>
          <w:tcPr>
            <w:tcW w:w="508" w:type="dxa"/>
            <w:vAlign w:val="center"/>
          </w:tcPr>
          <w:p w14:paraId="41FCF8CB"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0E15CFD" w14:textId="77777777" w:rsidR="00F319F4"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Cumulative voting rights for shareholders</w:t>
            </w:r>
          </w:p>
        </w:tc>
      </w:tr>
      <w:tr w:rsidR="00F319F4" w14:paraId="7DB260AB" w14:textId="77777777" w:rsidTr="00BD53EE">
        <w:trPr>
          <w:jc w:val="center"/>
        </w:trPr>
        <w:tc>
          <w:tcPr>
            <w:tcW w:w="508" w:type="dxa"/>
            <w:vAlign w:val="center"/>
          </w:tcPr>
          <w:p w14:paraId="57957685"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1BF0BDE9" w14:textId="2BA41250" w:rsidR="00B16EAE"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A succession plan for executives is in place</w:t>
            </w:r>
          </w:p>
        </w:tc>
      </w:tr>
      <w:tr w:rsidR="00F319F4" w14:paraId="343C5401" w14:textId="77777777" w:rsidTr="00BD53EE">
        <w:trPr>
          <w:jc w:val="center"/>
        </w:trPr>
        <w:tc>
          <w:tcPr>
            <w:tcW w:w="10795" w:type="dxa"/>
            <w:gridSpan w:val="2"/>
            <w:vAlign w:val="center"/>
          </w:tcPr>
          <w:p w14:paraId="324CCC8F" w14:textId="77777777" w:rsidR="004E7A2C" w:rsidRPr="004E7A2C" w:rsidRDefault="004E7A2C" w:rsidP="008F42C0">
            <w:pPr>
              <w:tabs>
                <w:tab w:val="left" w:pos="567"/>
              </w:tabs>
              <w:spacing w:line="288" w:lineRule="auto"/>
              <w:jc w:val="center"/>
              <w:rPr>
                <w:rFonts w:ascii="Times New Roman" w:hAnsi="Times New Roman" w:cs="Times New Roman"/>
                <w:b/>
                <w:bCs/>
                <w:sz w:val="10"/>
                <w:szCs w:val="10"/>
              </w:rPr>
            </w:pPr>
          </w:p>
          <w:p w14:paraId="3F3375D5" w14:textId="28C5409F" w:rsidR="00F319F4" w:rsidRPr="00B16EAE" w:rsidRDefault="00F319F4" w:rsidP="008F42C0">
            <w:pPr>
              <w:tabs>
                <w:tab w:val="left" w:pos="567"/>
              </w:tabs>
              <w:spacing w:line="288" w:lineRule="auto"/>
              <w:jc w:val="center"/>
              <w:rPr>
                <w:rFonts w:ascii="Times New Roman" w:hAnsi="Times New Roman" w:cs="Times New Roman"/>
                <w:b/>
                <w:bCs/>
              </w:rPr>
            </w:pPr>
            <w:r w:rsidRPr="00B16EAE">
              <w:rPr>
                <w:rFonts w:ascii="Times New Roman" w:hAnsi="Times New Roman" w:cs="Times New Roman"/>
                <w:b/>
                <w:bCs/>
              </w:rPr>
              <w:t>Anti-</w:t>
            </w:r>
            <w:r w:rsidR="00A54DDE" w:rsidRPr="00B16EAE">
              <w:rPr>
                <w:rFonts w:ascii="Times New Roman" w:hAnsi="Times New Roman" w:cs="Times New Roman"/>
                <w:b/>
                <w:bCs/>
              </w:rPr>
              <w:t>T</w:t>
            </w:r>
            <w:r w:rsidRPr="00B16EAE">
              <w:rPr>
                <w:rFonts w:ascii="Times New Roman" w:hAnsi="Times New Roman" w:cs="Times New Roman"/>
                <w:b/>
                <w:bCs/>
              </w:rPr>
              <w:t>akeover Provisions</w:t>
            </w:r>
          </w:p>
        </w:tc>
      </w:tr>
      <w:tr w:rsidR="00F319F4" w14:paraId="51380001" w14:textId="77777777" w:rsidTr="00BD53EE">
        <w:trPr>
          <w:jc w:val="center"/>
        </w:trPr>
        <w:tc>
          <w:tcPr>
            <w:tcW w:w="508" w:type="dxa"/>
            <w:vAlign w:val="center"/>
          </w:tcPr>
          <w:p w14:paraId="096F8C39"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176322BA" w14:textId="77777777" w:rsidR="00F319F4" w:rsidRPr="0086310D" w:rsidRDefault="00F319F4" w:rsidP="008F42C0">
            <w:pPr>
              <w:tabs>
                <w:tab w:val="left" w:pos="567"/>
              </w:tabs>
              <w:spacing w:line="288" w:lineRule="auto"/>
              <w:rPr>
                <w:rFonts w:ascii="Times New Roman" w:hAnsi="Times New Roman" w:cs="Times New Roman"/>
              </w:rPr>
            </w:pPr>
            <w:r w:rsidRPr="0086310D">
              <w:rPr>
                <w:rFonts w:ascii="Times New Roman" w:hAnsi="Times New Roman" w:cs="Times New Roman"/>
              </w:rPr>
              <w:t xml:space="preserve">Single </w:t>
            </w:r>
            <w:r>
              <w:rPr>
                <w:rFonts w:ascii="Times New Roman" w:hAnsi="Times New Roman" w:cs="Times New Roman"/>
              </w:rPr>
              <w:t>class, common</w:t>
            </w:r>
          </w:p>
        </w:tc>
      </w:tr>
      <w:tr w:rsidR="00F319F4" w14:paraId="50C58049" w14:textId="77777777" w:rsidTr="00BD53EE">
        <w:trPr>
          <w:jc w:val="center"/>
        </w:trPr>
        <w:tc>
          <w:tcPr>
            <w:tcW w:w="508" w:type="dxa"/>
            <w:vAlign w:val="center"/>
          </w:tcPr>
          <w:p w14:paraId="6C64F64F"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784A2DA1" w14:textId="77777777" w:rsidR="00F319F4" w:rsidRPr="00B36DD0" w:rsidRDefault="00F319F4" w:rsidP="008F42C0">
            <w:pPr>
              <w:tabs>
                <w:tab w:val="left" w:pos="567"/>
              </w:tabs>
              <w:spacing w:line="288" w:lineRule="auto"/>
              <w:rPr>
                <w:rFonts w:ascii="Times New Roman" w:hAnsi="Times New Roman" w:cs="Times New Roman"/>
              </w:rPr>
            </w:pPr>
            <w:r w:rsidRPr="00B36DD0">
              <w:rPr>
                <w:rFonts w:ascii="Times New Roman" w:hAnsi="Times New Roman" w:cs="Times New Roman"/>
              </w:rPr>
              <w:t xml:space="preserve">Majority vote requirement to approve </w:t>
            </w:r>
            <w:r>
              <w:rPr>
                <w:rFonts w:ascii="Times New Roman" w:hAnsi="Times New Roman" w:cs="Times New Roman"/>
              </w:rPr>
              <w:t>significant company transitions</w:t>
            </w:r>
            <w:r w:rsidRPr="00B36DD0">
              <w:rPr>
                <w:rFonts w:ascii="Times New Roman" w:hAnsi="Times New Roman" w:cs="Times New Roman"/>
              </w:rPr>
              <w:t xml:space="preserve"> </w:t>
            </w:r>
            <w:r>
              <w:rPr>
                <w:rFonts w:ascii="Times New Roman" w:hAnsi="Times New Roman" w:cs="Times New Roman"/>
              </w:rPr>
              <w:t>such as mergers and acquisitions (</w:t>
            </w:r>
            <w:r w:rsidRPr="00B36DD0">
              <w:rPr>
                <w:rFonts w:ascii="Times New Roman" w:hAnsi="Times New Roman" w:cs="Times New Roman"/>
              </w:rPr>
              <w:t>no rights to vote or supermajority required)</w:t>
            </w:r>
          </w:p>
        </w:tc>
      </w:tr>
      <w:tr w:rsidR="00F319F4" w14:paraId="5A7FDFCA" w14:textId="77777777" w:rsidTr="00BD53EE">
        <w:trPr>
          <w:jc w:val="center"/>
        </w:trPr>
        <w:tc>
          <w:tcPr>
            <w:tcW w:w="508" w:type="dxa"/>
            <w:vAlign w:val="center"/>
          </w:tcPr>
          <w:p w14:paraId="43D741AB"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3FF0C19"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 xml:space="preserve">The company does not have </w:t>
            </w:r>
            <w:r w:rsidRPr="00B36DD0">
              <w:rPr>
                <w:rFonts w:ascii="Times New Roman" w:hAnsi="Times New Roman" w:cs="Times New Roman"/>
              </w:rPr>
              <w:t xml:space="preserve">a golden parachute or other </w:t>
            </w:r>
            <w:r>
              <w:rPr>
                <w:rFonts w:ascii="Times New Roman" w:hAnsi="Times New Roman" w:cs="Times New Roman"/>
              </w:rPr>
              <w:t>similar</w:t>
            </w:r>
            <w:r w:rsidRPr="00B36DD0">
              <w:rPr>
                <w:rFonts w:ascii="Times New Roman" w:hAnsi="Times New Roman" w:cs="Times New Roman"/>
              </w:rPr>
              <w:t xml:space="preserve"> clauses (compensation plan for accelerated pay-out)</w:t>
            </w:r>
          </w:p>
        </w:tc>
      </w:tr>
      <w:tr w:rsidR="00F319F4" w14:paraId="5E790B1A" w14:textId="77777777" w:rsidTr="00BD53EE">
        <w:trPr>
          <w:jc w:val="center"/>
        </w:trPr>
        <w:tc>
          <w:tcPr>
            <w:tcW w:w="508" w:type="dxa"/>
            <w:vAlign w:val="center"/>
          </w:tcPr>
          <w:p w14:paraId="76B937E0"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AA17101" w14:textId="77777777" w:rsidR="00F319F4"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No limitations on shareholders’ rights to call special meetings</w:t>
            </w:r>
          </w:p>
        </w:tc>
      </w:tr>
      <w:tr w:rsidR="00F319F4" w14:paraId="365E57F0" w14:textId="77777777" w:rsidTr="00BD53EE">
        <w:trPr>
          <w:jc w:val="center"/>
        </w:trPr>
        <w:tc>
          <w:tcPr>
            <w:tcW w:w="508" w:type="dxa"/>
            <w:vAlign w:val="center"/>
          </w:tcPr>
          <w:p w14:paraId="64ABD92F"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FB7B9C4"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 xml:space="preserve">Company </w:t>
            </w:r>
            <w:r w:rsidRPr="0086310D">
              <w:rPr>
                <w:rFonts w:ascii="Times New Roman" w:hAnsi="Times New Roman" w:cs="Times New Roman"/>
              </w:rPr>
              <w:t>has</w:t>
            </w:r>
            <w:r>
              <w:rPr>
                <w:rFonts w:ascii="Times New Roman" w:hAnsi="Times New Roman" w:cs="Times New Roman"/>
              </w:rPr>
              <w:t xml:space="preserve"> no poison pill provisions</w:t>
            </w:r>
          </w:p>
        </w:tc>
      </w:tr>
      <w:tr w:rsidR="00F319F4" w14:paraId="161E8E00" w14:textId="77777777" w:rsidTr="00BD53EE">
        <w:trPr>
          <w:jc w:val="center"/>
        </w:trPr>
        <w:tc>
          <w:tcPr>
            <w:tcW w:w="508" w:type="dxa"/>
            <w:vAlign w:val="center"/>
          </w:tcPr>
          <w:p w14:paraId="5C6073D1"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7B480CC3" w14:textId="77777777" w:rsidR="00F319F4" w:rsidRDefault="00F319F4" w:rsidP="008F42C0">
            <w:pPr>
              <w:tabs>
                <w:tab w:val="left" w:pos="567"/>
              </w:tabs>
              <w:spacing w:line="288" w:lineRule="auto"/>
              <w:rPr>
                <w:rFonts w:ascii="Times New Roman" w:hAnsi="Times New Roman" w:cs="Times New Roman"/>
              </w:rPr>
            </w:pPr>
            <w:r w:rsidRPr="00D12645">
              <w:rPr>
                <w:rFonts w:ascii="Times New Roman" w:hAnsi="Times New Roman" w:cs="Times New Roman"/>
              </w:rPr>
              <w:t xml:space="preserve">The </w:t>
            </w:r>
            <w:r>
              <w:rPr>
                <w:rFonts w:ascii="Times New Roman" w:hAnsi="Times New Roman" w:cs="Times New Roman"/>
              </w:rPr>
              <w:t xml:space="preserve">company has less than five </w:t>
            </w:r>
            <w:r w:rsidRPr="00D12645">
              <w:rPr>
                <w:rFonts w:ascii="Times New Roman" w:hAnsi="Times New Roman" w:cs="Times New Roman"/>
              </w:rPr>
              <w:t>anti-takeover devices in plac</w:t>
            </w:r>
            <w:r>
              <w:rPr>
                <w:rFonts w:ascii="Times New Roman" w:hAnsi="Times New Roman" w:cs="Times New Roman"/>
              </w:rPr>
              <w:t>e</w:t>
            </w:r>
          </w:p>
        </w:tc>
      </w:tr>
      <w:tr w:rsidR="00F319F4" w14:paraId="3D88B3A5" w14:textId="77777777" w:rsidTr="00BD53EE">
        <w:trPr>
          <w:jc w:val="center"/>
        </w:trPr>
        <w:tc>
          <w:tcPr>
            <w:tcW w:w="508" w:type="dxa"/>
            <w:vAlign w:val="center"/>
          </w:tcPr>
          <w:p w14:paraId="2D3A64E7"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343DAFA9" w14:textId="77777777" w:rsidR="00F319F4"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T</w:t>
            </w:r>
            <w:r w:rsidRPr="00D12645">
              <w:rPr>
                <w:rFonts w:ascii="Times New Roman" w:hAnsi="Times New Roman" w:cs="Times New Roman"/>
              </w:rPr>
              <w:t>he company</w:t>
            </w:r>
            <w:r>
              <w:rPr>
                <w:rFonts w:ascii="Times New Roman" w:hAnsi="Times New Roman" w:cs="Times New Roman"/>
              </w:rPr>
              <w:t xml:space="preserve"> does not</w:t>
            </w:r>
            <w:r w:rsidRPr="00D12645">
              <w:rPr>
                <w:rFonts w:ascii="Times New Roman" w:hAnsi="Times New Roman" w:cs="Times New Roman"/>
              </w:rPr>
              <w:t xml:space="preserve"> have unlimited auth</w:t>
            </w:r>
            <w:r>
              <w:rPr>
                <w:rFonts w:ascii="Times New Roman" w:hAnsi="Times New Roman" w:cs="Times New Roman"/>
              </w:rPr>
              <w:t>orized capital or a blank check</w:t>
            </w:r>
          </w:p>
        </w:tc>
      </w:tr>
      <w:tr w:rsidR="00F319F4" w14:paraId="77673AB4" w14:textId="77777777" w:rsidTr="00BD53EE">
        <w:trPr>
          <w:jc w:val="center"/>
        </w:trPr>
        <w:tc>
          <w:tcPr>
            <w:tcW w:w="508" w:type="dxa"/>
            <w:vAlign w:val="center"/>
          </w:tcPr>
          <w:p w14:paraId="4060A532"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56AE4A5A" w14:textId="77777777" w:rsidR="00F319F4"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T</w:t>
            </w:r>
            <w:r w:rsidRPr="008F5E48">
              <w:rPr>
                <w:rFonts w:ascii="Times New Roman" w:hAnsi="Times New Roman" w:cs="Times New Roman"/>
              </w:rPr>
              <w:t>he company</w:t>
            </w:r>
            <w:r>
              <w:rPr>
                <w:rFonts w:ascii="Times New Roman" w:hAnsi="Times New Roman" w:cs="Times New Roman"/>
              </w:rPr>
              <w:t xml:space="preserve"> is</w:t>
            </w:r>
            <w:r w:rsidRPr="008F5E48">
              <w:rPr>
                <w:rFonts w:ascii="Times New Roman" w:hAnsi="Times New Roman" w:cs="Times New Roman"/>
              </w:rPr>
              <w:t xml:space="preserve"> </w:t>
            </w:r>
            <w:r>
              <w:rPr>
                <w:rFonts w:ascii="Times New Roman" w:hAnsi="Times New Roman" w:cs="Times New Roman"/>
              </w:rPr>
              <w:t xml:space="preserve">not </w:t>
            </w:r>
            <w:r w:rsidRPr="008F5E48">
              <w:rPr>
                <w:rFonts w:ascii="Times New Roman" w:hAnsi="Times New Roman" w:cs="Times New Roman"/>
              </w:rPr>
              <w:t>owned by a reference shareholder who has the majority of the voting rights, veto power or golden share</w:t>
            </w:r>
          </w:p>
        </w:tc>
      </w:tr>
      <w:tr w:rsidR="00F319F4" w14:paraId="33EF5407" w14:textId="77777777" w:rsidTr="00BD53EE">
        <w:trPr>
          <w:jc w:val="center"/>
        </w:trPr>
        <w:tc>
          <w:tcPr>
            <w:tcW w:w="508" w:type="dxa"/>
            <w:vAlign w:val="center"/>
          </w:tcPr>
          <w:p w14:paraId="4E440DB1"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3CE1459" w14:textId="77777777" w:rsidR="00F319F4" w:rsidRPr="0086310D" w:rsidRDefault="00F319F4" w:rsidP="008F42C0">
            <w:pPr>
              <w:tabs>
                <w:tab w:val="left" w:pos="567"/>
              </w:tabs>
              <w:spacing w:line="288" w:lineRule="auto"/>
              <w:rPr>
                <w:rFonts w:ascii="Times New Roman" w:hAnsi="Times New Roman" w:cs="Times New Roman"/>
              </w:rPr>
            </w:pPr>
            <w:r>
              <w:rPr>
                <w:rFonts w:ascii="Times New Roman" w:hAnsi="Times New Roman" w:cs="Times New Roman"/>
              </w:rPr>
              <w:t>T</w:t>
            </w:r>
            <w:r w:rsidRPr="00D12645">
              <w:rPr>
                <w:rFonts w:ascii="Times New Roman" w:hAnsi="Times New Roman" w:cs="Times New Roman"/>
              </w:rPr>
              <w:t>he company permit</w:t>
            </w:r>
            <w:r>
              <w:rPr>
                <w:rFonts w:ascii="Times New Roman" w:hAnsi="Times New Roman" w:cs="Times New Roman"/>
              </w:rPr>
              <w:t>s</w:t>
            </w:r>
            <w:r w:rsidRPr="00D12645">
              <w:rPr>
                <w:rFonts w:ascii="Times New Roman" w:hAnsi="Times New Roman" w:cs="Times New Roman"/>
              </w:rPr>
              <w:t xml:space="preserve"> actions to be taken wit</w:t>
            </w:r>
            <w:r>
              <w:rPr>
                <w:rFonts w:ascii="Times New Roman" w:hAnsi="Times New Roman" w:cs="Times New Roman"/>
              </w:rPr>
              <w:t>hout meeting by written consent</w:t>
            </w:r>
          </w:p>
        </w:tc>
      </w:tr>
      <w:tr w:rsidR="00F319F4" w14:paraId="35FE7979" w14:textId="77777777" w:rsidTr="00BD53EE">
        <w:trPr>
          <w:jc w:val="center"/>
        </w:trPr>
        <w:tc>
          <w:tcPr>
            <w:tcW w:w="508" w:type="dxa"/>
            <w:vAlign w:val="center"/>
          </w:tcPr>
          <w:p w14:paraId="7F776522" w14:textId="77777777" w:rsidR="00F319F4" w:rsidRPr="009674FA" w:rsidRDefault="00F319F4" w:rsidP="008F42C0">
            <w:pPr>
              <w:pStyle w:val="ListParagraph"/>
              <w:numPr>
                <w:ilvl w:val="0"/>
                <w:numId w:val="9"/>
              </w:numPr>
              <w:tabs>
                <w:tab w:val="left" w:pos="567"/>
              </w:tabs>
              <w:spacing w:line="288" w:lineRule="auto"/>
              <w:rPr>
                <w:rFonts w:ascii="Times New Roman" w:hAnsi="Times New Roman" w:cs="Times New Roman"/>
              </w:rPr>
            </w:pPr>
          </w:p>
        </w:tc>
        <w:tc>
          <w:tcPr>
            <w:tcW w:w="10287" w:type="dxa"/>
          </w:tcPr>
          <w:p w14:paraId="226FCC54" w14:textId="19A06FAF" w:rsidR="00F319F4" w:rsidRPr="0086310D" w:rsidRDefault="00F319F4" w:rsidP="008F42C0">
            <w:pPr>
              <w:tabs>
                <w:tab w:val="left" w:pos="567"/>
              </w:tabs>
              <w:spacing w:line="288" w:lineRule="auto"/>
              <w:rPr>
                <w:rFonts w:ascii="Times New Roman" w:hAnsi="Times New Roman" w:cs="Times New Roman"/>
              </w:rPr>
            </w:pPr>
            <w:r w:rsidRPr="00B8045D">
              <w:rPr>
                <w:rFonts w:ascii="Times New Roman" w:hAnsi="Times New Roman" w:cs="Times New Roman"/>
              </w:rPr>
              <w:t>Percentage of shares hel</w:t>
            </w:r>
            <w:r>
              <w:rPr>
                <w:rFonts w:ascii="Times New Roman" w:hAnsi="Times New Roman" w:cs="Times New Roman"/>
              </w:rPr>
              <w:t>d by all insiders and 5</w:t>
            </w:r>
            <w:r w:rsidR="00770537">
              <w:rPr>
                <w:rFonts w:ascii="Times New Roman" w:hAnsi="Times New Roman" w:cs="Times New Roman"/>
              </w:rPr>
              <w:t xml:space="preserve"> percent</w:t>
            </w:r>
            <w:r>
              <w:rPr>
                <w:rFonts w:ascii="Times New Roman" w:hAnsi="Times New Roman" w:cs="Times New Roman"/>
              </w:rPr>
              <w:t xml:space="preserve"> owners is less than 50</w:t>
            </w:r>
            <w:r w:rsidR="00770537">
              <w:rPr>
                <w:rFonts w:ascii="Times New Roman" w:hAnsi="Times New Roman" w:cs="Times New Roman"/>
              </w:rPr>
              <w:t xml:space="preserve"> percent</w:t>
            </w:r>
          </w:p>
        </w:tc>
      </w:tr>
    </w:tbl>
    <w:p w14:paraId="15E54CD1" w14:textId="77777777" w:rsidR="00A54DDE" w:rsidRDefault="00A54DDE">
      <w:pPr>
        <w:rPr>
          <w:rFonts w:ascii="Times New Roman" w:hAnsi="Times New Roman" w:cs="Times New Roman"/>
          <w:b/>
          <w:bCs/>
          <w:sz w:val="24"/>
          <w:szCs w:val="24"/>
        </w:rPr>
      </w:pPr>
      <w:r>
        <w:rPr>
          <w:rFonts w:ascii="Times New Roman" w:hAnsi="Times New Roman" w:cs="Times New Roman"/>
          <w:b/>
          <w:bCs/>
          <w:sz w:val="24"/>
          <w:szCs w:val="24"/>
        </w:rPr>
        <w:br w:type="page"/>
      </w:r>
    </w:p>
    <w:p w14:paraId="7E86F151" w14:textId="3AD8453F" w:rsidR="00F319F4" w:rsidRPr="00A54DDE" w:rsidRDefault="00A54DDE" w:rsidP="00A54DDE">
      <w:pPr>
        <w:keepNext/>
        <w:tabs>
          <w:tab w:val="left" w:pos="567"/>
        </w:tabs>
        <w:spacing w:after="0" w:line="240" w:lineRule="auto"/>
        <w:jc w:val="both"/>
        <w:rPr>
          <w:rFonts w:ascii="Times New Roman" w:hAnsi="Times New Roman" w:cs="Times New Roman"/>
          <w:b/>
          <w:bCs/>
        </w:rPr>
      </w:pPr>
      <w:r w:rsidRPr="00A54DDE">
        <w:rPr>
          <w:rFonts w:ascii="Times New Roman" w:hAnsi="Times New Roman" w:cs="Times New Roman"/>
          <w:b/>
          <w:bCs/>
        </w:rPr>
        <w:lastRenderedPageBreak/>
        <w:t>Footnotes</w:t>
      </w:r>
    </w:p>
    <w:sectPr w:rsidR="00F319F4" w:rsidRPr="00A54DDE" w:rsidSect="00D32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3A6D" w14:textId="77777777" w:rsidR="005C3591" w:rsidRDefault="005C3591" w:rsidP="00002EAB">
      <w:pPr>
        <w:spacing w:after="0" w:line="240" w:lineRule="auto"/>
      </w:pPr>
      <w:r>
        <w:separator/>
      </w:r>
    </w:p>
  </w:endnote>
  <w:endnote w:type="continuationSeparator" w:id="0">
    <w:p w14:paraId="34B724BD" w14:textId="77777777" w:rsidR="005C3591" w:rsidRDefault="005C3591" w:rsidP="00002EAB">
      <w:pPr>
        <w:spacing w:after="0" w:line="240" w:lineRule="auto"/>
      </w:pPr>
      <w:r>
        <w:continuationSeparator/>
      </w:r>
    </w:p>
  </w:endnote>
  <w:endnote w:id="1">
    <w:p w14:paraId="783F0EC2" w14:textId="6A7C548E"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BD53EE">
        <w:rPr>
          <w:rStyle w:val="EndnoteReference"/>
          <w:rFonts w:ascii="Times New Roman" w:hAnsi="Times New Roman" w:cs="Times New Roman"/>
          <w:sz w:val="21"/>
          <w:szCs w:val="21"/>
        </w:rPr>
        <w:endnoteRef/>
      </w:r>
      <w:r w:rsidRPr="00BD53EE">
        <w:rPr>
          <w:rFonts w:ascii="Times New Roman" w:hAnsi="Times New Roman" w:cs="Times New Roman"/>
          <w:sz w:val="21"/>
          <w:szCs w:val="21"/>
        </w:rPr>
        <w:t xml:space="preserve"> </w:t>
      </w:r>
      <w:r>
        <w:rPr>
          <w:rFonts w:ascii="Times New Roman" w:hAnsi="Times New Roman" w:cs="Times New Roman"/>
          <w:sz w:val="21"/>
          <w:szCs w:val="21"/>
        </w:rPr>
        <w:tab/>
      </w:r>
      <w:r w:rsidRPr="00A54DDE">
        <w:rPr>
          <w:rFonts w:ascii="Times New Roman" w:hAnsi="Times New Roman" w:cs="Times New Roman"/>
          <w:sz w:val="22"/>
          <w:szCs w:val="22"/>
        </w:rPr>
        <w:t>Although similar studies use a longer time-period, we use a shorter time period due to the limited availability of governance data, especially for the earlier years.</w:t>
      </w:r>
    </w:p>
  </w:endnote>
  <w:endnote w:id="2">
    <w:p w14:paraId="26261FFD" w14:textId="3EC4CBDD"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We limit our study to S&amp;P 1500 firms because our governance database primarily covers members of this index.</w:t>
      </w:r>
    </w:p>
  </w:endnote>
  <w:endnote w:id="3">
    <w:p w14:paraId="1FA5FBF6" w14:textId="1ECDB5ED"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We drop 3,831 observations from our sample due to lack of either forecast data or governance data or both.</w:t>
      </w:r>
    </w:p>
  </w:endnote>
  <w:endnote w:id="4">
    <w:p w14:paraId="36E8C9F0" w14:textId="643F92C8" w:rsidR="005409EA" w:rsidRPr="00A54DDE" w:rsidRDefault="005409EA" w:rsidP="00770537">
      <w:pPr>
        <w:spacing w:before="100" w:after="100" w:line="240" w:lineRule="auto"/>
        <w:ind w:left="284" w:hanging="284"/>
        <w:jc w:val="both"/>
        <w:rPr>
          <w:rFonts w:ascii="Times New Roman" w:hAnsi="Times New Roman" w:cs="Times New Roman"/>
        </w:rPr>
      </w:pPr>
      <w:r w:rsidRPr="00A54DDE">
        <w:rPr>
          <w:rStyle w:val="EndnoteReference"/>
          <w:rFonts w:ascii="Times New Roman" w:hAnsi="Times New Roman" w:cs="Times New Roman"/>
        </w:rPr>
        <w:endnoteRef/>
      </w:r>
      <w:r w:rsidRPr="00A54DDE">
        <w:rPr>
          <w:rFonts w:ascii="Times New Roman" w:hAnsi="Times New Roman" w:cs="Times New Roman"/>
        </w:rPr>
        <w:t xml:space="preserve"> </w:t>
      </w:r>
      <w:r w:rsidRPr="00A54DDE">
        <w:rPr>
          <w:rFonts w:ascii="Times New Roman" w:hAnsi="Times New Roman" w:cs="Times New Roman"/>
        </w:rPr>
        <w:tab/>
        <w:t xml:space="preserve">Livnat and Mendenhall (2006) and Doyle </w:t>
      </w:r>
      <w:r w:rsidRPr="00A54DDE">
        <w:rPr>
          <w:rFonts w:ascii="Times New Roman" w:hAnsi="Times New Roman" w:cs="Times New Roman"/>
          <w:i/>
          <w:iCs/>
        </w:rPr>
        <w:t xml:space="preserve">et al. </w:t>
      </w:r>
      <w:r w:rsidRPr="00A54DDE">
        <w:rPr>
          <w:rFonts w:ascii="Times New Roman" w:hAnsi="Times New Roman" w:cs="Times New Roman"/>
        </w:rPr>
        <w:t>(2006) report that the PEAD tends to be significantly larger when analysts’ forecasts are used in the measurement of unexpected earnings. Furthermore, Livnat and Mendenhall report that measurement methods using analysts’ forecasts and those using time-series models may capture different forms of mispricing. For the sake of comprehensiveness, we follow Livnat and Mendenhall (2006) and calculate another measure of SUE that is based on historical earnings to use in our robustness tests:</w:t>
      </w:r>
    </w:p>
    <w:p w14:paraId="1B97C6D2" w14:textId="77777777" w:rsidR="005409EA" w:rsidRPr="00A54DDE" w:rsidRDefault="005C3591" w:rsidP="00770537">
      <w:pPr>
        <w:spacing w:before="100" w:after="100" w:line="240" w:lineRule="auto"/>
        <w:ind w:left="284" w:hanging="284"/>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HSUE</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i,t-4</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den>
          </m:f>
        </m:oMath>
      </m:oMathPara>
    </w:p>
    <w:p w14:paraId="28B31678" w14:textId="22C295FA" w:rsidR="005409EA" w:rsidRPr="00A54DDE" w:rsidRDefault="005409EA" w:rsidP="00770537">
      <w:pPr>
        <w:spacing w:before="100" w:after="100" w:line="240" w:lineRule="auto"/>
        <w:ind w:left="284" w:hanging="284"/>
        <w:jc w:val="both"/>
        <w:rPr>
          <w:rFonts w:ascii="Times New Roman" w:hAnsi="Times New Roman" w:cs="Times New Roman"/>
        </w:rPr>
      </w:pPr>
      <w:r w:rsidRPr="00A54DDE">
        <w:rPr>
          <w:rFonts w:ascii="Times New Roman" w:hAnsi="Times New Roman" w:cs="Times New Roman"/>
        </w:rPr>
        <w:tab/>
        <w:t xml:space="preserve">where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oMath>
      <w:r w:rsidRPr="00A54DDE">
        <w:rPr>
          <w:rFonts w:ascii="Times New Roman" w:hAnsi="Times New Roman" w:cs="Times New Roman"/>
        </w:rPr>
        <w:t xml:space="preserve"> is actual quarterly earnings per share for firm </w:t>
      </w:r>
      <w:r w:rsidRPr="00A54DDE">
        <w:rPr>
          <w:rFonts w:ascii="Times New Roman" w:hAnsi="Times New Roman" w:cs="Times New Roman"/>
          <w:i/>
          <w:iCs/>
        </w:rPr>
        <w:t>i</w:t>
      </w:r>
      <w:r w:rsidRPr="00A54DDE">
        <w:rPr>
          <w:rFonts w:ascii="Times New Roman" w:hAnsi="Times New Roman" w:cs="Times New Roman"/>
        </w:rPr>
        <w:t xml:space="preserve"> in quarter </w:t>
      </w:r>
      <w:r w:rsidRPr="00A54DDE">
        <w:rPr>
          <w:rFonts w:ascii="Times New Roman" w:hAnsi="Times New Roman" w:cs="Times New Roman"/>
          <w:i/>
          <w:iCs/>
        </w:rPr>
        <w:t>t</w:t>
      </w:r>
      <w:r w:rsidRPr="00A54DDE">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i,t-4</m:t>
            </m:r>
          </m:sub>
        </m:sSub>
      </m:oMath>
      <w:r w:rsidRPr="00A54DDE">
        <w:rPr>
          <w:rFonts w:ascii="Times New Roman" w:hAnsi="Times New Roman" w:cs="Times New Roman"/>
        </w:rPr>
        <w:t xml:space="preserve"> is the is actual quarterly earnings per share for firm </w:t>
      </w:r>
      <w:r w:rsidRPr="00A54DDE">
        <w:rPr>
          <w:rFonts w:ascii="Times New Roman" w:hAnsi="Times New Roman" w:cs="Times New Roman"/>
          <w:i/>
          <w:iCs/>
        </w:rPr>
        <w:t>i</w:t>
      </w:r>
      <w:r w:rsidRPr="00A54DDE">
        <w:rPr>
          <w:rFonts w:ascii="Times New Roman" w:hAnsi="Times New Roman" w:cs="Times New Roman"/>
        </w:rPr>
        <w:t xml:space="preserve"> in the same quarter of last year. In line with Livnat and Mendenhall (2006) and Doyle</w:t>
      </w:r>
      <w:r w:rsidRPr="00A54DDE">
        <w:rPr>
          <w:rFonts w:ascii="Times New Roman" w:hAnsi="Times New Roman" w:cs="Times New Roman"/>
          <w:i/>
          <w:iCs/>
        </w:rPr>
        <w:t xml:space="preserve"> et al. </w:t>
      </w:r>
      <w:r w:rsidRPr="00A54DDE">
        <w:rPr>
          <w:rFonts w:ascii="Times New Roman" w:hAnsi="Times New Roman" w:cs="Times New Roman"/>
        </w:rPr>
        <w:t>(2006), we find that repeating the same analysis with the historical measure provides similar but weaker results.</w:t>
      </w:r>
    </w:p>
  </w:endnote>
  <w:endnote w:id="5">
    <w:p w14:paraId="2B8E2435" w14:textId="1E005BA2"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Thresholds for different governance measures are provided in the appendix. The variables were selected to best represent and capture the corporate governance framework of the firm.</w:t>
      </w:r>
    </w:p>
  </w:endnote>
  <w:endnote w:id="6">
    <w:p w14:paraId="070FD7FB" w14:textId="2C4CCF05"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As a result of this restriction we drop 6,451 observations from our sample.</w:t>
      </w:r>
    </w:p>
  </w:endnote>
  <w:endnote w:id="7">
    <w:p w14:paraId="0D2AA86C" w14:textId="19AEC251"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Bharath</w:t>
      </w:r>
      <w:r w:rsidRPr="00A54DDE">
        <w:rPr>
          <w:rFonts w:ascii="Times New Roman" w:hAnsi="Times New Roman" w:cs="Times New Roman"/>
          <w:i/>
          <w:iCs/>
          <w:sz w:val="22"/>
          <w:szCs w:val="22"/>
        </w:rPr>
        <w:t xml:space="preserve"> et al.</w:t>
      </w:r>
      <w:r w:rsidRPr="00A54DDE">
        <w:rPr>
          <w:rFonts w:ascii="Times New Roman" w:hAnsi="Times New Roman" w:cs="Times New Roman"/>
          <w:sz w:val="22"/>
          <w:szCs w:val="22"/>
        </w:rPr>
        <w:t xml:space="preserve"> (2009) and Krishnaswami and Subramaniam (1999) report that many of the information asymmetry measures used in the literature are highly and significantly correlated.</w:t>
      </w:r>
    </w:p>
  </w:endnote>
  <w:endnote w:id="8">
    <w:p w14:paraId="0D98B5E0" w14:textId="60616C8C"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We define the post-announcement period as T+2 to T+60 to cover the period between the current and future quarterly announcements (3 months).</w:t>
      </w:r>
    </w:p>
  </w:endnote>
  <w:endnote w:id="9">
    <w:p w14:paraId="368608C6" w14:textId="28EBF1B3"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 xml:space="preserve">The results remain unchanged when using the market-adjusted model which calculates the abnormal return by subtracting the daily market return (that is, S&amp;P 1500) from the actual daily stock return based on the size decile. </w:t>
      </w:r>
    </w:p>
  </w:endnote>
  <w:endnote w:id="10">
    <w:p w14:paraId="586C2C51" w14:textId="736E868C"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There were a number of other control variables suggested in the literature such as having dummy variables to indicate if the firm has announced negative earnings or if it falls in the largest 20 firms in the country (</w:t>
      </w:r>
      <w:r>
        <w:rPr>
          <w:rFonts w:ascii="Times New Roman" w:hAnsi="Times New Roman" w:cs="Times New Roman"/>
          <w:sz w:val="22"/>
          <w:szCs w:val="22"/>
        </w:rPr>
        <w:t>for example,</w:t>
      </w:r>
      <w:r w:rsidRPr="00A54DDE">
        <w:rPr>
          <w:rFonts w:ascii="Times New Roman" w:hAnsi="Times New Roman" w:cs="Times New Roman"/>
          <w:sz w:val="22"/>
          <w:szCs w:val="22"/>
        </w:rPr>
        <w:t xml:space="preserve"> DeFond </w:t>
      </w:r>
      <w:r w:rsidRPr="00A54DDE">
        <w:rPr>
          <w:rFonts w:ascii="Times New Roman" w:hAnsi="Times New Roman" w:cs="Times New Roman"/>
          <w:i/>
          <w:iCs/>
          <w:sz w:val="22"/>
          <w:szCs w:val="22"/>
        </w:rPr>
        <w:t xml:space="preserve">et al. </w:t>
      </w:r>
      <w:r w:rsidRPr="00A54DDE">
        <w:rPr>
          <w:rFonts w:ascii="Times New Roman" w:hAnsi="Times New Roman" w:cs="Times New Roman"/>
          <w:sz w:val="22"/>
          <w:szCs w:val="22"/>
        </w:rPr>
        <w:t>2007</w:t>
      </w:r>
      <w:r>
        <w:rPr>
          <w:rFonts w:ascii="Times New Roman" w:hAnsi="Times New Roman" w:cs="Times New Roman"/>
          <w:sz w:val="22"/>
          <w:szCs w:val="22"/>
        </w:rPr>
        <w:t>,</w:t>
      </w:r>
      <w:r w:rsidRPr="00A54DDE">
        <w:rPr>
          <w:rFonts w:ascii="Times New Roman" w:hAnsi="Times New Roman" w:cs="Times New Roman"/>
          <w:sz w:val="22"/>
          <w:szCs w:val="22"/>
        </w:rPr>
        <w:t xml:space="preserve"> Pevzner</w:t>
      </w:r>
      <w:r w:rsidRPr="00A54DDE">
        <w:rPr>
          <w:rFonts w:ascii="Times New Roman" w:hAnsi="Times New Roman" w:cs="Times New Roman"/>
          <w:i/>
          <w:iCs/>
          <w:sz w:val="22"/>
          <w:szCs w:val="22"/>
        </w:rPr>
        <w:t xml:space="preserve"> et al.</w:t>
      </w:r>
      <w:r w:rsidRPr="00A54DDE">
        <w:rPr>
          <w:rFonts w:ascii="Times New Roman" w:hAnsi="Times New Roman" w:cs="Times New Roman"/>
          <w:sz w:val="22"/>
          <w:szCs w:val="22"/>
        </w:rPr>
        <w:t xml:space="preserve"> 2015), which we decided to not include as we account for size and negative earnings through our SIZE variables and having separate indicators for bad and good news in our independent variables. Another variable which we include at a later stage as part of measuring information uncertainty is the dispersion in analysts’ forecast.</w:t>
      </w:r>
    </w:p>
  </w:endnote>
  <w:endnote w:id="11">
    <w:p w14:paraId="017F772E" w14:textId="77777777" w:rsidR="005409EA" w:rsidRPr="00A54DDE" w:rsidRDefault="005409EA" w:rsidP="0095103F">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 xml:space="preserve">For instance, the term </w:t>
      </w:r>
      <w:proofErr w:type="gramStart"/>
      <w:r w:rsidRPr="00A54DDE">
        <w:rPr>
          <w:rFonts w:ascii="Times New Roman" w:hAnsi="Times New Roman" w:cs="Times New Roman"/>
          <w:i/>
          <w:iCs/>
          <w:sz w:val="22"/>
          <w:szCs w:val="22"/>
        </w:rPr>
        <w:t>GOVH</w:t>
      </w:r>
      <w:r w:rsidRPr="00A54DDE">
        <w:rPr>
          <w:rFonts w:ascii="Times New Roman" w:hAnsi="Times New Roman" w:cs="Times New Roman"/>
          <w:i/>
          <w:iCs/>
          <w:sz w:val="22"/>
          <w:szCs w:val="22"/>
          <w:vertAlign w:val="subscript"/>
        </w:rPr>
        <w:t>i,t</w:t>
      </w:r>
      <w:proofErr w:type="gramEnd"/>
      <w:r w:rsidRPr="00A54DDE">
        <w:rPr>
          <w:rFonts w:ascii="Times New Roman" w:hAnsi="Times New Roman" w:cs="Times New Roman"/>
          <w:i/>
          <w:iCs/>
          <w:sz w:val="22"/>
          <w:szCs w:val="22"/>
        </w:rPr>
        <w:t>×NUE</w:t>
      </w:r>
      <w:r w:rsidRPr="00A54DDE">
        <w:rPr>
          <w:rFonts w:ascii="Times New Roman" w:hAnsi="Times New Roman" w:cs="Times New Roman"/>
          <w:i/>
          <w:iCs/>
          <w:sz w:val="22"/>
          <w:szCs w:val="22"/>
          <w:vertAlign w:val="subscript"/>
        </w:rPr>
        <w:t>i,t</w:t>
      </w:r>
      <w:r w:rsidRPr="00A54DDE">
        <w:rPr>
          <w:rFonts w:ascii="Times New Roman" w:hAnsi="Times New Roman" w:cs="Times New Roman"/>
          <w:sz w:val="22"/>
          <w:szCs w:val="22"/>
        </w:rPr>
        <w:t xml:space="preserve"> has a direct impact (reported as part of the main regression) and an indirect impact through </w:t>
      </w:r>
      <w:r w:rsidRPr="00A54DDE">
        <w:rPr>
          <w:rFonts w:ascii="Times New Roman" w:hAnsi="Times New Roman" w:cs="Times New Roman"/>
          <w:i/>
          <w:iCs/>
          <w:sz w:val="22"/>
          <w:szCs w:val="22"/>
        </w:rPr>
        <w:t>IFUH</w:t>
      </w:r>
      <w:r w:rsidRPr="00A54DDE">
        <w:rPr>
          <w:rFonts w:ascii="Times New Roman" w:hAnsi="Times New Roman" w:cs="Times New Roman"/>
          <w:i/>
          <w:iCs/>
          <w:sz w:val="22"/>
          <w:szCs w:val="22"/>
          <w:vertAlign w:val="subscript"/>
        </w:rPr>
        <w:t>i,t</w:t>
      </w:r>
      <w:r w:rsidRPr="00A54DDE">
        <w:rPr>
          <w:rFonts w:ascii="Times New Roman" w:hAnsi="Times New Roman" w:cs="Times New Roman"/>
          <w:i/>
          <w:iCs/>
          <w:sz w:val="22"/>
          <w:szCs w:val="22"/>
        </w:rPr>
        <w:t>×NUE</w:t>
      </w:r>
      <w:r w:rsidRPr="00A54DDE">
        <w:rPr>
          <w:rFonts w:ascii="Times New Roman" w:hAnsi="Times New Roman" w:cs="Times New Roman"/>
          <w:i/>
          <w:iCs/>
          <w:sz w:val="22"/>
          <w:szCs w:val="22"/>
          <w:vertAlign w:val="subscript"/>
        </w:rPr>
        <w:t>i,t</w:t>
      </w:r>
      <w:r w:rsidRPr="00A54DDE">
        <w:rPr>
          <w:rFonts w:ascii="Times New Roman" w:hAnsi="Times New Roman" w:cs="Times New Roman"/>
          <w:sz w:val="22"/>
          <w:szCs w:val="22"/>
        </w:rPr>
        <w:t xml:space="preserve"> which is reported in the indirect impact section.</w:t>
      </w:r>
    </w:p>
  </w:endnote>
  <w:endnote w:id="12">
    <w:p w14:paraId="31BC6C67" w14:textId="786355F9"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 xml:space="preserve">We specify the individual measures so that higher score means better governance. </w:t>
      </w:r>
    </w:p>
  </w:endnote>
  <w:endnote w:id="13">
    <w:p w14:paraId="03C138C7" w14:textId="15E639D4"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We use the detrended stock turnover instead of other measures used in the literature such as the quarterly Economic Forecaster Disagreement measure and the monthly Economic Policy Uncertainty measure due to the higher frequency of the first measure. This allows us to better capture intra-month and/or intra-quarter changes in uncertainty conditions.</w:t>
      </w:r>
    </w:p>
  </w:endnote>
  <w:endnote w:id="14">
    <w:p w14:paraId="26ABE0C5" w14:textId="3C4543F8"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There are few alternative measures to measure market sentiment such as the put-call ratio or the bull-bear ratio. However, it can be argued that while only available on a monthly-basis, the sentiment index published by Baker and Wurgler provides a more comprehensive reflection of market sentiment.</w:t>
      </w:r>
    </w:p>
  </w:endnote>
  <w:endnote w:id="15">
    <w:p w14:paraId="0913463C" w14:textId="77777777" w:rsidR="005409EA" w:rsidRDefault="005409EA" w:rsidP="00770537">
      <w:pPr>
        <w:pStyle w:val="EndnoteText"/>
        <w:spacing w:before="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The six sentiment measures are: trading volume; dividend premium; closed-end fund discount; number of IPOs and average first day returns; equity share in new issues. The authors update their calculations of the index on frequent basis and publish their calculations online</w:t>
      </w:r>
      <w:r>
        <w:rPr>
          <w:rFonts w:ascii="Times New Roman" w:hAnsi="Times New Roman" w:cs="Times New Roman"/>
          <w:sz w:val="22"/>
          <w:szCs w:val="22"/>
        </w:rPr>
        <w:t xml:space="preserve"> at:</w:t>
      </w:r>
    </w:p>
    <w:p w14:paraId="2ADA9B11" w14:textId="437A2C29" w:rsidR="005409EA" w:rsidRPr="00A54DDE" w:rsidRDefault="005409EA" w:rsidP="00770537">
      <w:pPr>
        <w:pStyle w:val="EndnoteText"/>
        <w:spacing w:after="100"/>
        <w:ind w:left="284" w:hanging="284"/>
        <w:jc w:val="both"/>
        <w:rPr>
          <w:rFonts w:ascii="Times New Roman" w:hAnsi="Times New Roman" w:cs="Times New Roman"/>
          <w:sz w:val="22"/>
          <w:szCs w:val="22"/>
        </w:rPr>
      </w:pPr>
      <w:r w:rsidRPr="00A54DDE">
        <w:rPr>
          <w:rFonts w:ascii="Times New Roman" w:hAnsi="Times New Roman" w:cs="Times New Roman"/>
          <w:sz w:val="22"/>
          <w:szCs w:val="22"/>
        </w:rPr>
        <w:t xml:space="preserve"> </w:t>
      </w:r>
      <w:r>
        <w:rPr>
          <w:rFonts w:ascii="Times New Roman" w:hAnsi="Times New Roman" w:cs="Times New Roman"/>
          <w:sz w:val="22"/>
          <w:szCs w:val="22"/>
        </w:rPr>
        <w:tab/>
      </w:r>
      <w:r w:rsidRPr="00A54DDE">
        <w:rPr>
          <w:rFonts w:ascii="Times New Roman" w:hAnsi="Times New Roman" w:cs="Times New Roman"/>
          <w:sz w:val="22"/>
          <w:szCs w:val="22"/>
        </w:rPr>
        <w:t>(http://people.stern.nyu.edu/jwurgler/).</w:t>
      </w:r>
    </w:p>
  </w:endnote>
  <w:endnote w:id="16">
    <w:p w14:paraId="4F733BA7" w14:textId="5C416200" w:rsidR="005409EA" w:rsidRPr="00A54DDE" w:rsidRDefault="005409EA" w:rsidP="00770537">
      <w:pPr>
        <w:pStyle w:val="EndnoteText"/>
        <w:spacing w:before="100" w:after="100"/>
        <w:ind w:left="284" w:hanging="284"/>
        <w:jc w:val="both"/>
        <w:rPr>
          <w:rFonts w:ascii="Times New Roman" w:hAnsi="Times New Roman" w:cs="Times New Roman"/>
          <w:sz w:val="22"/>
          <w:szCs w:val="22"/>
        </w:rPr>
      </w:pPr>
      <w:r w:rsidRPr="00A54DDE">
        <w:rPr>
          <w:rStyle w:val="EndnoteReference"/>
          <w:rFonts w:ascii="Times New Roman" w:hAnsi="Times New Roman" w:cs="Times New Roman"/>
          <w:sz w:val="22"/>
          <w:szCs w:val="22"/>
        </w:rPr>
        <w:endnoteRef/>
      </w:r>
      <w:r w:rsidRPr="00A54DDE">
        <w:rPr>
          <w:rFonts w:ascii="Times New Roman" w:hAnsi="Times New Roman" w:cs="Times New Roman"/>
          <w:sz w:val="22"/>
          <w:szCs w:val="22"/>
        </w:rPr>
        <w:t xml:space="preserve"> </w:t>
      </w:r>
      <w:r w:rsidRPr="00A54DDE">
        <w:rPr>
          <w:rFonts w:ascii="Times New Roman" w:hAnsi="Times New Roman" w:cs="Times New Roman"/>
          <w:sz w:val="22"/>
          <w:szCs w:val="22"/>
        </w:rPr>
        <w:tab/>
        <w:t>While we only report the results where all alternative variables are used at once, the results where each alternative variable is added separately gives similar conclusions.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416454"/>
      <w:docPartObj>
        <w:docPartGallery w:val="Page Numbers (Bottom of Page)"/>
        <w:docPartUnique/>
      </w:docPartObj>
    </w:sdtPr>
    <w:sdtEndPr>
      <w:rPr>
        <w:noProof/>
      </w:rPr>
    </w:sdtEndPr>
    <w:sdtContent>
      <w:p w14:paraId="79F5E05D" w14:textId="4CD55C79" w:rsidR="005409EA" w:rsidRDefault="005409EA">
        <w:pPr>
          <w:pStyle w:val="Footer"/>
          <w:jc w:val="center"/>
        </w:pPr>
        <w:r>
          <w:fldChar w:fldCharType="begin"/>
        </w:r>
        <w:r>
          <w:instrText xml:space="preserve"> PAGE   \* MERGEFORMAT </w:instrText>
        </w:r>
        <w:r>
          <w:fldChar w:fldCharType="separate"/>
        </w:r>
        <w:r w:rsidR="00080661">
          <w:rPr>
            <w:noProof/>
          </w:rPr>
          <w:t>28</w:t>
        </w:r>
        <w:r>
          <w:rPr>
            <w:noProof/>
          </w:rPr>
          <w:fldChar w:fldCharType="end"/>
        </w:r>
      </w:p>
    </w:sdtContent>
  </w:sdt>
  <w:p w14:paraId="4EC80E25" w14:textId="77777777" w:rsidR="005409EA" w:rsidRDefault="0054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9A46" w14:textId="77777777" w:rsidR="005C3591" w:rsidRDefault="005C3591" w:rsidP="00002EAB">
      <w:pPr>
        <w:spacing w:after="0" w:line="240" w:lineRule="auto"/>
      </w:pPr>
      <w:r>
        <w:separator/>
      </w:r>
    </w:p>
  </w:footnote>
  <w:footnote w:type="continuationSeparator" w:id="0">
    <w:p w14:paraId="5E233CBD" w14:textId="77777777" w:rsidR="005C3591" w:rsidRDefault="005C3591" w:rsidP="0000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B55"/>
    <w:multiLevelType w:val="hybridMultilevel"/>
    <w:tmpl w:val="420C2F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D1B13"/>
    <w:multiLevelType w:val="multilevel"/>
    <w:tmpl w:val="B06821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8F2E58"/>
    <w:multiLevelType w:val="multilevel"/>
    <w:tmpl w:val="0409001F"/>
    <w:lvl w:ilvl="0">
      <w:start w:val="1"/>
      <w:numFmt w:val="decimal"/>
      <w:lvlText w:val="%1."/>
      <w:lvlJc w:val="left"/>
      <w:pPr>
        <w:ind w:left="2771"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24EEF"/>
    <w:multiLevelType w:val="hybridMultilevel"/>
    <w:tmpl w:val="CABAD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53B0A"/>
    <w:multiLevelType w:val="hybridMultilevel"/>
    <w:tmpl w:val="417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A3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B3906"/>
    <w:multiLevelType w:val="hybridMultilevel"/>
    <w:tmpl w:val="46F23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B0237"/>
    <w:multiLevelType w:val="hybridMultilevel"/>
    <w:tmpl w:val="56BA88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501019"/>
    <w:multiLevelType w:val="hybridMultilevel"/>
    <w:tmpl w:val="C4C693A0"/>
    <w:lvl w:ilvl="0" w:tplc="04090017">
      <w:start w:val="1"/>
      <w:numFmt w:val="lowerLetter"/>
      <w:lvlText w:val="%1)"/>
      <w:lvlJc w:val="left"/>
      <w:pPr>
        <w:ind w:left="360" w:hanging="360"/>
      </w:pPr>
    </w:lvl>
    <w:lvl w:ilvl="1" w:tplc="CA689646">
      <w:start w:val="1"/>
      <w:numFmt w:val="decimal"/>
      <w:lvlText w:val="%2."/>
      <w:lvlJc w:val="left"/>
      <w:pPr>
        <w:ind w:left="502"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9762D"/>
    <w:multiLevelType w:val="hybridMultilevel"/>
    <w:tmpl w:val="B8A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52DD"/>
    <w:multiLevelType w:val="multilevel"/>
    <w:tmpl w:val="43F0A53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8210E"/>
    <w:multiLevelType w:val="hybridMultilevel"/>
    <w:tmpl w:val="797AC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732B5"/>
    <w:multiLevelType w:val="hybridMultilevel"/>
    <w:tmpl w:val="225A3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E09EC"/>
    <w:multiLevelType w:val="multilevel"/>
    <w:tmpl w:val="0409001F"/>
    <w:lvl w:ilvl="0">
      <w:start w:val="1"/>
      <w:numFmt w:val="decimal"/>
      <w:lvlText w:val="%1."/>
      <w:lvlJc w:val="left"/>
      <w:pPr>
        <w:ind w:left="2771"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50866"/>
    <w:multiLevelType w:val="multilevel"/>
    <w:tmpl w:val="DC4E4FE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7232C"/>
    <w:multiLevelType w:val="multilevel"/>
    <w:tmpl w:val="0C9640E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01D6A50"/>
    <w:multiLevelType w:val="hybridMultilevel"/>
    <w:tmpl w:val="7A9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6DAD"/>
    <w:multiLevelType w:val="multilevel"/>
    <w:tmpl w:val="8984F0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8E5501A"/>
    <w:multiLevelType w:val="hybridMultilevel"/>
    <w:tmpl w:val="51C21498"/>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9" w15:restartNumberingAfterBreak="0">
    <w:nsid w:val="48EB20F4"/>
    <w:multiLevelType w:val="hybridMultilevel"/>
    <w:tmpl w:val="E70C4B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7A2AF4"/>
    <w:multiLevelType w:val="hybridMultilevel"/>
    <w:tmpl w:val="0624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74B86"/>
    <w:multiLevelType w:val="multilevel"/>
    <w:tmpl w:val="3136671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FE4A3B"/>
    <w:multiLevelType w:val="hybridMultilevel"/>
    <w:tmpl w:val="EE000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2475E7"/>
    <w:multiLevelType w:val="hybridMultilevel"/>
    <w:tmpl w:val="CFE2D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61072"/>
    <w:multiLevelType w:val="hybridMultilevel"/>
    <w:tmpl w:val="2708D7C6"/>
    <w:lvl w:ilvl="0" w:tplc="030C62D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4A7F75"/>
    <w:multiLevelType w:val="hybridMultilevel"/>
    <w:tmpl w:val="11AA0C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79238E"/>
    <w:multiLevelType w:val="hybridMultilevel"/>
    <w:tmpl w:val="8682C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827B59"/>
    <w:multiLevelType w:val="hybridMultilevel"/>
    <w:tmpl w:val="B0682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161F49"/>
    <w:multiLevelType w:val="hybridMultilevel"/>
    <w:tmpl w:val="6D8C0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70889"/>
    <w:multiLevelType w:val="multilevel"/>
    <w:tmpl w:val="20A6E2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C41C3"/>
    <w:multiLevelType w:val="hybridMultilevel"/>
    <w:tmpl w:val="BF50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0445DB"/>
    <w:multiLevelType w:val="multilevel"/>
    <w:tmpl w:val="3C367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6145E7"/>
    <w:multiLevelType w:val="hybridMultilevel"/>
    <w:tmpl w:val="6D8C0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53502"/>
    <w:multiLevelType w:val="hybridMultilevel"/>
    <w:tmpl w:val="75B8B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981340"/>
    <w:multiLevelType w:val="multilevel"/>
    <w:tmpl w:val="4B7095B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D87612"/>
    <w:multiLevelType w:val="hybridMultilevel"/>
    <w:tmpl w:val="8F285458"/>
    <w:lvl w:ilvl="0" w:tplc="62641B84">
      <w:start w:val="6"/>
      <w:numFmt w:val="bullet"/>
      <w:lvlText w:val="-"/>
      <w:lvlJc w:val="left"/>
      <w:pPr>
        <w:ind w:left="360" w:hanging="360"/>
      </w:pPr>
      <w:rPr>
        <w:rFonts w:ascii="Times New Roman" w:eastAsiaTheme="minorHAnsi" w:hAnsi="Times New Roman" w:cs="Times New Roman"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391FBB"/>
    <w:multiLevelType w:val="hybridMultilevel"/>
    <w:tmpl w:val="E13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57B23"/>
    <w:multiLevelType w:val="hybridMultilevel"/>
    <w:tmpl w:val="692C5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20"/>
  </w:num>
  <w:num w:numId="4">
    <w:abstractNumId w:val="17"/>
  </w:num>
  <w:num w:numId="5">
    <w:abstractNumId w:val="24"/>
  </w:num>
  <w:num w:numId="6">
    <w:abstractNumId w:val="16"/>
  </w:num>
  <w:num w:numId="7">
    <w:abstractNumId w:val="23"/>
  </w:num>
  <w:num w:numId="8">
    <w:abstractNumId w:val="35"/>
  </w:num>
  <w:num w:numId="9">
    <w:abstractNumId w:val="3"/>
  </w:num>
  <w:num w:numId="10">
    <w:abstractNumId w:val="4"/>
  </w:num>
  <w:num w:numId="11">
    <w:abstractNumId w:val="30"/>
  </w:num>
  <w:num w:numId="12">
    <w:abstractNumId w:val="36"/>
  </w:num>
  <w:num w:numId="13">
    <w:abstractNumId w:val="19"/>
  </w:num>
  <w:num w:numId="14">
    <w:abstractNumId w:val="37"/>
  </w:num>
  <w:num w:numId="15">
    <w:abstractNumId w:val="8"/>
  </w:num>
  <w:num w:numId="16">
    <w:abstractNumId w:val="33"/>
  </w:num>
  <w:num w:numId="17">
    <w:abstractNumId w:val="6"/>
  </w:num>
  <w:num w:numId="18">
    <w:abstractNumId w:val="26"/>
  </w:num>
  <w:num w:numId="19">
    <w:abstractNumId w:val="25"/>
  </w:num>
  <w:num w:numId="20">
    <w:abstractNumId w:val="5"/>
  </w:num>
  <w:num w:numId="21">
    <w:abstractNumId w:val="28"/>
  </w:num>
  <w:num w:numId="22">
    <w:abstractNumId w:val="32"/>
  </w:num>
  <w:num w:numId="23">
    <w:abstractNumId w:val="0"/>
  </w:num>
  <w:num w:numId="24">
    <w:abstractNumId w:val="9"/>
  </w:num>
  <w:num w:numId="25">
    <w:abstractNumId w:val="18"/>
  </w:num>
  <w:num w:numId="26">
    <w:abstractNumId w:val="11"/>
  </w:num>
  <w:num w:numId="27">
    <w:abstractNumId w:val="22"/>
  </w:num>
  <w:num w:numId="28">
    <w:abstractNumId w:val="27"/>
  </w:num>
  <w:num w:numId="29">
    <w:abstractNumId w:val="1"/>
  </w:num>
  <w:num w:numId="30">
    <w:abstractNumId w:val="7"/>
  </w:num>
  <w:num w:numId="31">
    <w:abstractNumId w:val="13"/>
  </w:num>
  <w:num w:numId="32">
    <w:abstractNumId w:val="15"/>
  </w:num>
  <w:num w:numId="33">
    <w:abstractNumId w:val="10"/>
  </w:num>
  <w:num w:numId="34">
    <w:abstractNumId w:val="14"/>
  </w:num>
  <w:num w:numId="35">
    <w:abstractNumId w:val="21"/>
  </w:num>
  <w:num w:numId="36">
    <w:abstractNumId w:val="31"/>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1E0"/>
    <w:rsid w:val="000010C2"/>
    <w:rsid w:val="0000110B"/>
    <w:rsid w:val="00001B31"/>
    <w:rsid w:val="00002EAB"/>
    <w:rsid w:val="000038F0"/>
    <w:rsid w:val="00005AF6"/>
    <w:rsid w:val="000066AC"/>
    <w:rsid w:val="0000782D"/>
    <w:rsid w:val="00010F68"/>
    <w:rsid w:val="0001307C"/>
    <w:rsid w:val="00013848"/>
    <w:rsid w:val="00013C08"/>
    <w:rsid w:val="00016DCD"/>
    <w:rsid w:val="00020AB6"/>
    <w:rsid w:val="000257EC"/>
    <w:rsid w:val="0002593F"/>
    <w:rsid w:val="000276C7"/>
    <w:rsid w:val="00031D24"/>
    <w:rsid w:val="00032C9C"/>
    <w:rsid w:val="000348D8"/>
    <w:rsid w:val="00035AD3"/>
    <w:rsid w:val="000367DC"/>
    <w:rsid w:val="00037E27"/>
    <w:rsid w:val="000401E2"/>
    <w:rsid w:val="00046C3B"/>
    <w:rsid w:val="00050A96"/>
    <w:rsid w:val="000516B2"/>
    <w:rsid w:val="00051C6A"/>
    <w:rsid w:val="00053FCC"/>
    <w:rsid w:val="000553DC"/>
    <w:rsid w:val="00055C96"/>
    <w:rsid w:val="0005630C"/>
    <w:rsid w:val="00060FAE"/>
    <w:rsid w:val="00061294"/>
    <w:rsid w:val="000633F5"/>
    <w:rsid w:val="000660F5"/>
    <w:rsid w:val="00066C3A"/>
    <w:rsid w:val="00067F16"/>
    <w:rsid w:val="00070260"/>
    <w:rsid w:val="000705F3"/>
    <w:rsid w:val="00071A2A"/>
    <w:rsid w:val="00071B7F"/>
    <w:rsid w:val="00073287"/>
    <w:rsid w:val="00075DE3"/>
    <w:rsid w:val="00075EC6"/>
    <w:rsid w:val="00076D71"/>
    <w:rsid w:val="0008042E"/>
    <w:rsid w:val="00080661"/>
    <w:rsid w:val="00084940"/>
    <w:rsid w:val="00084D2D"/>
    <w:rsid w:val="00086065"/>
    <w:rsid w:val="000A0218"/>
    <w:rsid w:val="000A0793"/>
    <w:rsid w:val="000A0E22"/>
    <w:rsid w:val="000A1B2F"/>
    <w:rsid w:val="000A3757"/>
    <w:rsid w:val="000A434C"/>
    <w:rsid w:val="000A5370"/>
    <w:rsid w:val="000A5645"/>
    <w:rsid w:val="000A6A82"/>
    <w:rsid w:val="000A72F1"/>
    <w:rsid w:val="000B0336"/>
    <w:rsid w:val="000B14BE"/>
    <w:rsid w:val="000B1F7D"/>
    <w:rsid w:val="000B3E74"/>
    <w:rsid w:val="000B54A8"/>
    <w:rsid w:val="000B5C04"/>
    <w:rsid w:val="000B5CA4"/>
    <w:rsid w:val="000B6418"/>
    <w:rsid w:val="000B7071"/>
    <w:rsid w:val="000B762E"/>
    <w:rsid w:val="000B790B"/>
    <w:rsid w:val="000B790E"/>
    <w:rsid w:val="000B7B5C"/>
    <w:rsid w:val="000C39BC"/>
    <w:rsid w:val="000C410E"/>
    <w:rsid w:val="000C4B23"/>
    <w:rsid w:val="000C59CB"/>
    <w:rsid w:val="000C59D0"/>
    <w:rsid w:val="000C5DD9"/>
    <w:rsid w:val="000C6E25"/>
    <w:rsid w:val="000D0DA8"/>
    <w:rsid w:val="000D1E82"/>
    <w:rsid w:val="000D5CAB"/>
    <w:rsid w:val="000D6065"/>
    <w:rsid w:val="000D78A1"/>
    <w:rsid w:val="000E1807"/>
    <w:rsid w:val="000E1CA5"/>
    <w:rsid w:val="000E29FD"/>
    <w:rsid w:val="000E3F60"/>
    <w:rsid w:val="000E409F"/>
    <w:rsid w:val="000E410F"/>
    <w:rsid w:val="000E50E7"/>
    <w:rsid w:val="000E5A8A"/>
    <w:rsid w:val="000E5AED"/>
    <w:rsid w:val="000E62F9"/>
    <w:rsid w:val="000E669E"/>
    <w:rsid w:val="000E6AB7"/>
    <w:rsid w:val="000E70E2"/>
    <w:rsid w:val="000E7BAA"/>
    <w:rsid w:val="000F0095"/>
    <w:rsid w:val="000F0779"/>
    <w:rsid w:val="000F2EA7"/>
    <w:rsid w:val="000F4366"/>
    <w:rsid w:val="000F54B6"/>
    <w:rsid w:val="000F719A"/>
    <w:rsid w:val="000F7C18"/>
    <w:rsid w:val="000F7E79"/>
    <w:rsid w:val="00100A80"/>
    <w:rsid w:val="00100E70"/>
    <w:rsid w:val="0010171C"/>
    <w:rsid w:val="001022F6"/>
    <w:rsid w:val="001023C0"/>
    <w:rsid w:val="00102FF1"/>
    <w:rsid w:val="00103852"/>
    <w:rsid w:val="001039F4"/>
    <w:rsid w:val="00104EE7"/>
    <w:rsid w:val="00106831"/>
    <w:rsid w:val="00110EF4"/>
    <w:rsid w:val="00113732"/>
    <w:rsid w:val="001200F6"/>
    <w:rsid w:val="00120261"/>
    <w:rsid w:val="00120A8A"/>
    <w:rsid w:val="001214AE"/>
    <w:rsid w:val="00123BFD"/>
    <w:rsid w:val="00123D39"/>
    <w:rsid w:val="00123F74"/>
    <w:rsid w:val="001243B0"/>
    <w:rsid w:val="001257B4"/>
    <w:rsid w:val="00125807"/>
    <w:rsid w:val="00126C7C"/>
    <w:rsid w:val="001308C6"/>
    <w:rsid w:val="0013197A"/>
    <w:rsid w:val="001320A9"/>
    <w:rsid w:val="001328B0"/>
    <w:rsid w:val="00133958"/>
    <w:rsid w:val="00134380"/>
    <w:rsid w:val="00135DCF"/>
    <w:rsid w:val="00137B77"/>
    <w:rsid w:val="00140147"/>
    <w:rsid w:val="00140D3E"/>
    <w:rsid w:val="0014107C"/>
    <w:rsid w:val="001422B1"/>
    <w:rsid w:val="00143054"/>
    <w:rsid w:val="0014459C"/>
    <w:rsid w:val="001464AB"/>
    <w:rsid w:val="001466F1"/>
    <w:rsid w:val="00150E05"/>
    <w:rsid w:val="00154C81"/>
    <w:rsid w:val="00154F0B"/>
    <w:rsid w:val="00155E26"/>
    <w:rsid w:val="00156507"/>
    <w:rsid w:val="001574E7"/>
    <w:rsid w:val="00157B3C"/>
    <w:rsid w:val="00162AE3"/>
    <w:rsid w:val="00165FA4"/>
    <w:rsid w:val="00166870"/>
    <w:rsid w:val="00170420"/>
    <w:rsid w:val="00170587"/>
    <w:rsid w:val="00171ABA"/>
    <w:rsid w:val="0017254C"/>
    <w:rsid w:val="00173A0A"/>
    <w:rsid w:val="00174E65"/>
    <w:rsid w:val="00175715"/>
    <w:rsid w:val="00175D82"/>
    <w:rsid w:val="001760F5"/>
    <w:rsid w:val="001800AD"/>
    <w:rsid w:val="001812A8"/>
    <w:rsid w:val="00183733"/>
    <w:rsid w:val="001837D9"/>
    <w:rsid w:val="001848E2"/>
    <w:rsid w:val="00184BBC"/>
    <w:rsid w:val="00185394"/>
    <w:rsid w:val="00185484"/>
    <w:rsid w:val="00185C9D"/>
    <w:rsid w:val="00186167"/>
    <w:rsid w:val="0018667A"/>
    <w:rsid w:val="001871C1"/>
    <w:rsid w:val="0019231F"/>
    <w:rsid w:val="00194FCF"/>
    <w:rsid w:val="001961EA"/>
    <w:rsid w:val="0019623D"/>
    <w:rsid w:val="001A02D2"/>
    <w:rsid w:val="001A111E"/>
    <w:rsid w:val="001A11D4"/>
    <w:rsid w:val="001A16AC"/>
    <w:rsid w:val="001A21E0"/>
    <w:rsid w:val="001A25AB"/>
    <w:rsid w:val="001A2DED"/>
    <w:rsid w:val="001A45B8"/>
    <w:rsid w:val="001A4AEC"/>
    <w:rsid w:val="001A70C9"/>
    <w:rsid w:val="001B1022"/>
    <w:rsid w:val="001B1DAD"/>
    <w:rsid w:val="001B341C"/>
    <w:rsid w:val="001B5E5E"/>
    <w:rsid w:val="001B679E"/>
    <w:rsid w:val="001B6881"/>
    <w:rsid w:val="001B7B8E"/>
    <w:rsid w:val="001C08F1"/>
    <w:rsid w:val="001C1153"/>
    <w:rsid w:val="001C123F"/>
    <w:rsid w:val="001C2B02"/>
    <w:rsid w:val="001C2E21"/>
    <w:rsid w:val="001C7522"/>
    <w:rsid w:val="001D0779"/>
    <w:rsid w:val="001D365E"/>
    <w:rsid w:val="001D3DAF"/>
    <w:rsid w:val="001D507E"/>
    <w:rsid w:val="001E15A7"/>
    <w:rsid w:val="001E1A13"/>
    <w:rsid w:val="001E3647"/>
    <w:rsid w:val="001E39F0"/>
    <w:rsid w:val="001E67C6"/>
    <w:rsid w:val="001E67CD"/>
    <w:rsid w:val="001F00BF"/>
    <w:rsid w:val="001F0A0E"/>
    <w:rsid w:val="001F24DD"/>
    <w:rsid w:val="001F5391"/>
    <w:rsid w:val="001F5C74"/>
    <w:rsid w:val="001F7E7E"/>
    <w:rsid w:val="0020013E"/>
    <w:rsid w:val="0020129B"/>
    <w:rsid w:val="002022DE"/>
    <w:rsid w:val="002031A9"/>
    <w:rsid w:val="002037F3"/>
    <w:rsid w:val="00206274"/>
    <w:rsid w:val="00207C40"/>
    <w:rsid w:val="002116A3"/>
    <w:rsid w:val="00212EE5"/>
    <w:rsid w:val="00213B24"/>
    <w:rsid w:val="0021441C"/>
    <w:rsid w:val="002146BA"/>
    <w:rsid w:val="00215434"/>
    <w:rsid w:val="00217342"/>
    <w:rsid w:val="00217E03"/>
    <w:rsid w:val="0022069F"/>
    <w:rsid w:val="0022078E"/>
    <w:rsid w:val="00220944"/>
    <w:rsid w:val="002229A2"/>
    <w:rsid w:val="00223BFA"/>
    <w:rsid w:val="002257FC"/>
    <w:rsid w:val="00226F2C"/>
    <w:rsid w:val="0023333C"/>
    <w:rsid w:val="002341D2"/>
    <w:rsid w:val="0023506F"/>
    <w:rsid w:val="00235501"/>
    <w:rsid w:val="002368A5"/>
    <w:rsid w:val="00236FC9"/>
    <w:rsid w:val="0024474D"/>
    <w:rsid w:val="00246A97"/>
    <w:rsid w:val="00246BE7"/>
    <w:rsid w:val="00247C6E"/>
    <w:rsid w:val="002506BC"/>
    <w:rsid w:val="00250941"/>
    <w:rsid w:val="0025154B"/>
    <w:rsid w:val="002519C1"/>
    <w:rsid w:val="00252819"/>
    <w:rsid w:val="00254DE3"/>
    <w:rsid w:val="00255004"/>
    <w:rsid w:val="00260C09"/>
    <w:rsid w:val="00264C13"/>
    <w:rsid w:val="0026539D"/>
    <w:rsid w:val="00265E7D"/>
    <w:rsid w:val="00267991"/>
    <w:rsid w:val="00267A32"/>
    <w:rsid w:val="00267FC0"/>
    <w:rsid w:val="00270436"/>
    <w:rsid w:val="00271107"/>
    <w:rsid w:val="002717EF"/>
    <w:rsid w:val="00274FCB"/>
    <w:rsid w:val="00275A23"/>
    <w:rsid w:val="00275E83"/>
    <w:rsid w:val="0027774E"/>
    <w:rsid w:val="0027792E"/>
    <w:rsid w:val="00283D79"/>
    <w:rsid w:val="002842EB"/>
    <w:rsid w:val="002845B7"/>
    <w:rsid w:val="002868E6"/>
    <w:rsid w:val="00290621"/>
    <w:rsid w:val="002929F1"/>
    <w:rsid w:val="002942F4"/>
    <w:rsid w:val="00296365"/>
    <w:rsid w:val="00297108"/>
    <w:rsid w:val="002A17B1"/>
    <w:rsid w:val="002A2B32"/>
    <w:rsid w:val="002A3D81"/>
    <w:rsid w:val="002A4F32"/>
    <w:rsid w:val="002A6230"/>
    <w:rsid w:val="002A6411"/>
    <w:rsid w:val="002A6532"/>
    <w:rsid w:val="002A732A"/>
    <w:rsid w:val="002B28D5"/>
    <w:rsid w:val="002B388C"/>
    <w:rsid w:val="002B7762"/>
    <w:rsid w:val="002C1826"/>
    <w:rsid w:val="002C214A"/>
    <w:rsid w:val="002C4258"/>
    <w:rsid w:val="002C4A90"/>
    <w:rsid w:val="002C5926"/>
    <w:rsid w:val="002C688A"/>
    <w:rsid w:val="002C736B"/>
    <w:rsid w:val="002C79B8"/>
    <w:rsid w:val="002C7CF6"/>
    <w:rsid w:val="002D068B"/>
    <w:rsid w:val="002D2955"/>
    <w:rsid w:val="002D3472"/>
    <w:rsid w:val="002E121A"/>
    <w:rsid w:val="002E1BEE"/>
    <w:rsid w:val="002E2FCE"/>
    <w:rsid w:val="002E43E3"/>
    <w:rsid w:val="002E660F"/>
    <w:rsid w:val="002F0707"/>
    <w:rsid w:val="002F0DFF"/>
    <w:rsid w:val="002F1F6B"/>
    <w:rsid w:val="002F2130"/>
    <w:rsid w:val="002F33B1"/>
    <w:rsid w:val="002F3869"/>
    <w:rsid w:val="002F5B26"/>
    <w:rsid w:val="002F5C8F"/>
    <w:rsid w:val="002F7064"/>
    <w:rsid w:val="002F7510"/>
    <w:rsid w:val="0030168E"/>
    <w:rsid w:val="00302919"/>
    <w:rsid w:val="00306699"/>
    <w:rsid w:val="003108CC"/>
    <w:rsid w:val="00310C9E"/>
    <w:rsid w:val="00310FF2"/>
    <w:rsid w:val="00312E2F"/>
    <w:rsid w:val="00313385"/>
    <w:rsid w:val="0032081B"/>
    <w:rsid w:val="00320913"/>
    <w:rsid w:val="00322BD2"/>
    <w:rsid w:val="0032399E"/>
    <w:rsid w:val="00325753"/>
    <w:rsid w:val="00326381"/>
    <w:rsid w:val="003269D2"/>
    <w:rsid w:val="00330A0A"/>
    <w:rsid w:val="00330AC8"/>
    <w:rsid w:val="0033108B"/>
    <w:rsid w:val="003312CE"/>
    <w:rsid w:val="00333422"/>
    <w:rsid w:val="00333BC2"/>
    <w:rsid w:val="00334D91"/>
    <w:rsid w:val="00334EEC"/>
    <w:rsid w:val="00337A6A"/>
    <w:rsid w:val="00341237"/>
    <w:rsid w:val="0034148D"/>
    <w:rsid w:val="00342BF0"/>
    <w:rsid w:val="00344C53"/>
    <w:rsid w:val="00345159"/>
    <w:rsid w:val="00346EFF"/>
    <w:rsid w:val="00347120"/>
    <w:rsid w:val="003512F9"/>
    <w:rsid w:val="003513CB"/>
    <w:rsid w:val="00352599"/>
    <w:rsid w:val="00352E64"/>
    <w:rsid w:val="003543A6"/>
    <w:rsid w:val="00354DF6"/>
    <w:rsid w:val="00355E0F"/>
    <w:rsid w:val="00356519"/>
    <w:rsid w:val="00360DF6"/>
    <w:rsid w:val="003610B7"/>
    <w:rsid w:val="00361771"/>
    <w:rsid w:val="00362BDC"/>
    <w:rsid w:val="00362E8D"/>
    <w:rsid w:val="0036793D"/>
    <w:rsid w:val="00370BDC"/>
    <w:rsid w:val="00370FD0"/>
    <w:rsid w:val="00371255"/>
    <w:rsid w:val="0037273F"/>
    <w:rsid w:val="00372E64"/>
    <w:rsid w:val="003735C0"/>
    <w:rsid w:val="00374370"/>
    <w:rsid w:val="003746BD"/>
    <w:rsid w:val="00374995"/>
    <w:rsid w:val="00374A56"/>
    <w:rsid w:val="00375788"/>
    <w:rsid w:val="003758E1"/>
    <w:rsid w:val="003768DF"/>
    <w:rsid w:val="00377760"/>
    <w:rsid w:val="00381936"/>
    <w:rsid w:val="00384BF4"/>
    <w:rsid w:val="0038795F"/>
    <w:rsid w:val="003913F6"/>
    <w:rsid w:val="00392642"/>
    <w:rsid w:val="003929E6"/>
    <w:rsid w:val="00392DBA"/>
    <w:rsid w:val="00393621"/>
    <w:rsid w:val="003948F1"/>
    <w:rsid w:val="003971C1"/>
    <w:rsid w:val="003976B0"/>
    <w:rsid w:val="003A0772"/>
    <w:rsid w:val="003A10B8"/>
    <w:rsid w:val="003A1996"/>
    <w:rsid w:val="003A1A85"/>
    <w:rsid w:val="003A2C11"/>
    <w:rsid w:val="003A38EB"/>
    <w:rsid w:val="003A4FD6"/>
    <w:rsid w:val="003A5A6F"/>
    <w:rsid w:val="003A651C"/>
    <w:rsid w:val="003B0846"/>
    <w:rsid w:val="003B1FF6"/>
    <w:rsid w:val="003B4493"/>
    <w:rsid w:val="003B5332"/>
    <w:rsid w:val="003B6363"/>
    <w:rsid w:val="003B67ED"/>
    <w:rsid w:val="003B68BF"/>
    <w:rsid w:val="003C05FA"/>
    <w:rsid w:val="003C2F8A"/>
    <w:rsid w:val="003C787F"/>
    <w:rsid w:val="003D0030"/>
    <w:rsid w:val="003D2832"/>
    <w:rsid w:val="003D34BE"/>
    <w:rsid w:val="003D6A36"/>
    <w:rsid w:val="003D6D19"/>
    <w:rsid w:val="003E2E09"/>
    <w:rsid w:val="003E3626"/>
    <w:rsid w:val="003E6789"/>
    <w:rsid w:val="003E7B30"/>
    <w:rsid w:val="003F0F77"/>
    <w:rsid w:val="003F16E4"/>
    <w:rsid w:val="003F2740"/>
    <w:rsid w:val="003F2C94"/>
    <w:rsid w:val="003F2D3D"/>
    <w:rsid w:val="003F33A2"/>
    <w:rsid w:val="003F7FC0"/>
    <w:rsid w:val="004004E7"/>
    <w:rsid w:val="00402998"/>
    <w:rsid w:val="00402BBA"/>
    <w:rsid w:val="0040575B"/>
    <w:rsid w:val="00405871"/>
    <w:rsid w:val="004059A4"/>
    <w:rsid w:val="004073BD"/>
    <w:rsid w:val="00411302"/>
    <w:rsid w:val="00411612"/>
    <w:rsid w:val="004133F8"/>
    <w:rsid w:val="00413495"/>
    <w:rsid w:val="00415D98"/>
    <w:rsid w:val="00415FDC"/>
    <w:rsid w:val="0042126E"/>
    <w:rsid w:val="004213A8"/>
    <w:rsid w:val="00421EE2"/>
    <w:rsid w:val="00422290"/>
    <w:rsid w:val="004224F3"/>
    <w:rsid w:val="004239CC"/>
    <w:rsid w:val="00424D94"/>
    <w:rsid w:val="00424FD5"/>
    <w:rsid w:val="004273B2"/>
    <w:rsid w:val="0043094D"/>
    <w:rsid w:val="0043251B"/>
    <w:rsid w:val="00436DC7"/>
    <w:rsid w:val="00437B89"/>
    <w:rsid w:val="00437E67"/>
    <w:rsid w:val="004424C6"/>
    <w:rsid w:val="00443322"/>
    <w:rsid w:val="00443FAE"/>
    <w:rsid w:val="00444216"/>
    <w:rsid w:val="00444E55"/>
    <w:rsid w:val="00445866"/>
    <w:rsid w:val="00446D17"/>
    <w:rsid w:val="0044765D"/>
    <w:rsid w:val="00450656"/>
    <w:rsid w:val="00451B53"/>
    <w:rsid w:val="00453F15"/>
    <w:rsid w:val="004560BB"/>
    <w:rsid w:val="00457B08"/>
    <w:rsid w:val="00460354"/>
    <w:rsid w:val="0046175E"/>
    <w:rsid w:val="00462585"/>
    <w:rsid w:val="0046332B"/>
    <w:rsid w:val="00463DDF"/>
    <w:rsid w:val="00465B7F"/>
    <w:rsid w:val="00465EFE"/>
    <w:rsid w:val="00466AAF"/>
    <w:rsid w:val="0046710B"/>
    <w:rsid w:val="00467A14"/>
    <w:rsid w:val="00470946"/>
    <w:rsid w:val="0047392D"/>
    <w:rsid w:val="00473A01"/>
    <w:rsid w:val="0047440D"/>
    <w:rsid w:val="004745EF"/>
    <w:rsid w:val="004749F9"/>
    <w:rsid w:val="00475DE4"/>
    <w:rsid w:val="004763BC"/>
    <w:rsid w:val="00476607"/>
    <w:rsid w:val="00476D2A"/>
    <w:rsid w:val="00476DE4"/>
    <w:rsid w:val="004772E8"/>
    <w:rsid w:val="00480FC2"/>
    <w:rsid w:val="00481404"/>
    <w:rsid w:val="004818B9"/>
    <w:rsid w:val="00482AB0"/>
    <w:rsid w:val="00482E08"/>
    <w:rsid w:val="00483172"/>
    <w:rsid w:val="00483297"/>
    <w:rsid w:val="00484F69"/>
    <w:rsid w:val="0048553F"/>
    <w:rsid w:val="0049254A"/>
    <w:rsid w:val="004927CB"/>
    <w:rsid w:val="004938B4"/>
    <w:rsid w:val="00493D5E"/>
    <w:rsid w:val="00496F47"/>
    <w:rsid w:val="004A0ADC"/>
    <w:rsid w:val="004A141A"/>
    <w:rsid w:val="004A15AE"/>
    <w:rsid w:val="004A27C6"/>
    <w:rsid w:val="004A4047"/>
    <w:rsid w:val="004A4C72"/>
    <w:rsid w:val="004A4ECF"/>
    <w:rsid w:val="004A5C88"/>
    <w:rsid w:val="004A6C39"/>
    <w:rsid w:val="004B07BC"/>
    <w:rsid w:val="004B1360"/>
    <w:rsid w:val="004B38B0"/>
    <w:rsid w:val="004B4F7C"/>
    <w:rsid w:val="004B51E9"/>
    <w:rsid w:val="004B5289"/>
    <w:rsid w:val="004B5394"/>
    <w:rsid w:val="004B5482"/>
    <w:rsid w:val="004B5DC1"/>
    <w:rsid w:val="004B6372"/>
    <w:rsid w:val="004B76DE"/>
    <w:rsid w:val="004C07AD"/>
    <w:rsid w:val="004C0811"/>
    <w:rsid w:val="004C16B0"/>
    <w:rsid w:val="004C27A6"/>
    <w:rsid w:val="004C31C1"/>
    <w:rsid w:val="004C4202"/>
    <w:rsid w:val="004C5C66"/>
    <w:rsid w:val="004C6606"/>
    <w:rsid w:val="004C66D3"/>
    <w:rsid w:val="004C6F62"/>
    <w:rsid w:val="004C777E"/>
    <w:rsid w:val="004D2769"/>
    <w:rsid w:val="004D2F3E"/>
    <w:rsid w:val="004D3172"/>
    <w:rsid w:val="004D7C98"/>
    <w:rsid w:val="004E0292"/>
    <w:rsid w:val="004E05D7"/>
    <w:rsid w:val="004E0AE1"/>
    <w:rsid w:val="004E12AF"/>
    <w:rsid w:val="004E3BEE"/>
    <w:rsid w:val="004E432C"/>
    <w:rsid w:val="004E535D"/>
    <w:rsid w:val="004E7A2C"/>
    <w:rsid w:val="004E7AE4"/>
    <w:rsid w:val="004E7B42"/>
    <w:rsid w:val="004E7DA8"/>
    <w:rsid w:val="004F2CA8"/>
    <w:rsid w:val="004F39FA"/>
    <w:rsid w:val="004F7541"/>
    <w:rsid w:val="00500EFE"/>
    <w:rsid w:val="00502912"/>
    <w:rsid w:val="00503A9A"/>
    <w:rsid w:val="00504652"/>
    <w:rsid w:val="005053C4"/>
    <w:rsid w:val="00505B1E"/>
    <w:rsid w:val="00507C6E"/>
    <w:rsid w:val="00507CA3"/>
    <w:rsid w:val="00510789"/>
    <w:rsid w:val="0051441E"/>
    <w:rsid w:val="0051447E"/>
    <w:rsid w:val="00514A92"/>
    <w:rsid w:val="0051539C"/>
    <w:rsid w:val="005154A6"/>
    <w:rsid w:val="005160B1"/>
    <w:rsid w:val="005160FA"/>
    <w:rsid w:val="00517181"/>
    <w:rsid w:val="00521F0B"/>
    <w:rsid w:val="005224E8"/>
    <w:rsid w:val="00522D22"/>
    <w:rsid w:val="00527059"/>
    <w:rsid w:val="0053174C"/>
    <w:rsid w:val="00531D3B"/>
    <w:rsid w:val="00536416"/>
    <w:rsid w:val="00536F4B"/>
    <w:rsid w:val="005375B7"/>
    <w:rsid w:val="00540658"/>
    <w:rsid w:val="0054081E"/>
    <w:rsid w:val="005409EA"/>
    <w:rsid w:val="00540F29"/>
    <w:rsid w:val="00541970"/>
    <w:rsid w:val="00541B9F"/>
    <w:rsid w:val="00542280"/>
    <w:rsid w:val="005425E5"/>
    <w:rsid w:val="00542759"/>
    <w:rsid w:val="00542E61"/>
    <w:rsid w:val="00543C6B"/>
    <w:rsid w:val="005443DA"/>
    <w:rsid w:val="00546136"/>
    <w:rsid w:val="005469D9"/>
    <w:rsid w:val="0054722B"/>
    <w:rsid w:val="005472BB"/>
    <w:rsid w:val="0055031D"/>
    <w:rsid w:val="00550B87"/>
    <w:rsid w:val="0055187B"/>
    <w:rsid w:val="005527AB"/>
    <w:rsid w:val="0055284E"/>
    <w:rsid w:val="00552EA5"/>
    <w:rsid w:val="00553303"/>
    <w:rsid w:val="00553BB9"/>
    <w:rsid w:val="00554A7E"/>
    <w:rsid w:val="00556BA4"/>
    <w:rsid w:val="00556EFB"/>
    <w:rsid w:val="00557A5B"/>
    <w:rsid w:val="005616BB"/>
    <w:rsid w:val="00561FB0"/>
    <w:rsid w:val="00564E31"/>
    <w:rsid w:val="00565143"/>
    <w:rsid w:val="005670A6"/>
    <w:rsid w:val="00567FD7"/>
    <w:rsid w:val="00573D1E"/>
    <w:rsid w:val="00575A04"/>
    <w:rsid w:val="0057607C"/>
    <w:rsid w:val="00577186"/>
    <w:rsid w:val="005772C3"/>
    <w:rsid w:val="00577C94"/>
    <w:rsid w:val="005828A0"/>
    <w:rsid w:val="005829E3"/>
    <w:rsid w:val="0058439D"/>
    <w:rsid w:val="005843E5"/>
    <w:rsid w:val="00584DE7"/>
    <w:rsid w:val="0058599E"/>
    <w:rsid w:val="005869C0"/>
    <w:rsid w:val="0058714E"/>
    <w:rsid w:val="00591F50"/>
    <w:rsid w:val="005927A5"/>
    <w:rsid w:val="00593E82"/>
    <w:rsid w:val="005A13A8"/>
    <w:rsid w:val="005A1E7A"/>
    <w:rsid w:val="005A3DC2"/>
    <w:rsid w:val="005A7C10"/>
    <w:rsid w:val="005B0C37"/>
    <w:rsid w:val="005B1C43"/>
    <w:rsid w:val="005B3896"/>
    <w:rsid w:val="005B5B99"/>
    <w:rsid w:val="005B6150"/>
    <w:rsid w:val="005B658A"/>
    <w:rsid w:val="005C0A05"/>
    <w:rsid w:val="005C1EFE"/>
    <w:rsid w:val="005C3591"/>
    <w:rsid w:val="005C5A0C"/>
    <w:rsid w:val="005C5F23"/>
    <w:rsid w:val="005C6260"/>
    <w:rsid w:val="005C7A82"/>
    <w:rsid w:val="005D0B6F"/>
    <w:rsid w:val="005D1C0A"/>
    <w:rsid w:val="005D2DE5"/>
    <w:rsid w:val="005D47D3"/>
    <w:rsid w:val="005D5C9C"/>
    <w:rsid w:val="005D6481"/>
    <w:rsid w:val="005E01E2"/>
    <w:rsid w:val="005E021E"/>
    <w:rsid w:val="005E0905"/>
    <w:rsid w:val="005E0C14"/>
    <w:rsid w:val="005E17D7"/>
    <w:rsid w:val="005E2996"/>
    <w:rsid w:val="005E39DF"/>
    <w:rsid w:val="005E4339"/>
    <w:rsid w:val="005E4999"/>
    <w:rsid w:val="005E4A9C"/>
    <w:rsid w:val="005E5667"/>
    <w:rsid w:val="005E741F"/>
    <w:rsid w:val="005F1B43"/>
    <w:rsid w:val="005F20D9"/>
    <w:rsid w:val="005F2760"/>
    <w:rsid w:val="005F2880"/>
    <w:rsid w:val="005F35EE"/>
    <w:rsid w:val="005F4501"/>
    <w:rsid w:val="005F52C2"/>
    <w:rsid w:val="0060048F"/>
    <w:rsid w:val="006004A3"/>
    <w:rsid w:val="00600DFD"/>
    <w:rsid w:val="00601ED0"/>
    <w:rsid w:val="006020C0"/>
    <w:rsid w:val="00604EFD"/>
    <w:rsid w:val="00605521"/>
    <w:rsid w:val="00605A69"/>
    <w:rsid w:val="00610DD1"/>
    <w:rsid w:val="00611A88"/>
    <w:rsid w:val="00612F89"/>
    <w:rsid w:val="006130D3"/>
    <w:rsid w:val="00613A50"/>
    <w:rsid w:val="00615414"/>
    <w:rsid w:val="00617805"/>
    <w:rsid w:val="00624267"/>
    <w:rsid w:val="00624655"/>
    <w:rsid w:val="00624E2B"/>
    <w:rsid w:val="00626CBF"/>
    <w:rsid w:val="0062758D"/>
    <w:rsid w:val="0062772E"/>
    <w:rsid w:val="00630B19"/>
    <w:rsid w:val="00630CD7"/>
    <w:rsid w:val="00631751"/>
    <w:rsid w:val="00632E2F"/>
    <w:rsid w:val="00633068"/>
    <w:rsid w:val="00633607"/>
    <w:rsid w:val="0063379F"/>
    <w:rsid w:val="006338C2"/>
    <w:rsid w:val="0063403B"/>
    <w:rsid w:val="006340C9"/>
    <w:rsid w:val="00634788"/>
    <w:rsid w:val="00634D5C"/>
    <w:rsid w:val="006359ED"/>
    <w:rsid w:val="006367C9"/>
    <w:rsid w:val="006373E9"/>
    <w:rsid w:val="00637D4C"/>
    <w:rsid w:val="00640866"/>
    <w:rsid w:val="00642419"/>
    <w:rsid w:val="006443BF"/>
    <w:rsid w:val="006514D8"/>
    <w:rsid w:val="00651962"/>
    <w:rsid w:val="00651B62"/>
    <w:rsid w:val="006521F0"/>
    <w:rsid w:val="00653709"/>
    <w:rsid w:val="00654139"/>
    <w:rsid w:val="006554D8"/>
    <w:rsid w:val="0065575F"/>
    <w:rsid w:val="006577DF"/>
    <w:rsid w:val="00657DEE"/>
    <w:rsid w:val="00660AB3"/>
    <w:rsid w:val="00660B9D"/>
    <w:rsid w:val="006647FF"/>
    <w:rsid w:val="00665F69"/>
    <w:rsid w:val="0066623D"/>
    <w:rsid w:val="00666761"/>
    <w:rsid w:val="00666F9B"/>
    <w:rsid w:val="0066719A"/>
    <w:rsid w:val="006675C5"/>
    <w:rsid w:val="00670DE7"/>
    <w:rsid w:val="00671DAD"/>
    <w:rsid w:val="00672B13"/>
    <w:rsid w:val="00674186"/>
    <w:rsid w:val="00674CB6"/>
    <w:rsid w:val="006755F8"/>
    <w:rsid w:val="00676ACD"/>
    <w:rsid w:val="00681D24"/>
    <w:rsid w:val="00681DDA"/>
    <w:rsid w:val="00685D43"/>
    <w:rsid w:val="006904E6"/>
    <w:rsid w:val="00690518"/>
    <w:rsid w:val="0069141C"/>
    <w:rsid w:val="00691A14"/>
    <w:rsid w:val="00692A25"/>
    <w:rsid w:val="006945B8"/>
    <w:rsid w:val="00696502"/>
    <w:rsid w:val="00697710"/>
    <w:rsid w:val="006A0D19"/>
    <w:rsid w:val="006A321A"/>
    <w:rsid w:val="006A33AD"/>
    <w:rsid w:val="006A39CA"/>
    <w:rsid w:val="006A5C09"/>
    <w:rsid w:val="006A654F"/>
    <w:rsid w:val="006A6F62"/>
    <w:rsid w:val="006A742F"/>
    <w:rsid w:val="006A7C7A"/>
    <w:rsid w:val="006A7DDB"/>
    <w:rsid w:val="006A7FC4"/>
    <w:rsid w:val="006B23B3"/>
    <w:rsid w:val="006B36CB"/>
    <w:rsid w:val="006B5D5E"/>
    <w:rsid w:val="006C0270"/>
    <w:rsid w:val="006C12FA"/>
    <w:rsid w:val="006C1B4E"/>
    <w:rsid w:val="006C27C2"/>
    <w:rsid w:val="006C4A4D"/>
    <w:rsid w:val="006C70B4"/>
    <w:rsid w:val="006C7C44"/>
    <w:rsid w:val="006D0B4D"/>
    <w:rsid w:val="006D1807"/>
    <w:rsid w:val="006D4EA1"/>
    <w:rsid w:val="006D55DE"/>
    <w:rsid w:val="006D62A8"/>
    <w:rsid w:val="006E0045"/>
    <w:rsid w:val="006E0BAF"/>
    <w:rsid w:val="006E346A"/>
    <w:rsid w:val="006E3491"/>
    <w:rsid w:val="006E63F6"/>
    <w:rsid w:val="006E7612"/>
    <w:rsid w:val="006F087C"/>
    <w:rsid w:val="006F0DD3"/>
    <w:rsid w:val="006F0DEA"/>
    <w:rsid w:val="006F243A"/>
    <w:rsid w:val="006F502D"/>
    <w:rsid w:val="006F52CA"/>
    <w:rsid w:val="00700050"/>
    <w:rsid w:val="0070068D"/>
    <w:rsid w:val="0070203A"/>
    <w:rsid w:val="007023B7"/>
    <w:rsid w:val="00703953"/>
    <w:rsid w:val="007045C9"/>
    <w:rsid w:val="00706E07"/>
    <w:rsid w:val="00707274"/>
    <w:rsid w:val="00707789"/>
    <w:rsid w:val="00713785"/>
    <w:rsid w:val="00714E18"/>
    <w:rsid w:val="00715DC9"/>
    <w:rsid w:val="0071687A"/>
    <w:rsid w:val="00717D15"/>
    <w:rsid w:val="00721472"/>
    <w:rsid w:val="00721625"/>
    <w:rsid w:val="00721741"/>
    <w:rsid w:val="00722439"/>
    <w:rsid w:val="007234FD"/>
    <w:rsid w:val="00724C79"/>
    <w:rsid w:val="00725C87"/>
    <w:rsid w:val="00730560"/>
    <w:rsid w:val="00733830"/>
    <w:rsid w:val="0073506B"/>
    <w:rsid w:val="007363AA"/>
    <w:rsid w:val="0073723D"/>
    <w:rsid w:val="00737C87"/>
    <w:rsid w:val="00741FD1"/>
    <w:rsid w:val="00743100"/>
    <w:rsid w:val="007459D7"/>
    <w:rsid w:val="00745A42"/>
    <w:rsid w:val="00745ECF"/>
    <w:rsid w:val="00746CA5"/>
    <w:rsid w:val="007471FA"/>
    <w:rsid w:val="00750899"/>
    <w:rsid w:val="0075795D"/>
    <w:rsid w:val="0076046A"/>
    <w:rsid w:val="00760B08"/>
    <w:rsid w:val="007653C7"/>
    <w:rsid w:val="00765E31"/>
    <w:rsid w:val="00767C89"/>
    <w:rsid w:val="00770537"/>
    <w:rsid w:val="00773B6D"/>
    <w:rsid w:val="00774353"/>
    <w:rsid w:val="00776FC9"/>
    <w:rsid w:val="00777C4D"/>
    <w:rsid w:val="00781FF7"/>
    <w:rsid w:val="00782006"/>
    <w:rsid w:val="007827FF"/>
    <w:rsid w:val="00782FFE"/>
    <w:rsid w:val="00784AD8"/>
    <w:rsid w:val="0078529F"/>
    <w:rsid w:val="00786DB0"/>
    <w:rsid w:val="00786E68"/>
    <w:rsid w:val="00790EF6"/>
    <w:rsid w:val="00791B28"/>
    <w:rsid w:val="007921A2"/>
    <w:rsid w:val="007934C3"/>
    <w:rsid w:val="00793C3B"/>
    <w:rsid w:val="00793C8A"/>
    <w:rsid w:val="00794F33"/>
    <w:rsid w:val="007952EF"/>
    <w:rsid w:val="0079572A"/>
    <w:rsid w:val="00797A74"/>
    <w:rsid w:val="007A0B83"/>
    <w:rsid w:val="007A180E"/>
    <w:rsid w:val="007A258A"/>
    <w:rsid w:val="007A2D17"/>
    <w:rsid w:val="007A2D6E"/>
    <w:rsid w:val="007A2EDA"/>
    <w:rsid w:val="007A36EA"/>
    <w:rsid w:val="007A6064"/>
    <w:rsid w:val="007A6C9A"/>
    <w:rsid w:val="007B0496"/>
    <w:rsid w:val="007B05F9"/>
    <w:rsid w:val="007B1B31"/>
    <w:rsid w:val="007B461E"/>
    <w:rsid w:val="007B5754"/>
    <w:rsid w:val="007B67B1"/>
    <w:rsid w:val="007B67DC"/>
    <w:rsid w:val="007C16F5"/>
    <w:rsid w:val="007C2F8F"/>
    <w:rsid w:val="007C631A"/>
    <w:rsid w:val="007D18AC"/>
    <w:rsid w:val="007D262A"/>
    <w:rsid w:val="007D4D74"/>
    <w:rsid w:val="007D53DC"/>
    <w:rsid w:val="007D5E2F"/>
    <w:rsid w:val="007D5E58"/>
    <w:rsid w:val="007D676B"/>
    <w:rsid w:val="007E018A"/>
    <w:rsid w:val="007E0614"/>
    <w:rsid w:val="007E16C5"/>
    <w:rsid w:val="007E1B79"/>
    <w:rsid w:val="007E241A"/>
    <w:rsid w:val="007E2F99"/>
    <w:rsid w:val="007E2FCF"/>
    <w:rsid w:val="007E4F30"/>
    <w:rsid w:val="007E5280"/>
    <w:rsid w:val="007E59CA"/>
    <w:rsid w:val="007E5E65"/>
    <w:rsid w:val="007E704C"/>
    <w:rsid w:val="007E7440"/>
    <w:rsid w:val="007F0607"/>
    <w:rsid w:val="007F0707"/>
    <w:rsid w:val="007F10F0"/>
    <w:rsid w:val="007F289B"/>
    <w:rsid w:val="007F2B25"/>
    <w:rsid w:val="007F3D8B"/>
    <w:rsid w:val="007F424B"/>
    <w:rsid w:val="007F4D45"/>
    <w:rsid w:val="007F5D36"/>
    <w:rsid w:val="00800FD2"/>
    <w:rsid w:val="008049E3"/>
    <w:rsid w:val="00805BF4"/>
    <w:rsid w:val="00805C96"/>
    <w:rsid w:val="008071B8"/>
    <w:rsid w:val="008100D8"/>
    <w:rsid w:val="00813D1B"/>
    <w:rsid w:val="00816970"/>
    <w:rsid w:val="00820E7F"/>
    <w:rsid w:val="0082251F"/>
    <w:rsid w:val="00823DAE"/>
    <w:rsid w:val="00831775"/>
    <w:rsid w:val="00833F21"/>
    <w:rsid w:val="008356B9"/>
    <w:rsid w:val="008367A4"/>
    <w:rsid w:val="0083725B"/>
    <w:rsid w:val="008403FE"/>
    <w:rsid w:val="00841629"/>
    <w:rsid w:val="00841CE3"/>
    <w:rsid w:val="008447B6"/>
    <w:rsid w:val="00844C99"/>
    <w:rsid w:val="00844FAE"/>
    <w:rsid w:val="00845028"/>
    <w:rsid w:val="00850753"/>
    <w:rsid w:val="00856909"/>
    <w:rsid w:val="00856A83"/>
    <w:rsid w:val="008576FB"/>
    <w:rsid w:val="00857E75"/>
    <w:rsid w:val="008622D0"/>
    <w:rsid w:val="00862E45"/>
    <w:rsid w:val="00863BBB"/>
    <w:rsid w:val="00864070"/>
    <w:rsid w:val="008644C8"/>
    <w:rsid w:val="00864EC3"/>
    <w:rsid w:val="00866F43"/>
    <w:rsid w:val="008702AA"/>
    <w:rsid w:val="00871D37"/>
    <w:rsid w:val="00871F09"/>
    <w:rsid w:val="00872A7D"/>
    <w:rsid w:val="0087303E"/>
    <w:rsid w:val="00876EAD"/>
    <w:rsid w:val="008800AA"/>
    <w:rsid w:val="00883DF4"/>
    <w:rsid w:val="00886C86"/>
    <w:rsid w:val="00887A64"/>
    <w:rsid w:val="00890B36"/>
    <w:rsid w:val="00891F86"/>
    <w:rsid w:val="0089285A"/>
    <w:rsid w:val="0089457C"/>
    <w:rsid w:val="008A4064"/>
    <w:rsid w:val="008A46A9"/>
    <w:rsid w:val="008A494C"/>
    <w:rsid w:val="008A4AEF"/>
    <w:rsid w:val="008A6C64"/>
    <w:rsid w:val="008B0CB4"/>
    <w:rsid w:val="008B1AC4"/>
    <w:rsid w:val="008B22F3"/>
    <w:rsid w:val="008B413C"/>
    <w:rsid w:val="008B5BF6"/>
    <w:rsid w:val="008B5E2C"/>
    <w:rsid w:val="008B6046"/>
    <w:rsid w:val="008B7C6D"/>
    <w:rsid w:val="008B7F6D"/>
    <w:rsid w:val="008C43CD"/>
    <w:rsid w:val="008C4403"/>
    <w:rsid w:val="008C4698"/>
    <w:rsid w:val="008C50CF"/>
    <w:rsid w:val="008C5D3F"/>
    <w:rsid w:val="008C65C2"/>
    <w:rsid w:val="008C7969"/>
    <w:rsid w:val="008D2B07"/>
    <w:rsid w:val="008D4AFE"/>
    <w:rsid w:val="008D5863"/>
    <w:rsid w:val="008D6A42"/>
    <w:rsid w:val="008D75F6"/>
    <w:rsid w:val="008D7930"/>
    <w:rsid w:val="008D79A4"/>
    <w:rsid w:val="008E43DD"/>
    <w:rsid w:val="008E4511"/>
    <w:rsid w:val="008E54EF"/>
    <w:rsid w:val="008E65A7"/>
    <w:rsid w:val="008E6DE7"/>
    <w:rsid w:val="008E7567"/>
    <w:rsid w:val="008F0782"/>
    <w:rsid w:val="008F2D39"/>
    <w:rsid w:val="008F33AE"/>
    <w:rsid w:val="008F3961"/>
    <w:rsid w:val="008F42C0"/>
    <w:rsid w:val="008F4999"/>
    <w:rsid w:val="008F4B92"/>
    <w:rsid w:val="008F5211"/>
    <w:rsid w:val="008F62EB"/>
    <w:rsid w:val="00901C1B"/>
    <w:rsid w:val="009024EF"/>
    <w:rsid w:val="00903B53"/>
    <w:rsid w:val="00906B05"/>
    <w:rsid w:val="009115B3"/>
    <w:rsid w:val="009115D2"/>
    <w:rsid w:val="00911948"/>
    <w:rsid w:val="00911C7F"/>
    <w:rsid w:val="009120AB"/>
    <w:rsid w:val="009138D8"/>
    <w:rsid w:val="00913FF7"/>
    <w:rsid w:val="0091531D"/>
    <w:rsid w:val="00917A85"/>
    <w:rsid w:val="00917D48"/>
    <w:rsid w:val="00917F6C"/>
    <w:rsid w:val="00920927"/>
    <w:rsid w:val="00922B8C"/>
    <w:rsid w:val="009238E5"/>
    <w:rsid w:val="00923B02"/>
    <w:rsid w:val="00923FB7"/>
    <w:rsid w:val="009256BF"/>
    <w:rsid w:val="009267C4"/>
    <w:rsid w:val="00926C01"/>
    <w:rsid w:val="00927D65"/>
    <w:rsid w:val="00931868"/>
    <w:rsid w:val="00931D10"/>
    <w:rsid w:val="00933F4D"/>
    <w:rsid w:val="00933FCD"/>
    <w:rsid w:val="00935A4F"/>
    <w:rsid w:val="009419E0"/>
    <w:rsid w:val="0094225F"/>
    <w:rsid w:val="0094236C"/>
    <w:rsid w:val="00942875"/>
    <w:rsid w:val="00943049"/>
    <w:rsid w:val="0094575E"/>
    <w:rsid w:val="009469DE"/>
    <w:rsid w:val="00950C5C"/>
    <w:rsid w:val="0095103F"/>
    <w:rsid w:val="009521A9"/>
    <w:rsid w:val="00952D55"/>
    <w:rsid w:val="00954994"/>
    <w:rsid w:val="00955CCE"/>
    <w:rsid w:val="009606DC"/>
    <w:rsid w:val="00960D10"/>
    <w:rsid w:val="00962164"/>
    <w:rsid w:val="00962350"/>
    <w:rsid w:val="009626EC"/>
    <w:rsid w:val="00962C66"/>
    <w:rsid w:val="00963246"/>
    <w:rsid w:val="00964642"/>
    <w:rsid w:val="009647F7"/>
    <w:rsid w:val="0096599D"/>
    <w:rsid w:val="009674FA"/>
    <w:rsid w:val="009677D3"/>
    <w:rsid w:val="00970AE3"/>
    <w:rsid w:val="00970B90"/>
    <w:rsid w:val="00972571"/>
    <w:rsid w:val="00975DCB"/>
    <w:rsid w:val="00976812"/>
    <w:rsid w:val="00976A2C"/>
    <w:rsid w:val="009804F1"/>
    <w:rsid w:val="009809E3"/>
    <w:rsid w:val="00982F54"/>
    <w:rsid w:val="009843EF"/>
    <w:rsid w:val="00985A29"/>
    <w:rsid w:val="00986DCC"/>
    <w:rsid w:val="00987744"/>
    <w:rsid w:val="00987E3A"/>
    <w:rsid w:val="00990BE0"/>
    <w:rsid w:val="00992503"/>
    <w:rsid w:val="009938D1"/>
    <w:rsid w:val="00997F2E"/>
    <w:rsid w:val="009A012C"/>
    <w:rsid w:val="009A2A42"/>
    <w:rsid w:val="009A3B4F"/>
    <w:rsid w:val="009A4FA9"/>
    <w:rsid w:val="009A50F4"/>
    <w:rsid w:val="009A5E04"/>
    <w:rsid w:val="009A6091"/>
    <w:rsid w:val="009A74B1"/>
    <w:rsid w:val="009A7F4E"/>
    <w:rsid w:val="009B1F8A"/>
    <w:rsid w:val="009B2891"/>
    <w:rsid w:val="009B30EA"/>
    <w:rsid w:val="009B450F"/>
    <w:rsid w:val="009B4B22"/>
    <w:rsid w:val="009B4F78"/>
    <w:rsid w:val="009B60CA"/>
    <w:rsid w:val="009B66F8"/>
    <w:rsid w:val="009B763C"/>
    <w:rsid w:val="009C0037"/>
    <w:rsid w:val="009C1E5F"/>
    <w:rsid w:val="009C3DC0"/>
    <w:rsid w:val="009C3E31"/>
    <w:rsid w:val="009C55FE"/>
    <w:rsid w:val="009C6258"/>
    <w:rsid w:val="009C647E"/>
    <w:rsid w:val="009C7685"/>
    <w:rsid w:val="009D196C"/>
    <w:rsid w:val="009D1B8B"/>
    <w:rsid w:val="009D1E48"/>
    <w:rsid w:val="009D20C5"/>
    <w:rsid w:val="009D4F34"/>
    <w:rsid w:val="009D7209"/>
    <w:rsid w:val="009E0794"/>
    <w:rsid w:val="009E2052"/>
    <w:rsid w:val="009E2698"/>
    <w:rsid w:val="009E2E64"/>
    <w:rsid w:val="009E3DA9"/>
    <w:rsid w:val="009E4014"/>
    <w:rsid w:val="009E44AF"/>
    <w:rsid w:val="009E7EF6"/>
    <w:rsid w:val="009F18DF"/>
    <w:rsid w:val="009F2172"/>
    <w:rsid w:val="009F76A9"/>
    <w:rsid w:val="009F7966"/>
    <w:rsid w:val="009F7D05"/>
    <w:rsid w:val="00A03FE4"/>
    <w:rsid w:val="00A07671"/>
    <w:rsid w:val="00A12D1B"/>
    <w:rsid w:val="00A13E83"/>
    <w:rsid w:val="00A13FEA"/>
    <w:rsid w:val="00A14C99"/>
    <w:rsid w:val="00A1674D"/>
    <w:rsid w:val="00A20DC4"/>
    <w:rsid w:val="00A20F95"/>
    <w:rsid w:val="00A217BF"/>
    <w:rsid w:val="00A25920"/>
    <w:rsid w:val="00A267ED"/>
    <w:rsid w:val="00A31376"/>
    <w:rsid w:val="00A33027"/>
    <w:rsid w:val="00A33603"/>
    <w:rsid w:val="00A3396A"/>
    <w:rsid w:val="00A35C11"/>
    <w:rsid w:val="00A36296"/>
    <w:rsid w:val="00A42876"/>
    <w:rsid w:val="00A42B0A"/>
    <w:rsid w:val="00A42B6B"/>
    <w:rsid w:val="00A454EC"/>
    <w:rsid w:val="00A46540"/>
    <w:rsid w:val="00A46E2D"/>
    <w:rsid w:val="00A47FDF"/>
    <w:rsid w:val="00A50666"/>
    <w:rsid w:val="00A50FED"/>
    <w:rsid w:val="00A534B2"/>
    <w:rsid w:val="00A53BEF"/>
    <w:rsid w:val="00A543CE"/>
    <w:rsid w:val="00A546A9"/>
    <w:rsid w:val="00A54D71"/>
    <w:rsid w:val="00A54DDE"/>
    <w:rsid w:val="00A56882"/>
    <w:rsid w:val="00A56F37"/>
    <w:rsid w:val="00A56FAA"/>
    <w:rsid w:val="00A5763F"/>
    <w:rsid w:val="00A618D6"/>
    <w:rsid w:val="00A626E1"/>
    <w:rsid w:val="00A65CC5"/>
    <w:rsid w:val="00A65D3C"/>
    <w:rsid w:val="00A660F3"/>
    <w:rsid w:val="00A67103"/>
    <w:rsid w:val="00A721FE"/>
    <w:rsid w:val="00A72A8F"/>
    <w:rsid w:val="00A74ED4"/>
    <w:rsid w:val="00A74F0A"/>
    <w:rsid w:val="00A75597"/>
    <w:rsid w:val="00A75737"/>
    <w:rsid w:val="00A7765B"/>
    <w:rsid w:val="00A77A23"/>
    <w:rsid w:val="00A77B36"/>
    <w:rsid w:val="00A80156"/>
    <w:rsid w:val="00A81597"/>
    <w:rsid w:val="00A82954"/>
    <w:rsid w:val="00A83C07"/>
    <w:rsid w:val="00A8425A"/>
    <w:rsid w:val="00A85399"/>
    <w:rsid w:val="00A856B6"/>
    <w:rsid w:val="00A91993"/>
    <w:rsid w:val="00A91AF5"/>
    <w:rsid w:val="00A928BA"/>
    <w:rsid w:val="00A92A15"/>
    <w:rsid w:val="00A92B0C"/>
    <w:rsid w:val="00A92EE6"/>
    <w:rsid w:val="00A93737"/>
    <w:rsid w:val="00A94BA0"/>
    <w:rsid w:val="00A95A6C"/>
    <w:rsid w:val="00A96951"/>
    <w:rsid w:val="00A96A3F"/>
    <w:rsid w:val="00AA06D3"/>
    <w:rsid w:val="00AA0AF0"/>
    <w:rsid w:val="00AA10DE"/>
    <w:rsid w:val="00AA1582"/>
    <w:rsid w:val="00AA1C97"/>
    <w:rsid w:val="00AA4C3A"/>
    <w:rsid w:val="00AA51BC"/>
    <w:rsid w:val="00AA57CA"/>
    <w:rsid w:val="00AA7196"/>
    <w:rsid w:val="00AA72FF"/>
    <w:rsid w:val="00AA7F33"/>
    <w:rsid w:val="00AB0651"/>
    <w:rsid w:val="00AB433A"/>
    <w:rsid w:val="00AB4C6A"/>
    <w:rsid w:val="00AB52E4"/>
    <w:rsid w:val="00AB5C3C"/>
    <w:rsid w:val="00AC2FAB"/>
    <w:rsid w:val="00AC3CCC"/>
    <w:rsid w:val="00AC3D84"/>
    <w:rsid w:val="00AC5031"/>
    <w:rsid w:val="00AC6A3E"/>
    <w:rsid w:val="00AC6B91"/>
    <w:rsid w:val="00AC7448"/>
    <w:rsid w:val="00AC751D"/>
    <w:rsid w:val="00AD0078"/>
    <w:rsid w:val="00AD0636"/>
    <w:rsid w:val="00AD2040"/>
    <w:rsid w:val="00AD2324"/>
    <w:rsid w:val="00AD288E"/>
    <w:rsid w:val="00AD398C"/>
    <w:rsid w:val="00AD3BCF"/>
    <w:rsid w:val="00AD43F3"/>
    <w:rsid w:val="00AD5526"/>
    <w:rsid w:val="00AD57EA"/>
    <w:rsid w:val="00AD58A1"/>
    <w:rsid w:val="00AD7280"/>
    <w:rsid w:val="00AD72AF"/>
    <w:rsid w:val="00AE0754"/>
    <w:rsid w:val="00AE1292"/>
    <w:rsid w:val="00AE163B"/>
    <w:rsid w:val="00AE208A"/>
    <w:rsid w:val="00AE2400"/>
    <w:rsid w:val="00AE2B2A"/>
    <w:rsid w:val="00AE48C7"/>
    <w:rsid w:val="00AE58EC"/>
    <w:rsid w:val="00AE7776"/>
    <w:rsid w:val="00AE7A63"/>
    <w:rsid w:val="00AF2FE7"/>
    <w:rsid w:val="00AF5B7E"/>
    <w:rsid w:val="00AF6824"/>
    <w:rsid w:val="00AF6A7B"/>
    <w:rsid w:val="00AF7C0B"/>
    <w:rsid w:val="00B01DD9"/>
    <w:rsid w:val="00B045B7"/>
    <w:rsid w:val="00B0511A"/>
    <w:rsid w:val="00B05C71"/>
    <w:rsid w:val="00B1062E"/>
    <w:rsid w:val="00B113E2"/>
    <w:rsid w:val="00B13533"/>
    <w:rsid w:val="00B1462E"/>
    <w:rsid w:val="00B1474B"/>
    <w:rsid w:val="00B15B28"/>
    <w:rsid w:val="00B16972"/>
    <w:rsid w:val="00B16EAE"/>
    <w:rsid w:val="00B2008F"/>
    <w:rsid w:val="00B205B8"/>
    <w:rsid w:val="00B20FE1"/>
    <w:rsid w:val="00B22D03"/>
    <w:rsid w:val="00B22DDA"/>
    <w:rsid w:val="00B237D0"/>
    <w:rsid w:val="00B2436C"/>
    <w:rsid w:val="00B24C1B"/>
    <w:rsid w:val="00B25CCC"/>
    <w:rsid w:val="00B27775"/>
    <w:rsid w:val="00B31AA6"/>
    <w:rsid w:val="00B31EA6"/>
    <w:rsid w:val="00B32D57"/>
    <w:rsid w:val="00B341F4"/>
    <w:rsid w:val="00B35C04"/>
    <w:rsid w:val="00B36ED9"/>
    <w:rsid w:val="00B378F3"/>
    <w:rsid w:val="00B40D79"/>
    <w:rsid w:val="00B418D1"/>
    <w:rsid w:val="00B43237"/>
    <w:rsid w:val="00B4480C"/>
    <w:rsid w:val="00B47C29"/>
    <w:rsid w:val="00B51FFD"/>
    <w:rsid w:val="00B520DC"/>
    <w:rsid w:val="00B525B6"/>
    <w:rsid w:val="00B5471A"/>
    <w:rsid w:val="00B564A8"/>
    <w:rsid w:val="00B57484"/>
    <w:rsid w:val="00B63167"/>
    <w:rsid w:val="00B64E2D"/>
    <w:rsid w:val="00B654E3"/>
    <w:rsid w:val="00B65F6E"/>
    <w:rsid w:val="00B70E0E"/>
    <w:rsid w:val="00B71FDE"/>
    <w:rsid w:val="00B72F9D"/>
    <w:rsid w:val="00B75111"/>
    <w:rsid w:val="00B760D5"/>
    <w:rsid w:val="00B816AC"/>
    <w:rsid w:val="00B82F79"/>
    <w:rsid w:val="00B8708A"/>
    <w:rsid w:val="00B87F24"/>
    <w:rsid w:val="00B94960"/>
    <w:rsid w:val="00B95973"/>
    <w:rsid w:val="00B96D00"/>
    <w:rsid w:val="00B97A5A"/>
    <w:rsid w:val="00BA0AFB"/>
    <w:rsid w:val="00BA146D"/>
    <w:rsid w:val="00BA14B0"/>
    <w:rsid w:val="00BA1DEE"/>
    <w:rsid w:val="00BA28CF"/>
    <w:rsid w:val="00BA45FA"/>
    <w:rsid w:val="00BA5205"/>
    <w:rsid w:val="00BA5A03"/>
    <w:rsid w:val="00BA6782"/>
    <w:rsid w:val="00BA6F8C"/>
    <w:rsid w:val="00BA7673"/>
    <w:rsid w:val="00BB07C0"/>
    <w:rsid w:val="00BB12A1"/>
    <w:rsid w:val="00BB1CC7"/>
    <w:rsid w:val="00BB3656"/>
    <w:rsid w:val="00BB60F8"/>
    <w:rsid w:val="00BB7434"/>
    <w:rsid w:val="00BC1366"/>
    <w:rsid w:val="00BC1C1C"/>
    <w:rsid w:val="00BC2477"/>
    <w:rsid w:val="00BC3CC7"/>
    <w:rsid w:val="00BC3F74"/>
    <w:rsid w:val="00BC4974"/>
    <w:rsid w:val="00BC4C18"/>
    <w:rsid w:val="00BC5652"/>
    <w:rsid w:val="00BC6E63"/>
    <w:rsid w:val="00BC7EC2"/>
    <w:rsid w:val="00BD1268"/>
    <w:rsid w:val="00BD1873"/>
    <w:rsid w:val="00BD3C1F"/>
    <w:rsid w:val="00BD53EE"/>
    <w:rsid w:val="00BD5877"/>
    <w:rsid w:val="00BD68C8"/>
    <w:rsid w:val="00BD7C76"/>
    <w:rsid w:val="00BD7F11"/>
    <w:rsid w:val="00BE0D7D"/>
    <w:rsid w:val="00BE1CDD"/>
    <w:rsid w:val="00BE2406"/>
    <w:rsid w:val="00BE2540"/>
    <w:rsid w:val="00BE2B3E"/>
    <w:rsid w:val="00BE6750"/>
    <w:rsid w:val="00BE6C54"/>
    <w:rsid w:val="00BE73DD"/>
    <w:rsid w:val="00BF09F5"/>
    <w:rsid w:val="00BF56C1"/>
    <w:rsid w:val="00BF6678"/>
    <w:rsid w:val="00BF746E"/>
    <w:rsid w:val="00BF7568"/>
    <w:rsid w:val="00BF7BA8"/>
    <w:rsid w:val="00C00F59"/>
    <w:rsid w:val="00C0106D"/>
    <w:rsid w:val="00C01E54"/>
    <w:rsid w:val="00C0259A"/>
    <w:rsid w:val="00C0539C"/>
    <w:rsid w:val="00C06039"/>
    <w:rsid w:val="00C06269"/>
    <w:rsid w:val="00C06B37"/>
    <w:rsid w:val="00C0729C"/>
    <w:rsid w:val="00C07667"/>
    <w:rsid w:val="00C07C68"/>
    <w:rsid w:val="00C11487"/>
    <w:rsid w:val="00C12352"/>
    <w:rsid w:val="00C12CFD"/>
    <w:rsid w:val="00C13AF7"/>
    <w:rsid w:val="00C13BE6"/>
    <w:rsid w:val="00C1574C"/>
    <w:rsid w:val="00C1705D"/>
    <w:rsid w:val="00C17702"/>
    <w:rsid w:val="00C21438"/>
    <w:rsid w:val="00C21A1A"/>
    <w:rsid w:val="00C2303B"/>
    <w:rsid w:val="00C24268"/>
    <w:rsid w:val="00C243BA"/>
    <w:rsid w:val="00C252C8"/>
    <w:rsid w:val="00C32CA7"/>
    <w:rsid w:val="00C3453A"/>
    <w:rsid w:val="00C35E18"/>
    <w:rsid w:val="00C40020"/>
    <w:rsid w:val="00C4006F"/>
    <w:rsid w:val="00C402BE"/>
    <w:rsid w:val="00C40313"/>
    <w:rsid w:val="00C40F1A"/>
    <w:rsid w:val="00C425F5"/>
    <w:rsid w:val="00C42888"/>
    <w:rsid w:val="00C4389D"/>
    <w:rsid w:val="00C44685"/>
    <w:rsid w:val="00C44EDF"/>
    <w:rsid w:val="00C45D2A"/>
    <w:rsid w:val="00C45E60"/>
    <w:rsid w:val="00C46CC9"/>
    <w:rsid w:val="00C47677"/>
    <w:rsid w:val="00C477CE"/>
    <w:rsid w:val="00C50607"/>
    <w:rsid w:val="00C50B9A"/>
    <w:rsid w:val="00C52CB9"/>
    <w:rsid w:val="00C55F4A"/>
    <w:rsid w:val="00C6048F"/>
    <w:rsid w:val="00C604BA"/>
    <w:rsid w:val="00C623E5"/>
    <w:rsid w:val="00C624D6"/>
    <w:rsid w:val="00C62891"/>
    <w:rsid w:val="00C630C8"/>
    <w:rsid w:val="00C65C30"/>
    <w:rsid w:val="00C6762A"/>
    <w:rsid w:val="00C7228D"/>
    <w:rsid w:val="00C72698"/>
    <w:rsid w:val="00C734AB"/>
    <w:rsid w:val="00C73862"/>
    <w:rsid w:val="00C73ECD"/>
    <w:rsid w:val="00C74ABB"/>
    <w:rsid w:val="00C752D5"/>
    <w:rsid w:val="00C7568A"/>
    <w:rsid w:val="00C765AE"/>
    <w:rsid w:val="00C80D1A"/>
    <w:rsid w:val="00C8257F"/>
    <w:rsid w:val="00C82EA1"/>
    <w:rsid w:val="00C8319C"/>
    <w:rsid w:val="00C837B8"/>
    <w:rsid w:val="00C837CF"/>
    <w:rsid w:val="00C8408A"/>
    <w:rsid w:val="00C8428E"/>
    <w:rsid w:val="00C84E07"/>
    <w:rsid w:val="00C86F5A"/>
    <w:rsid w:val="00C87CB9"/>
    <w:rsid w:val="00C9027D"/>
    <w:rsid w:val="00C921D0"/>
    <w:rsid w:val="00C926D0"/>
    <w:rsid w:val="00C926F4"/>
    <w:rsid w:val="00C95992"/>
    <w:rsid w:val="00C963AC"/>
    <w:rsid w:val="00C968E6"/>
    <w:rsid w:val="00C96DCC"/>
    <w:rsid w:val="00C97685"/>
    <w:rsid w:val="00CA27AB"/>
    <w:rsid w:val="00CA430A"/>
    <w:rsid w:val="00CA619F"/>
    <w:rsid w:val="00CA77CD"/>
    <w:rsid w:val="00CB063E"/>
    <w:rsid w:val="00CB100E"/>
    <w:rsid w:val="00CB1078"/>
    <w:rsid w:val="00CB3AE5"/>
    <w:rsid w:val="00CB4A0F"/>
    <w:rsid w:val="00CB4A3E"/>
    <w:rsid w:val="00CB6409"/>
    <w:rsid w:val="00CB6EB7"/>
    <w:rsid w:val="00CC0697"/>
    <w:rsid w:val="00CC0C99"/>
    <w:rsid w:val="00CC1C77"/>
    <w:rsid w:val="00CC1E75"/>
    <w:rsid w:val="00CC2A36"/>
    <w:rsid w:val="00CC303A"/>
    <w:rsid w:val="00CC3F7A"/>
    <w:rsid w:val="00CC4C08"/>
    <w:rsid w:val="00CC4C71"/>
    <w:rsid w:val="00CC522D"/>
    <w:rsid w:val="00CC5F20"/>
    <w:rsid w:val="00CC6ACA"/>
    <w:rsid w:val="00CC6D35"/>
    <w:rsid w:val="00CC71D0"/>
    <w:rsid w:val="00CC75E9"/>
    <w:rsid w:val="00CC7ADB"/>
    <w:rsid w:val="00CD0629"/>
    <w:rsid w:val="00CD1DE0"/>
    <w:rsid w:val="00CD3D5F"/>
    <w:rsid w:val="00CD48BC"/>
    <w:rsid w:val="00CD57F5"/>
    <w:rsid w:val="00CD5D2A"/>
    <w:rsid w:val="00CD7D2A"/>
    <w:rsid w:val="00CE1200"/>
    <w:rsid w:val="00CE4A3E"/>
    <w:rsid w:val="00CE5ABC"/>
    <w:rsid w:val="00CE656C"/>
    <w:rsid w:val="00CE7816"/>
    <w:rsid w:val="00CF1C3B"/>
    <w:rsid w:val="00CF27E9"/>
    <w:rsid w:val="00CF4B98"/>
    <w:rsid w:val="00CF6015"/>
    <w:rsid w:val="00CF69E3"/>
    <w:rsid w:val="00CF6C45"/>
    <w:rsid w:val="00CF7EE0"/>
    <w:rsid w:val="00D01477"/>
    <w:rsid w:val="00D02FB4"/>
    <w:rsid w:val="00D04858"/>
    <w:rsid w:val="00D04C97"/>
    <w:rsid w:val="00D05537"/>
    <w:rsid w:val="00D06259"/>
    <w:rsid w:val="00D1065B"/>
    <w:rsid w:val="00D1157C"/>
    <w:rsid w:val="00D133FD"/>
    <w:rsid w:val="00D1433A"/>
    <w:rsid w:val="00D15BA1"/>
    <w:rsid w:val="00D15DF2"/>
    <w:rsid w:val="00D172B8"/>
    <w:rsid w:val="00D21E00"/>
    <w:rsid w:val="00D227D8"/>
    <w:rsid w:val="00D22F67"/>
    <w:rsid w:val="00D2314D"/>
    <w:rsid w:val="00D23615"/>
    <w:rsid w:val="00D26BAB"/>
    <w:rsid w:val="00D26DB8"/>
    <w:rsid w:val="00D271CB"/>
    <w:rsid w:val="00D27A75"/>
    <w:rsid w:val="00D3260F"/>
    <w:rsid w:val="00D33118"/>
    <w:rsid w:val="00D33542"/>
    <w:rsid w:val="00D3362E"/>
    <w:rsid w:val="00D33798"/>
    <w:rsid w:val="00D33B91"/>
    <w:rsid w:val="00D40B25"/>
    <w:rsid w:val="00D41B12"/>
    <w:rsid w:val="00D422EA"/>
    <w:rsid w:val="00D4614D"/>
    <w:rsid w:val="00D47178"/>
    <w:rsid w:val="00D52710"/>
    <w:rsid w:val="00D5276B"/>
    <w:rsid w:val="00D52AC4"/>
    <w:rsid w:val="00D57018"/>
    <w:rsid w:val="00D60B9B"/>
    <w:rsid w:val="00D60E7D"/>
    <w:rsid w:val="00D61CA5"/>
    <w:rsid w:val="00D62A2A"/>
    <w:rsid w:val="00D63516"/>
    <w:rsid w:val="00D653E8"/>
    <w:rsid w:val="00D65A77"/>
    <w:rsid w:val="00D66C81"/>
    <w:rsid w:val="00D67BA0"/>
    <w:rsid w:val="00D717C8"/>
    <w:rsid w:val="00D71C90"/>
    <w:rsid w:val="00D729B6"/>
    <w:rsid w:val="00D72D1D"/>
    <w:rsid w:val="00D73D5F"/>
    <w:rsid w:val="00D73FB3"/>
    <w:rsid w:val="00D80BD4"/>
    <w:rsid w:val="00D81288"/>
    <w:rsid w:val="00D82E7E"/>
    <w:rsid w:val="00D85B9A"/>
    <w:rsid w:val="00D865A1"/>
    <w:rsid w:val="00D877BC"/>
    <w:rsid w:val="00D9314F"/>
    <w:rsid w:val="00D942D8"/>
    <w:rsid w:val="00D957A3"/>
    <w:rsid w:val="00D959A4"/>
    <w:rsid w:val="00D959D5"/>
    <w:rsid w:val="00D97F41"/>
    <w:rsid w:val="00DA0A71"/>
    <w:rsid w:val="00DA0D83"/>
    <w:rsid w:val="00DA4BFF"/>
    <w:rsid w:val="00DB0295"/>
    <w:rsid w:val="00DB0888"/>
    <w:rsid w:val="00DB120B"/>
    <w:rsid w:val="00DB26EB"/>
    <w:rsid w:val="00DB29F3"/>
    <w:rsid w:val="00DB2BE3"/>
    <w:rsid w:val="00DB3A4E"/>
    <w:rsid w:val="00DB4281"/>
    <w:rsid w:val="00DB433E"/>
    <w:rsid w:val="00DB60F3"/>
    <w:rsid w:val="00DB713D"/>
    <w:rsid w:val="00DB721F"/>
    <w:rsid w:val="00DB7C44"/>
    <w:rsid w:val="00DC1505"/>
    <w:rsid w:val="00DC4975"/>
    <w:rsid w:val="00DC59C5"/>
    <w:rsid w:val="00DC6052"/>
    <w:rsid w:val="00DC707A"/>
    <w:rsid w:val="00DC7409"/>
    <w:rsid w:val="00DC76DB"/>
    <w:rsid w:val="00DD0065"/>
    <w:rsid w:val="00DD1045"/>
    <w:rsid w:val="00DD1E1C"/>
    <w:rsid w:val="00DD4097"/>
    <w:rsid w:val="00DD41BE"/>
    <w:rsid w:val="00DD552F"/>
    <w:rsid w:val="00DD58B8"/>
    <w:rsid w:val="00DD6973"/>
    <w:rsid w:val="00DD7538"/>
    <w:rsid w:val="00DE0D8B"/>
    <w:rsid w:val="00DE2E92"/>
    <w:rsid w:val="00DE57D7"/>
    <w:rsid w:val="00DE6396"/>
    <w:rsid w:val="00DE7F05"/>
    <w:rsid w:val="00DF0E40"/>
    <w:rsid w:val="00DF49AC"/>
    <w:rsid w:val="00DF6794"/>
    <w:rsid w:val="00DF6C6A"/>
    <w:rsid w:val="00E00D58"/>
    <w:rsid w:val="00E02497"/>
    <w:rsid w:val="00E0253B"/>
    <w:rsid w:val="00E03288"/>
    <w:rsid w:val="00E04BB3"/>
    <w:rsid w:val="00E04FE9"/>
    <w:rsid w:val="00E054A6"/>
    <w:rsid w:val="00E05E25"/>
    <w:rsid w:val="00E06150"/>
    <w:rsid w:val="00E06771"/>
    <w:rsid w:val="00E119AC"/>
    <w:rsid w:val="00E120C2"/>
    <w:rsid w:val="00E13DE5"/>
    <w:rsid w:val="00E1471C"/>
    <w:rsid w:val="00E151F6"/>
    <w:rsid w:val="00E15471"/>
    <w:rsid w:val="00E15732"/>
    <w:rsid w:val="00E20EAC"/>
    <w:rsid w:val="00E21480"/>
    <w:rsid w:val="00E21A38"/>
    <w:rsid w:val="00E22084"/>
    <w:rsid w:val="00E235F8"/>
    <w:rsid w:val="00E2470E"/>
    <w:rsid w:val="00E24985"/>
    <w:rsid w:val="00E25CB3"/>
    <w:rsid w:val="00E26AE9"/>
    <w:rsid w:val="00E276F1"/>
    <w:rsid w:val="00E3051D"/>
    <w:rsid w:val="00E316B7"/>
    <w:rsid w:val="00E31D05"/>
    <w:rsid w:val="00E3290D"/>
    <w:rsid w:val="00E344B3"/>
    <w:rsid w:val="00E34FCE"/>
    <w:rsid w:val="00E351EE"/>
    <w:rsid w:val="00E355C0"/>
    <w:rsid w:val="00E35CFC"/>
    <w:rsid w:val="00E35FFC"/>
    <w:rsid w:val="00E367AD"/>
    <w:rsid w:val="00E37BE4"/>
    <w:rsid w:val="00E420D5"/>
    <w:rsid w:val="00E43976"/>
    <w:rsid w:val="00E44986"/>
    <w:rsid w:val="00E45FCA"/>
    <w:rsid w:val="00E4633E"/>
    <w:rsid w:val="00E533FA"/>
    <w:rsid w:val="00E54888"/>
    <w:rsid w:val="00E55258"/>
    <w:rsid w:val="00E556ED"/>
    <w:rsid w:val="00E558A3"/>
    <w:rsid w:val="00E56060"/>
    <w:rsid w:val="00E57E12"/>
    <w:rsid w:val="00E61DB1"/>
    <w:rsid w:val="00E61F82"/>
    <w:rsid w:val="00E62F94"/>
    <w:rsid w:val="00E637D4"/>
    <w:rsid w:val="00E645A5"/>
    <w:rsid w:val="00E64A02"/>
    <w:rsid w:val="00E64E8D"/>
    <w:rsid w:val="00E650BB"/>
    <w:rsid w:val="00E65922"/>
    <w:rsid w:val="00E70581"/>
    <w:rsid w:val="00E71A69"/>
    <w:rsid w:val="00E720CD"/>
    <w:rsid w:val="00E72658"/>
    <w:rsid w:val="00E7292A"/>
    <w:rsid w:val="00E72C06"/>
    <w:rsid w:val="00E74F74"/>
    <w:rsid w:val="00E770DE"/>
    <w:rsid w:val="00E77BD7"/>
    <w:rsid w:val="00E77F07"/>
    <w:rsid w:val="00E8051C"/>
    <w:rsid w:val="00E80C75"/>
    <w:rsid w:val="00E80E60"/>
    <w:rsid w:val="00E83FB8"/>
    <w:rsid w:val="00E8444D"/>
    <w:rsid w:val="00E85720"/>
    <w:rsid w:val="00E879E6"/>
    <w:rsid w:val="00E91D8E"/>
    <w:rsid w:val="00E9584B"/>
    <w:rsid w:val="00E96D50"/>
    <w:rsid w:val="00E96E8D"/>
    <w:rsid w:val="00EA048A"/>
    <w:rsid w:val="00EA0DE2"/>
    <w:rsid w:val="00EA16A1"/>
    <w:rsid w:val="00EA26AE"/>
    <w:rsid w:val="00EA2A80"/>
    <w:rsid w:val="00EA39BD"/>
    <w:rsid w:val="00EA3EE6"/>
    <w:rsid w:val="00EA4F10"/>
    <w:rsid w:val="00EA5B76"/>
    <w:rsid w:val="00EA5DDE"/>
    <w:rsid w:val="00EA63A5"/>
    <w:rsid w:val="00EA6715"/>
    <w:rsid w:val="00EB0028"/>
    <w:rsid w:val="00EB270F"/>
    <w:rsid w:val="00EB2998"/>
    <w:rsid w:val="00EB5971"/>
    <w:rsid w:val="00EB6774"/>
    <w:rsid w:val="00EB78BB"/>
    <w:rsid w:val="00EC1C05"/>
    <w:rsid w:val="00EC22F2"/>
    <w:rsid w:val="00EC3811"/>
    <w:rsid w:val="00EC4DB2"/>
    <w:rsid w:val="00EC5D22"/>
    <w:rsid w:val="00EC677C"/>
    <w:rsid w:val="00EC6860"/>
    <w:rsid w:val="00ED12C7"/>
    <w:rsid w:val="00ED227B"/>
    <w:rsid w:val="00ED2C7D"/>
    <w:rsid w:val="00ED4DDE"/>
    <w:rsid w:val="00ED6246"/>
    <w:rsid w:val="00ED69F4"/>
    <w:rsid w:val="00EE00C3"/>
    <w:rsid w:val="00EE0287"/>
    <w:rsid w:val="00EE0F26"/>
    <w:rsid w:val="00EE1121"/>
    <w:rsid w:val="00EE24C3"/>
    <w:rsid w:val="00EE2AFC"/>
    <w:rsid w:val="00EE3C9F"/>
    <w:rsid w:val="00EE3EB4"/>
    <w:rsid w:val="00EE4930"/>
    <w:rsid w:val="00EE4E82"/>
    <w:rsid w:val="00EF03DA"/>
    <w:rsid w:val="00EF4B0F"/>
    <w:rsid w:val="00EF4E49"/>
    <w:rsid w:val="00EF6C7E"/>
    <w:rsid w:val="00EF7037"/>
    <w:rsid w:val="00EF753A"/>
    <w:rsid w:val="00F00635"/>
    <w:rsid w:val="00F02104"/>
    <w:rsid w:val="00F02FCF"/>
    <w:rsid w:val="00F034B3"/>
    <w:rsid w:val="00F03938"/>
    <w:rsid w:val="00F046BA"/>
    <w:rsid w:val="00F047E1"/>
    <w:rsid w:val="00F04C9F"/>
    <w:rsid w:val="00F0516C"/>
    <w:rsid w:val="00F07C67"/>
    <w:rsid w:val="00F127A6"/>
    <w:rsid w:val="00F138FD"/>
    <w:rsid w:val="00F13E0D"/>
    <w:rsid w:val="00F1537C"/>
    <w:rsid w:val="00F17F60"/>
    <w:rsid w:val="00F20120"/>
    <w:rsid w:val="00F224F2"/>
    <w:rsid w:val="00F22C38"/>
    <w:rsid w:val="00F230FD"/>
    <w:rsid w:val="00F237CE"/>
    <w:rsid w:val="00F23B43"/>
    <w:rsid w:val="00F23CD0"/>
    <w:rsid w:val="00F27BB0"/>
    <w:rsid w:val="00F3075D"/>
    <w:rsid w:val="00F30D77"/>
    <w:rsid w:val="00F3108F"/>
    <w:rsid w:val="00F317F7"/>
    <w:rsid w:val="00F319F4"/>
    <w:rsid w:val="00F319F8"/>
    <w:rsid w:val="00F36443"/>
    <w:rsid w:val="00F40854"/>
    <w:rsid w:val="00F41A21"/>
    <w:rsid w:val="00F43136"/>
    <w:rsid w:val="00F4320F"/>
    <w:rsid w:val="00F434CF"/>
    <w:rsid w:val="00F4602A"/>
    <w:rsid w:val="00F47549"/>
    <w:rsid w:val="00F47F1B"/>
    <w:rsid w:val="00F50584"/>
    <w:rsid w:val="00F509E1"/>
    <w:rsid w:val="00F513BB"/>
    <w:rsid w:val="00F533E2"/>
    <w:rsid w:val="00F544C6"/>
    <w:rsid w:val="00F56660"/>
    <w:rsid w:val="00F56CAB"/>
    <w:rsid w:val="00F57A4B"/>
    <w:rsid w:val="00F57C1C"/>
    <w:rsid w:val="00F63E6B"/>
    <w:rsid w:val="00F6648D"/>
    <w:rsid w:val="00F6745E"/>
    <w:rsid w:val="00F675C1"/>
    <w:rsid w:val="00F7173F"/>
    <w:rsid w:val="00F71B65"/>
    <w:rsid w:val="00F738CD"/>
    <w:rsid w:val="00F74026"/>
    <w:rsid w:val="00F75CA2"/>
    <w:rsid w:val="00F75E0A"/>
    <w:rsid w:val="00F760FC"/>
    <w:rsid w:val="00F77DB0"/>
    <w:rsid w:val="00F8011E"/>
    <w:rsid w:val="00F8283F"/>
    <w:rsid w:val="00F8356F"/>
    <w:rsid w:val="00F84819"/>
    <w:rsid w:val="00F8625E"/>
    <w:rsid w:val="00F91B02"/>
    <w:rsid w:val="00F9258E"/>
    <w:rsid w:val="00F92DE3"/>
    <w:rsid w:val="00F9325F"/>
    <w:rsid w:val="00F953E8"/>
    <w:rsid w:val="00F95432"/>
    <w:rsid w:val="00F95C63"/>
    <w:rsid w:val="00F96BD8"/>
    <w:rsid w:val="00F96C20"/>
    <w:rsid w:val="00FA18F9"/>
    <w:rsid w:val="00FA267E"/>
    <w:rsid w:val="00FA32E0"/>
    <w:rsid w:val="00FA3916"/>
    <w:rsid w:val="00FA4EDE"/>
    <w:rsid w:val="00FA5B4C"/>
    <w:rsid w:val="00FA6A91"/>
    <w:rsid w:val="00FB0A7C"/>
    <w:rsid w:val="00FB1524"/>
    <w:rsid w:val="00FB2968"/>
    <w:rsid w:val="00FB4E4E"/>
    <w:rsid w:val="00FB6470"/>
    <w:rsid w:val="00FB676C"/>
    <w:rsid w:val="00FC13D1"/>
    <w:rsid w:val="00FC33A9"/>
    <w:rsid w:val="00FC7F47"/>
    <w:rsid w:val="00FD046D"/>
    <w:rsid w:val="00FD0D23"/>
    <w:rsid w:val="00FD2F67"/>
    <w:rsid w:val="00FD5413"/>
    <w:rsid w:val="00FD725F"/>
    <w:rsid w:val="00FD7CD5"/>
    <w:rsid w:val="00FD7E75"/>
    <w:rsid w:val="00FE0537"/>
    <w:rsid w:val="00FE3041"/>
    <w:rsid w:val="00FE306A"/>
    <w:rsid w:val="00FE4D36"/>
    <w:rsid w:val="00FE5EB7"/>
    <w:rsid w:val="00FF1060"/>
    <w:rsid w:val="00FF10D8"/>
    <w:rsid w:val="00FF1270"/>
    <w:rsid w:val="00FF142F"/>
    <w:rsid w:val="00FF1F1B"/>
    <w:rsid w:val="00FF30DB"/>
    <w:rsid w:val="00FF4BA8"/>
    <w:rsid w:val="00FF4FB4"/>
    <w:rsid w:val="00FF74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2A59E9"/>
  <w15:docId w15:val="{E46E1EF2-9ECD-46C8-BCE8-0C096037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D8"/>
    <w:rPr>
      <w:lang w:val="en-AU"/>
    </w:rPr>
  </w:style>
  <w:style w:type="paragraph" w:styleId="Heading3">
    <w:name w:val="heading 3"/>
    <w:basedOn w:val="Normal"/>
    <w:next w:val="Normal"/>
    <w:link w:val="Heading3Char"/>
    <w:uiPriority w:val="9"/>
    <w:unhideWhenUsed/>
    <w:qFormat/>
    <w:rsid w:val="00945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57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88"/>
    <w:pPr>
      <w:ind w:left="720"/>
      <w:contextualSpacing/>
    </w:pPr>
  </w:style>
  <w:style w:type="paragraph" w:styleId="FootnoteText">
    <w:name w:val="footnote text"/>
    <w:basedOn w:val="Normal"/>
    <w:link w:val="FootnoteTextChar"/>
    <w:uiPriority w:val="99"/>
    <w:semiHidden/>
    <w:unhideWhenUsed/>
    <w:rsid w:val="0000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AB"/>
    <w:rPr>
      <w:sz w:val="20"/>
      <w:szCs w:val="20"/>
    </w:rPr>
  </w:style>
  <w:style w:type="character" w:styleId="FootnoteReference">
    <w:name w:val="footnote reference"/>
    <w:basedOn w:val="DefaultParagraphFont"/>
    <w:uiPriority w:val="99"/>
    <w:semiHidden/>
    <w:unhideWhenUsed/>
    <w:rsid w:val="00002EAB"/>
    <w:rPr>
      <w:vertAlign w:val="superscript"/>
    </w:rPr>
  </w:style>
  <w:style w:type="table" w:styleId="TableGrid">
    <w:name w:val="Table Grid"/>
    <w:basedOn w:val="TableNormal"/>
    <w:uiPriority w:val="39"/>
    <w:rsid w:val="0094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57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575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2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8C"/>
  </w:style>
  <w:style w:type="paragraph" w:styleId="Footer">
    <w:name w:val="footer"/>
    <w:basedOn w:val="Normal"/>
    <w:link w:val="FooterChar"/>
    <w:uiPriority w:val="99"/>
    <w:unhideWhenUsed/>
    <w:rsid w:val="0092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8C"/>
  </w:style>
  <w:style w:type="paragraph" w:styleId="BalloonText">
    <w:name w:val="Balloon Text"/>
    <w:basedOn w:val="Normal"/>
    <w:link w:val="BalloonTextChar"/>
    <w:uiPriority w:val="99"/>
    <w:semiHidden/>
    <w:unhideWhenUsed/>
    <w:rsid w:val="0061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50"/>
    <w:rPr>
      <w:rFonts w:ascii="Segoe UI" w:hAnsi="Segoe UI" w:cs="Segoe UI"/>
      <w:sz w:val="18"/>
      <w:szCs w:val="18"/>
    </w:rPr>
  </w:style>
  <w:style w:type="character" w:styleId="CommentReference">
    <w:name w:val="annotation reference"/>
    <w:basedOn w:val="DefaultParagraphFont"/>
    <w:uiPriority w:val="99"/>
    <w:semiHidden/>
    <w:unhideWhenUsed/>
    <w:rsid w:val="004B5394"/>
    <w:rPr>
      <w:sz w:val="16"/>
      <w:szCs w:val="16"/>
    </w:rPr>
  </w:style>
  <w:style w:type="paragraph" w:styleId="CommentText">
    <w:name w:val="annotation text"/>
    <w:basedOn w:val="Normal"/>
    <w:link w:val="CommentTextChar"/>
    <w:uiPriority w:val="99"/>
    <w:semiHidden/>
    <w:unhideWhenUsed/>
    <w:rsid w:val="004B5394"/>
    <w:pPr>
      <w:spacing w:line="240" w:lineRule="auto"/>
    </w:pPr>
    <w:rPr>
      <w:sz w:val="20"/>
      <w:szCs w:val="20"/>
    </w:rPr>
  </w:style>
  <w:style w:type="character" w:customStyle="1" w:styleId="CommentTextChar">
    <w:name w:val="Comment Text Char"/>
    <w:basedOn w:val="DefaultParagraphFont"/>
    <w:link w:val="CommentText"/>
    <w:uiPriority w:val="99"/>
    <w:semiHidden/>
    <w:rsid w:val="004B5394"/>
    <w:rPr>
      <w:sz w:val="20"/>
      <w:szCs w:val="20"/>
    </w:rPr>
  </w:style>
  <w:style w:type="paragraph" w:styleId="CommentSubject">
    <w:name w:val="annotation subject"/>
    <w:basedOn w:val="CommentText"/>
    <w:next w:val="CommentText"/>
    <w:link w:val="CommentSubjectChar"/>
    <w:uiPriority w:val="99"/>
    <w:semiHidden/>
    <w:unhideWhenUsed/>
    <w:rsid w:val="004B5394"/>
    <w:rPr>
      <w:b/>
      <w:bCs/>
    </w:rPr>
  </w:style>
  <w:style w:type="character" w:customStyle="1" w:styleId="CommentSubjectChar">
    <w:name w:val="Comment Subject Char"/>
    <w:basedOn w:val="CommentTextChar"/>
    <w:link w:val="CommentSubject"/>
    <w:uiPriority w:val="99"/>
    <w:semiHidden/>
    <w:rsid w:val="004B5394"/>
    <w:rPr>
      <w:b/>
      <w:bCs/>
      <w:sz w:val="20"/>
      <w:szCs w:val="20"/>
    </w:rPr>
  </w:style>
  <w:style w:type="paragraph" w:styleId="Revision">
    <w:name w:val="Revision"/>
    <w:hidden/>
    <w:uiPriority w:val="99"/>
    <w:semiHidden/>
    <w:rsid w:val="00334D91"/>
    <w:pPr>
      <w:spacing w:after="0" w:line="240" w:lineRule="auto"/>
    </w:pPr>
  </w:style>
  <w:style w:type="paragraph" w:styleId="EndnoteText">
    <w:name w:val="endnote text"/>
    <w:basedOn w:val="Normal"/>
    <w:link w:val="EndnoteTextChar"/>
    <w:uiPriority w:val="99"/>
    <w:semiHidden/>
    <w:unhideWhenUsed/>
    <w:rsid w:val="000B70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071"/>
    <w:rPr>
      <w:sz w:val="20"/>
      <w:szCs w:val="20"/>
      <w:lang w:val="en-AU"/>
    </w:rPr>
  </w:style>
  <w:style w:type="character" w:styleId="EndnoteReference">
    <w:name w:val="endnote reference"/>
    <w:basedOn w:val="DefaultParagraphFont"/>
    <w:uiPriority w:val="99"/>
    <w:semiHidden/>
    <w:unhideWhenUsed/>
    <w:rsid w:val="000B7071"/>
    <w:rPr>
      <w:vertAlign w:val="superscript"/>
    </w:rPr>
  </w:style>
  <w:style w:type="character" w:styleId="Hyperlink">
    <w:name w:val="Hyperlink"/>
    <w:basedOn w:val="DefaultParagraphFont"/>
    <w:uiPriority w:val="99"/>
    <w:semiHidden/>
    <w:unhideWhenUsed/>
    <w:rsid w:val="00E533FA"/>
    <w:rPr>
      <w:color w:val="0563C1" w:themeColor="hyperlink"/>
      <w:u w:val="single"/>
    </w:rPr>
  </w:style>
  <w:style w:type="paragraph" w:styleId="NormalWeb">
    <w:name w:val="Normal (Web)"/>
    <w:basedOn w:val="Normal"/>
    <w:semiHidden/>
    <w:unhideWhenUsed/>
    <w:rsid w:val="00E533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E533FA"/>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rsid w:val="00E533FA"/>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32186">
      <w:bodyDiv w:val="1"/>
      <w:marLeft w:val="0"/>
      <w:marRight w:val="0"/>
      <w:marTop w:val="0"/>
      <w:marBottom w:val="0"/>
      <w:divBdr>
        <w:top w:val="none" w:sz="0" w:space="0" w:color="auto"/>
        <w:left w:val="none" w:sz="0" w:space="0" w:color="auto"/>
        <w:bottom w:val="none" w:sz="0" w:space="0" w:color="auto"/>
        <w:right w:val="none" w:sz="0" w:space="0" w:color="auto"/>
      </w:divBdr>
      <w:divsChild>
        <w:div w:id="1001589467">
          <w:marLeft w:val="0"/>
          <w:marRight w:val="0"/>
          <w:marTop w:val="0"/>
          <w:marBottom w:val="0"/>
          <w:divBdr>
            <w:top w:val="none" w:sz="0" w:space="0" w:color="auto"/>
            <w:left w:val="none" w:sz="0" w:space="0" w:color="auto"/>
            <w:bottom w:val="none" w:sz="0" w:space="0" w:color="auto"/>
            <w:right w:val="none" w:sz="0" w:space="0" w:color="auto"/>
          </w:divBdr>
        </w:div>
      </w:divsChild>
    </w:div>
    <w:div w:id="295717142">
      <w:bodyDiv w:val="1"/>
      <w:marLeft w:val="0"/>
      <w:marRight w:val="0"/>
      <w:marTop w:val="0"/>
      <w:marBottom w:val="0"/>
      <w:divBdr>
        <w:top w:val="none" w:sz="0" w:space="0" w:color="auto"/>
        <w:left w:val="none" w:sz="0" w:space="0" w:color="auto"/>
        <w:bottom w:val="none" w:sz="0" w:space="0" w:color="auto"/>
        <w:right w:val="none" w:sz="0" w:space="0" w:color="auto"/>
      </w:divBdr>
    </w:div>
    <w:div w:id="379136258">
      <w:bodyDiv w:val="1"/>
      <w:marLeft w:val="0"/>
      <w:marRight w:val="0"/>
      <w:marTop w:val="0"/>
      <w:marBottom w:val="0"/>
      <w:divBdr>
        <w:top w:val="none" w:sz="0" w:space="0" w:color="auto"/>
        <w:left w:val="none" w:sz="0" w:space="0" w:color="auto"/>
        <w:bottom w:val="none" w:sz="0" w:space="0" w:color="auto"/>
        <w:right w:val="none" w:sz="0" w:space="0" w:color="auto"/>
      </w:divBdr>
    </w:div>
    <w:div w:id="425343453">
      <w:bodyDiv w:val="1"/>
      <w:marLeft w:val="0"/>
      <w:marRight w:val="0"/>
      <w:marTop w:val="0"/>
      <w:marBottom w:val="0"/>
      <w:divBdr>
        <w:top w:val="none" w:sz="0" w:space="0" w:color="auto"/>
        <w:left w:val="none" w:sz="0" w:space="0" w:color="auto"/>
        <w:bottom w:val="none" w:sz="0" w:space="0" w:color="auto"/>
        <w:right w:val="none" w:sz="0" w:space="0" w:color="auto"/>
      </w:divBdr>
    </w:div>
    <w:div w:id="514223356">
      <w:bodyDiv w:val="1"/>
      <w:marLeft w:val="0"/>
      <w:marRight w:val="0"/>
      <w:marTop w:val="0"/>
      <w:marBottom w:val="0"/>
      <w:divBdr>
        <w:top w:val="none" w:sz="0" w:space="0" w:color="auto"/>
        <w:left w:val="none" w:sz="0" w:space="0" w:color="auto"/>
        <w:bottom w:val="none" w:sz="0" w:space="0" w:color="auto"/>
        <w:right w:val="none" w:sz="0" w:space="0" w:color="auto"/>
      </w:divBdr>
    </w:div>
    <w:div w:id="718941301">
      <w:bodyDiv w:val="1"/>
      <w:marLeft w:val="0"/>
      <w:marRight w:val="0"/>
      <w:marTop w:val="0"/>
      <w:marBottom w:val="0"/>
      <w:divBdr>
        <w:top w:val="none" w:sz="0" w:space="0" w:color="auto"/>
        <w:left w:val="none" w:sz="0" w:space="0" w:color="auto"/>
        <w:bottom w:val="none" w:sz="0" w:space="0" w:color="auto"/>
        <w:right w:val="none" w:sz="0" w:space="0" w:color="auto"/>
      </w:divBdr>
    </w:div>
    <w:div w:id="856042552">
      <w:bodyDiv w:val="1"/>
      <w:marLeft w:val="0"/>
      <w:marRight w:val="0"/>
      <w:marTop w:val="0"/>
      <w:marBottom w:val="0"/>
      <w:divBdr>
        <w:top w:val="none" w:sz="0" w:space="0" w:color="auto"/>
        <w:left w:val="none" w:sz="0" w:space="0" w:color="auto"/>
        <w:bottom w:val="none" w:sz="0" w:space="0" w:color="auto"/>
        <w:right w:val="none" w:sz="0" w:space="0" w:color="auto"/>
      </w:divBdr>
    </w:div>
    <w:div w:id="911157791">
      <w:bodyDiv w:val="1"/>
      <w:marLeft w:val="0"/>
      <w:marRight w:val="0"/>
      <w:marTop w:val="0"/>
      <w:marBottom w:val="0"/>
      <w:divBdr>
        <w:top w:val="none" w:sz="0" w:space="0" w:color="auto"/>
        <w:left w:val="none" w:sz="0" w:space="0" w:color="auto"/>
        <w:bottom w:val="none" w:sz="0" w:space="0" w:color="auto"/>
        <w:right w:val="none" w:sz="0" w:space="0" w:color="auto"/>
      </w:divBdr>
    </w:div>
    <w:div w:id="921138128">
      <w:bodyDiv w:val="1"/>
      <w:marLeft w:val="0"/>
      <w:marRight w:val="0"/>
      <w:marTop w:val="0"/>
      <w:marBottom w:val="0"/>
      <w:divBdr>
        <w:top w:val="none" w:sz="0" w:space="0" w:color="auto"/>
        <w:left w:val="none" w:sz="0" w:space="0" w:color="auto"/>
        <w:bottom w:val="none" w:sz="0" w:space="0" w:color="auto"/>
        <w:right w:val="none" w:sz="0" w:space="0" w:color="auto"/>
      </w:divBdr>
    </w:div>
    <w:div w:id="921791905">
      <w:bodyDiv w:val="1"/>
      <w:marLeft w:val="0"/>
      <w:marRight w:val="0"/>
      <w:marTop w:val="0"/>
      <w:marBottom w:val="0"/>
      <w:divBdr>
        <w:top w:val="none" w:sz="0" w:space="0" w:color="auto"/>
        <w:left w:val="none" w:sz="0" w:space="0" w:color="auto"/>
        <w:bottom w:val="none" w:sz="0" w:space="0" w:color="auto"/>
        <w:right w:val="none" w:sz="0" w:space="0" w:color="auto"/>
      </w:divBdr>
    </w:div>
    <w:div w:id="1128010298">
      <w:bodyDiv w:val="1"/>
      <w:marLeft w:val="0"/>
      <w:marRight w:val="0"/>
      <w:marTop w:val="0"/>
      <w:marBottom w:val="0"/>
      <w:divBdr>
        <w:top w:val="none" w:sz="0" w:space="0" w:color="auto"/>
        <w:left w:val="none" w:sz="0" w:space="0" w:color="auto"/>
        <w:bottom w:val="none" w:sz="0" w:space="0" w:color="auto"/>
        <w:right w:val="none" w:sz="0" w:space="0" w:color="auto"/>
      </w:divBdr>
    </w:div>
    <w:div w:id="1151021141">
      <w:bodyDiv w:val="1"/>
      <w:marLeft w:val="0"/>
      <w:marRight w:val="0"/>
      <w:marTop w:val="0"/>
      <w:marBottom w:val="0"/>
      <w:divBdr>
        <w:top w:val="none" w:sz="0" w:space="0" w:color="auto"/>
        <w:left w:val="none" w:sz="0" w:space="0" w:color="auto"/>
        <w:bottom w:val="none" w:sz="0" w:space="0" w:color="auto"/>
        <w:right w:val="none" w:sz="0" w:space="0" w:color="auto"/>
      </w:divBdr>
    </w:div>
    <w:div w:id="1157067208">
      <w:bodyDiv w:val="1"/>
      <w:marLeft w:val="0"/>
      <w:marRight w:val="0"/>
      <w:marTop w:val="0"/>
      <w:marBottom w:val="0"/>
      <w:divBdr>
        <w:top w:val="none" w:sz="0" w:space="0" w:color="auto"/>
        <w:left w:val="none" w:sz="0" w:space="0" w:color="auto"/>
        <w:bottom w:val="none" w:sz="0" w:space="0" w:color="auto"/>
        <w:right w:val="none" w:sz="0" w:space="0" w:color="auto"/>
      </w:divBdr>
    </w:div>
    <w:div w:id="1426658448">
      <w:bodyDiv w:val="1"/>
      <w:marLeft w:val="0"/>
      <w:marRight w:val="0"/>
      <w:marTop w:val="0"/>
      <w:marBottom w:val="0"/>
      <w:divBdr>
        <w:top w:val="none" w:sz="0" w:space="0" w:color="auto"/>
        <w:left w:val="none" w:sz="0" w:space="0" w:color="auto"/>
        <w:bottom w:val="none" w:sz="0" w:space="0" w:color="auto"/>
        <w:right w:val="none" w:sz="0" w:space="0" w:color="auto"/>
      </w:divBdr>
    </w:div>
    <w:div w:id="1572931035">
      <w:bodyDiv w:val="1"/>
      <w:marLeft w:val="0"/>
      <w:marRight w:val="0"/>
      <w:marTop w:val="0"/>
      <w:marBottom w:val="0"/>
      <w:divBdr>
        <w:top w:val="none" w:sz="0" w:space="0" w:color="auto"/>
        <w:left w:val="none" w:sz="0" w:space="0" w:color="auto"/>
        <w:bottom w:val="none" w:sz="0" w:space="0" w:color="auto"/>
        <w:right w:val="none" w:sz="0" w:space="0" w:color="auto"/>
      </w:divBdr>
    </w:div>
    <w:div w:id="1584874448">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10717797">
      <w:bodyDiv w:val="1"/>
      <w:marLeft w:val="0"/>
      <w:marRight w:val="0"/>
      <w:marTop w:val="0"/>
      <w:marBottom w:val="0"/>
      <w:divBdr>
        <w:top w:val="none" w:sz="0" w:space="0" w:color="auto"/>
        <w:left w:val="none" w:sz="0" w:space="0" w:color="auto"/>
        <w:bottom w:val="none" w:sz="0" w:space="0" w:color="auto"/>
        <w:right w:val="none" w:sz="0" w:space="0" w:color="auto"/>
      </w:divBdr>
    </w:div>
    <w:div w:id="2011515750">
      <w:bodyDiv w:val="1"/>
      <w:marLeft w:val="0"/>
      <w:marRight w:val="0"/>
      <w:marTop w:val="0"/>
      <w:marBottom w:val="0"/>
      <w:divBdr>
        <w:top w:val="none" w:sz="0" w:space="0" w:color="auto"/>
        <w:left w:val="none" w:sz="0" w:space="0" w:color="auto"/>
        <w:bottom w:val="none" w:sz="0" w:space="0" w:color="auto"/>
        <w:right w:val="none" w:sz="0" w:space="0" w:color="auto"/>
      </w:divBdr>
    </w:div>
    <w:div w:id="21300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F42C-CB14-4FBD-ABA9-950A2D08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38</Pages>
  <Words>13734</Words>
  <Characters>78288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dc:creator>
  <cp:keywords/>
  <dc:description/>
  <cp:lastModifiedBy>silverab71@gmail.com</cp:lastModifiedBy>
  <cp:revision>122</cp:revision>
  <cp:lastPrinted>2020-04-17T06:02:00Z</cp:lastPrinted>
  <dcterms:created xsi:type="dcterms:W3CDTF">2020-05-12T23:19:00Z</dcterms:created>
  <dcterms:modified xsi:type="dcterms:W3CDTF">2020-06-16T22:29:00Z</dcterms:modified>
</cp:coreProperties>
</file>