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4FD76" w14:textId="77777777" w:rsidR="00BA4134" w:rsidRDefault="00BA4134" w:rsidP="00260D7D">
      <w:pPr>
        <w:tabs>
          <w:tab w:val="left" w:pos="567"/>
        </w:tabs>
        <w:spacing w:after="0" w:line="288" w:lineRule="auto"/>
        <w:jc w:val="center"/>
        <w:rPr>
          <w:rFonts w:asciiTheme="majorBidi" w:hAnsiTheme="majorBidi" w:cstheme="majorBidi"/>
          <w:b/>
          <w:sz w:val="28"/>
        </w:rPr>
      </w:pPr>
    </w:p>
    <w:p w14:paraId="7C6A8EA6" w14:textId="77777777" w:rsidR="00BA4134" w:rsidRDefault="00BA4134" w:rsidP="00260D7D">
      <w:pPr>
        <w:tabs>
          <w:tab w:val="left" w:pos="567"/>
        </w:tabs>
        <w:spacing w:after="0" w:line="288" w:lineRule="auto"/>
        <w:jc w:val="center"/>
        <w:rPr>
          <w:rFonts w:asciiTheme="majorBidi" w:hAnsiTheme="majorBidi" w:cstheme="majorBidi"/>
          <w:b/>
          <w:sz w:val="28"/>
        </w:rPr>
      </w:pPr>
    </w:p>
    <w:p w14:paraId="660CC6E0" w14:textId="621C8D6E" w:rsidR="003906F3" w:rsidRDefault="003906F3" w:rsidP="00260D7D">
      <w:pPr>
        <w:tabs>
          <w:tab w:val="left" w:pos="567"/>
        </w:tabs>
        <w:spacing w:after="0" w:line="288" w:lineRule="auto"/>
        <w:jc w:val="center"/>
        <w:rPr>
          <w:rFonts w:asciiTheme="majorBidi" w:hAnsiTheme="majorBidi" w:cstheme="majorBidi"/>
          <w:b/>
          <w:sz w:val="28"/>
        </w:rPr>
      </w:pPr>
      <w:r>
        <w:rPr>
          <w:rFonts w:asciiTheme="majorBidi" w:hAnsiTheme="majorBidi" w:cstheme="majorBidi"/>
          <w:b/>
          <w:sz w:val="28"/>
        </w:rPr>
        <w:t>UNIVERSITY OF WAIKATO</w:t>
      </w:r>
    </w:p>
    <w:p w14:paraId="13365A91" w14:textId="77777777" w:rsidR="003906F3" w:rsidRDefault="003906F3" w:rsidP="00260D7D">
      <w:pPr>
        <w:pStyle w:val="PlainText"/>
        <w:tabs>
          <w:tab w:val="left" w:pos="284"/>
          <w:tab w:val="left" w:pos="567"/>
        </w:tabs>
        <w:spacing w:line="288" w:lineRule="auto"/>
        <w:jc w:val="center"/>
        <w:rPr>
          <w:rFonts w:asciiTheme="majorBidi" w:hAnsiTheme="majorBidi" w:cstheme="majorBidi"/>
          <w:b/>
          <w:sz w:val="14"/>
          <w:szCs w:val="14"/>
        </w:rPr>
      </w:pPr>
    </w:p>
    <w:p w14:paraId="273D2254" w14:textId="77777777" w:rsidR="003906F3" w:rsidRDefault="003906F3" w:rsidP="00260D7D">
      <w:pPr>
        <w:pStyle w:val="PlainText"/>
        <w:tabs>
          <w:tab w:val="left" w:pos="284"/>
          <w:tab w:val="left" w:pos="567"/>
        </w:tabs>
        <w:spacing w:line="288" w:lineRule="auto"/>
        <w:jc w:val="center"/>
        <w:rPr>
          <w:rFonts w:asciiTheme="majorBidi" w:hAnsiTheme="majorBidi" w:cstheme="majorBidi"/>
          <w:b/>
          <w:sz w:val="28"/>
        </w:rPr>
      </w:pPr>
      <w:smartTag w:uri="urn:schemas-microsoft-com:office:smarttags" w:element="City">
        <w:smartTag w:uri="urn:schemas-microsoft-com:office:smarttags" w:element="place">
          <w:r>
            <w:rPr>
              <w:rFonts w:asciiTheme="majorBidi" w:hAnsiTheme="majorBidi" w:cstheme="majorBidi"/>
              <w:b/>
              <w:sz w:val="28"/>
            </w:rPr>
            <w:t>Hamilton</w:t>
          </w:r>
        </w:smartTag>
      </w:smartTag>
    </w:p>
    <w:p w14:paraId="6F5AA616" w14:textId="77777777" w:rsidR="003906F3" w:rsidRDefault="003906F3" w:rsidP="00260D7D">
      <w:pPr>
        <w:pStyle w:val="PlainText"/>
        <w:tabs>
          <w:tab w:val="left" w:pos="284"/>
          <w:tab w:val="left" w:pos="567"/>
        </w:tabs>
        <w:spacing w:line="288" w:lineRule="auto"/>
        <w:jc w:val="center"/>
        <w:rPr>
          <w:rFonts w:asciiTheme="majorBidi" w:hAnsiTheme="majorBidi" w:cstheme="majorBidi"/>
          <w:b/>
          <w:sz w:val="28"/>
        </w:rPr>
      </w:pPr>
      <w:smartTag w:uri="urn:schemas-microsoft-com:office:smarttags" w:element="country-region">
        <w:smartTag w:uri="urn:schemas-microsoft-com:office:smarttags" w:element="place">
          <w:r>
            <w:rPr>
              <w:rFonts w:asciiTheme="majorBidi" w:hAnsiTheme="majorBidi" w:cstheme="majorBidi"/>
              <w:b/>
              <w:sz w:val="28"/>
            </w:rPr>
            <w:t>New Zealand</w:t>
          </w:r>
        </w:smartTag>
      </w:smartTag>
    </w:p>
    <w:p w14:paraId="03A29554" w14:textId="77777777" w:rsidR="003906F3" w:rsidRDefault="003906F3" w:rsidP="00260D7D">
      <w:pPr>
        <w:pStyle w:val="PlainText"/>
        <w:tabs>
          <w:tab w:val="left" w:pos="284"/>
          <w:tab w:val="left" w:pos="567"/>
        </w:tabs>
        <w:spacing w:line="288" w:lineRule="auto"/>
        <w:jc w:val="center"/>
        <w:rPr>
          <w:rFonts w:asciiTheme="majorBidi" w:hAnsiTheme="majorBidi" w:cstheme="majorBidi"/>
          <w:b/>
          <w:sz w:val="28"/>
        </w:rPr>
      </w:pPr>
    </w:p>
    <w:p w14:paraId="0F476A65" w14:textId="77777777" w:rsidR="003906F3" w:rsidRDefault="003906F3" w:rsidP="00260D7D">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heme="majorBidi" w:hAnsiTheme="majorBidi" w:cstheme="majorBidi"/>
          <w:b/>
          <w:sz w:val="24"/>
          <w:szCs w:val="24"/>
        </w:rPr>
      </w:pPr>
    </w:p>
    <w:p w14:paraId="41C964FB" w14:textId="2331B29C" w:rsidR="003906F3" w:rsidRDefault="003906F3" w:rsidP="00260D7D">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heme="majorBidi" w:hAnsiTheme="majorBidi" w:cstheme="majorBidi"/>
          <w:b/>
          <w:sz w:val="28"/>
          <w:szCs w:val="28"/>
        </w:rPr>
      </w:pPr>
      <w:r>
        <w:rPr>
          <w:rFonts w:asciiTheme="majorBidi" w:hAnsiTheme="majorBidi" w:cstheme="majorBidi"/>
          <w:b/>
          <w:sz w:val="28"/>
          <w:szCs w:val="28"/>
        </w:rPr>
        <w:t>The Role of Corporate Governance and Estimation Methods</w:t>
      </w:r>
    </w:p>
    <w:p w14:paraId="6633C52D" w14:textId="6666B6A2" w:rsidR="003906F3" w:rsidRDefault="003906F3" w:rsidP="00260D7D">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heme="majorBidi" w:hAnsiTheme="majorBidi" w:cstheme="majorBidi"/>
          <w:b/>
          <w:sz w:val="28"/>
          <w:szCs w:val="28"/>
        </w:rPr>
      </w:pPr>
      <w:r>
        <w:rPr>
          <w:rFonts w:asciiTheme="majorBidi" w:hAnsiTheme="majorBidi" w:cstheme="majorBidi"/>
          <w:b/>
          <w:sz w:val="28"/>
          <w:szCs w:val="28"/>
        </w:rPr>
        <w:t>in Predicting Bankruptcy</w:t>
      </w:r>
    </w:p>
    <w:p w14:paraId="6B2040F0" w14:textId="77777777" w:rsidR="003906F3" w:rsidRDefault="003906F3" w:rsidP="00260D7D">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heme="majorBidi" w:hAnsiTheme="majorBidi" w:cstheme="majorBidi"/>
          <w:b/>
          <w:sz w:val="14"/>
          <w:szCs w:val="14"/>
        </w:rPr>
      </w:pPr>
    </w:p>
    <w:p w14:paraId="4F681F1D" w14:textId="77777777" w:rsidR="003906F3" w:rsidRDefault="003906F3" w:rsidP="00260D7D">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heme="majorBidi" w:hAnsiTheme="majorBidi" w:cstheme="majorBidi"/>
          <w:bCs/>
          <w:sz w:val="28"/>
          <w:szCs w:val="28"/>
        </w:rPr>
      </w:pPr>
      <w:r>
        <w:rPr>
          <w:rFonts w:asciiTheme="majorBidi" w:hAnsiTheme="majorBidi" w:cstheme="majorBidi"/>
          <w:bCs/>
          <w:sz w:val="28"/>
          <w:szCs w:val="28"/>
        </w:rPr>
        <w:t>Nawaf Almaskati,  Ron Bird,  Yue Lu  and  Danny Yeung</w:t>
      </w:r>
    </w:p>
    <w:p w14:paraId="687E72F9" w14:textId="77777777" w:rsidR="003906F3" w:rsidRDefault="003906F3" w:rsidP="00260D7D">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heme="majorBidi" w:hAnsiTheme="majorBidi" w:cstheme="majorBidi"/>
          <w:bCs/>
          <w:i/>
          <w:iCs/>
          <w:sz w:val="24"/>
          <w:szCs w:val="24"/>
        </w:rPr>
      </w:pPr>
    </w:p>
    <w:p w14:paraId="560DB9AF" w14:textId="77777777" w:rsidR="003906F3" w:rsidRDefault="003906F3" w:rsidP="00260D7D">
      <w:pPr>
        <w:pStyle w:val="PlainText"/>
        <w:tabs>
          <w:tab w:val="left" w:pos="284"/>
          <w:tab w:val="left" w:pos="567"/>
        </w:tabs>
        <w:spacing w:line="288" w:lineRule="auto"/>
        <w:jc w:val="both"/>
        <w:rPr>
          <w:rFonts w:asciiTheme="majorBidi" w:hAnsiTheme="majorBidi" w:cstheme="majorBidi"/>
          <w:b/>
        </w:rPr>
      </w:pPr>
    </w:p>
    <w:p w14:paraId="679958BF" w14:textId="77777777" w:rsidR="003906F3" w:rsidRDefault="003906F3" w:rsidP="00260D7D">
      <w:pPr>
        <w:pStyle w:val="PlainText"/>
        <w:tabs>
          <w:tab w:val="left" w:pos="284"/>
          <w:tab w:val="left" w:pos="567"/>
        </w:tabs>
        <w:spacing w:line="288" w:lineRule="auto"/>
        <w:jc w:val="center"/>
        <w:rPr>
          <w:rFonts w:asciiTheme="majorBidi" w:hAnsiTheme="majorBidi" w:cstheme="majorBidi"/>
          <w:b/>
          <w:bCs/>
          <w:sz w:val="28"/>
        </w:rPr>
      </w:pPr>
    </w:p>
    <w:p w14:paraId="00EE7FFE" w14:textId="77777777" w:rsidR="003906F3" w:rsidRDefault="003906F3" w:rsidP="00260D7D">
      <w:pPr>
        <w:pStyle w:val="PlainText"/>
        <w:tabs>
          <w:tab w:val="left" w:pos="284"/>
          <w:tab w:val="left" w:pos="567"/>
        </w:tabs>
        <w:spacing w:line="288" w:lineRule="auto"/>
        <w:jc w:val="center"/>
        <w:rPr>
          <w:rFonts w:asciiTheme="majorBidi" w:hAnsiTheme="majorBidi" w:cstheme="majorBidi"/>
          <w:b/>
          <w:bCs/>
          <w:sz w:val="28"/>
        </w:rPr>
      </w:pPr>
    </w:p>
    <w:p w14:paraId="58B0D644" w14:textId="6B564393" w:rsidR="003906F3" w:rsidRDefault="003906F3" w:rsidP="00260D7D">
      <w:pPr>
        <w:pStyle w:val="PlainText"/>
        <w:tabs>
          <w:tab w:val="left" w:pos="284"/>
          <w:tab w:val="left" w:pos="567"/>
        </w:tabs>
        <w:spacing w:line="288" w:lineRule="auto"/>
        <w:jc w:val="center"/>
        <w:rPr>
          <w:rFonts w:asciiTheme="majorBidi" w:hAnsiTheme="majorBidi" w:cstheme="majorBidi"/>
          <w:b/>
          <w:bCs/>
          <w:sz w:val="28"/>
        </w:rPr>
      </w:pPr>
      <w:r>
        <w:rPr>
          <w:rFonts w:asciiTheme="majorBidi" w:hAnsiTheme="majorBidi" w:cstheme="majorBidi"/>
          <w:b/>
          <w:bCs/>
          <w:sz w:val="28"/>
        </w:rPr>
        <w:t>Working Paper in Economics 16/19</w:t>
      </w:r>
    </w:p>
    <w:p w14:paraId="1318C1E1" w14:textId="77777777" w:rsidR="003906F3" w:rsidRDefault="003906F3" w:rsidP="00260D7D">
      <w:pPr>
        <w:pStyle w:val="PlainText"/>
        <w:tabs>
          <w:tab w:val="left" w:pos="284"/>
          <w:tab w:val="left" w:pos="567"/>
        </w:tabs>
        <w:spacing w:line="288" w:lineRule="auto"/>
        <w:jc w:val="center"/>
        <w:rPr>
          <w:rFonts w:asciiTheme="majorBidi" w:hAnsiTheme="majorBidi" w:cstheme="majorBidi"/>
          <w:b/>
          <w:bCs/>
          <w:sz w:val="28"/>
        </w:rPr>
      </w:pPr>
    </w:p>
    <w:p w14:paraId="37D28525" w14:textId="77777777" w:rsidR="003906F3" w:rsidRDefault="003906F3" w:rsidP="00260D7D">
      <w:pPr>
        <w:pStyle w:val="PlainText"/>
        <w:tabs>
          <w:tab w:val="left" w:pos="284"/>
          <w:tab w:val="left" w:pos="567"/>
        </w:tabs>
        <w:spacing w:line="288" w:lineRule="auto"/>
        <w:jc w:val="center"/>
        <w:rPr>
          <w:rFonts w:asciiTheme="majorBidi" w:hAnsiTheme="majorBidi" w:cstheme="majorBidi"/>
          <w:sz w:val="28"/>
        </w:rPr>
      </w:pPr>
      <w:r>
        <w:rPr>
          <w:rFonts w:asciiTheme="majorBidi" w:hAnsiTheme="majorBidi" w:cstheme="majorBidi"/>
          <w:sz w:val="28"/>
        </w:rPr>
        <w:t>July 2019</w:t>
      </w:r>
    </w:p>
    <w:p w14:paraId="224A9CF5" w14:textId="77777777" w:rsidR="003906F3" w:rsidRDefault="003906F3" w:rsidP="00260D7D">
      <w:pPr>
        <w:pStyle w:val="PlainText"/>
        <w:tabs>
          <w:tab w:val="left" w:pos="284"/>
          <w:tab w:val="left" w:pos="567"/>
        </w:tabs>
        <w:spacing w:line="288" w:lineRule="auto"/>
        <w:jc w:val="center"/>
        <w:rPr>
          <w:rFonts w:asciiTheme="majorBidi" w:hAnsiTheme="majorBidi" w:cstheme="majorBidi"/>
          <w:sz w:val="28"/>
        </w:rPr>
      </w:pPr>
    </w:p>
    <w:p w14:paraId="2374258B" w14:textId="77777777" w:rsidR="003906F3" w:rsidRDefault="003906F3" w:rsidP="00260D7D">
      <w:pPr>
        <w:pStyle w:val="PlainText"/>
        <w:tabs>
          <w:tab w:val="left" w:pos="284"/>
          <w:tab w:val="left" w:pos="567"/>
        </w:tabs>
        <w:spacing w:line="288" w:lineRule="auto"/>
        <w:jc w:val="center"/>
        <w:rPr>
          <w:rFonts w:asciiTheme="majorBidi" w:hAnsiTheme="majorBidi" w:cstheme="majorBidi"/>
          <w:sz w:val="28"/>
        </w:rPr>
      </w:pPr>
    </w:p>
    <w:p w14:paraId="39D1045D" w14:textId="77777777" w:rsidR="003906F3" w:rsidRDefault="003906F3" w:rsidP="00260D7D">
      <w:pPr>
        <w:pStyle w:val="PlainText"/>
        <w:tabs>
          <w:tab w:val="left" w:pos="284"/>
          <w:tab w:val="left" w:pos="567"/>
        </w:tabs>
        <w:spacing w:line="288" w:lineRule="auto"/>
        <w:jc w:val="center"/>
        <w:rPr>
          <w:rFonts w:asciiTheme="majorBidi" w:hAnsiTheme="majorBidi" w:cstheme="majorBidi"/>
          <w:bCs/>
          <w:i/>
          <w:sz w:val="24"/>
          <w:szCs w:val="24"/>
        </w:rPr>
      </w:pPr>
      <w:r>
        <w:rPr>
          <w:rFonts w:asciiTheme="majorBidi" w:hAnsiTheme="majorBidi" w:cstheme="majorBidi"/>
          <w:bCs/>
          <w:i/>
          <w:sz w:val="24"/>
          <w:szCs w:val="24"/>
        </w:rPr>
        <w:t>Corresponding Author</w:t>
      </w:r>
    </w:p>
    <w:p w14:paraId="22A12679" w14:textId="77777777" w:rsidR="003906F3" w:rsidRDefault="003906F3" w:rsidP="00260D7D">
      <w:pPr>
        <w:pStyle w:val="PlainText"/>
        <w:tabs>
          <w:tab w:val="left" w:pos="284"/>
          <w:tab w:val="left" w:pos="567"/>
        </w:tabs>
        <w:spacing w:line="288" w:lineRule="auto"/>
        <w:jc w:val="center"/>
        <w:rPr>
          <w:rFonts w:asciiTheme="majorBidi" w:hAnsiTheme="majorBidi" w:cstheme="majorBidi"/>
          <w:b/>
          <w:bCs/>
          <w:sz w:val="8"/>
          <w:szCs w:val="8"/>
        </w:rPr>
      </w:pPr>
    </w:p>
    <w:p w14:paraId="1B4DBCC3" w14:textId="77777777" w:rsidR="003906F3" w:rsidRDefault="003906F3" w:rsidP="00260D7D">
      <w:pPr>
        <w:pStyle w:val="PlainText"/>
        <w:tabs>
          <w:tab w:val="left" w:pos="284"/>
          <w:tab w:val="left" w:pos="567"/>
        </w:tabs>
        <w:spacing w:line="288" w:lineRule="auto"/>
        <w:jc w:val="center"/>
        <w:rPr>
          <w:rFonts w:ascii="Times New Roman" w:hAnsi="Times New Roman" w:cs="Times New Roman"/>
          <w:sz w:val="24"/>
          <w:szCs w:val="24"/>
        </w:rPr>
      </w:pPr>
      <w:r>
        <w:rPr>
          <w:rFonts w:asciiTheme="majorBidi" w:hAnsiTheme="majorBidi" w:cstheme="majorBidi"/>
          <w:bCs/>
          <w:sz w:val="24"/>
          <w:szCs w:val="24"/>
        </w:rPr>
        <w:t>Nawaf Almaskati (</w:t>
      </w:r>
      <w:r w:rsidRPr="008F42C0">
        <w:rPr>
          <w:rFonts w:ascii="Times New Roman" w:hAnsi="Times New Roman" w:cs="Times New Roman"/>
          <w:sz w:val="24"/>
          <w:szCs w:val="24"/>
        </w:rPr>
        <w:t>nawafmask@hotmail.com</w:t>
      </w:r>
      <w:r>
        <w:rPr>
          <w:rFonts w:ascii="Times New Roman" w:hAnsi="Times New Roman" w:cs="Times New Roman"/>
          <w:sz w:val="24"/>
          <w:szCs w:val="24"/>
        </w:rPr>
        <w:t>)</w:t>
      </w:r>
    </w:p>
    <w:p w14:paraId="104F3F4A" w14:textId="77777777" w:rsidR="003906F3" w:rsidRPr="00C8428E" w:rsidRDefault="003906F3" w:rsidP="00260D7D">
      <w:pPr>
        <w:pStyle w:val="PlainText"/>
        <w:tabs>
          <w:tab w:val="left" w:pos="284"/>
          <w:tab w:val="left" w:pos="567"/>
        </w:tabs>
        <w:spacing w:line="288" w:lineRule="auto"/>
        <w:jc w:val="center"/>
        <w:rPr>
          <w:rFonts w:asciiTheme="majorBidi" w:hAnsiTheme="majorBidi" w:cstheme="majorBidi"/>
          <w:bCs/>
          <w:sz w:val="12"/>
          <w:szCs w:val="12"/>
        </w:rPr>
      </w:pPr>
    </w:p>
    <w:p w14:paraId="4B3BA112" w14:textId="77777777" w:rsidR="003906F3" w:rsidRDefault="003906F3" w:rsidP="00260D7D">
      <w:pPr>
        <w:pStyle w:val="PlainText"/>
        <w:tabs>
          <w:tab w:val="left" w:pos="284"/>
          <w:tab w:val="left" w:pos="567"/>
        </w:tabs>
        <w:spacing w:line="288" w:lineRule="auto"/>
        <w:jc w:val="center"/>
        <w:rPr>
          <w:rFonts w:asciiTheme="majorBidi" w:hAnsiTheme="majorBidi" w:cstheme="majorBidi"/>
          <w:sz w:val="24"/>
          <w:szCs w:val="24"/>
        </w:rPr>
      </w:pPr>
      <w:r>
        <w:rPr>
          <w:rFonts w:asciiTheme="majorBidi" w:hAnsiTheme="majorBidi" w:cstheme="majorBidi"/>
          <w:bCs/>
          <w:sz w:val="24"/>
          <w:szCs w:val="24"/>
        </w:rPr>
        <w:t>Ron Bird (</w:t>
      </w:r>
      <w:r>
        <w:rPr>
          <w:rFonts w:asciiTheme="majorBidi" w:hAnsiTheme="majorBidi" w:cstheme="majorBidi"/>
          <w:sz w:val="24"/>
          <w:szCs w:val="24"/>
        </w:rPr>
        <w:t xml:space="preserve">ronbird@waikato.ac.nz) </w:t>
      </w:r>
    </w:p>
    <w:p w14:paraId="499F094E" w14:textId="77777777" w:rsidR="003906F3" w:rsidRPr="008F42C0" w:rsidRDefault="003906F3" w:rsidP="00260D7D">
      <w:pPr>
        <w:tabs>
          <w:tab w:val="left" w:pos="567"/>
        </w:tabs>
        <w:autoSpaceDE w:val="0"/>
        <w:autoSpaceDN w:val="0"/>
        <w:adjustRightInd w:val="0"/>
        <w:spacing w:after="0" w:line="288" w:lineRule="auto"/>
        <w:jc w:val="center"/>
        <w:rPr>
          <w:rFonts w:asciiTheme="majorBidi" w:hAnsiTheme="majorBidi" w:cstheme="majorBidi"/>
          <w:sz w:val="6"/>
          <w:szCs w:val="6"/>
        </w:rPr>
      </w:pPr>
    </w:p>
    <w:p w14:paraId="7534C009" w14:textId="77777777" w:rsidR="003906F3" w:rsidRPr="00D02FF4" w:rsidRDefault="003906F3" w:rsidP="00260D7D">
      <w:pPr>
        <w:pStyle w:val="PlainText"/>
        <w:tabs>
          <w:tab w:val="left" w:pos="284"/>
          <w:tab w:val="left" w:pos="567"/>
        </w:tabs>
        <w:spacing w:line="288" w:lineRule="auto"/>
        <w:jc w:val="center"/>
        <w:rPr>
          <w:rFonts w:asciiTheme="majorBidi" w:hAnsiTheme="majorBidi" w:cstheme="majorBidi"/>
          <w:sz w:val="24"/>
          <w:szCs w:val="24"/>
          <w:lang w:val="en-NZ"/>
        </w:rPr>
      </w:pPr>
      <w:r w:rsidRPr="00D02FF4">
        <w:rPr>
          <w:rFonts w:asciiTheme="majorBidi" w:hAnsiTheme="majorBidi" w:cstheme="majorBidi"/>
          <w:bCs/>
          <w:sz w:val="24"/>
          <w:szCs w:val="24"/>
          <w:lang w:val="en-NZ"/>
        </w:rPr>
        <w:t>Yue Lu (susanna.lu</w:t>
      </w:r>
      <w:r w:rsidRPr="00D02FF4">
        <w:rPr>
          <w:rFonts w:asciiTheme="majorBidi" w:hAnsiTheme="majorBidi" w:cstheme="majorBidi"/>
          <w:sz w:val="24"/>
          <w:szCs w:val="24"/>
          <w:lang w:val="en-NZ"/>
        </w:rPr>
        <w:t>@waikato.ac.nz)</w:t>
      </w:r>
    </w:p>
    <w:p w14:paraId="03B81D26" w14:textId="77777777" w:rsidR="003906F3" w:rsidRPr="00D02FF4" w:rsidRDefault="003906F3" w:rsidP="00260D7D">
      <w:pPr>
        <w:pStyle w:val="PlainText"/>
        <w:tabs>
          <w:tab w:val="left" w:pos="284"/>
          <w:tab w:val="left" w:pos="567"/>
        </w:tabs>
        <w:spacing w:line="288" w:lineRule="auto"/>
        <w:jc w:val="center"/>
        <w:rPr>
          <w:rFonts w:asciiTheme="majorBidi" w:hAnsiTheme="majorBidi" w:cstheme="majorBidi"/>
          <w:sz w:val="6"/>
          <w:szCs w:val="6"/>
          <w:lang w:val="en-NZ"/>
        </w:rPr>
      </w:pPr>
    </w:p>
    <w:p w14:paraId="4942E24B" w14:textId="77777777" w:rsidR="003906F3" w:rsidRDefault="003906F3" w:rsidP="00260D7D">
      <w:pPr>
        <w:pStyle w:val="PlainText"/>
        <w:tabs>
          <w:tab w:val="left" w:pos="284"/>
          <w:tab w:val="left" w:pos="567"/>
        </w:tabs>
        <w:spacing w:line="288" w:lineRule="auto"/>
        <w:jc w:val="center"/>
        <w:rPr>
          <w:rFonts w:asciiTheme="majorBidi" w:hAnsiTheme="majorBidi" w:cstheme="majorBidi"/>
          <w:sz w:val="24"/>
          <w:szCs w:val="24"/>
        </w:rPr>
      </w:pPr>
      <w:r>
        <w:rPr>
          <w:rFonts w:asciiTheme="majorBidi" w:hAnsiTheme="majorBidi" w:cstheme="majorBidi"/>
          <w:sz w:val="24"/>
          <w:szCs w:val="24"/>
        </w:rPr>
        <w:t xml:space="preserve">School of Accounting, Finance and Economics </w:t>
      </w:r>
    </w:p>
    <w:p w14:paraId="25F02686" w14:textId="77777777" w:rsidR="003906F3" w:rsidRDefault="003906F3" w:rsidP="00260D7D">
      <w:pPr>
        <w:pStyle w:val="PlainText"/>
        <w:tabs>
          <w:tab w:val="left" w:pos="284"/>
          <w:tab w:val="left" w:pos="567"/>
        </w:tabs>
        <w:spacing w:line="288" w:lineRule="auto"/>
        <w:jc w:val="center"/>
        <w:rPr>
          <w:rFonts w:asciiTheme="majorBidi" w:hAnsiTheme="majorBidi" w:cstheme="majorBidi"/>
          <w:sz w:val="24"/>
          <w:szCs w:val="24"/>
        </w:rPr>
      </w:pPr>
      <w:r>
        <w:rPr>
          <w:rFonts w:asciiTheme="majorBidi" w:hAnsiTheme="majorBidi" w:cstheme="majorBidi"/>
          <w:sz w:val="24"/>
          <w:szCs w:val="24"/>
        </w:rPr>
        <w:t xml:space="preserve">University of Waikato </w:t>
      </w:r>
    </w:p>
    <w:p w14:paraId="09029CE7" w14:textId="77777777" w:rsidR="003906F3" w:rsidRDefault="003906F3" w:rsidP="00260D7D">
      <w:pPr>
        <w:pStyle w:val="PlainText"/>
        <w:tabs>
          <w:tab w:val="left" w:pos="284"/>
          <w:tab w:val="left" w:pos="567"/>
        </w:tabs>
        <w:spacing w:line="288" w:lineRule="auto"/>
        <w:jc w:val="center"/>
        <w:rPr>
          <w:rFonts w:asciiTheme="majorBidi" w:hAnsiTheme="majorBidi" w:cstheme="majorBidi"/>
          <w:sz w:val="24"/>
          <w:szCs w:val="24"/>
        </w:rPr>
      </w:pPr>
      <w:r>
        <w:rPr>
          <w:rFonts w:asciiTheme="majorBidi" w:hAnsiTheme="majorBidi" w:cstheme="majorBidi"/>
          <w:sz w:val="24"/>
          <w:szCs w:val="24"/>
        </w:rPr>
        <w:t>Private Bag 3105</w:t>
      </w:r>
    </w:p>
    <w:p w14:paraId="444A0290" w14:textId="77777777" w:rsidR="003906F3" w:rsidRDefault="003906F3" w:rsidP="00260D7D">
      <w:pPr>
        <w:pStyle w:val="PlainText"/>
        <w:tabs>
          <w:tab w:val="left" w:pos="284"/>
          <w:tab w:val="left" w:pos="567"/>
        </w:tabs>
        <w:spacing w:line="288" w:lineRule="auto"/>
        <w:jc w:val="center"/>
        <w:rPr>
          <w:rFonts w:asciiTheme="majorBidi" w:hAnsiTheme="majorBidi" w:cstheme="majorBidi"/>
          <w:sz w:val="24"/>
          <w:szCs w:val="24"/>
        </w:rPr>
      </w:pPr>
      <w:r>
        <w:rPr>
          <w:rFonts w:asciiTheme="majorBidi" w:hAnsiTheme="majorBidi" w:cstheme="majorBidi"/>
          <w:sz w:val="24"/>
          <w:szCs w:val="24"/>
        </w:rPr>
        <w:t>Hamilton 3240</w:t>
      </w:r>
    </w:p>
    <w:p w14:paraId="66513470" w14:textId="77777777" w:rsidR="003906F3" w:rsidRDefault="003906F3" w:rsidP="00260D7D">
      <w:pPr>
        <w:pStyle w:val="PlainText"/>
        <w:tabs>
          <w:tab w:val="left" w:pos="284"/>
          <w:tab w:val="left" w:pos="567"/>
        </w:tabs>
        <w:spacing w:line="288" w:lineRule="auto"/>
        <w:jc w:val="center"/>
        <w:rPr>
          <w:rFonts w:asciiTheme="majorBidi" w:hAnsiTheme="majorBidi" w:cstheme="majorBidi"/>
          <w:sz w:val="24"/>
          <w:szCs w:val="24"/>
        </w:rPr>
      </w:pPr>
      <w:r>
        <w:rPr>
          <w:rFonts w:asciiTheme="majorBidi" w:hAnsiTheme="majorBidi" w:cstheme="majorBidi"/>
          <w:sz w:val="24"/>
          <w:szCs w:val="24"/>
        </w:rPr>
        <w:t>NEW ZEALAND</w:t>
      </w:r>
    </w:p>
    <w:p w14:paraId="54559CA1" w14:textId="77777777" w:rsidR="003906F3" w:rsidRPr="00691A14" w:rsidRDefault="003906F3" w:rsidP="00260D7D">
      <w:pPr>
        <w:pStyle w:val="PlainText"/>
        <w:tabs>
          <w:tab w:val="left" w:pos="284"/>
          <w:tab w:val="left" w:pos="567"/>
        </w:tabs>
        <w:spacing w:line="288" w:lineRule="auto"/>
        <w:jc w:val="center"/>
        <w:rPr>
          <w:rFonts w:asciiTheme="majorBidi" w:hAnsiTheme="majorBidi" w:cstheme="majorBidi"/>
          <w:sz w:val="12"/>
          <w:szCs w:val="12"/>
        </w:rPr>
      </w:pPr>
    </w:p>
    <w:p w14:paraId="7366B490" w14:textId="77777777" w:rsidR="003906F3" w:rsidRPr="00D02FF4" w:rsidRDefault="003906F3" w:rsidP="00260D7D">
      <w:pPr>
        <w:pStyle w:val="NormalWeb"/>
        <w:tabs>
          <w:tab w:val="left" w:pos="567"/>
        </w:tabs>
        <w:spacing w:before="0" w:beforeAutospacing="0" w:after="0" w:afterAutospacing="0" w:line="288" w:lineRule="auto"/>
        <w:jc w:val="center"/>
        <w:rPr>
          <w:bCs/>
          <w:lang w:val="en-NZ"/>
        </w:rPr>
      </w:pPr>
      <w:r w:rsidRPr="00D02FF4">
        <w:rPr>
          <w:bCs/>
          <w:lang w:val="en-NZ"/>
        </w:rPr>
        <w:t>Danny Leung (danny.yeung-1@uts.edu.au)</w:t>
      </w:r>
    </w:p>
    <w:p w14:paraId="4629DD9E" w14:textId="77777777" w:rsidR="003906F3" w:rsidRDefault="003906F3" w:rsidP="00260D7D">
      <w:pPr>
        <w:pStyle w:val="NormalWeb"/>
        <w:tabs>
          <w:tab w:val="left" w:pos="567"/>
        </w:tabs>
        <w:spacing w:before="0" w:beforeAutospacing="0" w:after="0" w:afterAutospacing="0" w:line="288" w:lineRule="auto"/>
        <w:jc w:val="center"/>
        <w:rPr>
          <w:bCs/>
        </w:rPr>
      </w:pPr>
      <w:r>
        <w:rPr>
          <w:bCs/>
        </w:rPr>
        <w:t>University of Technology</w:t>
      </w:r>
    </w:p>
    <w:p w14:paraId="4F27C00D" w14:textId="77777777" w:rsidR="003906F3" w:rsidRDefault="003906F3" w:rsidP="00260D7D">
      <w:pPr>
        <w:pStyle w:val="NormalWeb"/>
        <w:tabs>
          <w:tab w:val="left" w:pos="567"/>
        </w:tabs>
        <w:spacing w:before="0" w:beforeAutospacing="0" w:after="0" w:afterAutospacing="0" w:line="288" w:lineRule="auto"/>
        <w:jc w:val="center"/>
        <w:rPr>
          <w:bCs/>
        </w:rPr>
      </w:pPr>
      <w:r>
        <w:rPr>
          <w:bCs/>
        </w:rPr>
        <w:t>Sydney</w:t>
      </w:r>
    </w:p>
    <w:p w14:paraId="42FFA1C4" w14:textId="77777777" w:rsidR="003906F3" w:rsidRPr="008F42C0" w:rsidRDefault="003906F3" w:rsidP="00260D7D">
      <w:pPr>
        <w:pStyle w:val="NormalWeb"/>
        <w:tabs>
          <w:tab w:val="left" w:pos="567"/>
        </w:tabs>
        <w:spacing w:before="0" w:beforeAutospacing="0" w:after="0" w:afterAutospacing="0" w:line="288" w:lineRule="auto"/>
        <w:jc w:val="center"/>
        <w:rPr>
          <w:bCs/>
        </w:rPr>
      </w:pPr>
      <w:r>
        <w:rPr>
          <w:bCs/>
        </w:rPr>
        <w:t>AUSTRALIA</w:t>
      </w:r>
    </w:p>
    <w:p w14:paraId="63EDBD62" w14:textId="77777777" w:rsidR="003906F3" w:rsidRDefault="003906F3" w:rsidP="00260D7D">
      <w:pPr>
        <w:tabs>
          <w:tab w:val="left" w:pos="567"/>
        </w:tabs>
        <w:spacing w:after="0" w:line="288" w:lineRule="auto"/>
        <w:jc w:val="right"/>
        <w:rPr>
          <w:rFonts w:ascii="Times New Roman" w:hAnsi="Times New Roman" w:cs="Times New Roman"/>
          <w:b/>
          <w:iCs/>
          <w:sz w:val="24"/>
          <w:szCs w:val="24"/>
        </w:rPr>
      </w:pPr>
    </w:p>
    <w:p w14:paraId="328748FF" w14:textId="77777777" w:rsidR="003906F3" w:rsidRDefault="003906F3" w:rsidP="00260D7D">
      <w:pPr>
        <w:tabs>
          <w:tab w:val="left" w:pos="567"/>
        </w:tabs>
        <w:spacing w:after="0" w:line="288" w:lineRule="auto"/>
        <w:rPr>
          <w:rFonts w:ascii="Times New Roman" w:hAnsi="Times New Roman" w:cs="Times New Roman"/>
          <w:b/>
          <w:color w:val="000000"/>
          <w:sz w:val="24"/>
          <w:szCs w:val="24"/>
        </w:rPr>
      </w:pPr>
    </w:p>
    <w:p w14:paraId="0B0823CD" w14:textId="77777777" w:rsidR="003906F3" w:rsidRDefault="003906F3" w:rsidP="00260D7D">
      <w:pPr>
        <w:tabs>
          <w:tab w:val="left" w:pos="567"/>
        </w:tabs>
        <w:spacing w:after="0" w:line="288" w:lineRule="auto"/>
        <w:jc w:val="both"/>
        <w:rPr>
          <w:rFonts w:ascii="Times New Roman" w:hAnsi="Times New Roman" w:cs="Times New Roman"/>
          <w:b/>
          <w:bCs/>
          <w:sz w:val="24"/>
          <w:szCs w:val="24"/>
        </w:rPr>
      </w:pPr>
    </w:p>
    <w:p w14:paraId="525215AF" w14:textId="77777777" w:rsidR="003906F3" w:rsidRDefault="003906F3" w:rsidP="00260D7D">
      <w:pPr>
        <w:tabs>
          <w:tab w:val="left" w:pos="567"/>
        </w:tabs>
        <w:spacing w:after="0" w:line="288" w:lineRule="auto"/>
        <w:jc w:val="center"/>
        <w:rPr>
          <w:rFonts w:ascii="Times New Roman" w:hAnsi="Times New Roman" w:cs="Times New Roman"/>
          <w:b/>
          <w:bCs/>
          <w:sz w:val="24"/>
          <w:szCs w:val="24"/>
        </w:rPr>
      </w:pPr>
    </w:p>
    <w:p w14:paraId="3216CCD7" w14:textId="77777777" w:rsidR="003906F3" w:rsidRDefault="003906F3" w:rsidP="00260D7D">
      <w:pPr>
        <w:tabs>
          <w:tab w:val="left" w:pos="567"/>
        </w:tabs>
        <w:spacing w:after="0" w:line="288" w:lineRule="auto"/>
        <w:jc w:val="center"/>
        <w:rPr>
          <w:rFonts w:ascii="Times New Roman" w:hAnsi="Times New Roman" w:cs="Times New Roman"/>
          <w:b/>
          <w:bCs/>
          <w:sz w:val="24"/>
          <w:szCs w:val="24"/>
        </w:rPr>
      </w:pPr>
    </w:p>
    <w:p w14:paraId="17072B40" w14:textId="77777777" w:rsidR="001F4F1E" w:rsidRDefault="001F4F1E" w:rsidP="00260D7D">
      <w:pPr>
        <w:tabs>
          <w:tab w:val="left" w:pos="567"/>
        </w:tabs>
        <w:spacing w:after="0" w:line="288" w:lineRule="auto"/>
        <w:jc w:val="center"/>
        <w:rPr>
          <w:rFonts w:ascii="Times New Roman" w:hAnsi="Times New Roman" w:cs="Times New Roman"/>
          <w:b/>
          <w:bCs/>
          <w:sz w:val="24"/>
          <w:szCs w:val="24"/>
        </w:rPr>
      </w:pPr>
    </w:p>
    <w:p w14:paraId="35FA0403" w14:textId="77777777" w:rsidR="001F4F1E" w:rsidRDefault="001F4F1E" w:rsidP="00260D7D">
      <w:pPr>
        <w:tabs>
          <w:tab w:val="left" w:pos="567"/>
        </w:tabs>
        <w:spacing w:after="0" w:line="288" w:lineRule="auto"/>
        <w:jc w:val="center"/>
        <w:rPr>
          <w:rFonts w:ascii="Times New Roman" w:hAnsi="Times New Roman" w:cs="Times New Roman"/>
          <w:b/>
          <w:bCs/>
          <w:sz w:val="24"/>
          <w:szCs w:val="24"/>
        </w:rPr>
      </w:pPr>
    </w:p>
    <w:p w14:paraId="2FBD2E05" w14:textId="6D60CF35" w:rsidR="003906F3" w:rsidRDefault="003906F3" w:rsidP="001F4F1E">
      <w:pPr>
        <w:spacing w:after="0" w:line="288"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079B4E76" w14:textId="77777777" w:rsidR="003906F3" w:rsidRPr="00CF6015" w:rsidRDefault="003906F3" w:rsidP="00260D7D">
      <w:pPr>
        <w:tabs>
          <w:tab w:val="left" w:pos="567"/>
        </w:tabs>
        <w:spacing w:after="0" w:line="360" w:lineRule="auto"/>
        <w:jc w:val="center"/>
        <w:rPr>
          <w:rFonts w:ascii="Times New Roman" w:hAnsi="Times New Roman" w:cs="Times New Roman"/>
          <w:b/>
          <w:bCs/>
          <w:sz w:val="8"/>
          <w:szCs w:val="8"/>
        </w:rPr>
      </w:pPr>
    </w:p>
    <w:p w14:paraId="0423F543" w14:textId="77777777" w:rsidR="003906F3" w:rsidRPr="00FD6988" w:rsidRDefault="003906F3" w:rsidP="001F4F1E">
      <w:pPr>
        <w:spacing w:after="0" w:line="360" w:lineRule="auto"/>
        <w:jc w:val="both"/>
        <w:rPr>
          <w:rFonts w:asciiTheme="majorBidi" w:hAnsiTheme="majorBidi" w:cstheme="majorBidi"/>
          <w:color w:val="000000"/>
          <w:sz w:val="24"/>
          <w:szCs w:val="24"/>
        </w:rPr>
      </w:pPr>
      <w:r>
        <w:rPr>
          <w:rFonts w:ascii="Times New Roman" w:hAnsi="Times New Roman" w:cs="Times New Roman"/>
          <w:sz w:val="24"/>
          <w:szCs w:val="24"/>
        </w:rPr>
        <w:t xml:space="preserve">In a sample covering bankruptcies in public US firms in the period 2000 to 2015, we find that the addition of governance variables significantly improves the classification power and prediction accuracy of various bankruptcy prediction models. We also find that while adding governance variables improves the performance of bankruptcy prediction models, the </w:t>
      </w:r>
      <w:r w:rsidRPr="004F2A14">
        <w:rPr>
          <w:rFonts w:ascii="Times New Roman" w:hAnsi="Times New Roman" w:cs="Times New Roman"/>
          <w:sz w:val="24"/>
          <w:szCs w:val="24"/>
        </w:rPr>
        <w:t>additional explanatory power provided by adding the governance measures</w:t>
      </w:r>
      <w:r>
        <w:rPr>
          <w:rFonts w:ascii="Times New Roman" w:hAnsi="Times New Roman" w:cs="Times New Roman"/>
          <w:sz w:val="24"/>
          <w:szCs w:val="24"/>
        </w:rPr>
        <w:t xml:space="preserve"> improves the further we are from bankruptcy, which implies that governance variables tend to provide earlier and more accurate warnings of the firm’s bankruptcy potential. Our analysis of five commonly used statistical methods in the literature showed that regardless of the bankruptcy model used,</w:t>
      </w:r>
      <w:r>
        <w:rPr>
          <w:rFonts w:asciiTheme="majorBidi" w:hAnsiTheme="majorBidi" w:cstheme="majorBidi"/>
          <w:color w:val="000000"/>
          <w:sz w:val="24"/>
          <w:szCs w:val="24"/>
        </w:rPr>
        <w:t xml:space="preserve"> hazard analysis provides the best classification and out-of-sample forecast accuracy among the parametric methods. Nevertheless, non-parametric methods such as n</w:t>
      </w:r>
      <w:r w:rsidRPr="009058BC">
        <w:rPr>
          <w:rFonts w:asciiTheme="majorBidi" w:hAnsiTheme="majorBidi" w:cstheme="majorBidi"/>
          <w:color w:val="000000"/>
          <w:sz w:val="24"/>
          <w:szCs w:val="24"/>
        </w:rPr>
        <w:t xml:space="preserve">eural </w:t>
      </w:r>
      <w:r>
        <w:rPr>
          <w:rFonts w:asciiTheme="majorBidi" w:hAnsiTheme="majorBidi" w:cstheme="majorBidi"/>
          <w:color w:val="000000"/>
          <w:sz w:val="24"/>
          <w:szCs w:val="24"/>
        </w:rPr>
        <w:t>n</w:t>
      </w:r>
      <w:r w:rsidRPr="009058BC">
        <w:rPr>
          <w:rFonts w:asciiTheme="majorBidi" w:hAnsiTheme="majorBidi" w:cstheme="majorBidi"/>
          <w:color w:val="000000"/>
          <w:sz w:val="24"/>
          <w:szCs w:val="24"/>
        </w:rPr>
        <w:t>etworks</w:t>
      </w:r>
      <w:r>
        <w:rPr>
          <w:rFonts w:asciiTheme="majorBidi" w:hAnsiTheme="majorBidi" w:cstheme="majorBidi"/>
          <w:color w:val="000000"/>
          <w:sz w:val="24"/>
          <w:szCs w:val="24"/>
        </w:rPr>
        <w:t xml:space="preserve"> or data envelopment analysis appear to provide better classification accuracy regardless of the model selected.</w:t>
      </w:r>
    </w:p>
    <w:p w14:paraId="4A868187" w14:textId="77777777" w:rsidR="003906F3" w:rsidRDefault="003906F3" w:rsidP="00260D7D">
      <w:pPr>
        <w:tabs>
          <w:tab w:val="left" w:pos="567"/>
        </w:tabs>
        <w:spacing w:after="0" w:line="360" w:lineRule="auto"/>
        <w:jc w:val="both"/>
        <w:rPr>
          <w:rFonts w:ascii="Times New Roman" w:hAnsi="Times New Roman" w:cs="Times New Roman"/>
          <w:sz w:val="24"/>
          <w:szCs w:val="24"/>
        </w:rPr>
      </w:pPr>
    </w:p>
    <w:p w14:paraId="252406B7" w14:textId="77777777" w:rsidR="003906F3" w:rsidRDefault="003906F3" w:rsidP="00260D7D">
      <w:pPr>
        <w:tabs>
          <w:tab w:val="left" w:pos="567"/>
        </w:tabs>
        <w:spacing w:after="0" w:line="288" w:lineRule="auto"/>
        <w:jc w:val="center"/>
        <w:rPr>
          <w:rFonts w:asciiTheme="majorBidi" w:hAnsiTheme="majorBidi" w:cstheme="majorBidi"/>
          <w:b/>
          <w:sz w:val="24"/>
          <w:szCs w:val="24"/>
        </w:rPr>
      </w:pPr>
    </w:p>
    <w:p w14:paraId="722258D1" w14:textId="77777777" w:rsidR="003906F3" w:rsidRDefault="003906F3" w:rsidP="00260D7D">
      <w:pPr>
        <w:tabs>
          <w:tab w:val="left" w:pos="567"/>
        </w:tabs>
        <w:spacing w:after="0" w:line="288" w:lineRule="auto"/>
        <w:jc w:val="center"/>
        <w:rPr>
          <w:rFonts w:asciiTheme="majorBidi" w:hAnsiTheme="majorBidi" w:cstheme="majorBidi"/>
          <w:b/>
          <w:sz w:val="24"/>
          <w:szCs w:val="24"/>
        </w:rPr>
      </w:pPr>
    </w:p>
    <w:p w14:paraId="2AB64EED" w14:textId="77777777" w:rsidR="003906F3" w:rsidRDefault="003906F3" w:rsidP="00260D7D">
      <w:pPr>
        <w:tabs>
          <w:tab w:val="left" w:pos="567"/>
        </w:tabs>
        <w:spacing w:after="0" w:line="288" w:lineRule="auto"/>
        <w:jc w:val="center"/>
        <w:rPr>
          <w:rFonts w:asciiTheme="majorBidi" w:hAnsiTheme="majorBidi" w:cstheme="majorBidi"/>
          <w:b/>
          <w:sz w:val="24"/>
          <w:szCs w:val="24"/>
        </w:rPr>
      </w:pPr>
      <w:r w:rsidRPr="00911D92">
        <w:rPr>
          <w:rFonts w:asciiTheme="majorBidi" w:hAnsiTheme="majorBidi" w:cstheme="majorBidi"/>
          <w:b/>
          <w:sz w:val="24"/>
          <w:szCs w:val="24"/>
        </w:rPr>
        <w:t xml:space="preserve">JEL </w:t>
      </w:r>
      <w:r>
        <w:rPr>
          <w:rFonts w:asciiTheme="majorBidi" w:hAnsiTheme="majorBidi" w:cstheme="majorBidi"/>
          <w:b/>
          <w:sz w:val="24"/>
          <w:szCs w:val="24"/>
        </w:rPr>
        <w:t>C</w:t>
      </w:r>
      <w:r w:rsidRPr="00911D92">
        <w:rPr>
          <w:rFonts w:asciiTheme="majorBidi" w:hAnsiTheme="majorBidi" w:cstheme="majorBidi"/>
          <w:b/>
          <w:sz w:val="24"/>
          <w:szCs w:val="24"/>
        </w:rPr>
        <w:t>lassification</w:t>
      </w:r>
    </w:p>
    <w:p w14:paraId="2EFE9D76" w14:textId="77777777" w:rsidR="003906F3" w:rsidRPr="00FD046D" w:rsidRDefault="003906F3" w:rsidP="00260D7D">
      <w:pPr>
        <w:tabs>
          <w:tab w:val="left" w:pos="567"/>
        </w:tabs>
        <w:spacing w:after="0" w:line="288" w:lineRule="auto"/>
        <w:jc w:val="center"/>
        <w:rPr>
          <w:rFonts w:asciiTheme="majorBidi" w:hAnsiTheme="majorBidi" w:cstheme="majorBidi"/>
          <w:b/>
          <w:sz w:val="6"/>
          <w:szCs w:val="6"/>
        </w:rPr>
      </w:pPr>
    </w:p>
    <w:p w14:paraId="78EB76A7" w14:textId="77777777" w:rsidR="003906F3" w:rsidRDefault="003906F3" w:rsidP="00260D7D">
      <w:pPr>
        <w:tabs>
          <w:tab w:val="left" w:pos="567"/>
        </w:tabs>
        <w:spacing w:after="0" w:line="288" w:lineRule="auto"/>
        <w:jc w:val="center"/>
        <w:rPr>
          <w:rFonts w:asciiTheme="majorBidi" w:hAnsiTheme="majorBidi" w:cstheme="majorBidi"/>
          <w:bCs/>
          <w:sz w:val="24"/>
          <w:szCs w:val="24"/>
        </w:rPr>
      </w:pPr>
      <w:r w:rsidRPr="00C8428E">
        <w:rPr>
          <w:rFonts w:asciiTheme="majorBidi" w:hAnsiTheme="majorBidi" w:cstheme="majorBidi"/>
          <w:bCs/>
          <w:sz w:val="24"/>
          <w:szCs w:val="24"/>
        </w:rPr>
        <w:t>D81; G10; G14; G30; G32</w:t>
      </w:r>
    </w:p>
    <w:p w14:paraId="7C33ED1C" w14:textId="77777777" w:rsidR="003906F3" w:rsidRDefault="003906F3" w:rsidP="00260D7D">
      <w:pPr>
        <w:tabs>
          <w:tab w:val="left" w:pos="567"/>
        </w:tabs>
        <w:spacing w:after="0" w:line="288" w:lineRule="auto"/>
        <w:jc w:val="center"/>
        <w:rPr>
          <w:rFonts w:asciiTheme="majorBidi" w:hAnsiTheme="majorBidi" w:cstheme="majorBidi"/>
          <w:bCs/>
          <w:sz w:val="24"/>
          <w:szCs w:val="24"/>
        </w:rPr>
      </w:pPr>
    </w:p>
    <w:p w14:paraId="6F1C4288" w14:textId="77777777" w:rsidR="003906F3" w:rsidRDefault="003906F3" w:rsidP="00260D7D">
      <w:pPr>
        <w:tabs>
          <w:tab w:val="left" w:pos="567"/>
        </w:tabs>
        <w:spacing w:after="0" w:line="288" w:lineRule="auto"/>
        <w:jc w:val="center"/>
        <w:rPr>
          <w:rFonts w:ascii="Times New Roman" w:hAnsi="Times New Roman" w:cs="Times New Roman"/>
          <w:sz w:val="24"/>
          <w:szCs w:val="24"/>
        </w:rPr>
      </w:pPr>
    </w:p>
    <w:p w14:paraId="2A3142E2" w14:textId="77777777" w:rsidR="003906F3" w:rsidRPr="00E770DE" w:rsidRDefault="003906F3" w:rsidP="00260D7D">
      <w:pPr>
        <w:tabs>
          <w:tab w:val="left" w:pos="567"/>
        </w:tabs>
        <w:spacing w:after="0" w:line="288" w:lineRule="auto"/>
        <w:jc w:val="both"/>
        <w:rPr>
          <w:rFonts w:ascii="Times New Roman" w:hAnsi="Times New Roman" w:cs="Times New Roman"/>
          <w:sz w:val="8"/>
          <w:szCs w:val="8"/>
        </w:rPr>
      </w:pPr>
    </w:p>
    <w:p w14:paraId="3EDFAC19" w14:textId="77777777" w:rsidR="003906F3" w:rsidRDefault="003906F3" w:rsidP="00260D7D">
      <w:pPr>
        <w:tabs>
          <w:tab w:val="left" w:pos="567"/>
        </w:tabs>
        <w:spacing w:after="0" w:line="288" w:lineRule="auto"/>
        <w:jc w:val="center"/>
        <w:rPr>
          <w:rFonts w:asciiTheme="majorBidi" w:hAnsiTheme="majorBidi" w:cstheme="majorBidi"/>
          <w:b/>
          <w:sz w:val="24"/>
          <w:szCs w:val="24"/>
        </w:rPr>
      </w:pPr>
      <w:r w:rsidRPr="00B251A3">
        <w:rPr>
          <w:rFonts w:asciiTheme="majorBidi" w:hAnsiTheme="majorBidi" w:cstheme="majorBidi"/>
          <w:b/>
          <w:sz w:val="24"/>
          <w:szCs w:val="24"/>
        </w:rPr>
        <w:t>Key Words</w:t>
      </w:r>
    </w:p>
    <w:p w14:paraId="25DA0650" w14:textId="77777777" w:rsidR="003906F3" w:rsidRPr="00FD046D" w:rsidRDefault="003906F3" w:rsidP="00260D7D">
      <w:pPr>
        <w:tabs>
          <w:tab w:val="left" w:pos="567"/>
        </w:tabs>
        <w:spacing w:after="0" w:line="288" w:lineRule="auto"/>
        <w:jc w:val="center"/>
        <w:rPr>
          <w:rFonts w:asciiTheme="majorBidi" w:hAnsiTheme="majorBidi" w:cstheme="majorBidi"/>
          <w:b/>
          <w:sz w:val="6"/>
          <w:szCs w:val="6"/>
        </w:rPr>
      </w:pPr>
    </w:p>
    <w:p w14:paraId="457C8240" w14:textId="77777777" w:rsidR="003906F3" w:rsidRDefault="003906F3" w:rsidP="00260D7D">
      <w:pPr>
        <w:tabs>
          <w:tab w:val="left" w:pos="567"/>
        </w:tabs>
        <w:spacing w:after="40" w:line="240" w:lineRule="auto"/>
        <w:jc w:val="center"/>
        <w:rPr>
          <w:rFonts w:asciiTheme="majorBidi" w:hAnsiTheme="majorBidi" w:cstheme="majorBidi"/>
          <w:bCs/>
          <w:sz w:val="24"/>
          <w:szCs w:val="24"/>
        </w:rPr>
      </w:pPr>
      <w:r>
        <w:rPr>
          <w:rFonts w:asciiTheme="majorBidi" w:hAnsiTheme="majorBidi" w:cstheme="majorBidi"/>
          <w:bCs/>
          <w:sz w:val="24"/>
          <w:szCs w:val="24"/>
        </w:rPr>
        <w:t>c</w:t>
      </w:r>
      <w:r w:rsidRPr="003906F3">
        <w:rPr>
          <w:rFonts w:asciiTheme="majorBidi" w:hAnsiTheme="majorBidi" w:cstheme="majorBidi"/>
          <w:bCs/>
          <w:sz w:val="24"/>
          <w:szCs w:val="24"/>
        </w:rPr>
        <w:t>orporate governance</w:t>
      </w:r>
    </w:p>
    <w:p w14:paraId="37E6D9E5" w14:textId="77777777" w:rsidR="003906F3" w:rsidRDefault="003906F3" w:rsidP="00260D7D">
      <w:pPr>
        <w:tabs>
          <w:tab w:val="left" w:pos="567"/>
        </w:tabs>
        <w:spacing w:after="40" w:line="240" w:lineRule="auto"/>
        <w:jc w:val="center"/>
        <w:rPr>
          <w:rFonts w:asciiTheme="majorBidi" w:hAnsiTheme="majorBidi" w:cstheme="majorBidi"/>
          <w:bCs/>
          <w:sz w:val="24"/>
          <w:szCs w:val="24"/>
        </w:rPr>
      </w:pPr>
      <w:r>
        <w:rPr>
          <w:rFonts w:asciiTheme="majorBidi" w:hAnsiTheme="majorBidi" w:cstheme="majorBidi"/>
          <w:bCs/>
          <w:sz w:val="24"/>
          <w:szCs w:val="24"/>
        </w:rPr>
        <w:t>b</w:t>
      </w:r>
      <w:r w:rsidRPr="003906F3">
        <w:rPr>
          <w:rFonts w:asciiTheme="majorBidi" w:hAnsiTheme="majorBidi" w:cstheme="majorBidi"/>
          <w:bCs/>
          <w:sz w:val="24"/>
          <w:szCs w:val="24"/>
        </w:rPr>
        <w:t>ankruptcy studies</w:t>
      </w:r>
    </w:p>
    <w:p w14:paraId="2C3F67C3" w14:textId="77777777" w:rsidR="003906F3" w:rsidRDefault="003906F3" w:rsidP="00260D7D">
      <w:pPr>
        <w:tabs>
          <w:tab w:val="left" w:pos="567"/>
        </w:tabs>
        <w:spacing w:after="40" w:line="240" w:lineRule="auto"/>
        <w:jc w:val="center"/>
        <w:rPr>
          <w:rFonts w:asciiTheme="majorBidi" w:hAnsiTheme="majorBidi" w:cstheme="majorBidi"/>
          <w:bCs/>
          <w:sz w:val="24"/>
          <w:szCs w:val="24"/>
        </w:rPr>
      </w:pPr>
      <w:r>
        <w:rPr>
          <w:rFonts w:asciiTheme="majorBidi" w:hAnsiTheme="majorBidi" w:cstheme="majorBidi"/>
          <w:bCs/>
          <w:sz w:val="24"/>
          <w:szCs w:val="24"/>
        </w:rPr>
        <w:t>d</w:t>
      </w:r>
      <w:r w:rsidRPr="003906F3">
        <w:rPr>
          <w:rFonts w:asciiTheme="majorBidi" w:hAnsiTheme="majorBidi" w:cstheme="majorBidi"/>
          <w:bCs/>
          <w:sz w:val="24"/>
          <w:szCs w:val="24"/>
        </w:rPr>
        <w:t>efault prediction</w:t>
      </w:r>
    </w:p>
    <w:p w14:paraId="565AE0A1" w14:textId="4B45EBBB" w:rsidR="003906F3" w:rsidRDefault="003906F3" w:rsidP="00260D7D">
      <w:pPr>
        <w:tabs>
          <w:tab w:val="left" w:pos="567"/>
        </w:tabs>
        <w:spacing w:after="40" w:line="240" w:lineRule="auto"/>
        <w:jc w:val="center"/>
        <w:rPr>
          <w:rFonts w:asciiTheme="majorBidi" w:hAnsiTheme="majorBidi" w:cstheme="majorBidi"/>
          <w:bCs/>
          <w:sz w:val="24"/>
          <w:szCs w:val="24"/>
        </w:rPr>
      </w:pPr>
      <w:r>
        <w:rPr>
          <w:rFonts w:asciiTheme="majorBidi" w:hAnsiTheme="majorBidi" w:cstheme="majorBidi"/>
          <w:bCs/>
          <w:sz w:val="24"/>
          <w:szCs w:val="24"/>
        </w:rPr>
        <w:t>n</w:t>
      </w:r>
      <w:r w:rsidRPr="003906F3">
        <w:rPr>
          <w:rFonts w:asciiTheme="majorBidi" w:hAnsiTheme="majorBidi" w:cstheme="majorBidi"/>
          <w:bCs/>
          <w:sz w:val="24"/>
          <w:szCs w:val="24"/>
        </w:rPr>
        <w:t>on-parametric methods</w:t>
      </w:r>
      <w:r>
        <w:rPr>
          <w:rFonts w:asciiTheme="majorBidi" w:hAnsiTheme="majorBidi" w:cstheme="majorBidi"/>
          <w:bCs/>
          <w:sz w:val="24"/>
          <w:szCs w:val="24"/>
        </w:rPr>
        <w:br w:type="page"/>
      </w:r>
    </w:p>
    <w:p w14:paraId="64487509" w14:textId="77777777" w:rsidR="00C42888" w:rsidRPr="00703E8D" w:rsidRDefault="00C42888" w:rsidP="00260D7D">
      <w:pPr>
        <w:pStyle w:val="ListParagraph"/>
        <w:numPr>
          <w:ilvl w:val="0"/>
          <w:numId w:val="1"/>
        </w:numPr>
        <w:tabs>
          <w:tab w:val="left" w:pos="567"/>
        </w:tabs>
        <w:spacing w:line="360" w:lineRule="auto"/>
        <w:jc w:val="both"/>
        <w:rPr>
          <w:rFonts w:asciiTheme="majorBidi" w:hAnsiTheme="majorBidi" w:cstheme="majorBidi"/>
          <w:b/>
          <w:bCs/>
          <w:sz w:val="24"/>
          <w:szCs w:val="24"/>
        </w:rPr>
      </w:pPr>
      <w:r w:rsidRPr="00703E8D">
        <w:rPr>
          <w:rFonts w:asciiTheme="majorBidi" w:hAnsiTheme="majorBidi" w:cstheme="majorBidi"/>
          <w:b/>
          <w:bCs/>
          <w:sz w:val="24"/>
          <w:szCs w:val="24"/>
        </w:rPr>
        <w:lastRenderedPageBreak/>
        <w:t>Introduction</w:t>
      </w:r>
    </w:p>
    <w:p w14:paraId="4ABED766" w14:textId="1882BCA2" w:rsidR="0051524F" w:rsidRDefault="00E21ABD"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O</w:t>
      </w:r>
      <w:r w:rsidR="001308C6">
        <w:rPr>
          <w:rFonts w:ascii="Times New Roman" w:hAnsi="Times New Roman" w:cs="Times New Roman"/>
          <w:sz w:val="24"/>
          <w:szCs w:val="24"/>
        </w:rPr>
        <w:t>ver</w:t>
      </w:r>
      <w:r w:rsidR="00696502" w:rsidRPr="006D590B">
        <w:rPr>
          <w:rFonts w:ascii="Times New Roman" w:hAnsi="Times New Roman" w:cs="Times New Roman"/>
          <w:sz w:val="24"/>
          <w:szCs w:val="24"/>
        </w:rPr>
        <w:t xml:space="preserve"> the last </w:t>
      </w:r>
      <w:r w:rsidR="009A4FA9">
        <w:rPr>
          <w:rFonts w:ascii="Times New Roman" w:hAnsi="Times New Roman" w:cs="Times New Roman"/>
          <w:sz w:val="24"/>
          <w:szCs w:val="24"/>
        </w:rPr>
        <w:t>few</w:t>
      </w:r>
      <w:r w:rsidR="00696502" w:rsidRPr="006D590B">
        <w:rPr>
          <w:rFonts w:ascii="Times New Roman" w:hAnsi="Times New Roman" w:cs="Times New Roman"/>
          <w:sz w:val="24"/>
          <w:szCs w:val="24"/>
        </w:rPr>
        <w:t xml:space="preserve"> decades, enquiries into the role of corporate governance practices in reducing agency issues as well as their effect on firm’s performance have been a major research area for academics and practitioners</w:t>
      </w:r>
      <w:r w:rsidR="00C12235">
        <w:rPr>
          <w:rFonts w:ascii="Times New Roman" w:hAnsi="Times New Roman" w:cs="Times New Roman"/>
          <w:sz w:val="24"/>
          <w:szCs w:val="24"/>
        </w:rPr>
        <w:t xml:space="preserve"> (</w:t>
      </w:r>
      <w:r w:rsidR="0051524F">
        <w:rPr>
          <w:rFonts w:ascii="Times New Roman" w:hAnsi="Times New Roman" w:cs="Times New Roman"/>
          <w:sz w:val="24"/>
          <w:szCs w:val="24"/>
        </w:rPr>
        <w:t xml:space="preserve">Daily </w:t>
      </w:r>
      <w:r w:rsidR="00327178" w:rsidRPr="00327178">
        <w:rPr>
          <w:rFonts w:ascii="Times New Roman" w:hAnsi="Times New Roman" w:cs="Times New Roman"/>
          <w:i/>
          <w:iCs/>
          <w:sz w:val="24"/>
          <w:szCs w:val="24"/>
        </w:rPr>
        <w:t>et al.</w:t>
      </w:r>
      <w:r w:rsidR="0051524F">
        <w:rPr>
          <w:rFonts w:ascii="Times New Roman" w:hAnsi="Times New Roman" w:cs="Times New Roman"/>
          <w:sz w:val="24"/>
          <w:szCs w:val="24"/>
        </w:rPr>
        <w:t xml:space="preserve"> 2003</w:t>
      </w:r>
      <w:r w:rsidR="00872EE3">
        <w:rPr>
          <w:rFonts w:ascii="Times New Roman" w:hAnsi="Times New Roman" w:cs="Times New Roman"/>
          <w:sz w:val="24"/>
          <w:szCs w:val="24"/>
        </w:rPr>
        <w:t>,</w:t>
      </w:r>
      <w:r w:rsidR="0051524F">
        <w:rPr>
          <w:rFonts w:ascii="Times New Roman" w:hAnsi="Times New Roman" w:cs="Times New Roman"/>
          <w:sz w:val="24"/>
          <w:szCs w:val="24"/>
        </w:rPr>
        <w:t xml:space="preserve"> </w:t>
      </w:r>
      <w:r w:rsidR="00C12235">
        <w:rPr>
          <w:rFonts w:ascii="Times New Roman" w:hAnsi="Times New Roman" w:cs="Times New Roman"/>
          <w:sz w:val="24"/>
          <w:szCs w:val="24"/>
        </w:rPr>
        <w:t>Shleifer and Vishny 1997)</w:t>
      </w:r>
      <w:r w:rsidR="00696502" w:rsidRPr="006D590B">
        <w:rPr>
          <w:rFonts w:ascii="Times New Roman" w:hAnsi="Times New Roman" w:cs="Times New Roman"/>
          <w:sz w:val="24"/>
          <w:szCs w:val="24"/>
        </w:rPr>
        <w:t>. Corporate governance practices have also been a major concern for investors and regulators in recent times due to the detrimental effects that the failure of these mechanisms has on financial markets, economic activity and society as a whole</w:t>
      </w:r>
      <w:r w:rsidR="0051524F">
        <w:rPr>
          <w:rFonts w:ascii="Times New Roman" w:hAnsi="Times New Roman" w:cs="Times New Roman"/>
          <w:sz w:val="24"/>
          <w:szCs w:val="24"/>
        </w:rPr>
        <w:t xml:space="preserve">. </w:t>
      </w:r>
      <w:r w:rsidR="004004E7">
        <w:rPr>
          <w:rFonts w:ascii="Times New Roman" w:hAnsi="Times New Roman" w:cs="Times New Roman"/>
          <w:sz w:val="24"/>
          <w:szCs w:val="24"/>
        </w:rPr>
        <w:t>The importance of</w:t>
      </w:r>
      <w:r w:rsidR="000C410E">
        <w:rPr>
          <w:rFonts w:ascii="Times New Roman" w:hAnsi="Times New Roman" w:cs="Times New Roman"/>
          <w:sz w:val="24"/>
          <w:szCs w:val="24"/>
        </w:rPr>
        <w:t xml:space="preserve"> the role of</w:t>
      </w:r>
      <w:r w:rsidR="001308C6">
        <w:rPr>
          <w:rFonts w:ascii="Times New Roman" w:hAnsi="Times New Roman" w:cs="Times New Roman"/>
          <w:sz w:val="24"/>
          <w:szCs w:val="24"/>
        </w:rPr>
        <w:t xml:space="preserve"> </w:t>
      </w:r>
      <w:r w:rsidR="004F4871">
        <w:rPr>
          <w:rFonts w:ascii="Times New Roman" w:hAnsi="Times New Roman" w:cs="Times New Roman"/>
          <w:sz w:val="24"/>
          <w:szCs w:val="24"/>
        </w:rPr>
        <w:t>governance</w:t>
      </w:r>
      <w:r w:rsidR="00696502">
        <w:rPr>
          <w:rFonts w:ascii="Times New Roman" w:hAnsi="Times New Roman" w:cs="Times New Roman"/>
          <w:sz w:val="24"/>
          <w:szCs w:val="24"/>
        </w:rPr>
        <w:t xml:space="preserve"> stems from its influence on the decision-making process inside the firm as well as on the structure and operations of the board which in turn influences the process of selecting, monitoring and remunerating the firms’ executives.</w:t>
      </w:r>
      <w:r w:rsidR="002212AF">
        <w:rPr>
          <w:rFonts w:ascii="Times New Roman" w:hAnsi="Times New Roman" w:cs="Times New Roman"/>
          <w:sz w:val="24"/>
          <w:szCs w:val="24"/>
        </w:rPr>
        <w:t xml:space="preserve"> Furthermore, the role of a firm’s board of directors is not only limited to its monitoring function but also</w:t>
      </w:r>
      <w:r w:rsidR="00665B24">
        <w:rPr>
          <w:rFonts w:ascii="Times New Roman" w:hAnsi="Times New Roman" w:cs="Times New Roman"/>
          <w:sz w:val="24"/>
          <w:szCs w:val="24"/>
        </w:rPr>
        <w:t xml:space="preserve"> extends</w:t>
      </w:r>
      <w:r w:rsidR="002212AF">
        <w:rPr>
          <w:rFonts w:ascii="Times New Roman" w:hAnsi="Times New Roman" w:cs="Times New Roman"/>
          <w:sz w:val="24"/>
          <w:szCs w:val="24"/>
        </w:rPr>
        <w:t xml:space="preserve"> to advising the firm’s management and undertaking strategic financ</w:t>
      </w:r>
      <w:r w:rsidR="00210F5F">
        <w:rPr>
          <w:rFonts w:ascii="Times New Roman" w:hAnsi="Times New Roman" w:cs="Times New Roman"/>
          <w:sz w:val="24"/>
          <w:szCs w:val="24"/>
        </w:rPr>
        <w:t>ing</w:t>
      </w:r>
      <w:r w:rsidR="002212AF">
        <w:rPr>
          <w:rFonts w:ascii="Times New Roman" w:hAnsi="Times New Roman" w:cs="Times New Roman"/>
          <w:sz w:val="24"/>
          <w:szCs w:val="24"/>
        </w:rPr>
        <w:t xml:space="preserve"> and investment decisions</w:t>
      </w:r>
      <w:r w:rsidR="00665B24">
        <w:rPr>
          <w:rFonts w:ascii="Times New Roman" w:hAnsi="Times New Roman" w:cs="Times New Roman"/>
          <w:sz w:val="24"/>
          <w:szCs w:val="24"/>
        </w:rPr>
        <w:t xml:space="preserve"> (</w:t>
      </w:r>
      <w:r w:rsidR="00665B24" w:rsidRPr="00665B24">
        <w:rPr>
          <w:rFonts w:ascii="Times New Roman" w:hAnsi="Times New Roman" w:cs="Times New Roman"/>
          <w:i/>
          <w:iCs/>
          <w:sz w:val="24"/>
          <w:szCs w:val="24"/>
        </w:rPr>
        <w:t>see</w:t>
      </w:r>
      <w:r w:rsidR="00665B24">
        <w:rPr>
          <w:rFonts w:ascii="Times New Roman" w:hAnsi="Times New Roman" w:cs="Times New Roman"/>
          <w:sz w:val="24"/>
          <w:szCs w:val="24"/>
        </w:rPr>
        <w:t xml:space="preserve"> Daily </w:t>
      </w:r>
      <w:r w:rsidR="00327178" w:rsidRPr="00327178">
        <w:rPr>
          <w:rFonts w:ascii="Times New Roman" w:hAnsi="Times New Roman" w:cs="Times New Roman"/>
          <w:i/>
          <w:iCs/>
          <w:sz w:val="24"/>
          <w:szCs w:val="24"/>
        </w:rPr>
        <w:t>et al.</w:t>
      </w:r>
      <w:r w:rsidR="00665B24">
        <w:rPr>
          <w:rFonts w:ascii="Times New Roman" w:hAnsi="Times New Roman" w:cs="Times New Roman"/>
          <w:sz w:val="24"/>
          <w:szCs w:val="24"/>
        </w:rPr>
        <w:t xml:space="preserve"> 2003</w:t>
      </w:r>
      <w:r w:rsidR="00872EE3">
        <w:rPr>
          <w:rFonts w:ascii="Times New Roman" w:hAnsi="Times New Roman" w:cs="Times New Roman"/>
          <w:sz w:val="24"/>
          <w:szCs w:val="24"/>
        </w:rPr>
        <w:t>,</w:t>
      </w:r>
      <w:r w:rsidR="00665B24">
        <w:rPr>
          <w:rFonts w:ascii="Times New Roman" w:hAnsi="Times New Roman" w:cs="Times New Roman"/>
          <w:sz w:val="24"/>
          <w:szCs w:val="24"/>
        </w:rPr>
        <w:t xml:space="preserve"> Shleifer and Vishny 1997</w:t>
      </w:r>
      <w:r w:rsidR="00872EE3">
        <w:rPr>
          <w:rFonts w:ascii="Times New Roman" w:hAnsi="Times New Roman" w:cs="Times New Roman"/>
          <w:sz w:val="24"/>
          <w:szCs w:val="24"/>
        </w:rPr>
        <w:t>,</w:t>
      </w:r>
      <w:r w:rsidR="00665B24">
        <w:rPr>
          <w:rFonts w:ascii="Times New Roman" w:hAnsi="Times New Roman" w:cs="Times New Roman"/>
          <w:sz w:val="24"/>
          <w:szCs w:val="24"/>
        </w:rPr>
        <w:t xml:space="preserve"> Walsh</w:t>
      </w:r>
      <w:r w:rsidR="00665B24" w:rsidRPr="00D3147F">
        <w:t xml:space="preserve"> </w:t>
      </w:r>
      <w:r w:rsidR="00665B24">
        <w:rPr>
          <w:rFonts w:ascii="Times New Roman" w:hAnsi="Times New Roman" w:cs="Times New Roman"/>
          <w:sz w:val="24"/>
          <w:szCs w:val="24"/>
        </w:rPr>
        <w:t xml:space="preserve">and Seward </w:t>
      </w:r>
      <w:r w:rsidR="00665B24" w:rsidRPr="00D3147F">
        <w:rPr>
          <w:rFonts w:ascii="Times New Roman" w:hAnsi="Times New Roman" w:cs="Times New Roman"/>
          <w:sz w:val="24"/>
          <w:szCs w:val="24"/>
        </w:rPr>
        <w:t>1990</w:t>
      </w:r>
      <w:r w:rsidR="00665B24">
        <w:rPr>
          <w:rFonts w:ascii="Times New Roman" w:hAnsi="Times New Roman" w:cs="Times New Roman"/>
          <w:sz w:val="24"/>
          <w:szCs w:val="24"/>
        </w:rPr>
        <w:t>)</w:t>
      </w:r>
      <w:r w:rsidR="002212AF">
        <w:rPr>
          <w:rFonts w:ascii="Times New Roman" w:hAnsi="Times New Roman" w:cs="Times New Roman"/>
          <w:sz w:val="24"/>
          <w:szCs w:val="24"/>
        </w:rPr>
        <w:t xml:space="preserve">. </w:t>
      </w:r>
    </w:p>
    <w:p w14:paraId="765A6CA8" w14:textId="77777777" w:rsidR="00260D7D" w:rsidRDefault="00260D7D" w:rsidP="00260D7D">
      <w:pPr>
        <w:tabs>
          <w:tab w:val="left" w:pos="567"/>
        </w:tabs>
        <w:spacing w:after="0" w:line="288" w:lineRule="auto"/>
        <w:jc w:val="both"/>
        <w:rPr>
          <w:rFonts w:ascii="Times New Roman" w:hAnsi="Times New Roman" w:cs="Times New Roman"/>
          <w:sz w:val="24"/>
          <w:szCs w:val="24"/>
        </w:rPr>
      </w:pPr>
    </w:p>
    <w:p w14:paraId="165A4AEF" w14:textId="5EC3FFA7" w:rsidR="00A45A9E" w:rsidRDefault="00260D7D"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3948F1">
        <w:rPr>
          <w:rFonts w:ascii="Times New Roman" w:hAnsi="Times New Roman" w:cs="Times New Roman"/>
          <w:sz w:val="24"/>
          <w:szCs w:val="24"/>
        </w:rPr>
        <w:t xml:space="preserve">On </w:t>
      </w:r>
      <w:r w:rsidR="008C6B47">
        <w:rPr>
          <w:rFonts w:ascii="Times New Roman" w:hAnsi="Times New Roman" w:cs="Times New Roman"/>
          <w:sz w:val="24"/>
          <w:szCs w:val="24"/>
        </w:rPr>
        <w:t>this</w:t>
      </w:r>
      <w:r w:rsidR="003948F1">
        <w:rPr>
          <w:rFonts w:ascii="Times New Roman" w:hAnsi="Times New Roman" w:cs="Times New Roman"/>
          <w:sz w:val="24"/>
          <w:szCs w:val="24"/>
        </w:rPr>
        <w:t xml:space="preserve"> basis, one</w:t>
      </w:r>
      <w:r w:rsidR="008C6B47">
        <w:rPr>
          <w:rFonts w:ascii="Times New Roman" w:hAnsi="Times New Roman" w:cs="Times New Roman"/>
          <w:sz w:val="24"/>
          <w:szCs w:val="24"/>
        </w:rPr>
        <w:t xml:space="preserve"> can</w:t>
      </w:r>
      <w:r w:rsidR="001308C6">
        <w:rPr>
          <w:rFonts w:ascii="Times New Roman" w:hAnsi="Times New Roman" w:cs="Times New Roman"/>
          <w:sz w:val="24"/>
          <w:szCs w:val="24"/>
        </w:rPr>
        <w:t xml:space="preserve"> argue </w:t>
      </w:r>
      <w:r w:rsidR="00FD725F">
        <w:rPr>
          <w:rFonts w:ascii="Times New Roman" w:hAnsi="Times New Roman" w:cs="Times New Roman"/>
          <w:sz w:val="24"/>
          <w:szCs w:val="24"/>
        </w:rPr>
        <w:t>that</w:t>
      </w:r>
      <w:r w:rsidR="000B7B5C">
        <w:rPr>
          <w:rFonts w:ascii="Times New Roman" w:hAnsi="Times New Roman" w:cs="Times New Roman"/>
          <w:sz w:val="24"/>
          <w:szCs w:val="24"/>
        </w:rPr>
        <w:t xml:space="preserve"> a firm’s probability of bankruptcy </w:t>
      </w:r>
      <w:r w:rsidR="00FD725F">
        <w:rPr>
          <w:rFonts w:ascii="Times New Roman" w:hAnsi="Times New Roman" w:cs="Times New Roman"/>
          <w:sz w:val="24"/>
          <w:szCs w:val="24"/>
        </w:rPr>
        <w:t xml:space="preserve">may at least be partially explained </w:t>
      </w:r>
      <w:r w:rsidR="000B7B5C">
        <w:rPr>
          <w:rFonts w:ascii="Times New Roman" w:hAnsi="Times New Roman" w:cs="Times New Roman"/>
          <w:sz w:val="24"/>
          <w:szCs w:val="24"/>
        </w:rPr>
        <w:t xml:space="preserve">by its corporate governance characteristics through their influence on how the firm is </w:t>
      </w:r>
      <w:r w:rsidR="0008042E">
        <w:rPr>
          <w:rFonts w:ascii="Times New Roman" w:hAnsi="Times New Roman" w:cs="Times New Roman"/>
          <w:sz w:val="24"/>
          <w:szCs w:val="24"/>
        </w:rPr>
        <w:t>operated</w:t>
      </w:r>
      <w:r w:rsidR="000B7B5C">
        <w:rPr>
          <w:rFonts w:ascii="Times New Roman" w:hAnsi="Times New Roman" w:cs="Times New Roman"/>
          <w:sz w:val="24"/>
          <w:szCs w:val="24"/>
        </w:rPr>
        <w:t xml:space="preserve"> and how the interests of the managers are aligned with those of the shareholders</w:t>
      </w:r>
      <w:r w:rsidR="000F7E79">
        <w:rPr>
          <w:rFonts w:ascii="Times New Roman" w:hAnsi="Times New Roman" w:cs="Times New Roman"/>
          <w:sz w:val="24"/>
          <w:szCs w:val="24"/>
        </w:rPr>
        <w:t xml:space="preserve">. </w:t>
      </w:r>
      <w:r w:rsidR="00FC7F47">
        <w:rPr>
          <w:rFonts w:ascii="Times New Roman" w:hAnsi="Times New Roman" w:cs="Times New Roman"/>
          <w:sz w:val="24"/>
          <w:szCs w:val="24"/>
        </w:rPr>
        <w:t xml:space="preserve">This proposition </w:t>
      </w:r>
      <w:r w:rsidR="001308C6">
        <w:rPr>
          <w:rFonts w:ascii="Times New Roman" w:hAnsi="Times New Roman" w:cs="Times New Roman"/>
          <w:sz w:val="24"/>
          <w:szCs w:val="24"/>
        </w:rPr>
        <w:t>has been</w:t>
      </w:r>
      <w:r w:rsidR="00FC7F47">
        <w:rPr>
          <w:rFonts w:ascii="Times New Roman" w:hAnsi="Times New Roman" w:cs="Times New Roman"/>
          <w:sz w:val="24"/>
          <w:szCs w:val="24"/>
        </w:rPr>
        <w:t xml:space="preserve"> the focus of several recent studies which found a significant role for corporate governance measures in improving the prediction and classifications powers of bankruptcy prediction models </w:t>
      </w:r>
      <w:r w:rsidR="00424FD5">
        <w:rPr>
          <w:rFonts w:ascii="Times New Roman" w:hAnsi="Times New Roman" w:cs="Times New Roman"/>
          <w:sz w:val="24"/>
          <w:szCs w:val="24"/>
        </w:rPr>
        <w:t xml:space="preserve">in several markets </w:t>
      </w:r>
      <w:r w:rsidR="000B7B5C">
        <w:rPr>
          <w:rFonts w:ascii="Times New Roman" w:hAnsi="Times New Roman" w:cs="Times New Roman"/>
          <w:sz w:val="24"/>
          <w:szCs w:val="24"/>
        </w:rPr>
        <w:t>(</w:t>
      </w:r>
      <w:r w:rsidR="00FC7F47">
        <w:rPr>
          <w:rFonts w:ascii="Times New Roman" w:hAnsi="Times New Roman" w:cs="Times New Roman"/>
          <w:sz w:val="24"/>
          <w:szCs w:val="24"/>
        </w:rPr>
        <w:t xml:space="preserve">see </w:t>
      </w:r>
      <w:r w:rsidR="009F2172" w:rsidRPr="009F2172">
        <w:rPr>
          <w:rFonts w:ascii="Times New Roman" w:hAnsi="Times New Roman" w:cs="Times New Roman"/>
          <w:sz w:val="24"/>
          <w:szCs w:val="24"/>
        </w:rPr>
        <w:t>Daily and Dalton 1994</w:t>
      </w:r>
      <w:r w:rsidR="00872EE3">
        <w:rPr>
          <w:rFonts w:ascii="Times New Roman" w:hAnsi="Times New Roman" w:cs="Times New Roman"/>
          <w:sz w:val="24"/>
          <w:szCs w:val="24"/>
        </w:rPr>
        <w:t>,</w:t>
      </w:r>
      <w:r w:rsidR="009F2172">
        <w:rPr>
          <w:rFonts w:ascii="Times New Roman" w:hAnsi="Times New Roman" w:cs="Times New Roman"/>
          <w:sz w:val="24"/>
          <w:szCs w:val="24"/>
        </w:rPr>
        <w:t xml:space="preserve"> </w:t>
      </w:r>
      <w:r w:rsidR="000B7B5C" w:rsidRPr="00D3147F">
        <w:rPr>
          <w:rFonts w:ascii="Times New Roman" w:hAnsi="Times New Roman" w:cs="Times New Roman"/>
          <w:sz w:val="24"/>
          <w:szCs w:val="24"/>
        </w:rPr>
        <w:t>Darra</w:t>
      </w:r>
      <w:r w:rsidR="000B7B5C">
        <w:rPr>
          <w:rFonts w:ascii="Times New Roman" w:hAnsi="Times New Roman" w:cs="Times New Roman"/>
          <w:sz w:val="24"/>
          <w:szCs w:val="24"/>
        </w:rPr>
        <w:t xml:space="preserve">t </w:t>
      </w:r>
      <w:r w:rsidR="00327178" w:rsidRPr="00327178">
        <w:rPr>
          <w:rFonts w:ascii="Times New Roman" w:hAnsi="Times New Roman" w:cs="Times New Roman"/>
          <w:i/>
          <w:iCs/>
          <w:sz w:val="24"/>
          <w:szCs w:val="24"/>
        </w:rPr>
        <w:t>et al.</w:t>
      </w:r>
      <w:r w:rsidR="000B7B5C">
        <w:rPr>
          <w:rFonts w:ascii="Times New Roman" w:hAnsi="Times New Roman" w:cs="Times New Roman"/>
          <w:sz w:val="24"/>
          <w:szCs w:val="24"/>
        </w:rPr>
        <w:t xml:space="preserve"> </w:t>
      </w:r>
      <w:r w:rsidR="000B7B5C" w:rsidRPr="00D3147F">
        <w:rPr>
          <w:rFonts w:ascii="Times New Roman" w:hAnsi="Times New Roman" w:cs="Times New Roman"/>
          <w:sz w:val="24"/>
          <w:szCs w:val="24"/>
        </w:rPr>
        <w:t>2016</w:t>
      </w:r>
      <w:r w:rsidR="006D5DD3" w:rsidRPr="006D5DD3">
        <w:rPr>
          <w:rFonts w:ascii="Times New Roman" w:hAnsi="Times New Roman" w:cs="Times New Roman"/>
          <w:sz w:val="24"/>
          <w:szCs w:val="24"/>
        </w:rPr>
        <w:t>,</w:t>
      </w:r>
      <w:r w:rsidR="009F2172">
        <w:rPr>
          <w:rFonts w:ascii="Times New Roman" w:hAnsi="Times New Roman" w:cs="Times New Roman"/>
          <w:sz w:val="24"/>
          <w:szCs w:val="24"/>
        </w:rPr>
        <w:t xml:space="preserve"> </w:t>
      </w:r>
      <w:r w:rsidR="009F2172" w:rsidRPr="006B59BA">
        <w:rPr>
          <w:rFonts w:ascii="Times New Roman" w:hAnsi="Times New Roman" w:cs="Times New Roman"/>
          <w:sz w:val="24"/>
          <w:szCs w:val="24"/>
        </w:rPr>
        <w:t>Elloumi and Gueyie</w:t>
      </w:r>
      <w:r w:rsidR="009F2172">
        <w:rPr>
          <w:rFonts w:ascii="Times New Roman" w:hAnsi="Times New Roman" w:cs="Times New Roman"/>
          <w:sz w:val="24"/>
          <w:szCs w:val="24"/>
        </w:rPr>
        <w:t xml:space="preserve"> 2001</w:t>
      </w:r>
      <w:r w:rsidR="006D5DD3" w:rsidRPr="006D5DD3">
        <w:rPr>
          <w:rFonts w:ascii="Times New Roman" w:hAnsi="Times New Roman" w:cs="Times New Roman"/>
          <w:sz w:val="24"/>
          <w:szCs w:val="24"/>
        </w:rPr>
        <w:t>,</w:t>
      </w:r>
      <w:r w:rsidR="000B7B5C">
        <w:rPr>
          <w:rFonts w:ascii="Times New Roman" w:hAnsi="Times New Roman" w:cs="Times New Roman"/>
          <w:sz w:val="24"/>
          <w:szCs w:val="24"/>
        </w:rPr>
        <w:t xml:space="preserve"> Fich and Slezak </w:t>
      </w:r>
      <w:r w:rsidR="000B7B5C" w:rsidRPr="00D3147F">
        <w:rPr>
          <w:rFonts w:ascii="Times New Roman" w:hAnsi="Times New Roman" w:cs="Times New Roman"/>
          <w:sz w:val="24"/>
          <w:szCs w:val="24"/>
        </w:rPr>
        <w:t>2008</w:t>
      </w:r>
      <w:r w:rsidR="006D5DD3" w:rsidRPr="006D5DD3">
        <w:rPr>
          <w:rFonts w:ascii="Times New Roman" w:hAnsi="Times New Roman" w:cs="Times New Roman"/>
          <w:sz w:val="24"/>
          <w:szCs w:val="24"/>
        </w:rPr>
        <w:t>,</w:t>
      </w:r>
      <w:r w:rsidR="00671DAD">
        <w:rPr>
          <w:rFonts w:ascii="Times New Roman" w:hAnsi="Times New Roman" w:cs="Times New Roman"/>
          <w:sz w:val="24"/>
          <w:szCs w:val="24"/>
        </w:rPr>
        <w:t xml:space="preserve"> </w:t>
      </w:r>
      <w:r w:rsidR="00671DAD" w:rsidRPr="00671DAD">
        <w:rPr>
          <w:rFonts w:ascii="Times New Roman" w:hAnsi="Times New Roman" w:cs="Times New Roman"/>
          <w:sz w:val="24"/>
          <w:szCs w:val="24"/>
        </w:rPr>
        <w:t xml:space="preserve">Liang </w:t>
      </w:r>
      <w:r w:rsidR="00327178" w:rsidRPr="00327178">
        <w:rPr>
          <w:rFonts w:ascii="Times New Roman" w:hAnsi="Times New Roman" w:cs="Times New Roman"/>
          <w:i/>
          <w:iCs/>
          <w:sz w:val="24"/>
          <w:szCs w:val="24"/>
        </w:rPr>
        <w:t>et al.</w:t>
      </w:r>
      <w:r w:rsidR="00671DAD" w:rsidRPr="00671DAD">
        <w:rPr>
          <w:rFonts w:ascii="Times New Roman" w:hAnsi="Times New Roman" w:cs="Times New Roman"/>
          <w:sz w:val="24"/>
          <w:szCs w:val="24"/>
        </w:rPr>
        <w:t xml:space="preserve"> 2016</w:t>
      </w:r>
      <w:r w:rsidR="000B7B5C">
        <w:rPr>
          <w:rFonts w:ascii="Times New Roman" w:hAnsi="Times New Roman" w:cs="Times New Roman"/>
          <w:sz w:val="24"/>
          <w:szCs w:val="24"/>
        </w:rPr>
        <w:t>).</w:t>
      </w:r>
      <w:r w:rsidR="00BD7C76">
        <w:rPr>
          <w:rFonts w:ascii="Times New Roman" w:hAnsi="Times New Roman" w:cs="Times New Roman"/>
          <w:sz w:val="24"/>
          <w:szCs w:val="24"/>
        </w:rPr>
        <w:t xml:space="preserve"> </w:t>
      </w:r>
      <w:r w:rsidR="008C6B47" w:rsidRPr="008C6B47">
        <w:rPr>
          <w:rFonts w:ascii="Times New Roman" w:hAnsi="Times New Roman" w:cs="Times New Roman"/>
          <w:sz w:val="24"/>
          <w:szCs w:val="24"/>
        </w:rPr>
        <w:t xml:space="preserve">However, we are still far from having closure on the extent to which corporate governance </w:t>
      </w:r>
      <w:r w:rsidR="000A2C05">
        <w:rPr>
          <w:rFonts w:ascii="Times New Roman" w:hAnsi="Times New Roman" w:cs="Times New Roman"/>
          <w:sz w:val="24"/>
          <w:szCs w:val="24"/>
        </w:rPr>
        <w:t>variables improve the predictability of bankruptcy prediction models.</w:t>
      </w:r>
      <w:r w:rsidR="008C6B47" w:rsidRPr="008C6B47">
        <w:rPr>
          <w:rFonts w:ascii="Times New Roman" w:hAnsi="Times New Roman" w:cs="Times New Roman"/>
          <w:sz w:val="24"/>
          <w:szCs w:val="24"/>
        </w:rPr>
        <w:t xml:space="preserve"> Additionally, many of the recent studies on governance and bankruptcy suffer from several limitations, such as focusing on a particular family of bankruptcy models (</w:t>
      </w:r>
      <w:r w:rsidR="00E52E0C">
        <w:rPr>
          <w:rFonts w:ascii="Times New Roman" w:hAnsi="Times New Roman" w:cs="Times New Roman"/>
          <w:sz w:val="24"/>
          <w:szCs w:val="24"/>
        </w:rPr>
        <w:t xml:space="preserve">for example, </w:t>
      </w:r>
      <w:r w:rsidR="008C6B47" w:rsidRPr="008C6B47">
        <w:rPr>
          <w:rFonts w:ascii="Times New Roman" w:hAnsi="Times New Roman" w:cs="Times New Roman"/>
          <w:sz w:val="24"/>
          <w:szCs w:val="24"/>
        </w:rPr>
        <w:t>market-based or accounting-based)</w:t>
      </w:r>
      <w:r w:rsidR="006D5DD3" w:rsidRPr="006D5DD3">
        <w:rPr>
          <w:rFonts w:ascii="Times New Roman" w:hAnsi="Times New Roman" w:cs="Times New Roman"/>
          <w:sz w:val="24"/>
          <w:szCs w:val="24"/>
        </w:rPr>
        <w:t>,</w:t>
      </w:r>
      <w:r w:rsidR="008C6B47" w:rsidRPr="008C6B47">
        <w:rPr>
          <w:rFonts w:ascii="Times New Roman" w:hAnsi="Times New Roman" w:cs="Times New Roman"/>
          <w:sz w:val="24"/>
          <w:szCs w:val="24"/>
        </w:rPr>
        <w:t xml:space="preserve"> </w:t>
      </w:r>
      <w:r w:rsidR="0051524F">
        <w:rPr>
          <w:rFonts w:ascii="Times New Roman" w:hAnsi="Times New Roman" w:cs="Times New Roman"/>
          <w:sz w:val="24"/>
          <w:szCs w:val="24"/>
        </w:rPr>
        <w:t>overlooking</w:t>
      </w:r>
      <w:r w:rsidR="008C6B47" w:rsidRPr="008C6B47">
        <w:rPr>
          <w:rFonts w:ascii="Times New Roman" w:hAnsi="Times New Roman" w:cs="Times New Roman"/>
          <w:sz w:val="24"/>
          <w:szCs w:val="24"/>
        </w:rPr>
        <w:t xml:space="preserve"> the impact of the estimation technique on the classification and/or prediction accuracy</w:t>
      </w:r>
      <w:r w:rsidR="006D5DD3" w:rsidRPr="006D5DD3">
        <w:rPr>
          <w:rFonts w:ascii="Times New Roman" w:hAnsi="Times New Roman" w:cs="Times New Roman"/>
          <w:sz w:val="24"/>
          <w:szCs w:val="24"/>
        </w:rPr>
        <w:t>,</w:t>
      </w:r>
      <w:r w:rsidR="008C6B47" w:rsidRPr="008C6B47">
        <w:rPr>
          <w:rFonts w:ascii="Times New Roman" w:hAnsi="Times New Roman" w:cs="Times New Roman"/>
          <w:sz w:val="24"/>
          <w:szCs w:val="24"/>
        </w:rPr>
        <w:t xml:space="preserve"> lacking a meaningful </w:t>
      </w:r>
      <w:r w:rsidR="000A2C05">
        <w:rPr>
          <w:rFonts w:ascii="Times New Roman" w:hAnsi="Times New Roman" w:cs="Times New Roman"/>
          <w:sz w:val="24"/>
          <w:szCs w:val="24"/>
        </w:rPr>
        <w:t xml:space="preserve">and comprehensive </w:t>
      </w:r>
      <w:r w:rsidR="008C6B47" w:rsidRPr="008C6B47">
        <w:rPr>
          <w:rFonts w:ascii="Times New Roman" w:hAnsi="Times New Roman" w:cs="Times New Roman"/>
          <w:sz w:val="24"/>
          <w:szCs w:val="24"/>
        </w:rPr>
        <w:t>analysis of the prediction performance and classification power of the different models tested.</w:t>
      </w:r>
    </w:p>
    <w:p w14:paraId="658AF279" w14:textId="77777777" w:rsidR="00260D7D" w:rsidRDefault="00260D7D" w:rsidP="00260D7D">
      <w:pPr>
        <w:tabs>
          <w:tab w:val="left" w:pos="567"/>
        </w:tabs>
        <w:spacing w:after="0" w:line="288" w:lineRule="auto"/>
        <w:jc w:val="both"/>
        <w:rPr>
          <w:rFonts w:ascii="Times New Roman" w:hAnsi="Times New Roman" w:cs="Times New Roman"/>
          <w:sz w:val="24"/>
          <w:szCs w:val="24"/>
        </w:rPr>
      </w:pPr>
    </w:p>
    <w:p w14:paraId="20F9755D" w14:textId="20338382" w:rsidR="00696502" w:rsidRDefault="00260D7D"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CB4A3E">
        <w:rPr>
          <w:rFonts w:ascii="Times New Roman" w:hAnsi="Times New Roman" w:cs="Times New Roman"/>
          <w:sz w:val="24"/>
          <w:szCs w:val="24"/>
        </w:rPr>
        <w:t>This</w:t>
      </w:r>
      <w:r w:rsidR="00696502">
        <w:rPr>
          <w:rFonts w:ascii="Times New Roman" w:hAnsi="Times New Roman" w:cs="Times New Roman"/>
          <w:sz w:val="24"/>
          <w:szCs w:val="24"/>
        </w:rPr>
        <w:t xml:space="preserve"> study </w:t>
      </w:r>
      <w:r w:rsidR="001B7B8E">
        <w:rPr>
          <w:rFonts w:ascii="Times New Roman" w:hAnsi="Times New Roman" w:cs="Times New Roman"/>
          <w:sz w:val="24"/>
          <w:szCs w:val="24"/>
        </w:rPr>
        <w:t>re-</w:t>
      </w:r>
      <w:r w:rsidR="0008042E">
        <w:rPr>
          <w:rFonts w:ascii="Times New Roman" w:hAnsi="Times New Roman" w:cs="Times New Roman"/>
          <w:sz w:val="24"/>
          <w:szCs w:val="24"/>
        </w:rPr>
        <w:t>examines the</w:t>
      </w:r>
      <w:r w:rsidR="00696502">
        <w:rPr>
          <w:rFonts w:ascii="Times New Roman" w:hAnsi="Times New Roman" w:cs="Times New Roman"/>
          <w:sz w:val="24"/>
          <w:szCs w:val="24"/>
        </w:rPr>
        <w:t xml:space="preserve"> role of corporate governance </w:t>
      </w:r>
      <w:r w:rsidR="000B7B5C">
        <w:rPr>
          <w:rFonts w:ascii="Times New Roman" w:hAnsi="Times New Roman" w:cs="Times New Roman"/>
          <w:sz w:val="24"/>
          <w:szCs w:val="24"/>
        </w:rPr>
        <w:t>variables</w:t>
      </w:r>
      <w:r w:rsidR="00696502">
        <w:rPr>
          <w:rFonts w:ascii="Times New Roman" w:hAnsi="Times New Roman" w:cs="Times New Roman"/>
          <w:sz w:val="24"/>
          <w:szCs w:val="24"/>
        </w:rPr>
        <w:t xml:space="preserve"> in improving the predictability power of</w:t>
      </w:r>
      <w:r w:rsidR="003A1996">
        <w:rPr>
          <w:rFonts w:ascii="Times New Roman" w:hAnsi="Times New Roman" w:cs="Times New Roman"/>
          <w:sz w:val="24"/>
          <w:szCs w:val="24"/>
        </w:rPr>
        <w:t xml:space="preserve"> bankruptcy prediction models, while analyzing</w:t>
      </w:r>
      <w:r w:rsidR="00696502">
        <w:rPr>
          <w:rFonts w:ascii="Times New Roman" w:hAnsi="Times New Roman" w:cs="Times New Roman"/>
          <w:sz w:val="24"/>
          <w:szCs w:val="24"/>
        </w:rPr>
        <w:t xml:space="preserve"> the classification powers yielded by </w:t>
      </w:r>
      <w:r w:rsidR="003A1996">
        <w:rPr>
          <w:rFonts w:ascii="Times New Roman" w:hAnsi="Times New Roman" w:cs="Times New Roman"/>
          <w:sz w:val="24"/>
          <w:szCs w:val="24"/>
        </w:rPr>
        <w:t xml:space="preserve">the </w:t>
      </w:r>
      <w:r w:rsidR="00696502">
        <w:rPr>
          <w:rFonts w:ascii="Times New Roman" w:hAnsi="Times New Roman" w:cs="Times New Roman"/>
          <w:sz w:val="24"/>
          <w:szCs w:val="24"/>
        </w:rPr>
        <w:t>d</w:t>
      </w:r>
      <w:r w:rsidR="00046C3B">
        <w:rPr>
          <w:rFonts w:ascii="Times New Roman" w:hAnsi="Times New Roman" w:cs="Times New Roman"/>
          <w:sz w:val="24"/>
          <w:szCs w:val="24"/>
        </w:rPr>
        <w:t xml:space="preserve">ifferent estimation techniques. </w:t>
      </w:r>
      <w:r w:rsidR="002808FB">
        <w:rPr>
          <w:rFonts w:ascii="Times New Roman" w:hAnsi="Times New Roman" w:cs="Times New Roman"/>
          <w:sz w:val="24"/>
          <w:szCs w:val="24"/>
        </w:rPr>
        <w:t>The study is</w:t>
      </w:r>
      <w:r w:rsidR="00046C3B">
        <w:rPr>
          <w:rFonts w:ascii="Times New Roman" w:hAnsi="Times New Roman" w:cs="Times New Roman"/>
          <w:sz w:val="24"/>
          <w:szCs w:val="24"/>
        </w:rPr>
        <w:t xml:space="preserve"> </w:t>
      </w:r>
      <w:r w:rsidR="002808FB">
        <w:rPr>
          <w:rFonts w:ascii="Times New Roman" w:hAnsi="Times New Roman" w:cs="Times New Roman"/>
          <w:sz w:val="24"/>
          <w:szCs w:val="24"/>
        </w:rPr>
        <w:t xml:space="preserve">among </w:t>
      </w:r>
      <w:r w:rsidR="00046C3B">
        <w:rPr>
          <w:rFonts w:ascii="Times New Roman" w:hAnsi="Times New Roman" w:cs="Times New Roman"/>
          <w:sz w:val="24"/>
          <w:szCs w:val="24"/>
        </w:rPr>
        <w:t xml:space="preserve">the first to </w:t>
      </w:r>
      <w:r w:rsidR="002808FB">
        <w:rPr>
          <w:rFonts w:ascii="Times New Roman" w:hAnsi="Times New Roman" w:cs="Times New Roman"/>
          <w:sz w:val="24"/>
          <w:szCs w:val="24"/>
        </w:rPr>
        <w:t xml:space="preserve">comprehensively </w:t>
      </w:r>
      <w:r w:rsidR="0075795D">
        <w:rPr>
          <w:rFonts w:ascii="Times New Roman" w:hAnsi="Times New Roman" w:cs="Times New Roman"/>
          <w:sz w:val="24"/>
          <w:szCs w:val="24"/>
        </w:rPr>
        <w:t>examine the nexus between bankruptcy, corporate governance, and estimation techniques</w:t>
      </w:r>
      <w:r w:rsidR="002808FB">
        <w:rPr>
          <w:rFonts w:ascii="Times New Roman" w:hAnsi="Times New Roman" w:cs="Times New Roman"/>
          <w:sz w:val="24"/>
          <w:szCs w:val="24"/>
        </w:rPr>
        <w:t>.</w:t>
      </w:r>
      <w:r w:rsidR="00210F5F">
        <w:rPr>
          <w:rFonts w:ascii="Times New Roman" w:hAnsi="Times New Roman" w:cs="Times New Roman"/>
          <w:sz w:val="24"/>
          <w:szCs w:val="24"/>
        </w:rPr>
        <w:t xml:space="preserve"> </w:t>
      </w:r>
      <w:r w:rsidR="00041967">
        <w:rPr>
          <w:rFonts w:ascii="Times New Roman" w:hAnsi="Times New Roman" w:cs="Times New Roman"/>
          <w:sz w:val="24"/>
          <w:szCs w:val="24"/>
        </w:rPr>
        <w:t>Majority of the p</w:t>
      </w:r>
      <w:r w:rsidR="00210F5F" w:rsidRPr="002F5CFB">
        <w:rPr>
          <w:rFonts w:ascii="Times New Roman" w:hAnsi="Times New Roman" w:cs="Times New Roman"/>
          <w:sz w:val="24"/>
          <w:szCs w:val="24"/>
        </w:rPr>
        <w:t xml:space="preserve">rior studies </w:t>
      </w:r>
      <w:r w:rsidR="002F5CFB">
        <w:rPr>
          <w:rFonts w:ascii="Times New Roman" w:hAnsi="Times New Roman" w:cs="Times New Roman"/>
          <w:sz w:val="24"/>
          <w:szCs w:val="24"/>
        </w:rPr>
        <w:t xml:space="preserve">have </w:t>
      </w:r>
      <w:r w:rsidR="00C42D3F">
        <w:rPr>
          <w:rFonts w:ascii="Times New Roman" w:hAnsi="Times New Roman" w:cs="Times New Roman"/>
          <w:sz w:val="24"/>
          <w:szCs w:val="24"/>
        </w:rPr>
        <w:t xml:space="preserve">primarily </w:t>
      </w:r>
      <w:r w:rsidR="002D5090">
        <w:rPr>
          <w:rFonts w:ascii="Times New Roman" w:hAnsi="Times New Roman" w:cs="Times New Roman"/>
          <w:sz w:val="24"/>
          <w:szCs w:val="24"/>
        </w:rPr>
        <w:t xml:space="preserve">focused on examining the added value from adding governance variables to </w:t>
      </w:r>
      <w:r w:rsidR="00041967">
        <w:rPr>
          <w:rFonts w:ascii="Times New Roman" w:hAnsi="Times New Roman" w:cs="Times New Roman"/>
          <w:sz w:val="24"/>
          <w:szCs w:val="24"/>
        </w:rPr>
        <w:t xml:space="preserve">a </w:t>
      </w:r>
      <w:r w:rsidR="00B17980">
        <w:rPr>
          <w:rFonts w:ascii="Times New Roman" w:hAnsi="Times New Roman" w:cs="Times New Roman"/>
          <w:sz w:val="24"/>
          <w:szCs w:val="24"/>
        </w:rPr>
        <w:t>bankruptcy</w:t>
      </w:r>
      <w:r w:rsidR="002D5090">
        <w:rPr>
          <w:rFonts w:ascii="Times New Roman" w:hAnsi="Times New Roman" w:cs="Times New Roman"/>
          <w:sz w:val="24"/>
          <w:szCs w:val="24"/>
        </w:rPr>
        <w:t xml:space="preserve"> prediction model without considering the comparability across the different models or estimation techniques (</w:t>
      </w:r>
      <w:r w:rsidR="00E52E0C">
        <w:rPr>
          <w:rFonts w:ascii="Times New Roman" w:hAnsi="Times New Roman" w:cs="Times New Roman"/>
          <w:sz w:val="24"/>
          <w:szCs w:val="24"/>
        </w:rPr>
        <w:t>for example,</w:t>
      </w:r>
      <w:r w:rsidR="002D5090">
        <w:rPr>
          <w:rFonts w:ascii="Times New Roman" w:hAnsi="Times New Roman" w:cs="Times New Roman"/>
          <w:sz w:val="24"/>
          <w:szCs w:val="24"/>
        </w:rPr>
        <w:t xml:space="preserve"> Daily and Dalton </w:t>
      </w:r>
      <w:r w:rsidR="002D5090" w:rsidRPr="00A74C9F">
        <w:rPr>
          <w:rFonts w:ascii="Times New Roman" w:hAnsi="Times New Roman" w:cs="Times New Roman"/>
          <w:sz w:val="24"/>
          <w:szCs w:val="24"/>
        </w:rPr>
        <w:t>1994</w:t>
      </w:r>
      <w:r w:rsidR="006D5DD3" w:rsidRPr="006D5DD3">
        <w:rPr>
          <w:rFonts w:ascii="Times New Roman" w:hAnsi="Times New Roman" w:cs="Times New Roman"/>
          <w:sz w:val="24"/>
          <w:szCs w:val="24"/>
        </w:rPr>
        <w:t>,</w:t>
      </w:r>
      <w:r w:rsidR="002D5090">
        <w:rPr>
          <w:rFonts w:ascii="Times New Roman" w:hAnsi="Times New Roman" w:cs="Times New Roman"/>
          <w:sz w:val="24"/>
          <w:szCs w:val="24"/>
        </w:rPr>
        <w:t xml:space="preserve"> Darrat </w:t>
      </w:r>
      <w:r w:rsidR="00327178" w:rsidRPr="00327178">
        <w:rPr>
          <w:rFonts w:ascii="Times New Roman" w:hAnsi="Times New Roman" w:cs="Times New Roman"/>
          <w:i/>
          <w:iCs/>
          <w:sz w:val="24"/>
          <w:szCs w:val="24"/>
        </w:rPr>
        <w:t>et al.</w:t>
      </w:r>
      <w:r w:rsidR="002D5090">
        <w:rPr>
          <w:rFonts w:ascii="Times New Roman" w:hAnsi="Times New Roman" w:cs="Times New Roman"/>
          <w:sz w:val="24"/>
          <w:szCs w:val="24"/>
        </w:rPr>
        <w:t xml:space="preserve"> 2016</w:t>
      </w:r>
      <w:r w:rsidR="006D5DD3" w:rsidRPr="006D5DD3">
        <w:rPr>
          <w:rFonts w:ascii="Times New Roman" w:hAnsi="Times New Roman" w:cs="Times New Roman"/>
          <w:sz w:val="24"/>
          <w:szCs w:val="24"/>
        </w:rPr>
        <w:t>,</w:t>
      </w:r>
      <w:r w:rsidR="002D5090">
        <w:rPr>
          <w:rFonts w:ascii="Times New Roman" w:hAnsi="Times New Roman" w:cs="Times New Roman"/>
          <w:sz w:val="24"/>
          <w:szCs w:val="24"/>
        </w:rPr>
        <w:t xml:space="preserve"> </w:t>
      </w:r>
      <w:r w:rsidR="002D5090" w:rsidRPr="006B59BA">
        <w:rPr>
          <w:rFonts w:ascii="Times New Roman" w:hAnsi="Times New Roman" w:cs="Times New Roman"/>
          <w:sz w:val="24"/>
          <w:szCs w:val="24"/>
        </w:rPr>
        <w:t>Elloumi and Gueyi</w:t>
      </w:r>
      <w:r w:rsidR="002D5090">
        <w:rPr>
          <w:rFonts w:ascii="Times New Roman" w:hAnsi="Times New Roman" w:cs="Times New Roman"/>
          <w:sz w:val="24"/>
          <w:szCs w:val="24"/>
        </w:rPr>
        <w:t xml:space="preserve">e </w:t>
      </w:r>
      <w:r w:rsidR="002D5090" w:rsidRPr="006B59BA">
        <w:rPr>
          <w:rFonts w:ascii="Times New Roman" w:hAnsi="Times New Roman" w:cs="Times New Roman"/>
          <w:sz w:val="24"/>
          <w:szCs w:val="24"/>
        </w:rPr>
        <w:t>2001</w:t>
      </w:r>
      <w:r w:rsidR="006D5DD3" w:rsidRPr="006D5DD3">
        <w:rPr>
          <w:rFonts w:ascii="Times New Roman" w:hAnsi="Times New Roman" w:cs="Times New Roman"/>
          <w:sz w:val="24"/>
          <w:szCs w:val="24"/>
        </w:rPr>
        <w:t>,</w:t>
      </w:r>
      <w:r w:rsidR="002D5090">
        <w:rPr>
          <w:rFonts w:ascii="Times New Roman" w:hAnsi="Times New Roman" w:cs="Times New Roman"/>
          <w:sz w:val="24"/>
          <w:szCs w:val="24"/>
        </w:rPr>
        <w:t xml:space="preserve"> Fich and Slezak </w:t>
      </w:r>
      <w:r w:rsidR="002D5090" w:rsidRPr="0077506E">
        <w:rPr>
          <w:rFonts w:ascii="Times New Roman" w:hAnsi="Times New Roman" w:cs="Times New Roman"/>
          <w:sz w:val="24"/>
          <w:szCs w:val="24"/>
        </w:rPr>
        <w:t>2008</w:t>
      </w:r>
      <w:r w:rsidR="006D5DD3" w:rsidRPr="006D5DD3">
        <w:rPr>
          <w:rFonts w:ascii="Times New Roman" w:hAnsi="Times New Roman" w:cs="Times New Roman"/>
          <w:sz w:val="24"/>
          <w:szCs w:val="24"/>
        </w:rPr>
        <w:t>,</w:t>
      </w:r>
      <w:r w:rsidR="002D5090">
        <w:rPr>
          <w:rFonts w:ascii="Times New Roman" w:hAnsi="Times New Roman" w:cs="Times New Roman"/>
          <w:sz w:val="24"/>
          <w:szCs w:val="24"/>
        </w:rPr>
        <w:t xml:space="preserve"> Wang and Deng 2006).</w:t>
      </w:r>
      <w:r w:rsidR="00041967">
        <w:rPr>
          <w:rFonts w:ascii="Times New Roman" w:hAnsi="Times New Roman" w:cs="Times New Roman"/>
          <w:sz w:val="24"/>
          <w:szCs w:val="24"/>
        </w:rPr>
        <w:t xml:space="preserve"> Furthermore, recent studies by </w:t>
      </w:r>
      <w:r w:rsidR="002D5090" w:rsidRPr="005E1EEF">
        <w:rPr>
          <w:rFonts w:ascii="Times New Roman" w:hAnsi="Times New Roman" w:cs="Times New Roman"/>
          <w:sz w:val="24"/>
          <w:szCs w:val="24"/>
        </w:rPr>
        <w:t xml:space="preserve">Chan </w:t>
      </w:r>
      <w:r w:rsidR="00327178" w:rsidRPr="00327178">
        <w:rPr>
          <w:rFonts w:ascii="Times New Roman" w:hAnsi="Times New Roman" w:cs="Times New Roman"/>
          <w:i/>
          <w:iCs/>
          <w:sz w:val="24"/>
          <w:szCs w:val="24"/>
        </w:rPr>
        <w:t>et al.</w:t>
      </w:r>
      <w:r w:rsidR="00041967">
        <w:rPr>
          <w:rFonts w:ascii="Times New Roman" w:hAnsi="Times New Roman" w:cs="Times New Roman"/>
          <w:sz w:val="24"/>
          <w:szCs w:val="24"/>
        </w:rPr>
        <w:t xml:space="preserve"> (</w:t>
      </w:r>
      <w:r w:rsidR="002D5090" w:rsidRPr="005E1EEF">
        <w:rPr>
          <w:rFonts w:ascii="Times New Roman" w:hAnsi="Times New Roman" w:cs="Times New Roman"/>
          <w:sz w:val="24"/>
          <w:szCs w:val="24"/>
        </w:rPr>
        <w:t>2016</w:t>
      </w:r>
      <w:r w:rsidR="00041967">
        <w:rPr>
          <w:rFonts w:ascii="Times New Roman" w:hAnsi="Times New Roman" w:cs="Times New Roman"/>
          <w:sz w:val="24"/>
          <w:szCs w:val="24"/>
        </w:rPr>
        <w:t>) and</w:t>
      </w:r>
      <w:r w:rsidR="002D5090">
        <w:rPr>
          <w:rFonts w:ascii="Times New Roman" w:hAnsi="Times New Roman" w:cs="Times New Roman"/>
          <w:sz w:val="24"/>
          <w:szCs w:val="24"/>
        </w:rPr>
        <w:t xml:space="preserve"> Liang </w:t>
      </w:r>
      <w:r w:rsidR="00327178" w:rsidRPr="00327178">
        <w:rPr>
          <w:rFonts w:ascii="Times New Roman" w:hAnsi="Times New Roman" w:cs="Times New Roman"/>
          <w:i/>
          <w:iCs/>
          <w:sz w:val="24"/>
          <w:szCs w:val="24"/>
        </w:rPr>
        <w:t>et al.</w:t>
      </w:r>
      <w:r w:rsidR="002D5090">
        <w:rPr>
          <w:rFonts w:ascii="Times New Roman" w:hAnsi="Times New Roman" w:cs="Times New Roman"/>
          <w:sz w:val="24"/>
          <w:szCs w:val="24"/>
        </w:rPr>
        <w:t xml:space="preserve"> </w:t>
      </w:r>
      <w:r w:rsidR="00041967">
        <w:rPr>
          <w:rFonts w:ascii="Times New Roman" w:hAnsi="Times New Roman" w:cs="Times New Roman"/>
          <w:sz w:val="24"/>
          <w:szCs w:val="24"/>
        </w:rPr>
        <w:t>(</w:t>
      </w:r>
      <w:r w:rsidR="002D5090">
        <w:rPr>
          <w:rFonts w:ascii="Times New Roman" w:hAnsi="Times New Roman" w:cs="Times New Roman"/>
          <w:sz w:val="24"/>
          <w:szCs w:val="24"/>
        </w:rPr>
        <w:t>2016</w:t>
      </w:r>
      <w:r w:rsidR="00041967">
        <w:rPr>
          <w:rFonts w:ascii="Times New Roman" w:hAnsi="Times New Roman" w:cs="Times New Roman"/>
          <w:sz w:val="24"/>
          <w:szCs w:val="24"/>
        </w:rPr>
        <w:t xml:space="preserve">) cover a </w:t>
      </w:r>
      <w:r w:rsidR="00B17980">
        <w:rPr>
          <w:rFonts w:ascii="Times New Roman" w:hAnsi="Times New Roman" w:cs="Times New Roman"/>
          <w:sz w:val="24"/>
          <w:szCs w:val="24"/>
        </w:rPr>
        <w:t xml:space="preserve">very </w:t>
      </w:r>
      <w:r w:rsidR="00041967">
        <w:rPr>
          <w:rFonts w:ascii="Times New Roman" w:hAnsi="Times New Roman" w:cs="Times New Roman"/>
          <w:sz w:val="24"/>
          <w:szCs w:val="24"/>
        </w:rPr>
        <w:t xml:space="preserve">limited set </w:t>
      </w:r>
      <w:r w:rsidR="00B17980">
        <w:rPr>
          <w:rFonts w:ascii="Times New Roman" w:hAnsi="Times New Roman" w:cs="Times New Roman"/>
          <w:sz w:val="24"/>
          <w:szCs w:val="24"/>
        </w:rPr>
        <w:t>of bankruptcy models and estimation techniques which limits the comparability of the results significantly.</w:t>
      </w:r>
      <w:r w:rsidR="002331DC">
        <w:rPr>
          <w:rFonts w:ascii="Times New Roman" w:hAnsi="Times New Roman" w:cs="Times New Roman"/>
          <w:sz w:val="24"/>
          <w:szCs w:val="24"/>
        </w:rPr>
        <w:t xml:space="preserve"> </w:t>
      </w:r>
      <w:r w:rsidR="00B17980">
        <w:rPr>
          <w:rFonts w:ascii="Times New Roman" w:hAnsi="Times New Roman" w:cs="Times New Roman"/>
          <w:sz w:val="24"/>
          <w:szCs w:val="24"/>
        </w:rPr>
        <w:t xml:space="preserve">We cover a more comprehensive set of models and estimation techniques. Also, using </w:t>
      </w:r>
      <w:r w:rsidR="002341D2">
        <w:rPr>
          <w:rFonts w:ascii="Times New Roman" w:hAnsi="Times New Roman" w:cs="Times New Roman"/>
          <w:sz w:val="24"/>
          <w:szCs w:val="24"/>
        </w:rPr>
        <w:t>a larger</w:t>
      </w:r>
      <w:r w:rsidR="00696502">
        <w:rPr>
          <w:rFonts w:ascii="Times New Roman" w:hAnsi="Times New Roman" w:cs="Times New Roman"/>
          <w:sz w:val="24"/>
          <w:szCs w:val="24"/>
        </w:rPr>
        <w:t xml:space="preserve"> sample and</w:t>
      </w:r>
      <w:r w:rsidR="002341D2">
        <w:rPr>
          <w:rFonts w:ascii="Times New Roman" w:hAnsi="Times New Roman" w:cs="Times New Roman"/>
          <w:sz w:val="24"/>
          <w:szCs w:val="24"/>
        </w:rPr>
        <w:t xml:space="preserve"> a longer</w:t>
      </w:r>
      <w:r w:rsidR="00696502">
        <w:rPr>
          <w:rFonts w:ascii="Times New Roman" w:hAnsi="Times New Roman" w:cs="Times New Roman"/>
          <w:sz w:val="24"/>
          <w:szCs w:val="24"/>
        </w:rPr>
        <w:t xml:space="preserve"> timeframe to examine </w:t>
      </w:r>
      <w:r w:rsidR="00696502">
        <w:rPr>
          <w:rFonts w:ascii="Times New Roman" w:hAnsi="Times New Roman" w:cs="Times New Roman"/>
          <w:sz w:val="24"/>
          <w:szCs w:val="24"/>
        </w:rPr>
        <w:lastRenderedPageBreak/>
        <w:t>different combinations of models and estimation</w:t>
      </w:r>
      <w:r w:rsidR="002341D2">
        <w:rPr>
          <w:rFonts w:ascii="Times New Roman" w:hAnsi="Times New Roman" w:cs="Times New Roman"/>
          <w:sz w:val="24"/>
          <w:szCs w:val="24"/>
        </w:rPr>
        <w:t xml:space="preserve"> techniques </w:t>
      </w:r>
      <w:r w:rsidR="0008042E">
        <w:rPr>
          <w:rFonts w:ascii="Times New Roman" w:hAnsi="Times New Roman" w:cs="Times New Roman"/>
          <w:sz w:val="24"/>
          <w:szCs w:val="24"/>
        </w:rPr>
        <w:t>allows better</w:t>
      </w:r>
      <w:r w:rsidR="00696502">
        <w:rPr>
          <w:rFonts w:ascii="Times New Roman" w:hAnsi="Times New Roman" w:cs="Times New Roman"/>
          <w:sz w:val="24"/>
          <w:szCs w:val="24"/>
        </w:rPr>
        <w:t xml:space="preserve"> comparison between both the predictive powers of these models and the classification ability of the different estimation methods. </w:t>
      </w:r>
      <w:r w:rsidR="00B17980">
        <w:rPr>
          <w:rFonts w:ascii="Times New Roman" w:hAnsi="Times New Roman" w:cs="Times New Roman"/>
          <w:sz w:val="24"/>
          <w:szCs w:val="24"/>
        </w:rPr>
        <w:t>Overall, t</w:t>
      </w:r>
      <w:r w:rsidR="002341D2">
        <w:rPr>
          <w:rFonts w:ascii="Times New Roman" w:hAnsi="Times New Roman" w:cs="Times New Roman"/>
          <w:sz w:val="24"/>
          <w:szCs w:val="24"/>
        </w:rPr>
        <w:t>he</w:t>
      </w:r>
      <w:r w:rsidR="00424FD5">
        <w:rPr>
          <w:rFonts w:ascii="Times New Roman" w:hAnsi="Times New Roman" w:cs="Times New Roman"/>
          <w:sz w:val="24"/>
          <w:szCs w:val="24"/>
        </w:rPr>
        <w:t xml:space="preserve"> </w:t>
      </w:r>
      <w:r w:rsidR="00696502">
        <w:rPr>
          <w:rFonts w:ascii="Times New Roman" w:hAnsi="Times New Roman" w:cs="Times New Roman"/>
          <w:sz w:val="24"/>
          <w:szCs w:val="24"/>
        </w:rPr>
        <w:t>study</w:t>
      </w:r>
      <w:r w:rsidR="00424FD5">
        <w:rPr>
          <w:rFonts w:ascii="Times New Roman" w:hAnsi="Times New Roman" w:cs="Times New Roman"/>
          <w:sz w:val="24"/>
          <w:szCs w:val="24"/>
        </w:rPr>
        <w:t xml:space="preserve"> </w:t>
      </w:r>
      <w:r w:rsidR="00696502">
        <w:rPr>
          <w:rFonts w:ascii="Times New Roman" w:hAnsi="Times New Roman" w:cs="Times New Roman"/>
          <w:sz w:val="24"/>
          <w:szCs w:val="24"/>
        </w:rPr>
        <w:t xml:space="preserve">addresses several limitations observed in </w:t>
      </w:r>
      <w:r w:rsidR="00B17980">
        <w:rPr>
          <w:rFonts w:ascii="Times New Roman" w:hAnsi="Times New Roman" w:cs="Times New Roman"/>
          <w:sz w:val="24"/>
          <w:szCs w:val="24"/>
        </w:rPr>
        <w:t xml:space="preserve">related </w:t>
      </w:r>
      <w:r w:rsidR="00696502">
        <w:rPr>
          <w:rFonts w:ascii="Times New Roman" w:hAnsi="Times New Roman" w:cs="Times New Roman"/>
          <w:sz w:val="24"/>
          <w:szCs w:val="24"/>
        </w:rPr>
        <w:t>previous studies, such as focusing on a very limited set of models and</w:t>
      </w:r>
      <w:r w:rsidR="00CF4B98">
        <w:rPr>
          <w:rFonts w:ascii="Times New Roman" w:hAnsi="Times New Roman" w:cs="Times New Roman"/>
          <w:sz w:val="24"/>
          <w:szCs w:val="24"/>
        </w:rPr>
        <w:t>/or</w:t>
      </w:r>
      <w:r w:rsidR="00696502">
        <w:rPr>
          <w:rFonts w:ascii="Times New Roman" w:hAnsi="Times New Roman" w:cs="Times New Roman"/>
          <w:sz w:val="24"/>
          <w:szCs w:val="24"/>
        </w:rPr>
        <w:t xml:space="preserve"> estimation methods, using </w:t>
      </w:r>
      <w:r w:rsidR="002D5090">
        <w:rPr>
          <w:rFonts w:ascii="Times New Roman" w:hAnsi="Times New Roman" w:cs="Times New Roman"/>
          <w:sz w:val="24"/>
          <w:szCs w:val="24"/>
        </w:rPr>
        <w:t>limited</w:t>
      </w:r>
      <w:r w:rsidR="00696502">
        <w:rPr>
          <w:rFonts w:ascii="Times New Roman" w:hAnsi="Times New Roman" w:cs="Times New Roman"/>
          <w:sz w:val="24"/>
          <w:szCs w:val="24"/>
        </w:rPr>
        <w:t xml:space="preserve"> dataset</w:t>
      </w:r>
      <w:r w:rsidR="00B17980">
        <w:rPr>
          <w:rFonts w:ascii="Times New Roman" w:hAnsi="Times New Roman" w:cs="Times New Roman"/>
          <w:sz w:val="24"/>
          <w:szCs w:val="24"/>
        </w:rPr>
        <w:t>s</w:t>
      </w:r>
      <w:r w:rsidR="00696502">
        <w:rPr>
          <w:rFonts w:ascii="Times New Roman" w:hAnsi="Times New Roman" w:cs="Times New Roman"/>
          <w:sz w:val="24"/>
          <w:szCs w:val="24"/>
        </w:rPr>
        <w:t xml:space="preserve"> </w:t>
      </w:r>
      <w:r w:rsidR="00D17BE5">
        <w:rPr>
          <w:rFonts w:ascii="Times New Roman" w:hAnsi="Times New Roman" w:cs="Times New Roman"/>
          <w:sz w:val="24"/>
          <w:szCs w:val="24"/>
        </w:rPr>
        <w:t>and/or</w:t>
      </w:r>
      <w:r w:rsidR="00696502">
        <w:rPr>
          <w:rFonts w:ascii="Times New Roman" w:hAnsi="Times New Roman" w:cs="Times New Roman"/>
          <w:sz w:val="24"/>
          <w:szCs w:val="24"/>
        </w:rPr>
        <w:t xml:space="preserve"> governance variables, and overlooking potential </w:t>
      </w:r>
      <w:r w:rsidR="00CF4B98">
        <w:rPr>
          <w:rFonts w:ascii="Times New Roman" w:hAnsi="Times New Roman" w:cs="Times New Roman"/>
          <w:sz w:val="24"/>
          <w:szCs w:val="24"/>
        </w:rPr>
        <w:t xml:space="preserve">statistical and </w:t>
      </w:r>
      <w:r w:rsidR="00696502">
        <w:rPr>
          <w:rFonts w:ascii="Times New Roman" w:hAnsi="Times New Roman" w:cs="Times New Roman"/>
          <w:sz w:val="24"/>
          <w:szCs w:val="24"/>
        </w:rPr>
        <w:t>endogeneity issues</w:t>
      </w:r>
      <w:r w:rsidR="009F2172">
        <w:rPr>
          <w:rFonts w:ascii="Times New Roman" w:hAnsi="Times New Roman" w:cs="Times New Roman"/>
          <w:sz w:val="24"/>
          <w:szCs w:val="24"/>
        </w:rPr>
        <w:t xml:space="preserve"> (see </w:t>
      </w:r>
      <w:r w:rsidR="009F2172" w:rsidRPr="009F2172">
        <w:rPr>
          <w:rFonts w:ascii="Times New Roman" w:hAnsi="Times New Roman" w:cs="Times New Roman"/>
          <w:sz w:val="24"/>
          <w:szCs w:val="24"/>
        </w:rPr>
        <w:t xml:space="preserve">Schultz </w:t>
      </w:r>
      <w:r w:rsidR="00327178" w:rsidRPr="00327178">
        <w:rPr>
          <w:rFonts w:ascii="Times New Roman" w:hAnsi="Times New Roman" w:cs="Times New Roman"/>
          <w:i/>
          <w:iCs/>
          <w:sz w:val="24"/>
          <w:szCs w:val="24"/>
        </w:rPr>
        <w:t>et al.</w:t>
      </w:r>
      <w:r w:rsidR="00A83C07">
        <w:rPr>
          <w:rFonts w:ascii="Times New Roman" w:hAnsi="Times New Roman" w:cs="Times New Roman"/>
          <w:sz w:val="24"/>
          <w:szCs w:val="24"/>
        </w:rPr>
        <w:t xml:space="preserve"> 2017</w:t>
      </w:r>
      <w:r w:rsidR="009F2172">
        <w:rPr>
          <w:rFonts w:ascii="Times New Roman" w:hAnsi="Times New Roman" w:cs="Times New Roman"/>
          <w:sz w:val="24"/>
          <w:szCs w:val="24"/>
        </w:rPr>
        <w:t>)</w:t>
      </w:r>
      <w:r w:rsidR="00696502">
        <w:rPr>
          <w:rFonts w:ascii="Times New Roman" w:hAnsi="Times New Roman" w:cs="Times New Roman"/>
          <w:sz w:val="24"/>
          <w:szCs w:val="24"/>
        </w:rPr>
        <w:t>.</w:t>
      </w:r>
      <w:r w:rsidR="00F84819">
        <w:rPr>
          <w:rFonts w:ascii="Times New Roman" w:hAnsi="Times New Roman" w:cs="Times New Roman"/>
          <w:sz w:val="24"/>
          <w:szCs w:val="24"/>
        </w:rPr>
        <w:t xml:space="preserve"> </w:t>
      </w:r>
    </w:p>
    <w:p w14:paraId="334D776D" w14:textId="77777777" w:rsidR="00260D7D" w:rsidRDefault="00260D7D" w:rsidP="00260D7D">
      <w:pPr>
        <w:tabs>
          <w:tab w:val="left" w:pos="567"/>
        </w:tabs>
        <w:spacing w:after="0" w:line="288" w:lineRule="auto"/>
        <w:jc w:val="both"/>
        <w:rPr>
          <w:rFonts w:ascii="Times New Roman" w:hAnsi="Times New Roman" w:cs="Times New Roman"/>
          <w:sz w:val="24"/>
          <w:szCs w:val="24"/>
        </w:rPr>
      </w:pPr>
    </w:p>
    <w:p w14:paraId="1D182FA7" w14:textId="32125D37" w:rsidR="006444C6" w:rsidRDefault="00260D7D" w:rsidP="00260D7D">
      <w:pPr>
        <w:tabs>
          <w:tab w:val="left" w:pos="567"/>
        </w:tabs>
        <w:spacing w:after="0" w:line="288" w:lineRule="auto"/>
        <w:jc w:val="both"/>
        <w:rPr>
          <w:rFonts w:asciiTheme="majorBidi" w:hAnsiTheme="majorBidi" w:cstheme="majorBidi"/>
          <w:color w:val="000000"/>
          <w:sz w:val="24"/>
          <w:szCs w:val="24"/>
        </w:rPr>
      </w:pPr>
      <w:r>
        <w:rPr>
          <w:rFonts w:ascii="Times New Roman" w:hAnsi="Times New Roman" w:cs="Times New Roman"/>
          <w:sz w:val="24"/>
          <w:szCs w:val="24"/>
        </w:rPr>
        <w:tab/>
      </w:r>
      <w:r w:rsidR="006444C6">
        <w:rPr>
          <w:rFonts w:ascii="Times New Roman" w:hAnsi="Times New Roman" w:cs="Times New Roman"/>
          <w:sz w:val="24"/>
          <w:szCs w:val="24"/>
        </w:rPr>
        <w:t>We find that the addition of governance variables significantly improves the classification power and prediction accuracy of the different bankruptcy prediction models covered in the study</w:t>
      </w:r>
      <w:r w:rsidR="00F67563">
        <w:rPr>
          <w:rFonts w:ascii="Times New Roman" w:hAnsi="Times New Roman" w:cs="Times New Roman"/>
          <w:sz w:val="24"/>
          <w:szCs w:val="24"/>
        </w:rPr>
        <w:t xml:space="preserve">. </w:t>
      </w:r>
      <w:r w:rsidR="006444C6">
        <w:rPr>
          <w:rFonts w:ascii="Times New Roman" w:hAnsi="Times New Roman" w:cs="Times New Roman"/>
          <w:sz w:val="24"/>
          <w:szCs w:val="24"/>
        </w:rPr>
        <w:t xml:space="preserve">We also find that while adding governance variables improves the performance of bankruptcy prediction models, the </w:t>
      </w:r>
      <w:r w:rsidR="006444C6" w:rsidRPr="004F2A14">
        <w:rPr>
          <w:rFonts w:ascii="Times New Roman" w:hAnsi="Times New Roman" w:cs="Times New Roman"/>
          <w:sz w:val="24"/>
          <w:szCs w:val="24"/>
        </w:rPr>
        <w:t>additional explanatory power provided by adding the governance measures</w:t>
      </w:r>
      <w:r w:rsidR="006444C6">
        <w:rPr>
          <w:rFonts w:ascii="Times New Roman" w:hAnsi="Times New Roman" w:cs="Times New Roman"/>
          <w:sz w:val="24"/>
          <w:szCs w:val="24"/>
        </w:rPr>
        <w:t xml:space="preserve"> improves the further we are from bankruptcy, which implies that governance variables tend to provide earlier and more accurate warnings of the firm’s bankruptcy potential (</w:t>
      </w:r>
      <w:r w:rsidR="006444C6" w:rsidRPr="007135A4">
        <w:rPr>
          <w:rFonts w:ascii="Times New Roman" w:hAnsi="Times New Roman" w:cs="Times New Roman"/>
          <w:sz w:val="24"/>
          <w:szCs w:val="24"/>
        </w:rPr>
        <w:t>Daily and Dalton</w:t>
      </w:r>
      <w:r w:rsidR="006444C6">
        <w:rPr>
          <w:rFonts w:ascii="Times New Roman" w:hAnsi="Times New Roman" w:cs="Times New Roman"/>
          <w:sz w:val="24"/>
          <w:szCs w:val="24"/>
        </w:rPr>
        <w:t xml:space="preserve"> </w:t>
      </w:r>
      <w:r w:rsidR="006444C6" w:rsidRPr="007135A4">
        <w:rPr>
          <w:rFonts w:ascii="Times New Roman" w:hAnsi="Times New Roman" w:cs="Times New Roman"/>
          <w:sz w:val="24"/>
          <w:szCs w:val="24"/>
        </w:rPr>
        <w:t>1994</w:t>
      </w:r>
      <w:r w:rsidR="006444C6">
        <w:rPr>
          <w:rFonts w:ascii="Times New Roman" w:hAnsi="Times New Roman" w:cs="Times New Roman"/>
          <w:sz w:val="24"/>
          <w:szCs w:val="24"/>
        </w:rPr>
        <w:t xml:space="preserve">, </w:t>
      </w:r>
      <w:r w:rsidR="006444C6" w:rsidRPr="007135A4">
        <w:rPr>
          <w:rFonts w:ascii="Times New Roman" w:hAnsi="Times New Roman" w:cs="Times New Roman"/>
          <w:sz w:val="24"/>
          <w:szCs w:val="24"/>
        </w:rPr>
        <w:t xml:space="preserve">Darrat </w:t>
      </w:r>
      <w:r w:rsidR="00327178" w:rsidRPr="00327178">
        <w:rPr>
          <w:rFonts w:ascii="Times New Roman" w:hAnsi="Times New Roman" w:cs="Times New Roman"/>
          <w:i/>
          <w:iCs/>
          <w:sz w:val="24"/>
          <w:szCs w:val="24"/>
        </w:rPr>
        <w:t>et al.</w:t>
      </w:r>
      <w:r w:rsidR="006444C6" w:rsidRPr="007135A4">
        <w:rPr>
          <w:rFonts w:ascii="Times New Roman" w:hAnsi="Times New Roman" w:cs="Times New Roman"/>
          <w:sz w:val="24"/>
          <w:szCs w:val="24"/>
        </w:rPr>
        <w:t xml:space="preserve"> 2016)</w:t>
      </w:r>
      <w:r w:rsidR="006444C6">
        <w:rPr>
          <w:rFonts w:ascii="Times New Roman" w:hAnsi="Times New Roman" w:cs="Times New Roman"/>
          <w:sz w:val="24"/>
          <w:szCs w:val="24"/>
        </w:rPr>
        <w:t>. Lastly, our analysis of five of the most used estimation methods in the literature showed that regardless of the bankruptcy model used,</w:t>
      </w:r>
      <w:r w:rsidR="006444C6">
        <w:rPr>
          <w:rFonts w:asciiTheme="majorBidi" w:hAnsiTheme="majorBidi" w:cstheme="majorBidi"/>
          <w:color w:val="000000"/>
          <w:sz w:val="24"/>
          <w:szCs w:val="24"/>
        </w:rPr>
        <w:t xml:space="preserve"> hazard analysis provides the best classification and out-of-sample forecast accuracy among the parametric methods</w:t>
      </w:r>
      <w:r w:rsidR="00B46920">
        <w:rPr>
          <w:rFonts w:asciiTheme="majorBidi" w:hAnsiTheme="majorBidi" w:cstheme="majorBidi"/>
          <w:color w:val="000000"/>
          <w:sz w:val="24"/>
          <w:szCs w:val="24"/>
        </w:rPr>
        <w:t>, the other methods being m</w:t>
      </w:r>
      <w:r w:rsidR="00B46920" w:rsidRPr="00B46920">
        <w:rPr>
          <w:rFonts w:asciiTheme="majorBidi" w:hAnsiTheme="majorBidi" w:cstheme="majorBidi"/>
          <w:color w:val="000000"/>
          <w:sz w:val="24"/>
          <w:szCs w:val="24"/>
        </w:rPr>
        <w:t>ultiple discriminant analysis and regression analysis</w:t>
      </w:r>
      <w:r w:rsidR="00B46920">
        <w:rPr>
          <w:rFonts w:asciiTheme="majorBidi" w:hAnsiTheme="majorBidi" w:cstheme="majorBidi"/>
          <w:color w:val="000000"/>
          <w:sz w:val="24"/>
          <w:szCs w:val="24"/>
        </w:rPr>
        <w:t xml:space="preserve">. </w:t>
      </w:r>
      <w:r w:rsidR="006444C6">
        <w:rPr>
          <w:rFonts w:asciiTheme="majorBidi" w:hAnsiTheme="majorBidi" w:cstheme="majorBidi"/>
          <w:color w:val="000000"/>
          <w:sz w:val="24"/>
          <w:szCs w:val="24"/>
        </w:rPr>
        <w:t xml:space="preserve">Nevertheless, non-parametric methods such as </w:t>
      </w:r>
      <w:r w:rsidR="00F67563">
        <w:rPr>
          <w:rFonts w:asciiTheme="majorBidi" w:hAnsiTheme="majorBidi" w:cstheme="majorBidi"/>
          <w:color w:val="000000"/>
          <w:sz w:val="24"/>
          <w:szCs w:val="24"/>
        </w:rPr>
        <w:t>n</w:t>
      </w:r>
      <w:r w:rsidR="006444C6" w:rsidRPr="009058BC">
        <w:rPr>
          <w:rFonts w:asciiTheme="majorBidi" w:hAnsiTheme="majorBidi" w:cstheme="majorBidi"/>
          <w:color w:val="000000"/>
          <w:sz w:val="24"/>
          <w:szCs w:val="24"/>
        </w:rPr>
        <w:t xml:space="preserve">eural </w:t>
      </w:r>
      <w:r w:rsidR="00F67563">
        <w:rPr>
          <w:rFonts w:asciiTheme="majorBidi" w:hAnsiTheme="majorBidi" w:cstheme="majorBidi"/>
          <w:color w:val="000000"/>
          <w:sz w:val="24"/>
          <w:szCs w:val="24"/>
        </w:rPr>
        <w:t>n</w:t>
      </w:r>
      <w:r w:rsidR="006444C6" w:rsidRPr="009058BC">
        <w:rPr>
          <w:rFonts w:asciiTheme="majorBidi" w:hAnsiTheme="majorBidi" w:cstheme="majorBidi"/>
          <w:color w:val="000000"/>
          <w:sz w:val="24"/>
          <w:szCs w:val="24"/>
        </w:rPr>
        <w:t>etworks</w:t>
      </w:r>
      <w:r w:rsidR="006444C6">
        <w:rPr>
          <w:rFonts w:asciiTheme="majorBidi" w:hAnsiTheme="majorBidi" w:cstheme="majorBidi"/>
          <w:color w:val="000000"/>
          <w:sz w:val="24"/>
          <w:szCs w:val="24"/>
        </w:rPr>
        <w:t xml:space="preserve"> </w:t>
      </w:r>
      <w:r w:rsidR="00B46920">
        <w:rPr>
          <w:rFonts w:asciiTheme="majorBidi" w:hAnsiTheme="majorBidi" w:cstheme="majorBidi"/>
          <w:color w:val="000000"/>
          <w:sz w:val="24"/>
          <w:szCs w:val="24"/>
        </w:rPr>
        <w:t>and</w:t>
      </w:r>
      <w:r w:rsidR="006444C6">
        <w:rPr>
          <w:rFonts w:asciiTheme="majorBidi" w:hAnsiTheme="majorBidi" w:cstheme="majorBidi"/>
          <w:color w:val="000000"/>
          <w:sz w:val="24"/>
          <w:szCs w:val="24"/>
        </w:rPr>
        <w:t xml:space="preserve"> </w:t>
      </w:r>
      <w:r w:rsidR="00F67563">
        <w:rPr>
          <w:rFonts w:asciiTheme="majorBidi" w:hAnsiTheme="majorBidi" w:cstheme="majorBidi"/>
          <w:color w:val="000000"/>
          <w:sz w:val="24"/>
          <w:szCs w:val="24"/>
        </w:rPr>
        <w:t>d</w:t>
      </w:r>
      <w:r w:rsidR="006444C6">
        <w:rPr>
          <w:rFonts w:asciiTheme="majorBidi" w:hAnsiTheme="majorBidi" w:cstheme="majorBidi"/>
          <w:color w:val="000000"/>
          <w:sz w:val="24"/>
          <w:szCs w:val="24"/>
        </w:rPr>
        <w:t xml:space="preserve">ata </w:t>
      </w:r>
      <w:r w:rsidR="00F67563">
        <w:rPr>
          <w:rFonts w:asciiTheme="majorBidi" w:hAnsiTheme="majorBidi" w:cstheme="majorBidi"/>
          <w:color w:val="000000"/>
          <w:sz w:val="24"/>
          <w:szCs w:val="24"/>
        </w:rPr>
        <w:t>e</w:t>
      </w:r>
      <w:r w:rsidR="006444C6">
        <w:rPr>
          <w:rFonts w:asciiTheme="majorBidi" w:hAnsiTheme="majorBidi" w:cstheme="majorBidi"/>
          <w:color w:val="000000"/>
          <w:sz w:val="24"/>
          <w:szCs w:val="24"/>
        </w:rPr>
        <w:t xml:space="preserve">nvelopment </w:t>
      </w:r>
      <w:r w:rsidR="00F67563">
        <w:rPr>
          <w:rFonts w:asciiTheme="majorBidi" w:hAnsiTheme="majorBidi" w:cstheme="majorBidi"/>
          <w:color w:val="000000"/>
          <w:sz w:val="24"/>
          <w:szCs w:val="24"/>
        </w:rPr>
        <w:t>a</w:t>
      </w:r>
      <w:r w:rsidR="006444C6">
        <w:rPr>
          <w:rFonts w:asciiTheme="majorBidi" w:hAnsiTheme="majorBidi" w:cstheme="majorBidi"/>
          <w:color w:val="000000"/>
          <w:sz w:val="24"/>
          <w:szCs w:val="24"/>
        </w:rPr>
        <w:t>nalysis appear to provide better classification accuracy regardless of the model selected</w:t>
      </w:r>
      <w:r w:rsidR="006444C6" w:rsidRPr="006444C6">
        <w:rPr>
          <w:rFonts w:asciiTheme="majorBidi" w:hAnsiTheme="majorBidi" w:cstheme="majorBidi"/>
          <w:color w:val="000000"/>
          <w:sz w:val="24"/>
          <w:szCs w:val="24"/>
        </w:rPr>
        <w:t xml:space="preserve"> </w:t>
      </w:r>
      <w:r w:rsidR="006444C6">
        <w:rPr>
          <w:rFonts w:asciiTheme="majorBidi" w:hAnsiTheme="majorBidi" w:cstheme="majorBidi"/>
          <w:color w:val="000000"/>
          <w:sz w:val="24"/>
          <w:szCs w:val="24"/>
        </w:rPr>
        <w:t>(</w:t>
      </w:r>
      <w:r w:rsidR="006444C6" w:rsidRPr="007A57CF">
        <w:rPr>
          <w:rFonts w:asciiTheme="majorBidi" w:hAnsiTheme="majorBidi" w:cstheme="majorBidi"/>
          <w:color w:val="000000"/>
          <w:sz w:val="24"/>
          <w:szCs w:val="24"/>
        </w:rPr>
        <w:t xml:space="preserve">Cielen </w:t>
      </w:r>
      <w:r w:rsidR="00327178" w:rsidRPr="00327178">
        <w:rPr>
          <w:rFonts w:asciiTheme="majorBidi" w:hAnsiTheme="majorBidi" w:cstheme="majorBidi"/>
          <w:i/>
          <w:iCs/>
          <w:color w:val="000000"/>
          <w:sz w:val="24"/>
          <w:szCs w:val="24"/>
        </w:rPr>
        <w:t>et al.</w:t>
      </w:r>
      <w:r w:rsidR="006444C6" w:rsidRPr="007A57CF">
        <w:rPr>
          <w:rFonts w:asciiTheme="majorBidi" w:hAnsiTheme="majorBidi" w:cstheme="majorBidi"/>
          <w:color w:val="000000"/>
          <w:sz w:val="24"/>
          <w:szCs w:val="24"/>
        </w:rPr>
        <w:t xml:space="preserve"> 2004</w:t>
      </w:r>
      <w:r w:rsidR="006D5DD3" w:rsidRPr="006D5DD3">
        <w:rPr>
          <w:rFonts w:asciiTheme="majorBidi" w:hAnsiTheme="majorBidi" w:cstheme="majorBidi"/>
          <w:color w:val="000000"/>
          <w:sz w:val="24"/>
          <w:szCs w:val="24"/>
        </w:rPr>
        <w:t>,</w:t>
      </w:r>
      <w:r w:rsidR="006444C6">
        <w:rPr>
          <w:rFonts w:asciiTheme="majorBidi" w:hAnsiTheme="majorBidi" w:cstheme="majorBidi"/>
          <w:color w:val="000000"/>
          <w:sz w:val="24"/>
          <w:szCs w:val="24"/>
        </w:rPr>
        <w:t xml:space="preserve"> </w:t>
      </w:r>
      <w:r w:rsidR="006444C6" w:rsidRPr="007A57CF">
        <w:rPr>
          <w:rFonts w:asciiTheme="majorBidi" w:hAnsiTheme="majorBidi" w:cstheme="majorBidi"/>
          <w:color w:val="000000"/>
          <w:sz w:val="24"/>
          <w:szCs w:val="24"/>
        </w:rPr>
        <w:t xml:space="preserve">Desai </w:t>
      </w:r>
      <w:r w:rsidR="00327178" w:rsidRPr="00327178">
        <w:rPr>
          <w:rFonts w:asciiTheme="majorBidi" w:hAnsiTheme="majorBidi" w:cstheme="majorBidi"/>
          <w:i/>
          <w:iCs/>
          <w:color w:val="000000"/>
          <w:sz w:val="24"/>
          <w:szCs w:val="24"/>
        </w:rPr>
        <w:t>et al.</w:t>
      </w:r>
      <w:r w:rsidR="006444C6" w:rsidRPr="007A57CF">
        <w:rPr>
          <w:rFonts w:asciiTheme="majorBidi" w:hAnsiTheme="majorBidi" w:cstheme="majorBidi"/>
          <w:color w:val="000000"/>
          <w:sz w:val="24"/>
          <w:szCs w:val="24"/>
        </w:rPr>
        <w:t xml:space="preserve"> 1996</w:t>
      </w:r>
      <w:r w:rsidR="006D5DD3" w:rsidRPr="006D5DD3">
        <w:rPr>
          <w:rFonts w:asciiTheme="majorBidi" w:hAnsiTheme="majorBidi" w:cstheme="majorBidi"/>
          <w:color w:val="000000"/>
          <w:sz w:val="24"/>
          <w:szCs w:val="24"/>
        </w:rPr>
        <w:t>,</w:t>
      </w:r>
      <w:r w:rsidR="006444C6" w:rsidRPr="007A57CF">
        <w:rPr>
          <w:rFonts w:asciiTheme="majorBidi" w:hAnsiTheme="majorBidi" w:cstheme="majorBidi"/>
          <w:color w:val="000000"/>
          <w:sz w:val="24"/>
          <w:szCs w:val="24"/>
        </w:rPr>
        <w:t xml:space="preserve"> Malhotra and Malhotra 2003</w:t>
      </w:r>
      <w:r w:rsidR="006D5DD3" w:rsidRPr="006D5DD3">
        <w:rPr>
          <w:rFonts w:asciiTheme="majorBidi" w:hAnsiTheme="majorBidi" w:cstheme="majorBidi"/>
          <w:color w:val="000000"/>
          <w:sz w:val="24"/>
          <w:szCs w:val="24"/>
        </w:rPr>
        <w:t>,</w:t>
      </w:r>
      <w:r w:rsidR="006444C6" w:rsidRPr="007A57CF">
        <w:rPr>
          <w:rFonts w:asciiTheme="majorBidi" w:hAnsiTheme="majorBidi" w:cstheme="majorBidi"/>
          <w:color w:val="000000"/>
          <w:sz w:val="24"/>
          <w:szCs w:val="24"/>
        </w:rPr>
        <w:t xml:space="preserve"> Premachandra </w:t>
      </w:r>
      <w:r w:rsidR="00327178" w:rsidRPr="00327178">
        <w:rPr>
          <w:rFonts w:asciiTheme="majorBidi" w:hAnsiTheme="majorBidi" w:cstheme="majorBidi"/>
          <w:i/>
          <w:iCs/>
          <w:color w:val="000000"/>
          <w:sz w:val="24"/>
          <w:szCs w:val="24"/>
        </w:rPr>
        <w:t>et al.</w:t>
      </w:r>
      <w:r w:rsidR="006444C6">
        <w:rPr>
          <w:rFonts w:asciiTheme="majorBidi" w:hAnsiTheme="majorBidi" w:cstheme="majorBidi"/>
          <w:color w:val="000000"/>
          <w:sz w:val="24"/>
          <w:szCs w:val="24"/>
        </w:rPr>
        <w:t xml:space="preserve"> </w:t>
      </w:r>
      <w:r w:rsidR="006444C6" w:rsidRPr="007A57CF">
        <w:rPr>
          <w:rFonts w:asciiTheme="majorBidi" w:hAnsiTheme="majorBidi" w:cstheme="majorBidi"/>
          <w:color w:val="000000"/>
          <w:sz w:val="24"/>
          <w:szCs w:val="24"/>
        </w:rPr>
        <w:t>2009</w:t>
      </w:r>
      <w:r w:rsidR="006D5DD3" w:rsidRPr="006D5DD3">
        <w:rPr>
          <w:rFonts w:asciiTheme="majorBidi" w:hAnsiTheme="majorBidi" w:cstheme="majorBidi"/>
          <w:color w:val="000000"/>
          <w:sz w:val="24"/>
          <w:szCs w:val="24"/>
        </w:rPr>
        <w:t>,</w:t>
      </w:r>
      <w:r w:rsidR="006444C6">
        <w:rPr>
          <w:rFonts w:asciiTheme="majorBidi" w:hAnsiTheme="majorBidi" w:cstheme="majorBidi"/>
          <w:color w:val="000000"/>
          <w:sz w:val="24"/>
          <w:szCs w:val="24"/>
        </w:rPr>
        <w:t xml:space="preserve"> </w:t>
      </w:r>
      <w:r w:rsidR="006444C6" w:rsidRPr="007A57CF">
        <w:rPr>
          <w:rFonts w:asciiTheme="majorBidi" w:hAnsiTheme="majorBidi" w:cstheme="majorBidi"/>
          <w:color w:val="000000"/>
          <w:sz w:val="24"/>
          <w:szCs w:val="24"/>
        </w:rPr>
        <w:t>Wilson and Sharda 1994</w:t>
      </w:r>
      <w:r w:rsidR="006D5DD3" w:rsidRPr="006D5DD3">
        <w:rPr>
          <w:rFonts w:asciiTheme="majorBidi" w:hAnsiTheme="majorBidi" w:cstheme="majorBidi"/>
          <w:color w:val="000000"/>
          <w:sz w:val="24"/>
          <w:szCs w:val="24"/>
        </w:rPr>
        <w:t>,</w:t>
      </w:r>
      <w:r w:rsidR="006444C6" w:rsidRPr="007A57CF">
        <w:rPr>
          <w:rFonts w:asciiTheme="majorBidi" w:hAnsiTheme="majorBidi" w:cstheme="majorBidi"/>
          <w:color w:val="000000"/>
          <w:sz w:val="24"/>
          <w:szCs w:val="24"/>
        </w:rPr>
        <w:t xml:space="preserve"> Zhang </w:t>
      </w:r>
      <w:r w:rsidR="00327178" w:rsidRPr="00327178">
        <w:rPr>
          <w:rFonts w:asciiTheme="majorBidi" w:hAnsiTheme="majorBidi" w:cstheme="majorBidi"/>
          <w:i/>
          <w:iCs/>
          <w:color w:val="000000"/>
          <w:sz w:val="24"/>
          <w:szCs w:val="24"/>
        </w:rPr>
        <w:t>et al.</w:t>
      </w:r>
      <w:r w:rsidR="006444C6" w:rsidRPr="007A57CF">
        <w:rPr>
          <w:rFonts w:asciiTheme="majorBidi" w:hAnsiTheme="majorBidi" w:cstheme="majorBidi"/>
          <w:color w:val="000000"/>
          <w:sz w:val="24"/>
          <w:szCs w:val="24"/>
        </w:rPr>
        <w:t xml:space="preserve"> 1999)</w:t>
      </w:r>
      <w:r w:rsidR="006444C6">
        <w:rPr>
          <w:rFonts w:asciiTheme="majorBidi" w:hAnsiTheme="majorBidi" w:cstheme="majorBidi"/>
          <w:color w:val="000000"/>
          <w:sz w:val="24"/>
          <w:szCs w:val="24"/>
        </w:rPr>
        <w:t xml:space="preserve">. </w:t>
      </w:r>
    </w:p>
    <w:p w14:paraId="24389CD9" w14:textId="77777777" w:rsidR="00260D7D" w:rsidRDefault="00260D7D" w:rsidP="00260D7D">
      <w:pPr>
        <w:tabs>
          <w:tab w:val="left" w:pos="567"/>
        </w:tabs>
        <w:spacing w:after="0" w:line="288" w:lineRule="auto"/>
        <w:jc w:val="both"/>
        <w:rPr>
          <w:rFonts w:asciiTheme="majorBidi" w:hAnsiTheme="majorBidi" w:cstheme="majorBidi"/>
          <w:color w:val="000000"/>
          <w:sz w:val="24"/>
          <w:szCs w:val="24"/>
        </w:rPr>
      </w:pPr>
    </w:p>
    <w:p w14:paraId="43E8DC5B" w14:textId="5542C505" w:rsidR="00424FD5" w:rsidRDefault="00260D7D"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A77A23" w:rsidRPr="00AC674F">
        <w:rPr>
          <w:rFonts w:ascii="Times New Roman" w:hAnsi="Times New Roman" w:cs="Times New Roman"/>
          <w:sz w:val="24"/>
          <w:szCs w:val="24"/>
        </w:rPr>
        <w:t xml:space="preserve">The remainder of this </w:t>
      </w:r>
      <w:r w:rsidR="00A77A23">
        <w:rPr>
          <w:rFonts w:ascii="Times New Roman" w:hAnsi="Times New Roman" w:cs="Times New Roman"/>
          <w:sz w:val="24"/>
          <w:szCs w:val="24"/>
        </w:rPr>
        <w:t>study</w:t>
      </w:r>
      <w:r w:rsidR="00A77A23" w:rsidRPr="00AC674F">
        <w:rPr>
          <w:rFonts w:ascii="Times New Roman" w:hAnsi="Times New Roman" w:cs="Times New Roman"/>
          <w:sz w:val="24"/>
          <w:szCs w:val="24"/>
        </w:rPr>
        <w:t xml:space="preserve"> is organized as follows.</w:t>
      </w:r>
      <w:r w:rsidR="00A77A23">
        <w:rPr>
          <w:rFonts w:ascii="Times New Roman" w:hAnsi="Times New Roman" w:cs="Times New Roman"/>
          <w:sz w:val="24"/>
          <w:szCs w:val="24"/>
        </w:rPr>
        <w:t xml:space="preserve"> Section 2 provides a </w:t>
      </w:r>
      <w:r w:rsidR="00A77A23" w:rsidRPr="005E1D0A">
        <w:rPr>
          <w:rFonts w:ascii="Times New Roman" w:hAnsi="Times New Roman" w:cs="Times New Roman"/>
          <w:sz w:val="24"/>
          <w:szCs w:val="24"/>
        </w:rPr>
        <w:t>summary of</w:t>
      </w:r>
      <w:r w:rsidR="00A77A23">
        <w:rPr>
          <w:rFonts w:ascii="Times New Roman" w:hAnsi="Times New Roman" w:cs="Times New Roman"/>
          <w:sz w:val="24"/>
          <w:szCs w:val="24"/>
        </w:rPr>
        <w:t xml:space="preserve"> relevant prior studies and outlines the main</w:t>
      </w:r>
      <w:r w:rsidR="00A77A23" w:rsidRPr="005E1D0A">
        <w:rPr>
          <w:rFonts w:ascii="Times New Roman" w:hAnsi="Times New Roman" w:cs="Times New Roman"/>
          <w:sz w:val="24"/>
          <w:szCs w:val="24"/>
        </w:rPr>
        <w:t xml:space="preserve"> </w:t>
      </w:r>
      <w:r w:rsidR="00A77A23">
        <w:rPr>
          <w:rFonts w:ascii="Times New Roman" w:hAnsi="Times New Roman" w:cs="Times New Roman"/>
          <w:sz w:val="24"/>
          <w:szCs w:val="24"/>
        </w:rPr>
        <w:t>research questions. S</w:t>
      </w:r>
      <w:r w:rsidR="00A77A23" w:rsidRPr="005E1D0A">
        <w:rPr>
          <w:rFonts w:ascii="Times New Roman" w:hAnsi="Times New Roman" w:cs="Times New Roman"/>
          <w:sz w:val="24"/>
          <w:szCs w:val="24"/>
        </w:rPr>
        <w:t xml:space="preserve">ection </w:t>
      </w:r>
      <w:r w:rsidR="00A77A23">
        <w:rPr>
          <w:rFonts w:ascii="Times New Roman" w:hAnsi="Times New Roman" w:cs="Times New Roman"/>
          <w:sz w:val="24"/>
          <w:szCs w:val="24"/>
        </w:rPr>
        <w:t>3</w:t>
      </w:r>
      <w:r w:rsidR="00A77A23" w:rsidRPr="005E1D0A">
        <w:rPr>
          <w:rFonts w:ascii="Times New Roman" w:hAnsi="Times New Roman" w:cs="Times New Roman"/>
          <w:sz w:val="24"/>
          <w:szCs w:val="24"/>
        </w:rPr>
        <w:t xml:space="preserve"> describes </w:t>
      </w:r>
      <w:r w:rsidR="00A77A23">
        <w:rPr>
          <w:rFonts w:ascii="Times New Roman" w:hAnsi="Times New Roman" w:cs="Times New Roman"/>
          <w:sz w:val="24"/>
          <w:szCs w:val="24"/>
        </w:rPr>
        <w:t>the sample and methodology used</w:t>
      </w:r>
      <w:r w:rsidR="00A77A23" w:rsidRPr="005E1D0A">
        <w:rPr>
          <w:rFonts w:ascii="Times New Roman" w:hAnsi="Times New Roman" w:cs="Times New Roman"/>
          <w:sz w:val="24"/>
          <w:szCs w:val="24"/>
        </w:rPr>
        <w:t xml:space="preserve">. Section </w:t>
      </w:r>
      <w:r w:rsidR="00A77A23">
        <w:rPr>
          <w:rFonts w:ascii="Times New Roman" w:hAnsi="Times New Roman" w:cs="Times New Roman"/>
          <w:sz w:val="24"/>
          <w:szCs w:val="24"/>
        </w:rPr>
        <w:t>4</w:t>
      </w:r>
      <w:r w:rsidR="00A77A23" w:rsidRPr="005E1D0A">
        <w:rPr>
          <w:rFonts w:ascii="Times New Roman" w:hAnsi="Times New Roman" w:cs="Times New Roman"/>
          <w:sz w:val="24"/>
          <w:szCs w:val="24"/>
        </w:rPr>
        <w:t xml:space="preserve"> </w:t>
      </w:r>
      <w:r w:rsidR="00A77A23">
        <w:rPr>
          <w:rFonts w:ascii="Times New Roman" w:hAnsi="Times New Roman" w:cs="Times New Roman"/>
          <w:sz w:val="24"/>
          <w:szCs w:val="24"/>
        </w:rPr>
        <w:t>presents the results of our analysis while section 5 concludes.</w:t>
      </w:r>
    </w:p>
    <w:p w14:paraId="7D8D2B1A" w14:textId="77777777" w:rsidR="00260D7D" w:rsidRDefault="00260D7D" w:rsidP="00260D7D">
      <w:pPr>
        <w:tabs>
          <w:tab w:val="left" w:pos="567"/>
        </w:tabs>
        <w:spacing w:after="0" w:line="288" w:lineRule="auto"/>
        <w:jc w:val="both"/>
        <w:rPr>
          <w:rFonts w:ascii="Times New Roman" w:hAnsi="Times New Roman" w:cs="Times New Roman"/>
          <w:sz w:val="24"/>
          <w:szCs w:val="24"/>
        </w:rPr>
      </w:pPr>
    </w:p>
    <w:p w14:paraId="575A5BDC" w14:textId="77777777" w:rsidR="00C42888" w:rsidRPr="00703E8D" w:rsidRDefault="00C42888" w:rsidP="00260D7D">
      <w:pPr>
        <w:pStyle w:val="ListParagraph"/>
        <w:numPr>
          <w:ilvl w:val="0"/>
          <w:numId w:val="1"/>
        </w:numPr>
        <w:tabs>
          <w:tab w:val="left" w:pos="567"/>
        </w:tabs>
        <w:spacing w:after="0" w:line="288" w:lineRule="auto"/>
        <w:jc w:val="both"/>
        <w:rPr>
          <w:rFonts w:asciiTheme="majorBidi" w:hAnsiTheme="majorBidi" w:cstheme="majorBidi"/>
          <w:b/>
          <w:bCs/>
          <w:sz w:val="24"/>
          <w:szCs w:val="24"/>
        </w:rPr>
      </w:pPr>
      <w:r>
        <w:rPr>
          <w:rFonts w:asciiTheme="majorBidi" w:hAnsiTheme="majorBidi" w:cstheme="majorBidi"/>
          <w:b/>
          <w:bCs/>
          <w:sz w:val="24"/>
          <w:szCs w:val="24"/>
        </w:rPr>
        <w:t>Literature Review and Research Questions</w:t>
      </w:r>
    </w:p>
    <w:p w14:paraId="4082E7BB" w14:textId="77777777" w:rsidR="005D407B" w:rsidRPr="00E52E0C" w:rsidRDefault="005D407B" w:rsidP="00C029D8">
      <w:pPr>
        <w:pStyle w:val="ListParagraph"/>
        <w:numPr>
          <w:ilvl w:val="1"/>
          <w:numId w:val="1"/>
        </w:numPr>
        <w:tabs>
          <w:tab w:val="left" w:pos="426"/>
        </w:tabs>
        <w:spacing w:before="60" w:after="60" w:line="288" w:lineRule="auto"/>
        <w:ind w:left="357" w:hanging="357"/>
        <w:jc w:val="both"/>
        <w:rPr>
          <w:rFonts w:ascii="Times New Roman" w:hAnsi="Times New Roman" w:cs="Times New Roman"/>
          <w:b/>
          <w:bCs/>
          <w:sz w:val="24"/>
          <w:szCs w:val="24"/>
        </w:rPr>
      </w:pPr>
      <w:r w:rsidRPr="00E52E0C">
        <w:rPr>
          <w:rFonts w:ascii="Times New Roman" w:hAnsi="Times New Roman" w:cs="Times New Roman"/>
          <w:b/>
          <w:bCs/>
          <w:sz w:val="24"/>
          <w:szCs w:val="24"/>
        </w:rPr>
        <w:t xml:space="preserve"> Literature Review</w:t>
      </w:r>
    </w:p>
    <w:p w14:paraId="7900BE7B" w14:textId="7F1C2EC8" w:rsidR="006A7E8A" w:rsidRDefault="00657DEE"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Among the first attempts to examine the governance-bankruptcy relationship was Daily and Dalton (</w:t>
      </w:r>
      <w:r w:rsidRPr="00A74C9F">
        <w:rPr>
          <w:rFonts w:ascii="Times New Roman" w:hAnsi="Times New Roman" w:cs="Times New Roman"/>
          <w:sz w:val="24"/>
          <w:szCs w:val="24"/>
        </w:rPr>
        <w:t>1994</w:t>
      </w:r>
      <w:r>
        <w:rPr>
          <w:rFonts w:ascii="Times New Roman" w:hAnsi="Times New Roman" w:cs="Times New Roman"/>
          <w:sz w:val="24"/>
          <w:szCs w:val="24"/>
        </w:rPr>
        <w:t>)</w:t>
      </w:r>
      <w:r w:rsidR="00D02FB4">
        <w:rPr>
          <w:rFonts w:ascii="Times New Roman" w:hAnsi="Times New Roman" w:cs="Times New Roman"/>
          <w:sz w:val="24"/>
          <w:szCs w:val="24"/>
        </w:rPr>
        <w:t xml:space="preserve"> who </w:t>
      </w:r>
      <w:r>
        <w:rPr>
          <w:rFonts w:ascii="Times New Roman" w:hAnsi="Times New Roman" w:cs="Times New Roman"/>
          <w:sz w:val="24"/>
          <w:szCs w:val="24"/>
        </w:rPr>
        <w:t>reported the</w:t>
      </w:r>
      <w:r w:rsidR="009F2172">
        <w:rPr>
          <w:rFonts w:ascii="Times New Roman" w:hAnsi="Times New Roman" w:cs="Times New Roman"/>
          <w:sz w:val="24"/>
          <w:szCs w:val="24"/>
        </w:rPr>
        <w:t xml:space="preserve"> presence of a significant relationship between several corporate governance measures and bankruptcy five years before the actual filling. Specifically, the results showed that bankrupt firms had CEO-chairman duality, less independent boards, lower institutional ownership levels, and lower overall board quality. However, Daily and Dalton point out that the additional explanatory power provided by adding the governance measures disappears </w:t>
      </w:r>
      <w:r w:rsidR="009F2172" w:rsidRPr="009F32EC">
        <w:rPr>
          <w:rFonts w:ascii="Times New Roman" w:hAnsi="Times New Roman" w:cs="Times New Roman"/>
          <w:sz w:val="24"/>
          <w:szCs w:val="24"/>
        </w:rPr>
        <w:t>in favor of financial measures</w:t>
      </w:r>
      <w:r w:rsidR="009F2172">
        <w:rPr>
          <w:rFonts w:ascii="Times New Roman" w:hAnsi="Times New Roman" w:cs="Times New Roman"/>
          <w:sz w:val="24"/>
          <w:szCs w:val="24"/>
        </w:rPr>
        <w:t xml:space="preserve"> as we approach the year of bankruptcy, suggesting that as time nears the actual </w:t>
      </w:r>
      <w:r w:rsidR="0008042E">
        <w:rPr>
          <w:rFonts w:ascii="Times New Roman" w:hAnsi="Times New Roman" w:cs="Times New Roman"/>
          <w:sz w:val="24"/>
          <w:szCs w:val="24"/>
        </w:rPr>
        <w:t xml:space="preserve">event </w:t>
      </w:r>
      <w:r w:rsidR="009F2172">
        <w:rPr>
          <w:rFonts w:ascii="Times New Roman" w:hAnsi="Times New Roman" w:cs="Times New Roman"/>
          <w:sz w:val="24"/>
          <w:szCs w:val="24"/>
        </w:rPr>
        <w:t xml:space="preserve">financial conditions gain more explanatory power while governance becomes less significant in deciding the firm’s fate. Moreover, </w:t>
      </w:r>
      <w:r w:rsidR="009F2172" w:rsidRPr="006B59BA">
        <w:rPr>
          <w:rFonts w:ascii="Times New Roman" w:hAnsi="Times New Roman" w:cs="Times New Roman"/>
          <w:sz w:val="24"/>
          <w:szCs w:val="24"/>
        </w:rPr>
        <w:t>Elloumi and Gueyie (2001)</w:t>
      </w:r>
      <w:r w:rsidR="009F2172">
        <w:rPr>
          <w:rFonts w:ascii="Times New Roman" w:hAnsi="Times New Roman" w:cs="Times New Roman"/>
          <w:sz w:val="24"/>
          <w:szCs w:val="24"/>
        </w:rPr>
        <w:t xml:space="preserve"> report that the number of independent board members seem to be inversely related </w:t>
      </w:r>
      <w:r w:rsidR="00BC6E63">
        <w:rPr>
          <w:rFonts w:ascii="Times New Roman" w:hAnsi="Times New Roman" w:cs="Times New Roman"/>
          <w:sz w:val="24"/>
          <w:szCs w:val="24"/>
        </w:rPr>
        <w:t>to</w:t>
      </w:r>
      <w:r w:rsidR="009F2172">
        <w:rPr>
          <w:rFonts w:ascii="Times New Roman" w:hAnsi="Times New Roman" w:cs="Times New Roman"/>
          <w:sz w:val="24"/>
          <w:szCs w:val="24"/>
        </w:rPr>
        <w:t xml:space="preserve"> financial distress, suggesting that board independence improves firm’s financial health</w:t>
      </w:r>
      <w:r w:rsidR="006A7E8A">
        <w:rPr>
          <w:rFonts w:ascii="Times New Roman" w:hAnsi="Times New Roman" w:cs="Times New Roman"/>
          <w:sz w:val="24"/>
          <w:szCs w:val="24"/>
        </w:rPr>
        <w:t xml:space="preserve"> (see also </w:t>
      </w:r>
      <w:r w:rsidR="00BC6E63">
        <w:rPr>
          <w:rFonts w:ascii="Times New Roman" w:hAnsi="Times New Roman" w:cs="Times New Roman"/>
          <w:sz w:val="24"/>
          <w:szCs w:val="24"/>
        </w:rPr>
        <w:t xml:space="preserve">Parker </w:t>
      </w:r>
      <w:r w:rsidR="00327178" w:rsidRPr="00327178">
        <w:rPr>
          <w:rFonts w:ascii="Times New Roman" w:hAnsi="Times New Roman" w:cs="Times New Roman"/>
          <w:i/>
          <w:iCs/>
          <w:sz w:val="24"/>
          <w:szCs w:val="24"/>
        </w:rPr>
        <w:t>et al.</w:t>
      </w:r>
      <w:r w:rsidR="006A7E8A">
        <w:rPr>
          <w:rFonts w:ascii="Times New Roman" w:hAnsi="Times New Roman" w:cs="Times New Roman"/>
          <w:sz w:val="24"/>
          <w:szCs w:val="24"/>
        </w:rPr>
        <w:t xml:space="preserve"> </w:t>
      </w:r>
      <w:r w:rsidR="009F2172">
        <w:rPr>
          <w:rFonts w:ascii="Times New Roman" w:hAnsi="Times New Roman" w:cs="Times New Roman"/>
          <w:sz w:val="24"/>
          <w:szCs w:val="24"/>
        </w:rPr>
        <w:t>2002)</w:t>
      </w:r>
      <w:r w:rsidR="006A7E8A">
        <w:rPr>
          <w:rFonts w:ascii="Times New Roman" w:hAnsi="Times New Roman" w:cs="Times New Roman"/>
          <w:sz w:val="24"/>
          <w:szCs w:val="24"/>
        </w:rPr>
        <w:t>.</w:t>
      </w:r>
      <w:r w:rsidR="009F2172">
        <w:rPr>
          <w:rFonts w:ascii="Times New Roman" w:hAnsi="Times New Roman" w:cs="Times New Roman"/>
          <w:sz w:val="24"/>
          <w:szCs w:val="24"/>
        </w:rPr>
        <w:t xml:space="preserve"> </w:t>
      </w:r>
      <w:r w:rsidR="006A7E8A">
        <w:rPr>
          <w:rFonts w:ascii="Times New Roman" w:hAnsi="Times New Roman" w:cs="Times New Roman"/>
          <w:sz w:val="24"/>
          <w:szCs w:val="24"/>
        </w:rPr>
        <w:t>In another related study on a sample of Chinese firms</w:t>
      </w:r>
      <w:r w:rsidR="009F2172">
        <w:rPr>
          <w:rFonts w:ascii="Times New Roman" w:hAnsi="Times New Roman" w:cs="Times New Roman"/>
          <w:sz w:val="24"/>
          <w:szCs w:val="24"/>
        </w:rPr>
        <w:t xml:space="preserve">, Wang and Deng (2006) found that the probability of financial distress is inversely related to blockholder (including state) ownership and board independence. However, they found no evidence that </w:t>
      </w:r>
      <w:r w:rsidR="009F2172" w:rsidRPr="000A1108">
        <w:rPr>
          <w:rFonts w:ascii="Times New Roman" w:hAnsi="Times New Roman" w:cs="Times New Roman"/>
          <w:sz w:val="24"/>
          <w:szCs w:val="24"/>
        </w:rPr>
        <w:lastRenderedPageBreak/>
        <w:t xml:space="preserve">managerial ownership, board size, </w:t>
      </w:r>
      <w:r w:rsidR="009F2172">
        <w:rPr>
          <w:rFonts w:ascii="Times New Roman" w:hAnsi="Times New Roman" w:cs="Times New Roman"/>
          <w:sz w:val="24"/>
          <w:szCs w:val="24"/>
        </w:rPr>
        <w:t>or</w:t>
      </w:r>
      <w:r w:rsidR="009F2172" w:rsidRPr="000A1108">
        <w:rPr>
          <w:rFonts w:ascii="Times New Roman" w:hAnsi="Times New Roman" w:cs="Times New Roman"/>
          <w:sz w:val="24"/>
          <w:szCs w:val="24"/>
        </w:rPr>
        <w:t xml:space="preserve"> CEO</w:t>
      </w:r>
      <w:r w:rsidR="009F2172">
        <w:rPr>
          <w:rFonts w:ascii="Times New Roman" w:hAnsi="Times New Roman" w:cs="Times New Roman"/>
          <w:sz w:val="24"/>
          <w:szCs w:val="24"/>
        </w:rPr>
        <w:t>-chairman</w:t>
      </w:r>
      <w:r w:rsidR="009F2172" w:rsidRPr="000A1108">
        <w:rPr>
          <w:rFonts w:ascii="Times New Roman" w:hAnsi="Times New Roman" w:cs="Times New Roman"/>
          <w:sz w:val="24"/>
          <w:szCs w:val="24"/>
        </w:rPr>
        <w:t xml:space="preserve"> duality </w:t>
      </w:r>
      <w:r w:rsidR="009F2172">
        <w:rPr>
          <w:rFonts w:ascii="Times New Roman" w:hAnsi="Times New Roman" w:cs="Times New Roman"/>
          <w:sz w:val="24"/>
          <w:szCs w:val="24"/>
        </w:rPr>
        <w:t>affect the probability of financial distress. In contrast, using a sample of US firms, Fich and Slezak (</w:t>
      </w:r>
      <w:r w:rsidR="009F2172" w:rsidRPr="0077506E">
        <w:rPr>
          <w:rFonts w:ascii="Times New Roman" w:hAnsi="Times New Roman" w:cs="Times New Roman"/>
          <w:sz w:val="24"/>
          <w:szCs w:val="24"/>
        </w:rPr>
        <w:t>2008</w:t>
      </w:r>
      <w:r w:rsidR="009F2172">
        <w:rPr>
          <w:rFonts w:ascii="Times New Roman" w:hAnsi="Times New Roman" w:cs="Times New Roman"/>
          <w:sz w:val="24"/>
          <w:szCs w:val="24"/>
        </w:rPr>
        <w:t xml:space="preserve">) report that corporate governance </w:t>
      </w:r>
      <w:r w:rsidR="006A7E8A">
        <w:rPr>
          <w:rFonts w:ascii="Times New Roman" w:hAnsi="Times New Roman" w:cs="Times New Roman"/>
          <w:sz w:val="24"/>
          <w:szCs w:val="24"/>
        </w:rPr>
        <w:t>characteristics</w:t>
      </w:r>
      <w:r w:rsidR="009F2172">
        <w:rPr>
          <w:rFonts w:ascii="Times New Roman" w:hAnsi="Times New Roman" w:cs="Times New Roman"/>
          <w:sz w:val="24"/>
          <w:szCs w:val="24"/>
        </w:rPr>
        <w:t xml:space="preserve">, such as: smaller boards, high managerial ownership, and high board independence, reduce the probability of a distressed firm going into bankruptcy. </w:t>
      </w:r>
      <w:r w:rsidR="006A7E8A">
        <w:rPr>
          <w:rFonts w:ascii="Times New Roman" w:hAnsi="Times New Roman" w:cs="Times New Roman"/>
          <w:sz w:val="24"/>
          <w:szCs w:val="24"/>
        </w:rPr>
        <w:t>Fich and Slezak</w:t>
      </w:r>
      <w:r w:rsidR="009F2172">
        <w:rPr>
          <w:rFonts w:ascii="Times New Roman" w:hAnsi="Times New Roman" w:cs="Times New Roman"/>
          <w:sz w:val="24"/>
          <w:szCs w:val="24"/>
        </w:rPr>
        <w:t xml:space="preserve"> suggest that such mechanisms provide effective monitoring </w:t>
      </w:r>
      <w:r w:rsidR="00503A4A">
        <w:rPr>
          <w:rFonts w:ascii="Times New Roman" w:hAnsi="Times New Roman" w:cs="Times New Roman"/>
          <w:sz w:val="24"/>
          <w:szCs w:val="24"/>
        </w:rPr>
        <w:t xml:space="preserve">and advising </w:t>
      </w:r>
      <w:r w:rsidR="009F2172">
        <w:rPr>
          <w:rFonts w:ascii="Times New Roman" w:hAnsi="Times New Roman" w:cs="Times New Roman"/>
          <w:sz w:val="24"/>
          <w:szCs w:val="24"/>
        </w:rPr>
        <w:t xml:space="preserve">and thus help firms </w:t>
      </w:r>
      <w:r w:rsidR="00503A4A">
        <w:rPr>
          <w:rFonts w:ascii="Times New Roman" w:hAnsi="Times New Roman" w:cs="Times New Roman"/>
          <w:sz w:val="24"/>
          <w:szCs w:val="24"/>
        </w:rPr>
        <w:t xml:space="preserve">in financial distress </w:t>
      </w:r>
      <w:r w:rsidR="009F2172">
        <w:rPr>
          <w:rFonts w:ascii="Times New Roman" w:hAnsi="Times New Roman" w:cs="Times New Roman"/>
          <w:sz w:val="24"/>
          <w:szCs w:val="24"/>
        </w:rPr>
        <w:t xml:space="preserve">avoid bankruptcy. </w:t>
      </w:r>
    </w:p>
    <w:p w14:paraId="53278E20" w14:textId="77777777" w:rsidR="00260D7D" w:rsidRDefault="00260D7D" w:rsidP="00260D7D">
      <w:pPr>
        <w:tabs>
          <w:tab w:val="left" w:pos="567"/>
        </w:tabs>
        <w:spacing w:after="0" w:line="288" w:lineRule="auto"/>
        <w:jc w:val="both"/>
        <w:rPr>
          <w:rFonts w:ascii="Times New Roman" w:hAnsi="Times New Roman" w:cs="Times New Roman"/>
          <w:sz w:val="24"/>
          <w:szCs w:val="24"/>
        </w:rPr>
      </w:pPr>
    </w:p>
    <w:p w14:paraId="2C9874D0" w14:textId="61688B05" w:rsidR="00216370" w:rsidRDefault="00260D7D"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3B46EF">
        <w:rPr>
          <w:rFonts w:ascii="Times New Roman" w:hAnsi="Times New Roman" w:cs="Times New Roman"/>
          <w:sz w:val="24"/>
          <w:szCs w:val="24"/>
        </w:rPr>
        <w:t xml:space="preserve">Several recent studies have examined the potential role of corporate governance mechanisms in improving the accuracy of bankruptcy prediction models. The premise behind these studies is that corporate governance practices can affect the probability of bankruptcy of a firm by affecting its operating performance, valuation, and its ability to attract more financing (Daily </w:t>
      </w:r>
      <w:r w:rsidR="00327178" w:rsidRPr="00327178">
        <w:rPr>
          <w:rFonts w:ascii="Times New Roman" w:hAnsi="Times New Roman" w:cs="Times New Roman"/>
          <w:i/>
          <w:iCs/>
          <w:sz w:val="24"/>
          <w:szCs w:val="24"/>
        </w:rPr>
        <w:t>et al.</w:t>
      </w:r>
      <w:r w:rsidR="003B46EF">
        <w:rPr>
          <w:rFonts w:ascii="Times New Roman" w:hAnsi="Times New Roman" w:cs="Times New Roman"/>
          <w:sz w:val="24"/>
          <w:szCs w:val="24"/>
        </w:rPr>
        <w:t xml:space="preserve"> 2003</w:t>
      </w:r>
      <w:r w:rsidR="006D5DD3" w:rsidRPr="006D5DD3">
        <w:rPr>
          <w:rFonts w:ascii="Times New Roman" w:hAnsi="Times New Roman" w:cs="Times New Roman"/>
          <w:sz w:val="24"/>
          <w:szCs w:val="24"/>
        </w:rPr>
        <w:t>,</w:t>
      </w:r>
      <w:r w:rsidR="003B46EF">
        <w:rPr>
          <w:rFonts w:ascii="Times New Roman" w:hAnsi="Times New Roman" w:cs="Times New Roman"/>
          <w:sz w:val="24"/>
          <w:szCs w:val="24"/>
        </w:rPr>
        <w:t xml:space="preserve"> Jensen 1993</w:t>
      </w:r>
      <w:r w:rsidR="006D5DD3" w:rsidRPr="006D5DD3">
        <w:rPr>
          <w:rFonts w:ascii="Times New Roman" w:hAnsi="Times New Roman" w:cs="Times New Roman"/>
          <w:sz w:val="24"/>
          <w:szCs w:val="24"/>
        </w:rPr>
        <w:t>,</w:t>
      </w:r>
      <w:r w:rsidR="003B46EF">
        <w:rPr>
          <w:rFonts w:ascii="Times New Roman" w:hAnsi="Times New Roman" w:cs="Times New Roman"/>
          <w:sz w:val="24"/>
          <w:szCs w:val="24"/>
        </w:rPr>
        <w:t xml:space="preserve"> Shleifer and Vishny 1997</w:t>
      </w:r>
      <w:r w:rsidR="006D5DD3" w:rsidRPr="006D5DD3">
        <w:rPr>
          <w:rFonts w:ascii="Times New Roman" w:hAnsi="Times New Roman" w:cs="Times New Roman"/>
          <w:sz w:val="24"/>
          <w:szCs w:val="24"/>
        </w:rPr>
        <w:t>,</w:t>
      </w:r>
      <w:r w:rsidR="003B46EF">
        <w:rPr>
          <w:rFonts w:ascii="Times New Roman" w:hAnsi="Times New Roman" w:cs="Times New Roman"/>
          <w:sz w:val="24"/>
          <w:szCs w:val="24"/>
        </w:rPr>
        <w:t xml:space="preserve"> Walsh</w:t>
      </w:r>
      <w:r w:rsidR="003B46EF" w:rsidRPr="00D3147F">
        <w:t xml:space="preserve"> </w:t>
      </w:r>
      <w:r w:rsidR="003B46EF">
        <w:rPr>
          <w:rFonts w:ascii="Times New Roman" w:hAnsi="Times New Roman" w:cs="Times New Roman"/>
          <w:sz w:val="24"/>
          <w:szCs w:val="24"/>
        </w:rPr>
        <w:t>and Seward</w:t>
      </w:r>
      <w:r w:rsidR="00C029D8">
        <w:rPr>
          <w:rFonts w:ascii="Times New Roman" w:hAnsi="Times New Roman" w:cs="Times New Roman"/>
          <w:sz w:val="24"/>
          <w:szCs w:val="24"/>
        </w:rPr>
        <w:t xml:space="preserve"> </w:t>
      </w:r>
      <w:r w:rsidR="003B46EF" w:rsidRPr="00D3147F">
        <w:rPr>
          <w:rFonts w:ascii="Times New Roman" w:hAnsi="Times New Roman" w:cs="Times New Roman"/>
          <w:sz w:val="24"/>
          <w:szCs w:val="24"/>
        </w:rPr>
        <w:t>1990</w:t>
      </w:r>
      <w:r w:rsidR="003B46EF">
        <w:rPr>
          <w:rFonts w:ascii="Times New Roman" w:hAnsi="Times New Roman" w:cs="Times New Roman"/>
          <w:sz w:val="24"/>
          <w:szCs w:val="24"/>
        </w:rPr>
        <w:t>).</w:t>
      </w:r>
      <w:r w:rsidR="009F2172">
        <w:rPr>
          <w:rFonts w:ascii="Times New Roman" w:hAnsi="Times New Roman" w:cs="Times New Roman"/>
          <w:sz w:val="24"/>
          <w:szCs w:val="24"/>
        </w:rPr>
        <w:t xml:space="preserve"> </w:t>
      </w:r>
      <w:r w:rsidR="00C029D8">
        <w:rPr>
          <w:rFonts w:ascii="Times New Roman" w:hAnsi="Times New Roman" w:cs="Times New Roman"/>
          <w:sz w:val="24"/>
          <w:szCs w:val="24"/>
        </w:rPr>
        <w:t xml:space="preserve"> </w:t>
      </w:r>
      <w:r w:rsidR="003B46EF">
        <w:rPr>
          <w:rFonts w:ascii="Times New Roman" w:hAnsi="Times New Roman" w:cs="Times New Roman"/>
          <w:sz w:val="24"/>
          <w:szCs w:val="24"/>
        </w:rPr>
        <w:t xml:space="preserve">For instance, </w:t>
      </w:r>
      <w:r w:rsidR="009F2172">
        <w:rPr>
          <w:rFonts w:ascii="Times New Roman" w:hAnsi="Times New Roman" w:cs="Times New Roman"/>
          <w:sz w:val="24"/>
          <w:szCs w:val="24"/>
        </w:rPr>
        <w:t xml:space="preserve">Tsai (2013) </w:t>
      </w:r>
      <w:r w:rsidR="003B46EF">
        <w:rPr>
          <w:rFonts w:ascii="Times New Roman" w:hAnsi="Times New Roman" w:cs="Times New Roman"/>
          <w:sz w:val="24"/>
          <w:szCs w:val="24"/>
        </w:rPr>
        <w:t xml:space="preserve">found that </w:t>
      </w:r>
      <w:r w:rsidR="009F2172">
        <w:rPr>
          <w:rFonts w:ascii="Times New Roman" w:hAnsi="Times New Roman" w:cs="Times New Roman"/>
          <w:sz w:val="24"/>
          <w:szCs w:val="24"/>
        </w:rPr>
        <w:t>the prediction power of a distress prediction model can be improved significantly by introducing corporate governance measures. Spe</w:t>
      </w:r>
      <w:r w:rsidR="00BC6E63">
        <w:rPr>
          <w:rFonts w:ascii="Times New Roman" w:hAnsi="Times New Roman" w:cs="Times New Roman"/>
          <w:sz w:val="24"/>
          <w:szCs w:val="24"/>
        </w:rPr>
        <w:t>cifically, Tsai’s results show</w:t>
      </w:r>
      <w:r w:rsidR="009F2172">
        <w:rPr>
          <w:rFonts w:ascii="Times New Roman" w:hAnsi="Times New Roman" w:cs="Times New Roman"/>
          <w:sz w:val="24"/>
          <w:szCs w:val="24"/>
        </w:rPr>
        <w:t xml:space="preserve"> that the inclusion of managerial ownership and</w:t>
      </w:r>
      <w:r w:rsidR="009F2172" w:rsidRPr="001F10FD">
        <w:rPr>
          <w:rFonts w:ascii="Times New Roman" w:hAnsi="Times New Roman" w:cs="Times New Roman"/>
          <w:sz w:val="24"/>
          <w:szCs w:val="24"/>
        </w:rPr>
        <w:t xml:space="preserve"> </w:t>
      </w:r>
      <w:r w:rsidR="009F2172">
        <w:rPr>
          <w:rFonts w:ascii="Times New Roman" w:hAnsi="Times New Roman" w:cs="Times New Roman"/>
          <w:sz w:val="24"/>
          <w:szCs w:val="24"/>
        </w:rPr>
        <w:t>p</w:t>
      </w:r>
      <w:r w:rsidR="009F2172" w:rsidRPr="009C03FC">
        <w:rPr>
          <w:rFonts w:ascii="Times New Roman" w:hAnsi="Times New Roman" w:cs="Times New Roman"/>
          <w:sz w:val="24"/>
          <w:szCs w:val="24"/>
        </w:rPr>
        <w:t>ledge-ownership ratio of insiders</w:t>
      </w:r>
      <w:r w:rsidR="009F2172">
        <w:rPr>
          <w:rFonts w:ascii="Times New Roman" w:hAnsi="Times New Roman" w:cs="Times New Roman"/>
          <w:sz w:val="24"/>
          <w:szCs w:val="24"/>
        </w:rPr>
        <w:t xml:space="preserve"> in the basic Z-score model introduced by Altman (1968) reduces the classification error considerably. In contrast, the findings of </w:t>
      </w:r>
      <w:r w:rsidR="00BC6E63">
        <w:rPr>
          <w:rFonts w:ascii="Times New Roman" w:hAnsi="Times New Roman" w:cs="Times New Roman"/>
          <w:sz w:val="24"/>
          <w:szCs w:val="24"/>
        </w:rPr>
        <w:t xml:space="preserve">Elshahat </w:t>
      </w:r>
      <w:r w:rsidR="00327178" w:rsidRPr="00327178">
        <w:rPr>
          <w:rFonts w:ascii="Times New Roman" w:hAnsi="Times New Roman" w:cs="Times New Roman"/>
          <w:i/>
          <w:iCs/>
          <w:sz w:val="24"/>
          <w:szCs w:val="24"/>
        </w:rPr>
        <w:t>et al.</w:t>
      </w:r>
      <w:r w:rsidR="00BC6E63">
        <w:rPr>
          <w:rFonts w:ascii="Times New Roman" w:hAnsi="Times New Roman" w:cs="Times New Roman"/>
          <w:sz w:val="24"/>
          <w:szCs w:val="24"/>
        </w:rPr>
        <w:t xml:space="preserve"> (2015) confirm</w:t>
      </w:r>
      <w:r w:rsidR="009F2172">
        <w:rPr>
          <w:rFonts w:ascii="Times New Roman" w:hAnsi="Times New Roman" w:cs="Times New Roman"/>
          <w:sz w:val="24"/>
          <w:szCs w:val="24"/>
        </w:rPr>
        <w:t xml:space="preserve"> that the addition of a corporate governance index measure to Altman’s original model does not improve the prediction power of the model when usin</w:t>
      </w:r>
      <w:r w:rsidR="00B97A5A">
        <w:rPr>
          <w:rFonts w:ascii="Times New Roman" w:hAnsi="Times New Roman" w:cs="Times New Roman"/>
          <w:sz w:val="24"/>
          <w:szCs w:val="24"/>
        </w:rPr>
        <w:t>g a one</w:t>
      </w:r>
      <w:r w:rsidR="003B46EF">
        <w:rPr>
          <w:rFonts w:ascii="Times New Roman" w:hAnsi="Times New Roman" w:cs="Times New Roman"/>
          <w:sz w:val="24"/>
          <w:szCs w:val="24"/>
        </w:rPr>
        <w:t>-</w:t>
      </w:r>
      <w:r w:rsidR="00B97A5A">
        <w:rPr>
          <w:rFonts w:ascii="Times New Roman" w:hAnsi="Times New Roman" w:cs="Times New Roman"/>
          <w:sz w:val="24"/>
          <w:szCs w:val="24"/>
        </w:rPr>
        <w:t xml:space="preserve">year prediction window. </w:t>
      </w:r>
      <w:r w:rsidR="003B46EF">
        <w:rPr>
          <w:rFonts w:ascii="Times New Roman" w:hAnsi="Times New Roman" w:cs="Times New Roman"/>
          <w:sz w:val="24"/>
          <w:szCs w:val="24"/>
        </w:rPr>
        <w:t>However, t</w:t>
      </w:r>
      <w:r w:rsidR="009F2172">
        <w:rPr>
          <w:rFonts w:ascii="Times New Roman" w:hAnsi="Times New Roman" w:cs="Times New Roman"/>
          <w:sz w:val="24"/>
          <w:szCs w:val="24"/>
        </w:rPr>
        <w:t>he results of this study</w:t>
      </w:r>
      <w:r w:rsidR="003B46EF">
        <w:rPr>
          <w:rFonts w:ascii="Times New Roman" w:hAnsi="Times New Roman" w:cs="Times New Roman"/>
          <w:sz w:val="24"/>
          <w:szCs w:val="24"/>
        </w:rPr>
        <w:t xml:space="preserve"> </w:t>
      </w:r>
      <w:r w:rsidR="009F2172">
        <w:rPr>
          <w:rFonts w:ascii="Times New Roman" w:hAnsi="Times New Roman" w:cs="Times New Roman"/>
          <w:sz w:val="24"/>
          <w:szCs w:val="24"/>
        </w:rPr>
        <w:t>do not rule out the role of governance measures in improving bankruptcy prediction models but</w:t>
      </w:r>
      <w:r w:rsidR="00B97A5A">
        <w:rPr>
          <w:rFonts w:ascii="Times New Roman" w:hAnsi="Times New Roman" w:cs="Times New Roman"/>
          <w:sz w:val="24"/>
          <w:szCs w:val="24"/>
        </w:rPr>
        <w:t xml:space="preserve"> may</w:t>
      </w:r>
      <w:r w:rsidR="009F2172">
        <w:rPr>
          <w:rFonts w:ascii="Times New Roman" w:hAnsi="Times New Roman" w:cs="Times New Roman"/>
          <w:sz w:val="24"/>
          <w:szCs w:val="24"/>
        </w:rPr>
        <w:t xml:space="preserve"> rather confirm the findings of earlier studies (</w:t>
      </w:r>
      <w:r w:rsidR="00C029D8">
        <w:rPr>
          <w:rFonts w:ascii="Times New Roman" w:hAnsi="Times New Roman" w:cs="Times New Roman"/>
          <w:sz w:val="24"/>
          <w:szCs w:val="24"/>
        </w:rPr>
        <w:t>for example,</w:t>
      </w:r>
      <w:r w:rsidR="009F2172">
        <w:rPr>
          <w:rFonts w:ascii="Times New Roman" w:hAnsi="Times New Roman" w:cs="Times New Roman"/>
          <w:sz w:val="24"/>
          <w:szCs w:val="24"/>
        </w:rPr>
        <w:t xml:space="preserve"> Daily and Dalton, </w:t>
      </w:r>
      <w:r w:rsidR="009F2172" w:rsidRPr="001F10FD">
        <w:rPr>
          <w:rFonts w:ascii="Times New Roman" w:hAnsi="Times New Roman" w:cs="Times New Roman"/>
          <w:sz w:val="24"/>
          <w:szCs w:val="24"/>
        </w:rPr>
        <w:t>1994</w:t>
      </w:r>
      <w:r w:rsidR="009F2172">
        <w:rPr>
          <w:rFonts w:ascii="Times New Roman" w:hAnsi="Times New Roman" w:cs="Times New Roman"/>
          <w:sz w:val="24"/>
          <w:szCs w:val="24"/>
        </w:rPr>
        <w:t xml:space="preserve">) that the </w:t>
      </w:r>
      <w:r w:rsidR="003B46EF">
        <w:rPr>
          <w:rFonts w:ascii="Times New Roman" w:hAnsi="Times New Roman" w:cs="Times New Roman"/>
          <w:sz w:val="24"/>
          <w:szCs w:val="24"/>
        </w:rPr>
        <w:t>relationship between governance and financial distress or bankruptcy</w:t>
      </w:r>
      <w:r w:rsidR="009F2172">
        <w:rPr>
          <w:rFonts w:ascii="Times New Roman" w:hAnsi="Times New Roman" w:cs="Times New Roman"/>
          <w:sz w:val="24"/>
          <w:szCs w:val="24"/>
        </w:rPr>
        <w:t xml:space="preserve"> </w:t>
      </w:r>
      <w:r w:rsidR="00B97A5A">
        <w:rPr>
          <w:rFonts w:ascii="Times New Roman" w:hAnsi="Times New Roman" w:cs="Times New Roman"/>
          <w:sz w:val="24"/>
          <w:szCs w:val="24"/>
        </w:rPr>
        <w:t>fades</w:t>
      </w:r>
      <w:r w:rsidR="009F2172">
        <w:rPr>
          <w:rFonts w:ascii="Times New Roman" w:hAnsi="Times New Roman" w:cs="Times New Roman"/>
          <w:sz w:val="24"/>
          <w:szCs w:val="24"/>
        </w:rPr>
        <w:t xml:space="preserve"> as we get closer to the event.</w:t>
      </w:r>
      <w:r w:rsidR="003D7655">
        <w:rPr>
          <w:rFonts w:ascii="Times New Roman" w:hAnsi="Times New Roman" w:cs="Times New Roman"/>
          <w:sz w:val="24"/>
          <w:szCs w:val="24"/>
        </w:rPr>
        <w:t xml:space="preserve"> </w:t>
      </w:r>
    </w:p>
    <w:p w14:paraId="1CF563FA" w14:textId="77777777" w:rsidR="00260D7D" w:rsidRDefault="00260D7D" w:rsidP="00260D7D">
      <w:pPr>
        <w:tabs>
          <w:tab w:val="left" w:pos="567"/>
        </w:tabs>
        <w:spacing w:after="0" w:line="288" w:lineRule="auto"/>
        <w:jc w:val="both"/>
        <w:rPr>
          <w:rFonts w:ascii="Times New Roman" w:hAnsi="Times New Roman" w:cs="Times New Roman"/>
          <w:sz w:val="24"/>
          <w:szCs w:val="24"/>
        </w:rPr>
      </w:pPr>
    </w:p>
    <w:p w14:paraId="6FC61A6A" w14:textId="37095E56" w:rsidR="00F57C1C" w:rsidRDefault="00260D7D"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BC6E63">
        <w:rPr>
          <w:rFonts w:ascii="Times New Roman" w:hAnsi="Times New Roman" w:cs="Times New Roman"/>
          <w:sz w:val="24"/>
          <w:szCs w:val="24"/>
        </w:rPr>
        <w:t xml:space="preserve">Schultz </w:t>
      </w:r>
      <w:r w:rsidR="00327178" w:rsidRPr="00327178">
        <w:rPr>
          <w:rFonts w:ascii="Times New Roman" w:hAnsi="Times New Roman" w:cs="Times New Roman"/>
          <w:i/>
          <w:iCs/>
          <w:sz w:val="24"/>
          <w:szCs w:val="24"/>
        </w:rPr>
        <w:t>et al.</w:t>
      </w:r>
      <w:r w:rsidR="00A83C07">
        <w:rPr>
          <w:rFonts w:ascii="Times New Roman" w:hAnsi="Times New Roman" w:cs="Times New Roman"/>
          <w:sz w:val="24"/>
          <w:szCs w:val="24"/>
        </w:rPr>
        <w:t xml:space="preserve"> (2017</w:t>
      </w:r>
      <w:r w:rsidR="009F2172">
        <w:rPr>
          <w:rFonts w:ascii="Times New Roman" w:hAnsi="Times New Roman" w:cs="Times New Roman"/>
          <w:sz w:val="24"/>
          <w:szCs w:val="24"/>
        </w:rPr>
        <w:t>)</w:t>
      </w:r>
      <w:r w:rsidR="003D7655">
        <w:rPr>
          <w:rFonts w:ascii="Times New Roman" w:hAnsi="Times New Roman" w:cs="Times New Roman"/>
          <w:sz w:val="24"/>
          <w:szCs w:val="24"/>
        </w:rPr>
        <w:t xml:space="preserve"> </w:t>
      </w:r>
      <w:r w:rsidR="00BC6E63">
        <w:rPr>
          <w:rFonts w:ascii="Times New Roman" w:hAnsi="Times New Roman" w:cs="Times New Roman"/>
          <w:sz w:val="24"/>
          <w:szCs w:val="24"/>
        </w:rPr>
        <w:t>confirm</w:t>
      </w:r>
      <w:r w:rsidR="009F2172">
        <w:rPr>
          <w:rFonts w:ascii="Times New Roman" w:hAnsi="Times New Roman" w:cs="Times New Roman"/>
          <w:sz w:val="24"/>
          <w:szCs w:val="24"/>
        </w:rPr>
        <w:t xml:space="preserve"> the presence of an association between corporate governance mechanisms and the probability of default which disappears after controlling for endogeneity, suggesting that prior findings in the literature may suffer from </w:t>
      </w:r>
      <w:r w:rsidR="002B31D8">
        <w:rPr>
          <w:rFonts w:ascii="Times New Roman" w:hAnsi="Times New Roman" w:cs="Times New Roman"/>
          <w:sz w:val="24"/>
          <w:szCs w:val="24"/>
        </w:rPr>
        <w:t xml:space="preserve">inadequate attention to </w:t>
      </w:r>
      <w:r w:rsidR="009F2172">
        <w:rPr>
          <w:rFonts w:ascii="Times New Roman" w:hAnsi="Times New Roman" w:cs="Times New Roman"/>
          <w:sz w:val="24"/>
          <w:szCs w:val="24"/>
        </w:rPr>
        <w:t>endogeneity issues</w:t>
      </w:r>
      <w:r w:rsidR="002B31D8">
        <w:rPr>
          <w:rFonts w:ascii="Times New Roman" w:hAnsi="Times New Roman" w:cs="Times New Roman"/>
          <w:sz w:val="24"/>
          <w:szCs w:val="24"/>
        </w:rPr>
        <w:t xml:space="preserve"> such as: </w:t>
      </w:r>
      <w:r w:rsidR="002B31D8" w:rsidRPr="002B31D8">
        <w:rPr>
          <w:rFonts w:ascii="Times New Roman" w:hAnsi="Times New Roman" w:cs="Times New Roman"/>
          <w:sz w:val="24"/>
          <w:szCs w:val="24"/>
        </w:rPr>
        <w:t>unobserved heterogeneity, possible simultaneity, and reverse causality</w:t>
      </w:r>
      <w:r w:rsidR="002B31D8">
        <w:rPr>
          <w:rFonts w:ascii="Times New Roman" w:hAnsi="Times New Roman" w:cs="Times New Roman"/>
          <w:sz w:val="24"/>
          <w:szCs w:val="24"/>
        </w:rPr>
        <w:t xml:space="preserve"> (see also </w:t>
      </w:r>
      <w:r w:rsidR="002B31D8" w:rsidRPr="002B31D8">
        <w:rPr>
          <w:rFonts w:ascii="Times New Roman" w:hAnsi="Times New Roman" w:cs="Times New Roman"/>
          <w:sz w:val="24"/>
          <w:szCs w:val="24"/>
        </w:rPr>
        <w:t xml:space="preserve">Wintoki </w:t>
      </w:r>
      <w:r w:rsidR="00327178" w:rsidRPr="00327178">
        <w:rPr>
          <w:rFonts w:ascii="Times New Roman" w:hAnsi="Times New Roman" w:cs="Times New Roman"/>
          <w:i/>
          <w:iCs/>
          <w:sz w:val="24"/>
          <w:szCs w:val="24"/>
        </w:rPr>
        <w:t>et al.</w:t>
      </w:r>
      <w:r w:rsidR="002B31D8">
        <w:rPr>
          <w:rFonts w:ascii="Times New Roman" w:hAnsi="Times New Roman" w:cs="Times New Roman"/>
          <w:sz w:val="24"/>
          <w:szCs w:val="24"/>
        </w:rPr>
        <w:t xml:space="preserve"> </w:t>
      </w:r>
      <w:r w:rsidR="002B31D8" w:rsidRPr="002B31D8">
        <w:rPr>
          <w:rFonts w:ascii="Times New Roman" w:hAnsi="Times New Roman" w:cs="Times New Roman"/>
          <w:sz w:val="24"/>
          <w:szCs w:val="24"/>
        </w:rPr>
        <w:t>2012).</w:t>
      </w:r>
      <w:r w:rsidR="002B31D8">
        <w:rPr>
          <w:rFonts w:ascii="Times New Roman" w:hAnsi="Times New Roman" w:cs="Times New Roman"/>
          <w:sz w:val="24"/>
          <w:szCs w:val="24"/>
        </w:rPr>
        <w:t xml:space="preserve"> </w:t>
      </w:r>
      <w:r w:rsidR="009F2172">
        <w:rPr>
          <w:rFonts w:ascii="Times New Roman" w:hAnsi="Times New Roman" w:cs="Times New Roman"/>
          <w:sz w:val="24"/>
          <w:szCs w:val="24"/>
        </w:rPr>
        <w:t xml:space="preserve">Darrat </w:t>
      </w:r>
      <w:r w:rsidR="00327178" w:rsidRPr="00327178">
        <w:rPr>
          <w:rFonts w:ascii="Times New Roman" w:hAnsi="Times New Roman" w:cs="Times New Roman"/>
          <w:i/>
          <w:iCs/>
          <w:sz w:val="24"/>
          <w:szCs w:val="24"/>
        </w:rPr>
        <w:t>et al.</w:t>
      </w:r>
      <w:r w:rsidR="009F2172">
        <w:rPr>
          <w:rFonts w:ascii="Times New Roman" w:hAnsi="Times New Roman" w:cs="Times New Roman"/>
          <w:sz w:val="24"/>
          <w:szCs w:val="24"/>
        </w:rPr>
        <w:t xml:space="preserve"> (2016), however, show that corporate governance variables retain their explanatory powers even after controlling for endogeneity. Furthermore, Darrat </w:t>
      </w:r>
      <w:r w:rsidR="00327178" w:rsidRPr="00327178">
        <w:rPr>
          <w:rFonts w:ascii="Times New Roman" w:hAnsi="Times New Roman" w:cs="Times New Roman"/>
          <w:i/>
          <w:iCs/>
          <w:sz w:val="24"/>
          <w:szCs w:val="24"/>
        </w:rPr>
        <w:t>et al.</w:t>
      </w:r>
      <w:r w:rsidR="009F2172">
        <w:rPr>
          <w:rFonts w:ascii="Times New Roman" w:hAnsi="Times New Roman" w:cs="Times New Roman"/>
          <w:sz w:val="24"/>
          <w:szCs w:val="24"/>
        </w:rPr>
        <w:t xml:space="preserve"> report that board size and the proportion of insiders on the board are inversely related with the risk of bankruptcy in complex firms, suggesting that complex firms require larger boards with more insider expertise to survive. The results further suggest that the relationship between governance and risk of bankruptcy becomes more significant the further we are from the event. Additionally, </w:t>
      </w:r>
      <w:r w:rsidR="009F2172" w:rsidRPr="005E1EEF">
        <w:rPr>
          <w:rFonts w:ascii="Times New Roman" w:hAnsi="Times New Roman" w:cs="Times New Roman"/>
          <w:sz w:val="24"/>
          <w:szCs w:val="24"/>
        </w:rPr>
        <w:t xml:space="preserve">Chan </w:t>
      </w:r>
      <w:r w:rsidR="00327178" w:rsidRPr="00327178">
        <w:rPr>
          <w:rFonts w:ascii="Times New Roman" w:hAnsi="Times New Roman" w:cs="Times New Roman"/>
          <w:i/>
          <w:iCs/>
          <w:sz w:val="24"/>
          <w:szCs w:val="24"/>
        </w:rPr>
        <w:t>et al.</w:t>
      </w:r>
      <w:r w:rsidR="009F2172">
        <w:rPr>
          <w:rFonts w:ascii="Times New Roman" w:hAnsi="Times New Roman" w:cs="Times New Roman"/>
          <w:sz w:val="24"/>
          <w:szCs w:val="24"/>
        </w:rPr>
        <w:t xml:space="preserve"> (</w:t>
      </w:r>
      <w:r w:rsidR="009F2172" w:rsidRPr="005E1EEF">
        <w:rPr>
          <w:rFonts w:ascii="Times New Roman" w:hAnsi="Times New Roman" w:cs="Times New Roman"/>
          <w:sz w:val="24"/>
          <w:szCs w:val="24"/>
        </w:rPr>
        <w:t>2016</w:t>
      </w:r>
      <w:r w:rsidR="009F2172">
        <w:rPr>
          <w:rFonts w:ascii="Times New Roman" w:hAnsi="Times New Roman" w:cs="Times New Roman"/>
          <w:sz w:val="24"/>
          <w:szCs w:val="24"/>
        </w:rPr>
        <w:t>) provides further evidence that the addition of governance variables to well-known bankruptcy prediction models improves their forecasting powers considerably, and more so post the enactment of the Sarbanes</w:t>
      </w:r>
      <w:r w:rsidR="00C42888">
        <w:rPr>
          <w:rFonts w:ascii="Times New Roman" w:hAnsi="Times New Roman" w:cs="Times New Roman"/>
          <w:sz w:val="24"/>
          <w:szCs w:val="24"/>
        </w:rPr>
        <w:t xml:space="preserve">-Oxley act in the United States (see also Liang </w:t>
      </w:r>
      <w:r w:rsidR="00327178" w:rsidRPr="00327178">
        <w:rPr>
          <w:rFonts w:ascii="Times New Roman" w:hAnsi="Times New Roman" w:cs="Times New Roman"/>
          <w:i/>
          <w:iCs/>
          <w:sz w:val="24"/>
          <w:szCs w:val="24"/>
        </w:rPr>
        <w:t>et al.</w:t>
      </w:r>
      <w:r w:rsidR="00C42888">
        <w:rPr>
          <w:rFonts w:ascii="Times New Roman" w:hAnsi="Times New Roman" w:cs="Times New Roman"/>
          <w:sz w:val="24"/>
          <w:szCs w:val="24"/>
        </w:rPr>
        <w:t xml:space="preserve"> 2016</w:t>
      </w:r>
      <w:r w:rsidR="006D5DD3" w:rsidRPr="006D5DD3">
        <w:rPr>
          <w:rFonts w:ascii="Times New Roman" w:hAnsi="Times New Roman" w:cs="Times New Roman"/>
          <w:sz w:val="24"/>
          <w:szCs w:val="24"/>
        </w:rPr>
        <w:t>,</w:t>
      </w:r>
      <w:r w:rsidR="009F2172">
        <w:rPr>
          <w:rFonts w:ascii="Times New Roman" w:hAnsi="Times New Roman" w:cs="Times New Roman"/>
          <w:sz w:val="24"/>
          <w:szCs w:val="24"/>
        </w:rPr>
        <w:t xml:space="preserve"> </w:t>
      </w:r>
      <w:r w:rsidR="00C42888">
        <w:rPr>
          <w:rFonts w:ascii="Times New Roman" w:hAnsi="Times New Roman" w:cs="Times New Roman"/>
          <w:sz w:val="24"/>
          <w:szCs w:val="24"/>
        </w:rPr>
        <w:t xml:space="preserve">Manzaneque </w:t>
      </w:r>
      <w:r w:rsidR="00327178" w:rsidRPr="00327178">
        <w:rPr>
          <w:rFonts w:ascii="Times New Roman" w:hAnsi="Times New Roman" w:cs="Times New Roman"/>
          <w:i/>
          <w:iCs/>
          <w:sz w:val="24"/>
          <w:szCs w:val="24"/>
        </w:rPr>
        <w:t>et al.</w:t>
      </w:r>
      <w:r w:rsidR="00C42888">
        <w:rPr>
          <w:rFonts w:ascii="Times New Roman" w:hAnsi="Times New Roman" w:cs="Times New Roman"/>
          <w:sz w:val="24"/>
          <w:szCs w:val="24"/>
        </w:rPr>
        <w:t xml:space="preserve"> </w:t>
      </w:r>
      <w:r w:rsidR="009F2172">
        <w:rPr>
          <w:rFonts w:ascii="Times New Roman" w:hAnsi="Times New Roman" w:cs="Times New Roman"/>
          <w:sz w:val="24"/>
          <w:szCs w:val="24"/>
        </w:rPr>
        <w:t>2016)</w:t>
      </w:r>
      <w:r w:rsidR="00C42888">
        <w:rPr>
          <w:rFonts w:ascii="Times New Roman" w:hAnsi="Times New Roman" w:cs="Times New Roman"/>
          <w:sz w:val="24"/>
          <w:szCs w:val="24"/>
        </w:rPr>
        <w:t>.</w:t>
      </w:r>
      <w:r w:rsidR="00C42888" w:rsidRPr="00A77A23">
        <w:rPr>
          <w:rFonts w:ascii="Times New Roman" w:hAnsi="Times New Roman" w:cs="Times New Roman"/>
          <w:sz w:val="24"/>
          <w:szCs w:val="24"/>
        </w:rPr>
        <w:t xml:space="preserve"> </w:t>
      </w:r>
    </w:p>
    <w:p w14:paraId="3E65BADE" w14:textId="77777777" w:rsidR="00260D7D" w:rsidRDefault="00260D7D" w:rsidP="00260D7D">
      <w:pPr>
        <w:tabs>
          <w:tab w:val="left" w:pos="567"/>
        </w:tabs>
        <w:spacing w:after="0" w:line="288" w:lineRule="auto"/>
        <w:jc w:val="both"/>
        <w:rPr>
          <w:rFonts w:ascii="Times New Roman" w:hAnsi="Times New Roman" w:cs="Times New Roman"/>
          <w:sz w:val="24"/>
          <w:szCs w:val="24"/>
        </w:rPr>
      </w:pPr>
    </w:p>
    <w:p w14:paraId="1DF03FF5" w14:textId="31FB57C8" w:rsidR="00216370" w:rsidRDefault="00260D7D"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3F0690">
        <w:rPr>
          <w:rFonts w:ascii="Times New Roman" w:hAnsi="Times New Roman" w:cs="Times New Roman"/>
          <w:sz w:val="24"/>
          <w:szCs w:val="24"/>
        </w:rPr>
        <w:t>On balance</w:t>
      </w:r>
      <w:r w:rsidR="00791B28">
        <w:rPr>
          <w:rFonts w:ascii="Times New Roman" w:hAnsi="Times New Roman" w:cs="Times New Roman"/>
          <w:sz w:val="24"/>
          <w:szCs w:val="24"/>
        </w:rPr>
        <w:t>,</w:t>
      </w:r>
      <w:r w:rsidR="003F0690">
        <w:rPr>
          <w:rFonts w:ascii="Times New Roman" w:hAnsi="Times New Roman" w:cs="Times New Roman"/>
          <w:sz w:val="24"/>
          <w:szCs w:val="24"/>
        </w:rPr>
        <w:t xml:space="preserve"> </w:t>
      </w:r>
      <w:r w:rsidR="00791B28">
        <w:rPr>
          <w:rFonts w:ascii="Times New Roman" w:hAnsi="Times New Roman" w:cs="Times New Roman"/>
          <w:sz w:val="24"/>
          <w:szCs w:val="24"/>
        </w:rPr>
        <w:t xml:space="preserve">results from past studies suggest that </w:t>
      </w:r>
      <w:r w:rsidR="00216370">
        <w:rPr>
          <w:rFonts w:ascii="Times New Roman" w:hAnsi="Times New Roman" w:cs="Times New Roman"/>
          <w:sz w:val="24"/>
          <w:szCs w:val="24"/>
        </w:rPr>
        <w:t xml:space="preserve">the different </w:t>
      </w:r>
      <w:r w:rsidR="00791B28">
        <w:rPr>
          <w:rFonts w:ascii="Times New Roman" w:hAnsi="Times New Roman" w:cs="Times New Roman"/>
          <w:sz w:val="24"/>
          <w:szCs w:val="24"/>
        </w:rPr>
        <w:t xml:space="preserve">governance mechanism </w:t>
      </w:r>
      <w:r w:rsidR="00216370">
        <w:rPr>
          <w:rFonts w:ascii="Times New Roman" w:hAnsi="Times New Roman" w:cs="Times New Roman"/>
          <w:sz w:val="24"/>
          <w:szCs w:val="24"/>
        </w:rPr>
        <w:t xml:space="preserve">are significantly related to the firm’s health </w:t>
      </w:r>
      <w:r w:rsidR="005A2CEE">
        <w:rPr>
          <w:rFonts w:ascii="Times New Roman" w:hAnsi="Times New Roman" w:cs="Times New Roman"/>
          <w:sz w:val="24"/>
          <w:szCs w:val="24"/>
        </w:rPr>
        <w:t xml:space="preserve">and performance </w:t>
      </w:r>
      <w:r w:rsidR="00216370">
        <w:rPr>
          <w:rFonts w:ascii="Times New Roman" w:hAnsi="Times New Roman" w:cs="Times New Roman"/>
          <w:sz w:val="24"/>
          <w:szCs w:val="24"/>
        </w:rPr>
        <w:t>and</w:t>
      </w:r>
      <w:r w:rsidR="005A2CEE">
        <w:rPr>
          <w:rFonts w:ascii="Times New Roman" w:hAnsi="Times New Roman" w:cs="Times New Roman"/>
          <w:sz w:val="24"/>
          <w:szCs w:val="24"/>
        </w:rPr>
        <w:t xml:space="preserve"> that</w:t>
      </w:r>
      <w:r w:rsidR="00216370">
        <w:rPr>
          <w:rFonts w:ascii="Times New Roman" w:hAnsi="Times New Roman" w:cs="Times New Roman"/>
          <w:sz w:val="24"/>
          <w:szCs w:val="24"/>
        </w:rPr>
        <w:t xml:space="preserve"> adding them to bankruptcy prediction models is expected to </w:t>
      </w:r>
      <w:r w:rsidR="00A72A8F">
        <w:rPr>
          <w:rFonts w:ascii="Times New Roman" w:hAnsi="Times New Roman" w:cs="Times New Roman"/>
          <w:sz w:val="24"/>
          <w:szCs w:val="24"/>
        </w:rPr>
        <w:t xml:space="preserve">significantly </w:t>
      </w:r>
      <w:r w:rsidR="00791B28">
        <w:rPr>
          <w:rFonts w:ascii="Times New Roman" w:hAnsi="Times New Roman" w:cs="Times New Roman"/>
          <w:sz w:val="24"/>
          <w:szCs w:val="24"/>
        </w:rPr>
        <w:t>improve</w:t>
      </w:r>
      <w:r w:rsidR="00216370">
        <w:rPr>
          <w:rFonts w:ascii="Times New Roman" w:hAnsi="Times New Roman" w:cs="Times New Roman"/>
          <w:sz w:val="24"/>
          <w:szCs w:val="24"/>
        </w:rPr>
        <w:t xml:space="preserve"> </w:t>
      </w:r>
      <w:r w:rsidR="00791B28">
        <w:rPr>
          <w:rFonts w:ascii="Times New Roman" w:hAnsi="Times New Roman" w:cs="Times New Roman"/>
          <w:sz w:val="24"/>
          <w:szCs w:val="24"/>
        </w:rPr>
        <w:t xml:space="preserve">the prediction and </w:t>
      </w:r>
      <w:r w:rsidR="00791B28">
        <w:rPr>
          <w:rFonts w:ascii="Times New Roman" w:hAnsi="Times New Roman" w:cs="Times New Roman"/>
          <w:sz w:val="24"/>
          <w:szCs w:val="24"/>
        </w:rPr>
        <w:lastRenderedPageBreak/>
        <w:t xml:space="preserve">classification accuracy of </w:t>
      </w:r>
      <w:r w:rsidR="00216370">
        <w:rPr>
          <w:rFonts w:ascii="Times New Roman" w:hAnsi="Times New Roman" w:cs="Times New Roman"/>
          <w:sz w:val="24"/>
          <w:szCs w:val="24"/>
        </w:rPr>
        <w:t>such models</w:t>
      </w:r>
      <w:r w:rsidR="00791B28">
        <w:rPr>
          <w:rFonts w:ascii="Times New Roman" w:hAnsi="Times New Roman" w:cs="Times New Roman"/>
          <w:sz w:val="24"/>
          <w:szCs w:val="24"/>
        </w:rPr>
        <w:t xml:space="preserve">. </w:t>
      </w:r>
      <w:r w:rsidR="003F0690">
        <w:rPr>
          <w:rFonts w:ascii="Times New Roman" w:hAnsi="Times New Roman" w:cs="Times New Roman"/>
          <w:sz w:val="24"/>
          <w:szCs w:val="24"/>
        </w:rPr>
        <w:t xml:space="preserve">However, </w:t>
      </w:r>
      <w:r w:rsidR="003F0690" w:rsidRPr="003F0690">
        <w:rPr>
          <w:rFonts w:ascii="Times New Roman" w:hAnsi="Times New Roman" w:cs="Times New Roman"/>
          <w:sz w:val="24"/>
          <w:szCs w:val="24"/>
        </w:rPr>
        <w:t>we are st</w:t>
      </w:r>
      <w:r w:rsidR="003F0690">
        <w:rPr>
          <w:rFonts w:ascii="Times New Roman" w:hAnsi="Times New Roman" w:cs="Times New Roman"/>
          <w:sz w:val="24"/>
          <w:szCs w:val="24"/>
        </w:rPr>
        <w:t>ill far from having closure on the extent to which corporate governance</w:t>
      </w:r>
      <w:r w:rsidR="003F0690" w:rsidRPr="003F0690">
        <w:rPr>
          <w:rFonts w:ascii="Times New Roman" w:hAnsi="Times New Roman" w:cs="Times New Roman"/>
          <w:sz w:val="24"/>
          <w:szCs w:val="24"/>
        </w:rPr>
        <w:t xml:space="preserve"> impacts the prob</w:t>
      </w:r>
      <w:r w:rsidR="003F0690">
        <w:rPr>
          <w:rFonts w:ascii="Times New Roman" w:hAnsi="Times New Roman" w:cs="Times New Roman"/>
          <w:sz w:val="24"/>
          <w:szCs w:val="24"/>
        </w:rPr>
        <w:t>ability of bankruptcy as well as on the</w:t>
      </w:r>
      <w:r w:rsidR="00216370">
        <w:rPr>
          <w:rFonts w:ascii="Times New Roman" w:hAnsi="Times New Roman" w:cs="Times New Roman"/>
          <w:sz w:val="24"/>
          <w:szCs w:val="24"/>
        </w:rPr>
        <w:t xml:space="preserve"> </w:t>
      </w:r>
      <w:r w:rsidR="003F0690">
        <w:rPr>
          <w:rFonts w:ascii="Times New Roman" w:hAnsi="Times New Roman" w:cs="Times New Roman"/>
          <w:sz w:val="24"/>
          <w:szCs w:val="24"/>
        </w:rPr>
        <w:t xml:space="preserve">role played by the different governance mechanism in the </w:t>
      </w:r>
      <w:r w:rsidR="00075909">
        <w:rPr>
          <w:rFonts w:ascii="Times New Roman" w:hAnsi="Times New Roman" w:cs="Times New Roman"/>
          <w:sz w:val="24"/>
          <w:szCs w:val="24"/>
        </w:rPr>
        <w:t xml:space="preserve">whole </w:t>
      </w:r>
      <w:r w:rsidR="005A2CEE">
        <w:rPr>
          <w:rFonts w:ascii="Times New Roman" w:hAnsi="Times New Roman" w:cs="Times New Roman"/>
          <w:sz w:val="24"/>
          <w:szCs w:val="24"/>
        </w:rPr>
        <w:t xml:space="preserve">prediction </w:t>
      </w:r>
      <w:r w:rsidR="003F0690">
        <w:rPr>
          <w:rFonts w:ascii="Times New Roman" w:hAnsi="Times New Roman" w:cs="Times New Roman"/>
          <w:sz w:val="24"/>
          <w:szCs w:val="24"/>
        </w:rPr>
        <w:t>process</w:t>
      </w:r>
      <w:r w:rsidR="008F0EFA">
        <w:rPr>
          <w:rFonts w:ascii="Times New Roman" w:hAnsi="Times New Roman" w:cs="Times New Roman"/>
          <w:sz w:val="24"/>
          <w:szCs w:val="24"/>
        </w:rPr>
        <w:t xml:space="preserve">. </w:t>
      </w:r>
      <w:r w:rsidR="00216370">
        <w:rPr>
          <w:rFonts w:ascii="Times New Roman" w:hAnsi="Times New Roman" w:cs="Times New Roman"/>
          <w:sz w:val="24"/>
          <w:szCs w:val="24"/>
        </w:rPr>
        <w:t>Furthermore, past attempts have primarily focused on examining the effect from adding governance variables to a bankruptcy prediction model without considering the comparability across the different models or estimation techniques.</w:t>
      </w:r>
      <w:r w:rsidR="005A2CEE">
        <w:rPr>
          <w:rFonts w:ascii="Times New Roman" w:hAnsi="Times New Roman" w:cs="Times New Roman"/>
          <w:sz w:val="24"/>
          <w:szCs w:val="24"/>
        </w:rPr>
        <w:t xml:space="preserve"> Also, m</w:t>
      </w:r>
      <w:r w:rsidR="00216370" w:rsidRPr="008C6B47">
        <w:rPr>
          <w:rFonts w:ascii="Times New Roman" w:hAnsi="Times New Roman" w:cs="Times New Roman"/>
          <w:sz w:val="24"/>
          <w:szCs w:val="24"/>
        </w:rPr>
        <w:t>a</w:t>
      </w:r>
      <w:r w:rsidR="005A2CEE">
        <w:rPr>
          <w:rFonts w:ascii="Times New Roman" w:hAnsi="Times New Roman" w:cs="Times New Roman"/>
          <w:sz w:val="24"/>
          <w:szCs w:val="24"/>
        </w:rPr>
        <w:t>jority</w:t>
      </w:r>
      <w:r w:rsidR="00216370" w:rsidRPr="008C6B47">
        <w:rPr>
          <w:rFonts w:ascii="Times New Roman" w:hAnsi="Times New Roman" w:cs="Times New Roman"/>
          <w:sz w:val="24"/>
          <w:szCs w:val="24"/>
        </w:rPr>
        <w:t xml:space="preserve"> of the</w:t>
      </w:r>
      <w:r w:rsidR="00216370">
        <w:rPr>
          <w:rFonts w:ascii="Times New Roman" w:hAnsi="Times New Roman" w:cs="Times New Roman"/>
          <w:sz w:val="24"/>
          <w:szCs w:val="24"/>
        </w:rPr>
        <w:t xml:space="preserve">se studies have overlooked </w:t>
      </w:r>
      <w:r w:rsidR="005A2CEE">
        <w:rPr>
          <w:rFonts w:ascii="Times New Roman" w:hAnsi="Times New Roman" w:cs="Times New Roman"/>
          <w:sz w:val="24"/>
          <w:szCs w:val="24"/>
        </w:rPr>
        <w:t>concerns about endogeneity with their results which casts some doubts about earlier findings.</w:t>
      </w:r>
    </w:p>
    <w:p w14:paraId="12635D8A" w14:textId="77777777" w:rsidR="00260D7D" w:rsidRDefault="00260D7D" w:rsidP="00260D7D">
      <w:pPr>
        <w:tabs>
          <w:tab w:val="left" w:pos="567"/>
        </w:tabs>
        <w:spacing w:after="0" w:line="288" w:lineRule="auto"/>
        <w:jc w:val="both"/>
        <w:rPr>
          <w:rFonts w:ascii="Times New Roman" w:hAnsi="Times New Roman" w:cs="Times New Roman"/>
          <w:sz w:val="24"/>
          <w:szCs w:val="24"/>
        </w:rPr>
      </w:pPr>
    </w:p>
    <w:p w14:paraId="24D25FC4" w14:textId="77777777" w:rsidR="00C752D5" w:rsidRPr="00260D7D" w:rsidRDefault="005D407B" w:rsidP="00260D7D">
      <w:pPr>
        <w:pStyle w:val="ListParagraph"/>
        <w:keepNext/>
        <w:numPr>
          <w:ilvl w:val="1"/>
          <w:numId w:val="1"/>
        </w:numPr>
        <w:tabs>
          <w:tab w:val="left" w:pos="567"/>
        </w:tabs>
        <w:spacing w:after="0" w:line="288" w:lineRule="auto"/>
        <w:jc w:val="both"/>
        <w:rPr>
          <w:rFonts w:ascii="Times New Roman" w:hAnsi="Times New Roman" w:cs="Times New Roman"/>
          <w:b/>
          <w:bCs/>
          <w:sz w:val="24"/>
          <w:szCs w:val="24"/>
        </w:rPr>
      </w:pPr>
      <w:bookmarkStart w:id="0" w:name="_Hlk482510290"/>
      <w:r w:rsidRPr="00260D7D">
        <w:rPr>
          <w:rFonts w:ascii="Times New Roman" w:hAnsi="Times New Roman" w:cs="Times New Roman"/>
          <w:b/>
          <w:bCs/>
          <w:sz w:val="24"/>
          <w:szCs w:val="24"/>
        </w:rPr>
        <w:t xml:space="preserve"> </w:t>
      </w:r>
      <w:r w:rsidR="00C752D5" w:rsidRPr="00260D7D">
        <w:rPr>
          <w:rFonts w:ascii="Times New Roman" w:hAnsi="Times New Roman" w:cs="Times New Roman"/>
          <w:b/>
          <w:bCs/>
          <w:sz w:val="24"/>
          <w:szCs w:val="24"/>
        </w:rPr>
        <w:t>Research Questions</w:t>
      </w:r>
    </w:p>
    <w:bookmarkEnd w:id="0"/>
    <w:p w14:paraId="125E5E35" w14:textId="77777777" w:rsidR="00C029D8" w:rsidRPr="00C029D8" w:rsidRDefault="00C029D8" w:rsidP="00260D7D">
      <w:pPr>
        <w:keepNext/>
        <w:tabs>
          <w:tab w:val="left" w:pos="567"/>
        </w:tabs>
        <w:spacing w:after="0" w:line="288" w:lineRule="auto"/>
        <w:jc w:val="both"/>
        <w:rPr>
          <w:rFonts w:ascii="Times New Roman" w:hAnsi="Times New Roman" w:cs="Times New Roman"/>
          <w:sz w:val="8"/>
          <w:szCs w:val="8"/>
        </w:rPr>
      </w:pPr>
    </w:p>
    <w:p w14:paraId="35B099CD" w14:textId="5F55A75B" w:rsidR="00C752D5" w:rsidRDefault="00C752D5" w:rsidP="00260D7D">
      <w:pPr>
        <w:keepNext/>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1F7296">
        <w:rPr>
          <w:rFonts w:ascii="Times New Roman" w:hAnsi="Times New Roman" w:cs="Times New Roman"/>
          <w:sz w:val="24"/>
          <w:szCs w:val="24"/>
        </w:rPr>
        <w:t>study has two</w:t>
      </w:r>
      <w:r>
        <w:rPr>
          <w:rFonts w:ascii="Times New Roman" w:hAnsi="Times New Roman" w:cs="Times New Roman"/>
          <w:sz w:val="24"/>
          <w:szCs w:val="24"/>
        </w:rPr>
        <w:t xml:space="preserve"> main interconnected objective</w:t>
      </w:r>
      <w:r w:rsidR="00FB6650">
        <w:rPr>
          <w:rFonts w:ascii="Times New Roman" w:hAnsi="Times New Roman" w:cs="Times New Roman"/>
          <w:sz w:val="24"/>
          <w:szCs w:val="24"/>
        </w:rPr>
        <w:t xml:space="preserve">s, which are: </w:t>
      </w:r>
      <w:r w:rsidR="00C029D8">
        <w:rPr>
          <w:rFonts w:ascii="Times New Roman" w:hAnsi="Times New Roman" w:cs="Times New Roman"/>
          <w:sz w:val="24"/>
          <w:szCs w:val="24"/>
        </w:rPr>
        <w:t>(</w:t>
      </w:r>
      <w:r>
        <w:rPr>
          <w:rFonts w:ascii="Times New Roman" w:hAnsi="Times New Roman" w:cs="Times New Roman"/>
          <w:sz w:val="24"/>
          <w:szCs w:val="24"/>
        </w:rPr>
        <w:t xml:space="preserve">1) to test whether governance mechanisms </w:t>
      </w:r>
      <w:r w:rsidR="00B97A5A">
        <w:rPr>
          <w:rFonts w:ascii="Times New Roman" w:hAnsi="Times New Roman" w:cs="Times New Roman"/>
          <w:sz w:val="24"/>
          <w:szCs w:val="24"/>
        </w:rPr>
        <w:t>improve</w:t>
      </w:r>
      <w:r>
        <w:rPr>
          <w:rFonts w:ascii="Times New Roman" w:hAnsi="Times New Roman" w:cs="Times New Roman"/>
          <w:sz w:val="24"/>
          <w:szCs w:val="24"/>
        </w:rPr>
        <w:t xml:space="preserve"> the forecasting power of </w:t>
      </w:r>
      <w:r w:rsidR="00B97A5A">
        <w:rPr>
          <w:rFonts w:ascii="Times New Roman" w:hAnsi="Times New Roman" w:cs="Times New Roman"/>
          <w:sz w:val="24"/>
          <w:szCs w:val="24"/>
        </w:rPr>
        <w:t>some well-known bankruptcy models</w:t>
      </w:r>
      <w:r w:rsidR="00FB6650">
        <w:rPr>
          <w:rFonts w:ascii="Times New Roman" w:hAnsi="Times New Roman" w:cs="Times New Roman"/>
          <w:sz w:val="24"/>
          <w:szCs w:val="24"/>
        </w:rPr>
        <w:t xml:space="preserve"> and </w:t>
      </w:r>
      <w:r>
        <w:rPr>
          <w:rFonts w:ascii="Times New Roman" w:hAnsi="Times New Roman" w:cs="Times New Roman"/>
          <w:sz w:val="24"/>
          <w:szCs w:val="24"/>
        </w:rPr>
        <w:t xml:space="preserve">to </w:t>
      </w:r>
      <w:r w:rsidR="00FE5A03">
        <w:rPr>
          <w:rFonts w:ascii="Times New Roman" w:hAnsi="Times New Roman" w:cs="Times New Roman"/>
          <w:sz w:val="24"/>
          <w:szCs w:val="24"/>
        </w:rPr>
        <w:t>highlight the change in this forecasting power as we move away from the event</w:t>
      </w:r>
      <w:r w:rsidR="00FB6650">
        <w:rPr>
          <w:rFonts w:ascii="Times New Roman" w:hAnsi="Times New Roman" w:cs="Times New Roman"/>
          <w:sz w:val="24"/>
          <w:szCs w:val="24"/>
        </w:rPr>
        <w:t xml:space="preserve"> and </w:t>
      </w:r>
      <w:r w:rsidR="00C029D8">
        <w:rPr>
          <w:rFonts w:ascii="Times New Roman" w:hAnsi="Times New Roman" w:cs="Times New Roman"/>
          <w:sz w:val="24"/>
          <w:szCs w:val="24"/>
        </w:rPr>
        <w:t>(</w:t>
      </w:r>
      <w:r w:rsidR="00FB6650">
        <w:rPr>
          <w:rFonts w:ascii="Times New Roman" w:hAnsi="Times New Roman" w:cs="Times New Roman"/>
          <w:sz w:val="24"/>
          <w:szCs w:val="24"/>
        </w:rPr>
        <w:t>2)</w:t>
      </w:r>
      <w:r w:rsidR="009E120C">
        <w:rPr>
          <w:rFonts w:ascii="Times New Roman" w:hAnsi="Times New Roman" w:cs="Times New Roman"/>
          <w:sz w:val="24"/>
          <w:szCs w:val="24"/>
        </w:rPr>
        <w:t xml:space="preserve"> to examine the classification and prediction accuracy of the different estimation methods</w:t>
      </w:r>
      <w:r>
        <w:rPr>
          <w:rFonts w:ascii="Times New Roman" w:hAnsi="Times New Roman" w:cs="Times New Roman"/>
          <w:sz w:val="24"/>
          <w:szCs w:val="24"/>
        </w:rPr>
        <w:t xml:space="preserve">. </w:t>
      </w:r>
      <w:r w:rsidR="00F41E56">
        <w:rPr>
          <w:rFonts w:ascii="Times New Roman" w:hAnsi="Times New Roman" w:cs="Times New Roman"/>
          <w:sz w:val="24"/>
          <w:szCs w:val="24"/>
        </w:rPr>
        <w:t>E</w:t>
      </w:r>
      <w:r>
        <w:rPr>
          <w:rFonts w:ascii="Times New Roman" w:hAnsi="Times New Roman" w:cs="Times New Roman"/>
          <w:sz w:val="24"/>
          <w:szCs w:val="24"/>
        </w:rPr>
        <w:t>arlier findings in the lite</w:t>
      </w:r>
      <w:r w:rsidR="00841629">
        <w:rPr>
          <w:rFonts w:ascii="Times New Roman" w:hAnsi="Times New Roman" w:cs="Times New Roman"/>
          <w:sz w:val="24"/>
          <w:szCs w:val="24"/>
        </w:rPr>
        <w:t>rature suggest</w:t>
      </w:r>
      <w:r>
        <w:rPr>
          <w:rFonts w:ascii="Times New Roman" w:hAnsi="Times New Roman" w:cs="Times New Roman"/>
          <w:sz w:val="24"/>
          <w:szCs w:val="24"/>
        </w:rPr>
        <w:t xml:space="preserve"> the presence of a significant relationship between the quality of corporate governance and the probability of bankruptcy or financial distress (Daily and Dalton </w:t>
      </w:r>
      <w:r w:rsidRPr="00A74C9F">
        <w:rPr>
          <w:rFonts w:ascii="Times New Roman" w:hAnsi="Times New Roman" w:cs="Times New Roman"/>
          <w:sz w:val="24"/>
          <w:szCs w:val="24"/>
        </w:rPr>
        <w:t>1994</w:t>
      </w:r>
      <w:r w:rsidR="006D5DD3" w:rsidRPr="006D5DD3">
        <w:rPr>
          <w:rFonts w:ascii="Times New Roman" w:hAnsi="Times New Roman" w:cs="Times New Roman"/>
          <w:sz w:val="24"/>
          <w:szCs w:val="24"/>
        </w:rPr>
        <w:t>,</w:t>
      </w:r>
      <w:r>
        <w:rPr>
          <w:rFonts w:ascii="Times New Roman" w:hAnsi="Times New Roman" w:cs="Times New Roman"/>
          <w:sz w:val="24"/>
          <w:szCs w:val="24"/>
        </w:rPr>
        <w:t xml:space="preserve"> </w:t>
      </w:r>
      <w:r w:rsidRPr="006B59BA">
        <w:rPr>
          <w:rFonts w:ascii="Times New Roman" w:hAnsi="Times New Roman" w:cs="Times New Roman"/>
          <w:sz w:val="24"/>
          <w:szCs w:val="24"/>
        </w:rPr>
        <w:t>Elloumi and Gueyi</w:t>
      </w:r>
      <w:r>
        <w:rPr>
          <w:rFonts w:ascii="Times New Roman" w:hAnsi="Times New Roman" w:cs="Times New Roman"/>
          <w:sz w:val="24"/>
          <w:szCs w:val="24"/>
        </w:rPr>
        <w:t xml:space="preserve">e </w:t>
      </w:r>
      <w:r w:rsidRPr="006B59BA">
        <w:rPr>
          <w:rFonts w:ascii="Times New Roman" w:hAnsi="Times New Roman" w:cs="Times New Roman"/>
          <w:sz w:val="24"/>
          <w:szCs w:val="24"/>
        </w:rPr>
        <w:t>2001</w:t>
      </w:r>
      <w:r w:rsidR="006D5DD3" w:rsidRPr="006D5DD3">
        <w:rPr>
          <w:rFonts w:ascii="Times New Roman" w:hAnsi="Times New Roman" w:cs="Times New Roman"/>
          <w:sz w:val="24"/>
          <w:szCs w:val="24"/>
        </w:rPr>
        <w:t>,</w:t>
      </w:r>
      <w:r>
        <w:rPr>
          <w:rFonts w:ascii="Times New Roman" w:hAnsi="Times New Roman" w:cs="Times New Roman"/>
          <w:sz w:val="24"/>
          <w:szCs w:val="24"/>
        </w:rPr>
        <w:t xml:space="preserve"> Fich and Slezak </w:t>
      </w:r>
      <w:r w:rsidRPr="0077506E">
        <w:rPr>
          <w:rFonts w:ascii="Times New Roman" w:hAnsi="Times New Roman" w:cs="Times New Roman"/>
          <w:sz w:val="24"/>
          <w:szCs w:val="24"/>
        </w:rPr>
        <w:t>2008</w:t>
      </w:r>
      <w:r w:rsidR="006D5DD3" w:rsidRPr="006D5DD3">
        <w:rPr>
          <w:rFonts w:ascii="Times New Roman" w:hAnsi="Times New Roman" w:cs="Times New Roman"/>
          <w:sz w:val="24"/>
          <w:szCs w:val="24"/>
        </w:rPr>
        <w:t>,</w:t>
      </w:r>
      <w:r>
        <w:rPr>
          <w:rFonts w:ascii="Times New Roman" w:hAnsi="Times New Roman" w:cs="Times New Roman"/>
          <w:sz w:val="24"/>
          <w:szCs w:val="24"/>
        </w:rPr>
        <w:t xml:space="preserve"> Wang and Deng 2006). </w:t>
      </w:r>
      <w:r w:rsidR="00F41E56">
        <w:rPr>
          <w:rFonts w:ascii="Times New Roman" w:hAnsi="Times New Roman" w:cs="Times New Roman"/>
          <w:sz w:val="24"/>
          <w:szCs w:val="24"/>
        </w:rPr>
        <w:t>Furthermore, a relatively recent group of empirical studies has found that the addition of governance variables to some well-known bankruptcy prediction models improves their prediction powers considerably (</w:t>
      </w:r>
      <w:r w:rsidR="00F41E56" w:rsidRPr="005E1EEF">
        <w:rPr>
          <w:rFonts w:ascii="Times New Roman" w:hAnsi="Times New Roman" w:cs="Times New Roman"/>
          <w:sz w:val="24"/>
          <w:szCs w:val="24"/>
        </w:rPr>
        <w:t xml:space="preserve">Chan </w:t>
      </w:r>
      <w:r w:rsidR="00327178" w:rsidRPr="00327178">
        <w:rPr>
          <w:rFonts w:ascii="Times New Roman" w:hAnsi="Times New Roman" w:cs="Times New Roman"/>
          <w:i/>
          <w:iCs/>
          <w:sz w:val="24"/>
          <w:szCs w:val="24"/>
        </w:rPr>
        <w:t>et al.</w:t>
      </w:r>
      <w:r w:rsidR="00F41E56">
        <w:rPr>
          <w:rFonts w:ascii="Times New Roman" w:hAnsi="Times New Roman" w:cs="Times New Roman"/>
          <w:sz w:val="24"/>
          <w:szCs w:val="24"/>
        </w:rPr>
        <w:t xml:space="preserve"> </w:t>
      </w:r>
      <w:r w:rsidR="00F41E56" w:rsidRPr="005E1EEF">
        <w:rPr>
          <w:rFonts w:ascii="Times New Roman" w:hAnsi="Times New Roman" w:cs="Times New Roman"/>
          <w:sz w:val="24"/>
          <w:szCs w:val="24"/>
        </w:rPr>
        <w:t>2016</w:t>
      </w:r>
      <w:r w:rsidR="006D5DD3" w:rsidRPr="006D5DD3">
        <w:rPr>
          <w:rFonts w:ascii="Times New Roman" w:hAnsi="Times New Roman" w:cs="Times New Roman"/>
          <w:sz w:val="24"/>
          <w:szCs w:val="24"/>
        </w:rPr>
        <w:t>,</w:t>
      </w:r>
      <w:r w:rsidR="00F41E56">
        <w:rPr>
          <w:rFonts w:ascii="Times New Roman" w:hAnsi="Times New Roman" w:cs="Times New Roman"/>
          <w:sz w:val="24"/>
          <w:szCs w:val="24"/>
        </w:rPr>
        <w:t xml:space="preserve"> Darrat </w:t>
      </w:r>
      <w:r w:rsidR="00327178" w:rsidRPr="00327178">
        <w:rPr>
          <w:rFonts w:ascii="Times New Roman" w:hAnsi="Times New Roman" w:cs="Times New Roman"/>
          <w:i/>
          <w:iCs/>
          <w:sz w:val="24"/>
          <w:szCs w:val="24"/>
        </w:rPr>
        <w:t>et al.</w:t>
      </w:r>
      <w:r w:rsidR="00F41E56">
        <w:rPr>
          <w:rFonts w:ascii="Times New Roman" w:hAnsi="Times New Roman" w:cs="Times New Roman"/>
          <w:sz w:val="24"/>
          <w:szCs w:val="24"/>
        </w:rPr>
        <w:t xml:space="preserve"> 2016</w:t>
      </w:r>
      <w:r w:rsidR="006D5DD3" w:rsidRPr="006D5DD3">
        <w:rPr>
          <w:rFonts w:ascii="Times New Roman" w:hAnsi="Times New Roman" w:cs="Times New Roman"/>
          <w:sz w:val="24"/>
          <w:szCs w:val="24"/>
        </w:rPr>
        <w:t>,</w:t>
      </w:r>
      <w:r w:rsidR="00F41E56">
        <w:rPr>
          <w:rFonts w:ascii="Times New Roman" w:hAnsi="Times New Roman" w:cs="Times New Roman"/>
          <w:sz w:val="24"/>
          <w:szCs w:val="24"/>
        </w:rPr>
        <w:t xml:space="preserve"> Liang </w:t>
      </w:r>
      <w:r w:rsidR="00327178" w:rsidRPr="00327178">
        <w:rPr>
          <w:rFonts w:ascii="Times New Roman" w:hAnsi="Times New Roman" w:cs="Times New Roman"/>
          <w:i/>
          <w:iCs/>
          <w:sz w:val="24"/>
          <w:szCs w:val="24"/>
        </w:rPr>
        <w:t>et al.</w:t>
      </w:r>
      <w:r w:rsidR="00F41E56">
        <w:rPr>
          <w:rFonts w:ascii="Times New Roman" w:hAnsi="Times New Roman" w:cs="Times New Roman"/>
          <w:sz w:val="24"/>
          <w:szCs w:val="24"/>
        </w:rPr>
        <w:t xml:space="preserve"> 2016</w:t>
      </w:r>
      <w:r w:rsidR="006D5DD3" w:rsidRPr="006D5DD3">
        <w:rPr>
          <w:rFonts w:ascii="Times New Roman" w:hAnsi="Times New Roman" w:cs="Times New Roman"/>
          <w:sz w:val="24"/>
          <w:szCs w:val="24"/>
        </w:rPr>
        <w:t>,</w:t>
      </w:r>
      <w:r w:rsidR="00F41E56">
        <w:t xml:space="preserve"> </w:t>
      </w:r>
      <w:r w:rsidR="00F41E56">
        <w:rPr>
          <w:rFonts w:ascii="Times New Roman" w:hAnsi="Times New Roman" w:cs="Times New Roman"/>
          <w:sz w:val="24"/>
          <w:szCs w:val="24"/>
        </w:rPr>
        <w:t>Tsai</w:t>
      </w:r>
      <w:r w:rsidR="00C029D8">
        <w:rPr>
          <w:rFonts w:ascii="Times New Roman" w:hAnsi="Times New Roman" w:cs="Times New Roman"/>
          <w:sz w:val="24"/>
          <w:szCs w:val="24"/>
        </w:rPr>
        <w:t xml:space="preserve"> </w:t>
      </w:r>
      <w:r w:rsidR="00F41E56">
        <w:rPr>
          <w:rFonts w:ascii="Times New Roman" w:hAnsi="Times New Roman" w:cs="Times New Roman"/>
          <w:sz w:val="24"/>
          <w:szCs w:val="24"/>
        </w:rPr>
        <w:t xml:space="preserve">2013). </w:t>
      </w:r>
      <w:r w:rsidR="00DE4F21">
        <w:rPr>
          <w:rFonts w:ascii="Times New Roman" w:hAnsi="Times New Roman" w:cs="Times New Roman"/>
          <w:sz w:val="24"/>
          <w:szCs w:val="24"/>
        </w:rPr>
        <w:t>This is based on the premise that corporate governance mechanism</w:t>
      </w:r>
      <w:r w:rsidR="003105B8">
        <w:rPr>
          <w:rFonts w:ascii="Times New Roman" w:hAnsi="Times New Roman" w:cs="Times New Roman"/>
          <w:sz w:val="24"/>
          <w:szCs w:val="24"/>
        </w:rPr>
        <w:t>s</w:t>
      </w:r>
      <w:r w:rsidR="00DE4F21">
        <w:rPr>
          <w:rFonts w:ascii="Times New Roman" w:hAnsi="Times New Roman" w:cs="Times New Roman"/>
          <w:sz w:val="24"/>
          <w:szCs w:val="24"/>
        </w:rPr>
        <w:t xml:space="preserve"> play a </w:t>
      </w:r>
      <w:r w:rsidR="003105B8">
        <w:rPr>
          <w:rFonts w:ascii="Times New Roman" w:hAnsi="Times New Roman" w:cs="Times New Roman"/>
          <w:sz w:val="24"/>
          <w:szCs w:val="24"/>
        </w:rPr>
        <w:t xml:space="preserve">vital </w:t>
      </w:r>
      <w:r w:rsidR="00DE4F21">
        <w:rPr>
          <w:rFonts w:ascii="Times New Roman" w:hAnsi="Times New Roman" w:cs="Times New Roman"/>
          <w:sz w:val="24"/>
          <w:szCs w:val="24"/>
        </w:rPr>
        <w:t>role in determining the firm’s fate through influencing, directly and indirectly, the allocation and management of its resources</w:t>
      </w:r>
      <w:r w:rsidR="003105B8">
        <w:rPr>
          <w:rFonts w:ascii="Times New Roman" w:hAnsi="Times New Roman" w:cs="Times New Roman"/>
          <w:sz w:val="24"/>
          <w:szCs w:val="24"/>
        </w:rPr>
        <w:t xml:space="preserve"> on a daily basis.</w:t>
      </w:r>
      <w:r w:rsidR="0073344A">
        <w:rPr>
          <w:rFonts w:ascii="Times New Roman" w:hAnsi="Times New Roman" w:cs="Times New Roman"/>
          <w:sz w:val="24"/>
          <w:szCs w:val="24"/>
        </w:rPr>
        <w:t xml:space="preserve"> The firm’s corporate governance framework influences and includes many aspects of how the firm is managed such as the characteristics of its board and its role in advising and monitoring the firm’s executives as well as other internal control mechanisms that help align the interests of the managers’ with those of the shareholders (Daily </w:t>
      </w:r>
      <w:r w:rsidR="00327178" w:rsidRPr="00327178">
        <w:rPr>
          <w:rFonts w:ascii="Times New Roman" w:hAnsi="Times New Roman" w:cs="Times New Roman"/>
          <w:i/>
          <w:iCs/>
          <w:sz w:val="24"/>
          <w:szCs w:val="24"/>
        </w:rPr>
        <w:t>et al.</w:t>
      </w:r>
      <w:r w:rsidR="0073344A">
        <w:rPr>
          <w:rFonts w:ascii="Times New Roman" w:hAnsi="Times New Roman" w:cs="Times New Roman"/>
          <w:sz w:val="24"/>
          <w:szCs w:val="24"/>
        </w:rPr>
        <w:t xml:space="preserve"> 2003</w:t>
      </w:r>
      <w:r w:rsidR="006D5DD3" w:rsidRPr="006D5DD3">
        <w:rPr>
          <w:rFonts w:ascii="Times New Roman" w:hAnsi="Times New Roman" w:cs="Times New Roman"/>
          <w:sz w:val="24"/>
          <w:szCs w:val="24"/>
        </w:rPr>
        <w:t>,</w:t>
      </w:r>
      <w:r w:rsidR="0073344A">
        <w:rPr>
          <w:rFonts w:ascii="Times New Roman" w:hAnsi="Times New Roman" w:cs="Times New Roman"/>
          <w:sz w:val="24"/>
          <w:szCs w:val="24"/>
        </w:rPr>
        <w:t xml:space="preserve"> Shleifer and Vishny, 1997).</w:t>
      </w:r>
      <w:r w:rsidR="00F41E56">
        <w:rPr>
          <w:rFonts w:ascii="Times New Roman" w:hAnsi="Times New Roman" w:cs="Times New Roman"/>
          <w:sz w:val="24"/>
          <w:szCs w:val="24"/>
        </w:rPr>
        <w:t xml:space="preserve"> </w:t>
      </w:r>
      <w:r>
        <w:rPr>
          <w:rFonts w:ascii="Times New Roman" w:hAnsi="Times New Roman" w:cs="Times New Roman"/>
          <w:sz w:val="24"/>
          <w:szCs w:val="24"/>
        </w:rPr>
        <w:t xml:space="preserve">Based on </w:t>
      </w:r>
      <w:r w:rsidR="00F41E56">
        <w:rPr>
          <w:rFonts w:ascii="Times New Roman" w:hAnsi="Times New Roman" w:cs="Times New Roman"/>
          <w:sz w:val="24"/>
          <w:szCs w:val="24"/>
        </w:rPr>
        <w:t xml:space="preserve">this premise and </w:t>
      </w:r>
      <w:r>
        <w:rPr>
          <w:rFonts w:ascii="Times New Roman" w:hAnsi="Times New Roman" w:cs="Times New Roman"/>
          <w:sz w:val="24"/>
          <w:szCs w:val="24"/>
        </w:rPr>
        <w:t xml:space="preserve">prior findings in the literature, </w:t>
      </w:r>
      <w:r w:rsidR="00841629">
        <w:rPr>
          <w:rFonts w:ascii="Times New Roman" w:hAnsi="Times New Roman" w:cs="Times New Roman"/>
          <w:sz w:val="24"/>
          <w:szCs w:val="24"/>
        </w:rPr>
        <w:t>our first</w:t>
      </w:r>
      <w:r w:rsidR="008C50CF">
        <w:rPr>
          <w:rFonts w:ascii="Times New Roman" w:hAnsi="Times New Roman" w:cs="Times New Roman"/>
          <w:sz w:val="24"/>
          <w:szCs w:val="24"/>
        </w:rPr>
        <w:t xml:space="preserve"> research question</w:t>
      </w:r>
      <w:r>
        <w:rPr>
          <w:rFonts w:ascii="Times New Roman" w:hAnsi="Times New Roman" w:cs="Times New Roman"/>
          <w:sz w:val="24"/>
          <w:szCs w:val="24"/>
        </w:rPr>
        <w:t xml:space="preserve"> is</w:t>
      </w:r>
      <w:r w:rsidR="00260D7D">
        <w:rPr>
          <w:rFonts w:ascii="Times New Roman" w:hAnsi="Times New Roman" w:cs="Times New Roman"/>
          <w:sz w:val="24"/>
          <w:szCs w:val="24"/>
        </w:rPr>
        <w:t>:</w:t>
      </w:r>
    </w:p>
    <w:p w14:paraId="7DF7A172" w14:textId="77777777" w:rsidR="00260D7D" w:rsidRDefault="00260D7D" w:rsidP="00260D7D">
      <w:pPr>
        <w:keepNext/>
        <w:tabs>
          <w:tab w:val="left" w:pos="567"/>
        </w:tabs>
        <w:spacing w:after="0" w:line="288" w:lineRule="auto"/>
        <w:jc w:val="both"/>
        <w:rPr>
          <w:rFonts w:ascii="Times New Roman" w:hAnsi="Times New Roman" w:cs="Times New Roman"/>
          <w:sz w:val="24"/>
          <w:szCs w:val="24"/>
        </w:rPr>
      </w:pPr>
    </w:p>
    <w:p w14:paraId="53091EC5" w14:textId="0768957A" w:rsidR="00C752D5" w:rsidRPr="00C029D8" w:rsidRDefault="00841629" w:rsidP="00D02FF4">
      <w:pPr>
        <w:tabs>
          <w:tab w:val="left" w:pos="567"/>
        </w:tabs>
        <w:spacing w:after="0" w:line="240" w:lineRule="auto"/>
        <w:ind w:left="284" w:hanging="284"/>
        <w:jc w:val="both"/>
        <w:rPr>
          <w:rFonts w:ascii="Times New Roman" w:hAnsi="Times New Roman" w:cs="Times New Roman"/>
          <w:i/>
          <w:iCs/>
          <w:sz w:val="24"/>
          <w:szCs w:val="24"/>
        </w:rPr>
      </w:pPr>
      <w:r w:rsidRPr="00C029D8">
        <w:rPr>
          <w:rFonts w:ascii="Times New Roman" w:hAnsi="Times New Roman" w:cs="Times New Roman"/>
          <w:sz w:val="24"/>
          <w:szCs w:val="24"/>
        </w:rPr>
        <w:t>1</w:t>
      </w:r>
      <w:r w:rsidR="00C752D5" w:rsidRPr="00C029D8">
        <w:rPr>
          <w:rFonts w:ascii="Times New Roman" w:hAnsi="Times New Roman" w:cs="Times New Roman"/>
          <w:sz w:val="24"/>
          <w:szCs w:val="24"/>
        </w:rPr>
        <w:t>.</w:t>
      </w:r>
      <w:r w:rsidR="00AA3F89" w:rsidRPr="00C029D8">
        <w:rPr>
          <w:rFonts w:ascii="Times New Roman" w:hAnsi="Times New Roman" w:cs="Times New Roman"/>
          <w:i/>
          <w:iCs/>
          <w:sz w:val="24"/>
          <w:szCs w:val="24"/>
        </w:rPr>
        <w:t xml:space="preserve"> </w:t>
      </w:r>
      <w:r w:rsidR="00D02FF4">
        <w:rPr>
          <w:rFonts w:ascii="Times New Roman" w:hAnsi="Times New Roman" w:cs="Times New Roman"/>
          <w:i/>
          <w:iCs/>
          <w:sz w:val="24"/>
          <w:szCs w:val="24"/>
        </w:rPr>
        <w:tab/>
      </w:r>
      <w:r w:rsidR="00AA3F89" w:rsidRPr="00C029D8">
        <w:rPr>
          <w:rFonts w:ascii="Times New Roman" w:hAnsi="Times New Roman" w:cs="Times New Roman"/>
          <w:i/>
          <w:iCs/>
          <w:sz w:val="24"/>
          <w:szCs w:val="24"/>
        </w:rPr>
        <w:t xml:space="preserve">Does the addition of governance variables </w:t>
      </w:r>
      <w:r w:rsidR="008A2248" w:rsidRPr="00C029D8">
        <w:rPr>
          <w:rFonts w:ascii="Times New Roman" w:hAnsi="Times New Roman" w:cs="Times New Roman"/>
          <w:i/>
          <w:iCs/>
          <w:sz w:val="24"/>
          <w:szCs w:val="24"/>
        </w:rPr>
        <w:t xml:space="preserve">significantly </w:t>
      </w:r>
      <w:r w:rsidR="00AA3F89" w:rsidRPr="00C029D8">
        <w:rPr>
          <w:rFonts w:ascii="Times New Roman" w:hAnsi="Times New Roman" w:cs="Times New Roman"/>
          <w:i/>
          <w:iCs/>
          <w:sz w:val="24"/>
          <w:szCs w:val="24"/>
        </w:rPr>
        <w:t>improve the classification accuracy of bankruptcy prediction models?</w:t>
      </w:r>
    </w:p>
    <w:p w14:paraId="57F5B698" w14:textId="77777777" w:rsidR="00260D7D" w:rsidRPr="00841629" w:rsidRDefault="00260D7D" w:rsidP="00260D7D">
      <w:pPr>
        <w:tabs>
          <w:tab w:val="left" w:pos="567"/>
        </w:tabs>
        <w:spacing w:after="0" w:line="288" w:lineRule="auto"/>
        <w:jc w:val="both"/>
        <w:rPr>
          <w:rFonts w:ascii="Times New Roman" w:hAnsi="Times New Roman" w:cs="Times New Roman"/>
          <w:i/>
          <w:iCs/>
          <w:sz w:val="24"/>
          <w:szCs w:val="24"/>
        </w:rPr>
      </w:pPr>
    </w:p>
    <w:p w14:paraId="1FEE487B" w14:textId="065C2A1F" w:rsidR="00C752D5" w:rsidRDefault="00260D7D" w:rsidP="00D02FF4">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C029D8">
        <w:rPr>
          <w:rFonts w:ascii="Times New Roman" w:hAnsi="Times New Roman" w:cs="Times New Roman"/>
          <w:sz w:val="24"/>
          <w:szCs w:val="24"/>
        </w:rPr>
        <w:tab/>
      </w:r>
      <w:r w:rsidR="00C752D5">
        <w:rPr>
          <w:rFonts w:ascii="Times New Roman" w:hAnsi="Times New Roman" w:cs="Times New Roman"/>
          <w:sz w:val="24"/>
          <w:szCs w:val="24"/>
        </w:rPr>
        <w:t xml:space="preserve">Additionally, </w:t>
      </w:r>
      <w:r w:rsidR="00C33FE3">
        <w:rPr>
          <w:rFonts w:ascii="Times New Roman" w:hAnsi="Times New Roman" w:cs="Times New Roman"/>
          <w:sz w:val="24"/>
          <w:szCs w:val="24"/>
        </w:rPr>
        <w:t xml:space="preserve">the firm’s corporate governance framework </w:t>
      </w:r>
      <w:r w:rsidR="00A65497">
        <w:rPr>
          <w:rFonts w:ascii="Times New Roman" w:hAnsi="Times New Roman" w:cs="Times New Roman"/>
          <w:sz w:val="24"/>
          <w:szCs w:val="24"/>
        </w:rPr>
        <w:t>tends</w:t>
      </w:r>
      <w:r w:rsidR="00C33FE3">
        <w:rPr>
          <w:rFonts w:ascii="Times New Roman" w:hAnsi="Times New Roman" w:cs="Times New Roman"/>
          <w:sz w:val="24"/>
          <w:szCs w:val="24"/>
        </w:rPr>
        <w:t xml:space="preserve"> to influence its m</w:t>
      </w:r>
      <w:r w:rsidR="00C33FE3" w:rsidRPr="00C33FE3">
        <w:rPr>
          <w:rFonts w:ascii="Times New Roman" w:hAnsi="Times New Roman" w:cs="Times New Roman"/>
          <w:sz w:val="24"/>
          <w:szCs w:val="24"/>
        </w:rPr>
        <w:t>edium- to long-term</w:t>
      </w:r>
      <w:r w:rsidR="00C33FE3">
        <w:rPr>
          <w:rFonts w:ascii="Times New Roman" w:hAnsi="Times New Roman" w:cs="Times New Roman"/>
          <w:sz w:val="24"/>
          <w:szCs w:val="24"/>
        </w:rPr>
        <w:t xml:space="preserve"> decisions, while financial ratios are seen as the consequence</w:t>
      </w:r>
      <w:r w:rsidR="00A65497">
        <w:rPr>
          <w:rFonts w:ascii="Times New Roman" w:hAnsi="Times New Roman" w:cs="Times New Roman"/>
          <w:sz w:val="24"/>
          <w:szCs w:val="24"/>
        </w:rPr>
        <w:t>s</w:t>
      </w:r>
      <w:r w:rsidR="00C33FE3">
        <w:rPr>
          <w:rFonts w:ascii="Times New Roman" w:hAnsi="Times New Roman" w:cs="Times New Roman"/>
          <w:sz w:val="24"/>
          <w:szCs w:val="24"/>
        </w:rPr>
        <w:t xml:space="preserve"> of these decisions.</w:t>
      </w:r>
      <w:r w:rsidR="00A65497">
        <w:rPr>
          <w:rFonts w:ascii="Times New Roman" w:hAnsi="Times New Roman" w:cs="Times New Roman"/>
          <w:sz w:val="24"/>
          <w:szCs w:val="24"/>
        </w:rPr>
        <w:t xml:space="preserve"> Therefore, one would expect corporate governance attributes to provide an earlier warning of imminent financial distress or bankruptcy, when compared to financial ratios. </w:t>
      </w:r>
      <w:r w:rsidR="00C752D5" w:rsidRPr="004F0140">
        <w:rPr>
          <w:rFonts w:ascii="Times New Roman" w:hAnsi="Times New Roman" w:cs="Times New Roman"/>
          <w:sz w:val="24"/>
          <w:szCs w:val="24"/>
        </w:rPr>
        <w:t xml:space="preserve">Daily and Dalton </w:t>
      </w:r>
      <w:r w:rsidR="00C752D5">
        <w:rPr>
          <w:rFonts w:ascii="Times New Roman" w:hAnsi="Times New Roman" w:cs="Times New Roman"/>
          <w:sz w:val="24"/>
          <w:szCs w:val="24"/>
        </w:rPr>
        <w:t xml:space="preserve">(1994) </w:t>
      </w:r>
      <w:r w:rsidR="00C752D5" w:rsidRPr="004F0140">
        <w:rPr>
          <w:rFonts w:ascii="Times New Roman" w:hAnsi="Times New Roman" w:cs="Times New Roman"/>
          <w:sz w:val="24"/>
          <w:szCs w:val="24"/>
        </w:rPr>
        <w:t xml:space="preserve">point out that the additional explanatory power provided by adding the governance measures disappears in favor of financial measures as we approach the year of bankruptcy, suggesting that as time nears the actual </w:t>
      </w:r>
      <w:r w:rsidR="00B97A5A">
        <w:rPr>
          <w:rFonts w:ascii="Times New Roman" w:hAnsi="Times New Roman" w:cs="Times New Roman"/>
          <w:sz w:val="24"/>
          <w:szCs w:val="24"/>
        </w:rPr>
        <w:t>event</w:t>
      </w:r>
      <w:r w:rsidR="00C752D5" w:rsidRPr="004F0140">
        <w:rPr>
          <w:rFonts w:ascii="Times New Roman" w:hAnsi="Times New Roman" w:cs="Times New Roman"/>
          <w:sz w:val="24"/>
          <w:szCs w:val="24"/>
        </w:rPr>
        <w:t xml:space="preserve"> financial conditions gain more explanatory power while governance becomes less significant in deciding the firm’s fate.</w:t>
      </w:r>
      <w:r w:rsidR="00C752D5">
        <w:rPr>
          <w:rFonts w:ascii="Times New Roman" w:hAnsi="Times New Roman" w:cs="Times New Roman"/>
          <w:sz w:val="24"/>
          <w:szCs w:val="24"/>
        </w:rPr>
        <w:t xml:space="preserve"> This finding was also confirmed by </w:t>
      </w:r>
      <w:r w:rsidR="00C752D5" w:rsidRPr="00A056F3">
        <w:rPr>
          <w:rFonts w:ascii="Times New Roman" w:hAnsi="Times New Roman" w:cs="Times New Roman"/>
          <w:sz w:val="24"/>
          <w:szCs w:val="24"/>
        </w:rPr>
        <w:t xml:space="preserve">Darrat </w:t>
      </w:r>
      <w:r w:rsidR="00327178" w:rsidRPr="00327178">
        <w:rPr>
          <w:rFonts w:ascii="Times New Roman" w:hAnsi="Times New Roman" w:cs="Times New Roman"/>
          <w:i/>
          <w:iCs/>
          <w:sz w:val="24"/>
          <w:szCs w:val="24"/>
        </w:rPr>
        <w:t>et al.</w:t>
      </w:r>
      <w:r w:rsidR="00C752D5">
        <w:rPr>
          <w:rFonts w:ascii="Times New Roman" w:hAnsi="Times New Roman" w:cs="Times New Roman"/>
          <w:sz w:val="24"/>
          <w:szCs w:val="24"/>
        </w:rPr>
        <w:t xml:space="preserve"> (</w:t>
      </w:r>
      <w:r w:rsidR="00C752D5" w:rsidRPr="00A056F3">
        <w:rPr>
          <w:rFonts w:ascii="Times New Roman" w:hAnsi="Times New Roman" w:cs="Times New Roman"/>
          <w:sz w:val="24"/>
          <w:szCs w:val="24"/>
        </w:rPr>
        <w:t>2016</w:t>
      </w:r>
      <w:r w:rsidR="00C752D5">
        <w:rPr>
          <w:rFonts w:ascii="Times New Roman" w:hAnsi="Times New Roman" w:cs="Times New Roman"/>
          <w:sz w:val="24"/>
          <w:szCs w:val="24"/>
        </w:rPr>
        <w:t xml:space="preserve">), who found that the explanatory power of </w:t>
      </w:r>
      <w:r w:rsidR="00C752D5">
        <w:rPr>
          <w:rFonts w:ascii="Times New Roman" w:hAnsi="Times New Roman" w:cs="Times New Roman"/>
          <w:sz w:val="24"/>
          <w:szCs w:val="24"/>
        </w:rPr>
        <w:lastRenderedPageBreak/>
        <w:t xml:space="preserve">the governance variables increases with the time to bankruptcy. </w:t>
      </w:r>
      <w:r w:rsidR="002057BC">
        <w:rPr>
          <w:rFonts w:ascii="Times New Roman" w:hAnsi="Times New Roman" w:cs="Times New Roman"/>
          <w:sz w:val="24"/>
          <w:szCs w:val="24"/>
        </w:rPr>
        <w:t xml:space="preserve"> </w:t>
      </w:r>
      <w:r w:rsidR="00C752D5">
        <w:rPr>
          <w:rFonts w:ascii="Times New Roman" w:hAnsi="Times New Roman" w:cs="Times New Roman"/>
          <w:sz w:val="24"/>
          <w:szCs w:val="24"/>
        </w:rPr>
        <w:t>On this basis, our next research question is</w:t>
      </w:r>
      <w:r>
        <w:rPr>
          <w:rFonts w:ascii="Times New Roman" w:hAnsi="Times New Roman" w:cs="Times New Roman"/>
          <w:sz w:val="24"/>
          <w:szCs w:val="24"/>
        </w:rPr>
        <w:t>:</w:t>
      </w:r>
    </w:p>
    <w:p w14:paraId="1F497F23" w14:textId="77777777" w:rsidR="00260D7D" w:rsidRDefault="00260D7D" w:rsidP="00260D7D">
      <w:pPr>
        <w:tabs>
          <w:tab w:val="left" w:pos="567"/>
        </w:tabs>
        <w:spacing w:after="0" w:line="288" w:lineRule="auto"/>
        <w:jc w:val="both"/>
        <w:rPr>
          <w:rFonts w:ascii="Times New Roman" w:hAnsi="Times New Roman" w:cs="Times New Roman"/>
          <w:sz w:val="24"/>
          <w:szCs w:val="24"/>
        </w:rPr>
      </w:pPr>
    </w:p>
    <w:p w14:paraId="135F5327" w14:textId="2FE02041" w:rsidR="00C752D5" w:rsidRDefault="006A4313" w:rsidP="00D02FF4">
      <w:pPr>
        <w:tabs>
          <w:tab w:val="left" w:pos="567"/>
        </w:tabs>
        <w:spacing w:after="0" w:line="240" w:lineRule="auto"/>
        <w:ind w:left="284" w:hanging="284"/>
        <w:jc w:val="both"/>
        <w:rPr>
          <w:rFonts w:ascii="Times New Roman" w:hAnsi="Times New Roman" w:cs="Times New Roman"/>
          <w:i/>
          <w:iCs/>
          <w:sz w:val="24"/>
          <w:szCs w:val="24"/>
        </w:rPr>
      </w:pPr>
      <w:r w:rsidRPr="00C029D8">
        <w:rPr>
          <w:rFonts w:ascii="Times New Roman" w:hAnsi="Times New Roman" w:cs="Times New Roman"/>
          <w:sz w:val="24"/>
          <w:szCs w:val="24"/>
        </w:rPr>
        <w:t>2</w:t>
      </w:r>
      <w:r w:rsidR="00C752D5" w:rsidRPr="00841629">
        <w:rPr>
          <w:rFonts w:ascii="Times New Roman" w:hAnsi="Times New Roman" w:cs="Times New Roman"/>
          <w:i/>
          <w:iCs/>
          <w:sz w:val="24"/>
          <w:szCs w:val="24"/>
        </w:rPr>
        <w:t xml:space="preserve">. </w:t>
      </w:r>
      <w:r w:rsidR="00C029D8">
        <w:rPr>
          <w:rFonts w:ascii="Times New Roman" w:hAnsi="Times New Roman" w:cs="Times New Roman"/>
          <w:i/>
          <w:iCs/>
          <w:sz w:val="24"/>
          <w:szCs w:val="24"/>
        </w:rPr>
        <w:tab/>
      </w:r>
      <w:r w:rsidR="00C752D5" w:rsidRPr="00841629">
        <w:rPr>
          <w:rFonts w:ascii="Times New Roman" w:hAnsi="Times New Roman" w:cs="Times New Roman"/>
          <w:i/>
          <w:iCs/>
          <w:sz w:val="24"/>
          <w:szCs w:val="24"/>
        </w:rPr>
        <w:t>Does the additional explanatory power gained from adding corporate governance measures to the bankruptcy prediction models decline as we approach the year of bankruptcy?</w:t>
      </w:r>
    </w:p>
    <w:p w14:paraId="2F336804" w14:textId="77777777" w:rsidR="00260D7D" w:rsidRPr="00841629" w:rsidRDefault="00260D7D" w:rsidP="00260D7D">
      <w:pPr>
        <w:tabs>
          <w:tab w:val="left" w:pos="567"/>
        </w:tabs>
        <w:spacing w:after="0" w:line="288" w:lineRule="auto"/>
        <w:jc w:val="both"/>
        <w:rPr>
          <w:rFonts w:ascii="Times New Roman" w:hAnsi="Times New Roman" w:cs="Times New Roman"/>
          <w:i/>
          <w:iCs/>
          <w:sz w:val="24"/>
          <w:szCs w:val="24"/>
        </w:rPr>
      </w:pPr>
    </w:p>
    <w:p w14:paraId="4B05C90C" w14:textId="6A8788E6" w:rsidR="00C752D5" w:rsidRDefault="00260D7D" w:rsidP="00260D7D">
      <w:pPr>
        <w:tabs>
          <w:tab w:val="left" w:pos="567"/>
        </w:tabs>
        <w:spacing w:after="0" w:line="288" w:lineRule="auto"/>
        <w:jc w:val="both"/>
        <w:rPr>
          <w:rFonts w:ascii="Times New Roman" w:hAnsi="Times New Roman" w:cs="Times New Roman"/>
          <w:sz w:val="24"/>
          <w:szCs w:val="24"/>
          <w:lang w:bidi="ar-BH"/>
        </w:rPr>
      </w:pPr>
      <w:r>
        <w:rPr>
          <w:rFonts w:ascii="Times New Roman" w:hAnsi="Times New Roman" w:cs="Times New Roman"/>
          <w:sz w:val="24"/>
          <w:szCs w:val="24"/>
        </w:rPr>
        <w:tab/>
      </w:r>
      <w:r w:rsidR="00C752D5">
        <w:rPr>
          <w:rFonts w:ascii="Times New Roman" w:hAnsi="Times New Roman" w:cs="Times New Roman"/>
          <w:sz w:val="24"/>
          <w:szCs w:val="24"/>
        </w:rPr>
        <w:t xml:space="preserve">Moreover, prior studies have found that the prediction accuracy of </w:t>
      </w:r>
      <w:r w:rsidR="00A65497">
        <w:rPr>
          <w:rFonts w:ascii="Times New Roman" w:hAnsi="Times New Roman" w:cs="Times New Roman"/>
          <w:sz w:val="24"/>
          <w:szCs w:val="24"/>
        </w:rPr>
        <w:t>bankruptcy prediction</w:t>
      </w:r>
      <w:r w:rsidR="00C752D5">
        <w:rPr>
          <w:rFonts w:ascii="Times New Roman" w:hAnsi="Times New Roman" w:cs="Times New Roman"/>
          <w:sz w:val="24"/>
          <w:szCs w:val="24"/>
        </w:rPr>
        <w:t xml:space="preserve"> models depend largely on the estimation method used. For example, </w:t>
      </w:r>
      <w:r w:rsidR="00C752D5" w:rsidRPr="002F634C">
        <w:rPr>
          <w:rFonts w:ascii="Times New Roman" w:hAnsi="Times New Roman" w:cs="Times New Roman"/>
          <w:sz w:val="24"/>
          <w:szCs w:val="24"/>
          <w:lang w:bidi="ar-BH"/>
        </w:rPr>
        <w:t>Mousavi</w:t>
      </w:r>
      <w:r w:rsidR="00C752D5">
        <w:rPr>
          <w:rFonts w:ascii="Times New Roman" w:hAnsi="Times New Roman" w:cs="Times New Roman"/>
          <w:sz w:val="24"/>
          <w:szCs w:val="24"/>
          <w:lang w:bidi="ar-BH"/>
        </w:rPr>
        <w:t xml:space="preserve"> </w:t>
      </w:r>
      <w:r w:rsidR="00327178" w:rsidRPr="00327178">
        <w:rPr>
          <w:rFonts w:ascii="Times New Roman" w:hAnsi="Times New Roman" w:cs="Times New Roman"/>
          <w:i/>
          <w:iCs/>
          <w:sz w:val="24"/>
          <w:szCs w:val="24"/>
          <w:lang w:bidi="ar-BH"/>
        </w:rPr>
        <w:t>et al.</w:t>
      </w:r>
      <w:r w:rsidR="00C752D5">
        <w:rPr>
          <w:rFonts w:ascii="Times New Roman" w:hAnsi="Times New Roman" w:cs="Times New Roman"/>
          <w:sz w:val="24"/>
          <w:szCs w:val="24"/>
          <w:lang w:bidi="ar-BH"/>
        </w:rPr>
        <w:t xml:space="preserve"> (2015) and </w:t>
      </w:r>
      <w:r w:rsidR="00C752D5">
        <w:rPr>
          <w:rFonts w:ascii="Times New Roman" w:hAnsi="Times New Roman" w:cs="Times New Roman"/>
          <w:sz w:val="24"/>
          <w:szCs w:val="24"/>
        </w:rPr>
        <w:t>Shumway (</w:t>
      </w:r>
      <w:r w:rsidR="00C752D5" w:rsidRPr="00CA2232">
        <w:rPr>
          <w:rFonts w:ascii="Times New Roman" w:hAnsi="Times New Roman" w:cs="Times New Roman"/>
          <w:sz w:val="24"/>
          <w:szCs w:val="24"/>
        </w:rPr>
        <w:t>2001</w:t>
      </w:r>
      <w:r w:rsidR="00C752D5">
        <w:rPr>
          <w:rFonts w:ascii="Times New Roman" w:hAnsi="Times New Roman" w:cs="Times New Roman"/>
          <w:sz w:val="24"/>
          <w:szCs w:val="24"/>
        </w:rPr>
        <w:t>)</w:t>
      </w:r>
      <w:r w:rsidR="00C752D5" w:rsidRPr="00E67CE3">
        <w:rPr>
          <w:rFonts w:ascii="Times New Roman" w:hAnsi="Times New Roman" w:cs="Times New Roman"/>
          <w:sz w:val="24"/>
          <w:szCs w:val="24"/>
          <w:lang w:bidi="ar-BH"/>
        </w:rPr>
        <w:t xml:space="preserve"> </w:t>
      </w:r>
      <w:r w:rsidR="00C752D5">
        <w:rPr>
          <w:rFonts w:ascii="Times New Roman" w:hAnsi="Times New Roman" w:cs="Times New Roman"/>
          <w:sz w:val="24"/>
          <w:szCs w:val="24"/>
          <w:lang w:bidi="ar-BH"/>
        </w:rPr>
        <w:t>found that models estimated using hazard modelling technique had better predic</w:t>
      </w:r>
      <w:r w:rsidR="0063403B">
        <w:rPr>
          <w:rFonts w:ascii="Times New Roman" w:hAnsi="Times New Roman" w:cs="Times New Roman"/>
          <w:sz w:val="24"/>
          <w:szCs w:val="24"/>
          <w:lang w:bidi="ar-BH"/>
        </w:rPr>
        <w:t>tion accuracy compared to when discriminant analysis</w:t>
      </w:r>
      <w:r w:rsidR="00C752D5">
        <w:rPr>
          <w:rFonts w:ascii="Times New Roman" w:hAnsi="Times New Roman" w:cs="Times New Roman"/>
          <w:sz w:val="24"/>
          <w:szCs w:val="24"/>
          <w:lang w:bidi="ar-BH"/>
        </w:rPr>
        <w:t xml:space="preserve"> or regression analysis were used. </w:t>
      </w:r>
      <w:r w:rsidR="0063403B" w:rsidRPr="0063403B">
        <w:rPr>
          <w:rFonts w:ascii="Times New Roman" w:hAnsi="Times New Roman" w:cs="Times New Roman"/>
          <w:sz w:val="24"/>
          <w:szCs w:val="24"/>
          <w:lang w:bidi="ar-BH"/>
        </w:rPr>
        <w:t xml:space="preserve">Shumway (2001) argues that hazard models are far better for predicting bankruptcy because they </w:t>
      </w:r>
      <w:r w:rsidR="00C921D0">
        <w:rPr>
          <w:rFonts w:ascii="Times New Roman" w:hAnsi="Times New Roman" w:cs="Times New Roman"/>
          <w:sz w:val="24"/>
          <w:szCs w:val="24"/>
          <w:lang w:bidi="ar-BH"/>
        </w:rPr>
        <w:t>account for changes in the firm’s performance and characteristics over time</w:t>
      </w:r>
      <w:r w:rsidR="00C921D0">
        <w:rPr>
          <w:rStyle w:val="FootnoteReference"/>
          <w:rFonts w:ascii="Times New Roman" w:hAnsi="Times New Roman" w:cs="Times New Roman"/>
          <w:sz w:val="24"/>
          <w:szCs w:val="24"/>
          <w:lang w:bidi="ar-BH"/>
        </w:rPr>
        <w:footnoteReference w:id="1"/>
      </w:r>
      <w:r w:rsidR="00C921D0">
        <w:rPr>
          <w:rFonts w:ascii="Times New Roman" w:hAnsi="Times New Roman" w:cs="Times New Roman"/>
          <w:sz w:val="24"/>
          <w:szCs w:val="24"/>
          <w:lang w:bidi="ar-BH"/>
        </w:rPr>
        <w:t xml:space="preserve">. </w:t>
      </w:r>
      <w:r w:rsidR="00C752D5">
        <w:rPr>
          <w:rFonts w:ascii="Times New Roman" w:hAnsi="Times New Roman" w:cs="Times New Roman"/>
          <w:sz w:val="24"/>
          <w:szCs w:val="24"/>
          <w:lang w:bidi="ar-BH"/>
        </w:rPr>
        <w:t>Furthermore, findings in the literature suggest th</w:t>
      </w:r>
      <w:r w:rsidR="0063403B">
        <w:rPr>
          <w:rFonts w:ascii="Times New Roman" w:hAnsi="Times New Roman" w:cs="Times New Roman"/>
          <w:sz w:val="24"/>
          <w:szCs w:val="24"/>
          <w:lang w:bidi="ar-BH"/>
        </w:rPr>
        <w:t>a</w:t>
      </w:r>
      <w:r w:rsidR="00D17BE5">
        <w:rPr>
          <w:rFonts w:ascii="Times New Roman" w:hAnsi="Times New Roman" w:cs="Times New Roman"/>
          <w:sz w:val="24"/>
          <w:szCs w:val="24"/>
          <w:lang w:bidi="ar-BH"/>
        </w:rPr>
        <w:t>t</w:t>
      </w:r>
      <w:r w:rsidR="0063403B">
        <w:rPr>
          <w:rFonts w:ascii="Times New Roman" w:hAnsi="Times New Roman" w:cs="Times New Roman"/>
          <w:sz w:val="24"/>
          <w:szCs w:val="24"/>
          <w:lang w:bidi="ar-BH"/>
        </w:rPr>
        <w:t xml:space="preserve"> non-parametric methods like data envelopment analysis</w:t>
      </w:r>
      <w:r w:rsidR="00C752D5">
        <w:rPr>
          <w:rFonts w:ascii="Times New Roman" w:hAnsi="Times New Roman" w:cs="Times New Roman"/>
          <w:sz w:val="24"/>
          <w:szCs w:val="24"/>
          <w:lang w:bidi="ar-BH"/>
        </w:rPr>
        <w:t xml:space="preserve"> provide a better prediction accuracy in small samples, an important feature of bankruptcy research (Cielen </w:t>
      </w:r>
      <w:r w:rsidR="00327178" w:rsidRPr="00327178">
        <w:rPr>
          <w:rFonts w:ascii="Times New Roman" w:hAnsi="Times New Roman" w:cs="Times New Roman"/>
          <w:i/>
          <w:iCs/>
          <w:sz w:val="24"/>
          <w:szCs w:val="24"/>
          <w:lang w:bidi="ar-BH"/>
        </w:rPr>
        <w:t>et al.</w:t>
      </w:r>
      <w:r w:rsidR="00C752D5">
        <w:rPr>
          <w:rFonts w:ascii="Times New Roman" w:hAnsi="Times New Roman" w:cs="Times New Roman"/>
          <w:sz w:val="24"/>
          <w:szCs w:val="24"/>
          <w:lang w:bidi="ar-BH"/>
        </w:rPr>
        <w:t xml:space="preserve"> 2004</w:t>
      </w:r>
      <w:r w:rsidR="006D5DD3" w:rsidRPr="006D5DD3">
        <w:rPr>
          <w:rFonts w:ascii="Times New Roman" w:hAnsi="Times New Roman" w:cs="Times New Roman"/>
          <w:sz w:val="24"/>
          <w:szCs w:val="24"/>
          <w:lang w:bidi="ar-BH"/>
        </w:rPr>
        <w:t>,</w:t>
      </w:r>
      <w:r w:rsidR="00C752D5" w:rsidRPr="00474A6B">
        <w:rPr>
          <w:rFonts w:ascii="Times New Roman" w:hAnsi="Times New Roman" w:cs="Times New Roman"/>
          <w:sz w:val="24"/>
          <w:szCs w:val="24"/>
          <w:lang w:bidi="ar-BH"/>
        </w:rPr>
        <w:t xml:space="preserve"> Premachand</w:t>
      </w:r>
      <w:r w:rsidR="00C752D5">
        <w:rPr>
          <w:rFonts w:ascii="Times New Roman" w:hAnsi="Times New Roman" w:cs="Times New Roman"/>
          <w:sz w:val="24"/>
          <w:szCs w:val="24"/>
          <w:lang w:bidi="ar-BH"/>
        </w:rPr>
        <w:t xml:space="preserve">ra </w:t>
      </w:r>
      <w:r w:rsidR="00327178" w:rsidRPr="00327178">
        <w:rPr>
          <w:rFonts w:ascii="Times New Roman" w:hAnsi="Times New Roman" w:cs="Times New Roman"/>
          <w:i/>
          <w:iCs/>
          <w:sz w:val="24"/>
          <w:szCs w:val="24"/>
          <w:lang w:bidi="ar-BH"/>
        </w:rPr>
        <w:t>et al.</w:t>
      </w:r>
      <w:r w:rsidR="00C752D5">
        <w:rPr>
          <w:rFonts w:ascii="Times New Roman" w:hAnsi="Times New Roman" w:cs="Times New Roman"/>
          <w:sz w:val="24"/>
          <w:szCs w:val="24"/>
          <w:lang w:bidi="ar-BH"/>
        </w:rPr>
        <w:t xml:space="preserve"> </w:t>
      </w:r>
      <w:r w:rsidR="00C752D5" w:rsidRPr="00474A6B">
        <w:rPr>
          <w:rFonts w:ascii="Times New Roman" w:hAnsi="Times New Roman" w:cs="Times New Roman"/>
          <w:sz w:val="24"/>
          <w:szCs w:val="24"/>
          <w:lang w:bidi="ar-BH"/>
        </w:rPr>
        <w:t>200</w:t>
      </w:r>
      <w:r w:rsidR="00C752D5">
        <w:rPr>
          <w:rFonts w:ascii="Times New Roman" w:hAnsi="Times New Roman" w:cs="Times New Roman"/>
          <w:sz w:val="24"/>
          <w:szCs w:val="24"/>
          <w:lang w:bidi="ar-BH"/>
        </w:rPr>
        <w:t>9</w:t>
      </w:r>
      <w:r w:rsidR="006D5DD3" w:rsidRPr="006D5DD3">
        <w:rPr>
          <w:rFonts w:ascii="Times New Roman" w:hAnsi="Times New Roman" w:cs="Times New Roman"/>
          <w:sz w:val="24"/>
          <w:szCs w:val="24"/>
          <w:lang w:bidi="ar-BH"/>
        </w:rPr>
        <w:t>,</w:t>
      </w:r>
      <w:r w:rsidR="00C752D5">
        <w:rPr>
          <w:rFonts w:ascii="Times New Roman" w:hAnsi="Times New Roman" w:cs="Times New Roman"/>
          <w:sz w:val="24"/>
          <w:szCs w:val="24"/>
          <w:lang w:bidi="ar-BH"/>
        </w:rPr>
        <w:t xml:space="preserve"> Sueyoshi and Goto 2009).</w:t>
      </w:r>
      <w:r w:rsidR="00A65497" w:rsidRPr="00A65497">
        <w:t xml:space="preserve"> </w:t>
      </w:r>
      <w:r w:rsidR="007251A6">
        <w:rPr>
          <w:rFonts w:ascii="Times New Roman" w:hAnsi="Times New Roman" w:cs="Times New Roman"/>
          <w:sz w:val="24"/>
          <w:szCs w:val="24"/>
          <w:lang w:bidi="ar-BH"/>
        </w:rPr>
        <w:t xml:space="preserve">Data envelopment analysis do not require the use of </w:t>
      </w:r>
      <w:r w:rsidR="007251A6" w:rsidRPr="007251A6">
        <w:rPr>
          <w:rFonts w:ascii="Times New Roman" w:hAnsi="Times New Roman" w:cs="Times New Roman"/>
          <w:sz w:val="24"/>
          <w:szCs w:val="24"/>
          <w:lang w:bidi="ar-BH"/>
        </w:rPr>
        <w:t>estimation samples</w:t>
      </w:r>
      <w:r w:rsidR="007251A6">
        <w:rPr>
          <w:rFonts w:ascii="Times New Roman" w:hAnsi="Times New Roman" w:cs="Times New Roman"/>
          <w:sz w:val="24"/>
          <w:szCs w:val="24"/>
          <w:lang w:bidi="ar-BH"/>
        </w:rPr>
        <w:t xml:space="preserve"> which helps avoid</w:t>
      </w:r>
      <w:r w:rsidR="007251A6" w:rsidRPr="00A65497">
        <w:rPr>
          <w:rFonts w:ascii="Times New Roman" w:hAnsi="Times New Roman" w:cs="Times New Roman"/>
          <w:sz w:val="24"/>
          <w:szCs w:val="24"/>
          <w:lang w:bidi="ar-BH"/>
        </w:rPr>
        <w:t xml:space="preserve"> issues with using deficient or biased samples of the true population</w:t>
      </w:r>
      <w:r w:rsidR="007251A6">
        <w:rPr>
          <w:rFonts w:ascii="Times New Roman" w:hAnsi="Times New Roman" w:cs="Times New Roman"/>
          <w:sz w:val="24"/>
          <w:szCs w:val="24"/>
          <w:lang w:bidi="ar-BH"/>
        </w:rPr>
        <w:t xml:space="preserve">. </w:t>
      </w:r>
      <w:r w:rsidR="00C752D5">
        <w:rPr>
          <w:rFonts w:ascii="Times New Roman" w:hAnsi="Times New Roman" w:cs="Times New Roman"/>
          <w:sz w:val="24"/>
          <w:szCs w:val="24"/>
          <w:lang w:bidi="ar-BH"/>
        </w:rPr>
        <w:t>Additionally, evidence from the credit scoring literature suggests that neural networks consistently outperform traditiona</w:t>
      </w:r>
      <w:r w:rsidR="0063403B">
        <w:rPr>
          <w:rFonts w:ascii="Times New Roman" w:hAnsi="Times New Roman" w:cs="Times New Roman"/>
          <w:sz w:val="24"/>
          <w:szCs w:val="24"/>
          <w:lang w:bidi="ar-BH"/>
        </w:rPr>
        <w:t>l estimation methods such as discriminant analysis</w:t>
      </w:r>
      <w:r w:rsidR="00C752D5">
        <w:rPr>
          <w:rFonts w:ascii="Times New Roman" w:hAnsi="Times New Roman" w:cs="Times New Roman"/>
          <w:sz w:val="24"/>
          <w:szCs w:val="24"/>
          <w:lang w:bidi="ar-BH"/>
        </w:rPr>
        <w:t xml:space="preserve"> and regression analysis in identifying bad loans (Desai </w:t>
      </w:r>
      <w:r w:rsidR="00327178" w:rsidRPr="00327178">
        <w:rPr>
          <w:rFonts w:ascii="Times New Roman" w:hAnsi="Times New Roman" w:cs="Times New Roman"/>
          <w:i/>
          <w:iCs/>
          <w:sz w:val="24"/>
          <w:szCs w:val="24"/>
          <w:lang w:bidi="ar-BH"/>
        </w:rPr>
        <w:t>et al.</w:t>
      </w:r>
      <w:r w:rsidR="00C752D5" w:rsidRPr="009A4E52">
        <w:rPr>
          <w:rFonts w:ascii="Times New Roman" w:hAnsi="Times New Roman" w:cs="Times New Roman"/>
          <w:sz w:val="24"/>
          <w:szCs w:val="24"/>
          <w:lang w:bidi="ar-BH"/>
        </w:rPr>
        <w:t xml:space="preserve"> 1996</w:t>
      </w:r>
      <w:r w:rsidR="006D5DD3" w:rsidRPr="006D5DD3">
        <w:rPr>
          <w:rFonts w:ascii="Times New Roman" w:hAnsi="Times New Roman" w:cs="Times New Roman"/>
          <w:sz w:val="24"/>
          <w:szCs w:val="24"/>
          <w:lang w:bidi="ar-BH"/>
        </w:rPr>
        <w:t>,</w:t>
      </w:r>
      <w:r w:rsidR="00C752D5">
        <w:rPr>
          <w:rFonts w:ascii="Times New Roman" w:hAnsi="Times New Roman" w:cs="Times New Roman"/>
          <w:sz w:val="24"/>
          <w:szCs w:val="24"/>
          <w:lang w:bidi="ar-BH"/>
        </w:rPr>
        <w:t xml:space="preserve"> </w:t>
      </w:r>
      <w:r w:rsidR="00C752D5" w:rsidRPr="009A4E52">
        <w:rPr>
          <w:rFonts w:ascii="Times New Roman" w:hAnsi="Times New Roman" w:cs="Times New Roman"/>
          <w:sz w:val="24"/>
          <w:szCs w:val="24"/>
          <w:lang w:bidi="ar-BH"/>
        </w:rPr>
        <w:t>Malhotra and Malhotra 2003</w:t>
      </w:r>
      <w:r w:rsidR="006D5DD3" w:rsidRPr="006D5DD3">
        <w:rPr>
          <w:rFonts w:ascii="Times New Roman" w:hAnsi="Times New Roman" w:cs="Times New Roman"/>
          <w:sz w:val="24"/>
          <w:szCs w:val="24"/>
          <w:lang w:bidi="ar-BH"/>
        </w:rPr>
        <w:t>,</w:t>
      </w:r>
      <w:r w:rsidR="00C752D5">
        <w:rPr>
          <w:rFonts w:ascii="Times New Roman" w:hAnsi="Times New Roman" w:cs="Times New Roman"/>
          <w:sz w:val="24"/>
          <w:szCs w:val="24"/>
          <w:lang w:bidi="ar-BH"/>
        </w:rPr>
        <w:t xml:space="preserve"> </w:t>
      </w:r>
      <w:r w:rsidR="00C752D5" w:rsidRPr="009A4E52">
        <w:rPr>
          <w:rFonts w:ascii="Times New Roman" w:hAnsi="Times New Roman" w:cs="Times New Roman"/>
          <w:sz w:val="24"/>
          <w:szCs w:val="24"/>
          <w:lang w:bidi="ar-BH"/>
        </w:rPr>
        <w:t>Piramuthu 1999</w:t>
      </w:r>
      <w:r w:rsidR="006D5DD3" w:rsidRPr="006D5DD3">
        <w:rPr>
          <w:rFonts w:ascii="Times New Roman" w:hAnsi="Times New Roman" w:cs="Times New Roman"/>
          <w:sz w:val="24"/>
          <w:szCs w:val="24"/>
          <w:lang w:bidi="ar-BH"/>
        </w:rPr>
        <w:t>,</w:t>
      </w:r>
      <w:r w:rsidR="00C752D5">
        <w:rPr>
          <w:rFonts w:ascii="Times New Roman" w:hAnsi="Times New Roman" w:cs="Times New Roman"/>
          <w:sz w:val="24"/>
          <w:szCs w:val="24"/>
          <w:lang w:bidi="ar-BH"/>
        </w:rPr>
        <w:t xml:space="preserve"> </w:t>
      </w:r>
      <w:r w:rsidR="00C752D5" w:rsidRPr="003A7F23">
        <w:rPr>
          <w:rFonts w:ascii="Times New Roman" w:hAnsi="Times New Roman" w:cs="Times New Roman"/>
          <w:sz w:val="24"/>
          <w:szCs w:val="24"/>
          <w:lang w:bidi="ar-BH"/>
        </w:rPr>
        <w:t>West 2000</w:t>
      </w:r>
      <w:r w:rsidR="00C752D5">
        <w:rPr>
          <w:rFonts w:ascii="Times New Roman" w:hAnsi="Times New Roman" w:cs="Times New Roman"/>
          <w:sz w:val="24"/>
          <w:szCs w:val="24"/>
          <w:lang w:bidi="ar-BH"/>
        </w:rPr>
        <w:t xml:space="preserve">). </w:t>
      </w:r>
      <w:r w:rsidR="007251A6">
        <w:rPr>
          <w:rFonts w:ascii="Times New Roman" w:hAnsi="Times New Roman" w:cs="Times New Roman"/>
          <w:sz w:val="24"/>
          <w:szCs w:val="24"/>
          <w:lang w:bidi="ar-BH"/>
        </w:rPr>
        <w:t>This superior performance is attributed to t</w:t>
      </w:r>
      <w:r w:rsidR="007251A6" w:rsidRPr="007251A6">
        <w:rPr>
          <w:rFonts w:ascii="Times New Roman" w:hAnsi="Times New Roman" w:cs="Times New Roman"/>
          <w:sz w:val="24"/>
          <w:szCs w:val="24"/>
          <w:lang w:bidi="ar-BH"/>
        </w:rPr>
        <w:t xml:space="preserve">he </w:t>
      </w:r>
      <w:r w:rsidR="007251A6">
        <w:rPr>
          <w:rFonts w:ascii="Times New Roman" w:hAnsi="Times New Roman" w:cs="Times New Roman"/>
          <w:sz w:val="24"/>
          <w:szCs w:val="24"/>
          <w:lang w:bidi="ar-BH"/>
        </w:rPr>
        <w:t>brain-like learning process in</w:t>
      </w:r>
      <w:r w:rsidR="007251A6" w:rsidRPr="007251A6">
        <w:rPr>
          <w:rFonts w:ascii="Times New Roman" w:hAnsi="Times New Roman" w:cs="Times New Roman"/>
          <w:sz w:val="24"/>
          <w:szCs w:val="24"/>
          <w:lang w:bidi="ar-BH"/>
        </w:rPr>
        <w:t xml:space="preserve"> neural networks</w:t>
      </w:r>
      <w:r w:rsidR="007251A6">
        <w:rPr>
          <w:rFonts w:ascii="Times New Roman" w:hAnsi="Times New Roman" w:cs="Times New Roman"/>
          <w:sz w:val="24"/>
          <w:szCs w:val="24"/>
          <w:lang w:bidi="ar-BH"/>
        </w:rPr>
        <w:t xml:space="preserve"> which</w:t>
      </w:r>
      <w:r w:rsidR="007251A6" w:rsidRPr="007251A6">
        <w:rPr>
          <w:rFonts w:ascii="Times New Roman" w:hAnsi="Times New Roman" w:cs="Times New Roman"/>
          <w:sz w:val="24"/>
          <w:szCs w:val="24"/>
          <w:lang w:bidi="ar-BH"/>
        </w:rPr>
        <w:t xml:space="preserve"> involves estimating the output and re-adjusting the weights in a repeated process in order to minimize the difference between the outputs and the desired targets.</w:t>
      </w:r>
      <w:r w:rsidR="007251A6">
        <w:rPr>
          <w:rFonts w:ascii="Times New Roman" w:hAnsi="Times New Roman" w:cs="Times New Roman"/>
          <w:sz w:val="24"/>
          <w:szCs w:val="24"/>
          <w:lang w:bidi="ar-BH"/>
        </w:rPr>
        <w:t xml:space="preserve"> </w:t>
      </w:r>
      <w:r w:rsidR="00C752D5">
        <w:rPr>
          <w:rFonts w:ascii="Times New Roman" w:hAnsi="Times New Roman" w:cs="Times New Roman"/>
          <w:sz w:val="24"/>
          <w:szCs w:val="24"/>
          <w:lang w:bidi="ar-BH"/>
        </w:rPr>
        <w:t>The ability of such techniques to identify bad versus good loans with higher accuracy than other methods as well as the presence of some evidence from past studies on the superiority of neural networks in bankruptcy prediction (Wilson and Sharda 1994</w:t>
      </w:r>
      <w:r w:rsidR="006D5DD3" w:rsidRPr="006D5DD3">
        <w:rPr>
          <w:rFonts w:ascii="Times New Roman" w:hAnsi="Times New Roman" w:cs="Times New Roman"/>
          <w:sz w:val="24"/>
          <w:szCs w:val="24"/>
          <w:lang w:bidi="ar-BH"/>
        </w:rPr>
        <w:t>,</w:t>
      </w:r>
      <w:r w:rsidR="00C752D5" w:rsidRPr="00877BB5">
        <w:rPr>
          <w:rFonts w:ascii="Times New Roman" w:hAnsi="Times New Roman" w:cs="Times New Roman"/>
          <w:sz w:val="24"/>
          <w:szCs w:val="24"/>
          <w:lang w:bidi="ar-BH"/>
        </w:rPr>
        <w:t xml:space="preserve"> Zhang </w:t>
      </w:r>
      <w:r w:rsidR="00327178" w:rsidRPr="00327178">
        <w:rPr>
          <w:rFonts w:ascii="Times New Roman" w:hAnsi="Times New Roman" w:cs="Times New Roman"/>
          <w:i/>
          <w:iCs/>
          <w:sz w:val="24"/>
          <w:szCs w:val="24"/>
          <w:lang w:bidi="ar-BH"/>
        </w:rPr>
        <w:t>et al.</w:t>
      </w:r>
      <w:r w:rsidR="00C752D5">
        <w:rPr>
          <w:rFonts w:ascii="Times New Roman" w:hAnsi="Times New Roman" w:cs="Times New Roman"/>
          <w:sz w:val="24"/>
          <w:szCs w:val="24"/>
          <w:lang w:bidi="ar-BH"/>
        </w:rPr>
        <w:t xml:space="preserve"> 1999), suggest potential benefits from applying these methods in the field of bankr</w:t>
      </w:r>
      <w:r w:rsidR="004B76DE">
        <w:rPr>
          <w:rFonts w:ascii="Times New Roman" w:hAnsi="Times New Roman" w:cs="Times New Roman"/>
          <w:sz w:val="24"/>
          <w:szCs w:val="24"/>
          <w:lang w:bidi="ar-BH"/>
        </w:rPr>
        <w:t xml:space="preserve">uptcy prediction. Thus, our </w:t>
      </w:r>
      <w:r w:rsidR="00C029D8">
        <w:rPr>
          <w:rFonts w:ascii="Times New Roman" w:hAnsi="Times New Roman" w:cs="Times New Roman"/>
          <w:sz w:val="24"/>
          <w:szCs w:val="24"/>
          <w:lang w:bidi="ar-BH"/>
        </w:rPr>
        <w:t>final</w:t>
      </w:r>
      <w:r w:rsidR="000C7138">
        <w:rPr>
          <w:rFonts w:ascii="Times New Roman" w:hAnsi="Times New Roman" w:cs="Times New Roman"/>
          <w:sz w:val="24"/>
          <w:szCs w:val="24"/>
          <w:lang w:bidi="ar-BH"/>
        </w:rPr>
        <w:t xml:space="preserve"> </w:t>
      </w:r>
      <w:r w:rsidR="008C50CF">
        <w:rPr>
          <w:rFonts w:ascii="Times New Roman" w:hAnsi="Times New Roman" w:cs="Times New Roman"/>
          <w:sz w:val="24"/>
          <w:szCs w:val="24"/>
          <w:lang w:bidi="ar-BH"/>
        </w:rPr>
        <w:t>research question</w:t>
      </w:r>
      <w:r w:rsidR="00C752D5">
        <w:rPr>
          <w:rFonts w:ascii="Times New Roman" w:hAnsi="Times New Roman" w:cs="Times New Roman"/>
          <w:sz w:val="24"/>
          <w:szCs w:val="24"/>
          <w:lang w:bidi="ar-BH"/>
        </w:rPr>
        <w:t xml:space="preserve"> is</w:t>
      </w:r>
      <w:r>
        <w:rPr>
          <w:rFonts w:ascii="Times New Roman" w:hAnsi="Times New Roman" w:cs="Times New Roman"/>
          <w:sz w:val="24"/>
          <w:szCs w:val="24"/>
          <w:lang w:bidi="ar-BH"/>
        </w:rPr>
        <w:t>:</w:t>
      </w:r>
    </w:p>
    <w:p w14:paraId="49178697" w14:textId="77777777" w:rsidR="00260D7D" w:rsidRDefault="00260D7D" w:rsidP="00260D7D">
      <w:pPr>
        <w:tabs>
          <w:tab w:val="left" w:pos="567"/>
        </w:tabs>
        <w:spacing w:after="0" w:line="288" w:lineRule="auto"/>
        <w:jc w:val="both"/>
        <w:rPr>
          <w:rFonts w:ascii="Times New Roman" w:hAnsi="Times New Roman" w:cs="Times New Roman"/>
          <w:sz w:val="24"/>
          <w:szCs w:val="24"/>
          <w:lang w:bidi="ar-BH"/>
        </w:rPr>
      </w:pPr>
    </w:p>
    <w:p w14:paraId="37FEAEF2" w14:textId="6E7483E8" w:rsidR="00C752D5" w:rsidRDefault="006A4313" w:rsidP="00D02FF4">
      <w:pPr>
        <w:tabs>
          <w:tab w:val="left" w:pos="567"/>
        </w:tabs>
        <w:spacing w:after="0" w:line="240" w:lineRule="auto"/>
        <w:ind w:left="284" w:hanging="284"/>
        <w:jc w:val="both"/>
        <w:rPr>
          <w:rFonts w:ascii="Times New Roman" w:hAnsi="Times New Roman" w:cs="Times New Roman"/>
          <w:i/>
          <w:iCs/>
          <w:sz w:val="24"/>
          <w:szCs w:val="24"/>
        </w:rPr>
      </w:pPr>
      <w:r w:rsidRPr="00C029D8">
        <w:rPr>
          <w:rFonts w:ascii="Times New Roman" w:hAnsi="Times New Roman" w:cs="Times New Roman"/>
          <w:sz w:val="24"/>
          <w:szCs w:val="24"/>
        </w:rPr>
        <w:t>3</w:t>
      </w:r>
      <w:r w:rsidR="00C752D5" w:rsidRPr="00C029D8">
        <w:rPr>
          <w:rFonts w:ascii="Times New Roman" w:hAnsi="Times New Roman" w:cs="Times New Roman"/>
          <w:sz w:val="24"/>
          <w:szCs w:val="24"/>
        </w:rPr>
        <w:t xml:space="preserve">. </w:t>
      </w:r>
      <w:r w:rsidR="00C029D8">
        <w:rPr>
          <w:rFonts w:ascii="Times New Roman" w:hAnsi="Times New Roman" w:cs="Times New Roman"/>
          <w:i/>
          <w:iCs/>
          <w:sz w:val="24"/>
          <w:szCs w:val="24"/>
        </w:rPr>
        <w:tab/>
      </w:r>
      <w:r w:rsidR="00C752D5" w:rsidRPr="00841629">
        <w:rPr>
          <w:rFonts w:ascii="Times New Roman" w:hAnsi="Times New Roman" w:cs="Times New Roman"/>
          <w:i/>
          <w:iCs/>
          <w:sz w:val="24"/>
          <w:szCs w:val="24"/>
        </w:rPr>
        <w:t>Does any estimation method show consistent superior prediction/classification accuracy than other methods?</w:t>
      </w:r>
    </w:p>
    <w:p w14:paraId="7730DEF6" w14:textId="77777777" w:rsidR="00260D7D" w:rsidRDefault="00260D7D" w:rsidP="00260D7D">
      <w:pPr>
        <w:tabs>
          <w:tab w:val="left" w:pos="567"/>
        </w:tabs>
        <w:spacing w:after="0" w:line="288" w:lineRule="auto"/>
        <w:jc w:val="both"/>
        <w:rPr>
          <w:rFonts w:ascii="Times New Roman" w:hAnsi="Times New Roman" w:cs="Times New Roman"/>
          <w:i/>
          <w:iCs/>
          <w:sz w:val="24"/>
          <w:szCs w:val="24"/>
        </w:rPr>
      </w:pPr>
    </w:p>
    <w:p w14:paraId="408A4EBC" w14:textId="77777777" w:rsidR="00002EAB" w:rsidRPr="00703E8D" w:rsidRDefault="00002EAB" w:rsidP="00260D7D">
      <w:pPr>
        <w:pStyle w:val="ListParagraph"/>
        <w:numPr>
          <w:ilvl w:val="0"/>
          <w:numId w:val="1"/>
        </w:numPr>
        <w:tabs>
          <w:tab w:val="left" w:pos="567"/>
        </w:tabs>
        <w:spacing w:after="0" w:line="288" w:lineRule="auto"/>
        <w:jc w:val="both"/>
        <w:rPr>
          <w:rFonts w:asciiTheme="majorBidi" w:hAnsiTheme="majorBidi" w:cstheme="majorBidi"/>
          <w:b/>
          <w:bCs/>
          <w:sz w:val="24"/>
          <w:szCs w:val="24"/>
        </w:rPr>
      </w:pPr>
      <w:r w:rsidRPr="00703E8D">
        <w:rPr>
          <w:rFonts w:asciiTheme="majorBidi" w:hAnsiTheme="majorBidi" w:cstheme="majorBidi"/>
          <w:b/>
          <w:bCs/>
          <w:sz w:val="24"/>
          <w:szCs w:val="24"/>
        </w:rPr>
        <w:t>Data and Methodology</w:t>
      </w:r>
    </w:p>
    <w:p w14:paraId="14FB4D74" w14:textId="77777777" w:rsidR="0094575E" w:rsidRPr="00C029D8" w:rsidRDefault="004C78D5" w:rsidP="00260D7D">
      <w:pPr>
        <w:pStyle w:val="ListParagraph"/>
        <w:numPr>
          <w:ilvl w:val="1"/>
          <w:numId w:val="1"/>
        </w:numPr>
        <w:tabs>
          <w:tab w:val="left" w:pos="567"/>
        </w:tabs>
        <w:spacing w:after="0" w:line="288" w:lineRule="auto"/>
        <w:jc w:val="both"/>
        <w:rPr>
          <w:rFonts w:ascii="Times New Roman" w:hAnsi="Times New Roman" w:cs="Times New Roman"/>
          <w:b/>
          <w:bCs/>
          <w:sz w:val="24"/>
          <w:szCs w:val="24"/>
        </w:rPr>
      </w:pPr>
      <w:r w:rsidRPr="00C029D8">
        <w:rPr>
          <w:rFonts w:ascii="Times New Roman" w:hAnsi="Times New Roman" w:cs="Times New Roman"/>
          <w:b/>
          <w:bCs/>
          <w:sz w:val="24"/>
          <w:szCs w:val="24"/>
        </w:rPr>
        <w:t xml:space="preserve"> </w:t>
      </w:r>
      <w:r w:rsidR="0094575E" w:rsidRPr="00C029D8">
        <w:rPr>
          <w:rFonts w:ascii="Times New Roman" w:hAnsi="Times New Roman" w:cs="Times New Roman"/>
          <w:b/>
          <w:bCs/>
          <w:sz w:val="24"/>
          <w:szCs w:val="24"/>
        </w:rPr>
        <w:t>Sample Description</w:t>
      </w:r>
    </w:p>
    <w:p w14:paraId="0D9E178E" w14:textId="77777777" w:rsidR="00C029D8" w:rsidRPr="00C029D8" w:rsidRDefault="00C029D8" w:rsidP="00260D7D">
      <w:pPr>
        <w:tabs>
          <w:tab w:val="left" w:pos="567"/>
        </w:tabs>
        <w:spacing w:after="0" w:line="288" w:lineRule="auto"/>
        <w:jc w:val="both"/>
        <w:rPr>
          <w:rFonts w:ascii="Times New Roman" w:hAnsi="Times New Roman" w:cs="Times New Roman"/>
          <w:sz w:val="6"/>
          <w:szCs w:val="6"/>
        </w:rPr>
      </w:pPr>
    </w:p>
    <w:p w14:paraId="07D715BD" w14:textId="18C8A0CF" w:rsidR="000B1B55" w:rsidRDefault="00002EAB"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For the purpose of our study, we define bankruptcy as the event of going in liquidation or in reorganization (Chapters 7 and 11) even if the latter did not lead to bankruptcy. The sample of our study covers all events between January 200</w:t>
      </w:r>
      <w:r w:rsidR="001536AC">
        <w:rPr>
          <w:rFonts w:ascii="Times New Roman" w:hAnsi="Times New Roman" w:cs="Times New Roman"/>
          <w:sz w:val="24"/>
          <w:szCs w:val="24"/>
        </w:rPr>
        <w:t>0</w:t>
      </w:r>
      <w:r>
        <w:rPr>
          <w:rFonts w:ascii="Times New Roman" w:hAnsi="Times New Roman" w:cs="Times New Roman"/>
          <w:sz w:val="24"/>
          <w:szCs w:val="24"/>
        </w:rPr>
        <w:t xml:space="preserve"> and December 2015</w:t>
      </w:r>
      <w:r w:rsidR="000B1B55">
        <w:rPr>
          <w:rFonts w:ascii="Times New Roman" w:hAnsi="Times New Roman" w:cs="Times New Roman"/>
          <w:sz w:val="24"/>
          <w:szCs w:val="24"/>
        </w:rPr>
        <w:t xml:space="preserve"> and </w:t>
      </w:r>
      <w:r w:rsidR="000B1B55" w:rsidRPr="000B1B55">
        <w:rPr>
          <w:rFonts w:ascii="Times New Roman" w:hAnsi="Times New Roman" w:cs="Times New Roman"/>
          <w:sz w:val="24"/>
          <w:szCs w:val="24"/>
        </w:rPr>
        <w:t xml:space="preserve">consists of all firms </w:t>
      </w:r>
      <w:r w:rsidR="000B1B55" w:rsidRPr="000B1B55">
        <w:rPr>
          <w:rFonts w:ascii="Times New Roman" w:hAnsi="Times New Roman" w:cs="Times New Roman"/>
          <w:sz w:val="24"/>
          <w:szCs w:val="24"/>
        </w:rPr>
        <w:lastRenderedPageBreak/>
        <w:t>that were part of S&amp;P500, S&amp;P MID CAP 400 or S&amp;P SMALL CAP 600, during the period studied</w:t>
      </w:r>
      <w:r w:rsidR="000B1B55">
        <w:rPr>
          <w:rStyle w:val="FootnoteReference"/>
          <w:rFonts w:ascii="Times New Roman" w:hAnsi="Times New Roman" w:cs="Times New Roman"/>
          <w:sz w:val="24"/>
          <w:szCs w:val="24"/>
        </w:rPr>
        <w:footnoteReference w:id="2"/>
      </w:r>
      <w:r w:rsidR="000B1B55" w:rsidRPr="000B1B55">
        <w:rPr>
          <w:rFonts w:ascii="Times New Roman" w:hAnsi="Times New Roman" w:cs="Times New Roman"/>
          <w:sz w:val="24"/>
          <w:szCs w:val="24"/>
        </w:rPr>
        <w:t>.</w:t>
      </w:r>
    </w:p>
    <w:p w14:paraId="63CDEBDB" w14:textId="77777777" w:rsidR="002057BC" w:rsidRDefault="002057BC" w:rsidP="00260D7D">
      <w:pPr>
        <w:tabs>
          <w:tab w:val="left" w:pos="567"/>
        </w:tabs>
        <w:spacing w:after="0" w:line="288" w:lineRule="auto"/>
        <w:jc w:val="both"/>
        <w:rPr>
          <w:rFonts w:ascii="Times New Roman" w:hAnsi="Times New Roman" w:cs="Times New Roman"/>
          <w:sz w:val="24"/>
          <w:szCs w:val="24"/>
        </w:rPr>
      </w:pPr>
    </w:p>
    <w:p w14:paraId="6169A8C8" w14:textId="6DDE1569" w:rsidR="00002EAB" w:rsidRDefault="002057BC"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002EAB">
        <w:rPr>
          <w:rFonts w:ascii="Times New Roman" w:hAnsi="Times New Roman" w:cs="Times New Roman"/>
          <w:sz w:val="24"/>
          <w:szCs w:val="24"/>
        </w:rPr>
        <w:t>Following prior studies and due to the special nature of such firms, we exclude all financial and insurance related firms from our sample</w:t>
      </w:r>
      <w:r w:rsidR="00C66D80">
        <w:rPr>
          <w:rStyle w:val="FootnoteReference"/>
          <w:rFonts w:ascii="Times New Roman" w:hAnsi="Times New Roman" w:cs="Times New Roman"/>
          <w:sz w:val="24"/>
          <w:szCs w:val="24"/>
        </w:rPr>
        <w:footnoteReference w:id="3"/>
      </w:r>
      <w:r w:rsidR="00002EAB">
        <w:rPr>
          <w:rFonts w:ascii="Times New Roman" w:hAnsi="Times New Roman" w:cs="Times New Roman"/>
          <w:sz w:val="24"/>
          <w:szCs w:val="24"/>
        </w:rPr>
        <w:t>. We build our initial list of bankrupt firms manually using publicly available lists of delisted firms as well as several news items. Our final list of bankrupt firms is confirmed by examining form 8-K fillings with the Securities and Exchange Commission (SEC). We extract all governance data</w:t>
      </w:r>
      <w:r w:rsidR="00C4672F">
        <w:rPr>
          <w:rFonts w:ascii="Times New Roman" w:hAnsi="Times New Roman" w:cs="Times New Roman"/>
          <w:sz w:val="24"/>
          <w:szCs w:val="24"/>
        </w:rPr>
        <w:t xml:space="preserve"> (</w:t>
      </w:r>
      <w:r w:rsidR="00C4672F" w:rsidRPr="00C4672F">
        <w:rPr>
          <w:rFonts w:ascii="Times New Roman" w:hAnsi="Times New Roman" w:cs="Times New Roman"/>
          <w:i/>
          <w:iCs/>
          <w:sz w:val="24"/>
          <w:szCs w:val="24"/>
        </w:rPr>
        <w:t>Table 2</w:t>
      </w:r>
      <w:r w:rsidR="00C4672F">
        <w:rPr>
          <w:rFonts w:ascii="Times New Roman" w:hAnsi="Times New Roman" w:cs="Times New Roman"/>
          <w:sz w:val="24"/>
          <w:szCs w:val="24"/>
        </w:rPr>
        <w:t xml:space="preserve">) </w:t>
      </w:r>
      <w:r w:rsidR="00002EAB">
        <w:rPr>
          <w:rFonts w:ascii="Times New Roman" w:hAnsi="Times New Roman" w:cs="Times New Roman"/>
          <w:sz w:val="24"/>
          <w:szCs w:val="24"/>
        </w:rPr>
        <w:t>for our study from BoardEx</w:t>
      </w:r>
      <w:r w:rsidR="000B1B55">
        <w:rPr>
          <w:rStyle w:val="FootnoteReference"/>
          <w:rFonts w:ascii="Times New Roman" w:hAnsi="Times New Roman" w:cs="Times New Roman"/>
          <w:sz w:val="24"/>
          <w:szCs w:val="24"/>
        </w:rPr>
        <w:footnoteReference w:id="4"/>
      </w:r>
      <w:r w:rsidR="00002EAB">
        <w:rPr>
          <w:rFonts w:ascii="Times New Roman" w:hAnsi="Times New Roman" w:cs="Times New Roman"/>
          <w:sz w:val="24"/>
          <w:szCs w:val="24"/>
        </w:rPr>
        <w:t>. However, since some of the firms on our list of bankrupt firms do not have governance data in BoardEx, we rely on the firm’s proxy statements (SEC fillings - DEF 14A) to collect the missing data manually</w:t>
      </w:r>
      <w:r w:rsidR="00402297">
        <w:rPr>
          <w:rStyle w:val="FootnoteReference"/>
          <w:rFonts w:ascii="Times New Roman" w:hAnsi="Times New Roman" w:cs="Times New Roman"/>
          <w:sz w:val="24"/>
          <w:szCs w:val="24"/>
        </w:rPr>
        <w:footnoteReference w:id="5"/>
      </w:r>
      <w:r w:rsidR="00002EAB">
        <w:rPr>
          <w:rFonts w:ascii="Times New Roman" w:hAnsi="Times New Roman" w:cs="Times New Roman"/>
          <w:sz w:val="24"/>
          <w:szCs w:val="24"/>
        </w:rPr>
        <w:t>.</w:t>
      </w:r>
      <w:r w:rsidR="00BD6977">
        <w:rPr>
          <w:rFonts w:ascii="Times New Roman" w:hAnsi="Times New Roman" w:cs="Times New Roman"/>
          <w:sz w:val="24"/>
          <w:szCs w:val="24"/>
        </w:rPr>
        <w:t xml:space="preserve"> </w:t>
      </w:r>
      <w:r w:rsidR="00002EAB">
        <w:rPr>
          <w:rFonts w:ascii="Times New Roman" w:hAnsi="Times New Roman" w:cs="Times New Roman"/>
          <w:sz w:val="24"/>
          <w:szCs w:val="24"/>
        </w:rPr>
        <w:t>Finally, we use CRSP/COMPUSTAT database to source</w:t>
      </w:r>
      <w:r w:rsidR="00002EAB" w:rsidRPr="00807096">
        <w:rPr>
          <w:rFonts w:ascii="Times New Roman" w:hAnsi="Times New Roman" w:cs="Times New Roman"/>
          <w:sz w:val="24"/>
          <w:szCs w:val="24"/>
        </w:rPr>
        <w:t xml:space="preserve"> </w:t>
      </w:r>
      <w:r w:rsidR="00765E31">
        <w:rPr>
          <w:rFonts w:ascii="Times New Roman" w:hAnsi="Times New Roman" w:cs="Times New Roman"/>
          <w:sz w:val="24"/>
          <w:szCs w:val="24"/>
        </w:rPr>
        <w:t xml:space="preserve">the necessary </w:t>
      </w:r>
      <w:r w:rsidR="00002EAB" w:rsidRPr="00807096">
        <w:rPr>
          <w:rFonts w:ascii="Times New Roman" w:hAnsi="Times New Roman" w:cs="Times New Roman"/>
          <w:sz w:val="24"/>
          <w:szCs w:val="24"/>
        </w:rPr>
        <w:t xml:space="preserve">accounting and market data </w:t>
      </w:r>
      <w:r w:rsidR="00002EAB">
        <w:rPr>
          <w:rFonts w:ascii="Times New Roman" w:hAnsi="Times New Roman" w:cs="Times New Roman"/>
          <w:sz w:val="24"/>
          <w:szCs w:val="24"/>
        </w:rPr>
        <w:t xml:space="preserve">for </w:t>
      </w:r>
      <w:r w:rsidR="00002EAB" w:rsidRPr="00807096">
        <w:rPr>
          <w:rFonts w:ascii="Times New Roman" w:hAnsi="Times New Roman" w:cs="Times New Roman"/>
          <w:sz w:val="24"/>
          <w:szCs w:val="24"/>
        </w:rPr>
        <w:t>all firms</w:t>
      </w:r>
      <w:r w:rsidR="00002EAB">
        <w:rPr>
          <w:rFonts w:ascii="Times New Roman" w:hAnsi="Times New Roman" w:cs="Times New Roman"/>
          <w:sz w:val="24"/>
          <w:szCs w:val="24"/>
        </w:rPr>
        <w:t xml:space="preserve"> in our sampl</w:t>
      </w:r>
      <w:r w:rsidR="00F13725">
        <w:rPr>
          <w:rFonts w:ascii="Times New Roman" w:hAnsi="Times New Roman" w:cs="Times New Roman"/>
          <w:sz w:val="24"/>
          <w:szCs w:val="24"/>
        </w:rPr>
        <w:t xml:space="preserve">e. Our final sample consists of </w:t>
      </w:r>
      <w:r w:rsidR="006E3F3A">
        <w:rPr>
          <w:rFonts w:ascii="Times New Roman" w:hAnsi="Times New Roman" w:cs="Times New Roman"/>
          <w:sz w:val="24"/>
          <w:szCs w:val="24"/>
        </w:rPr>
        <w:t xml:space="preserve">a total of 1,650 firms (out of which 146 firms </w:t>
      </w:r>
      <w:r w:rsidR="00D4457C">
        <w:rPr>
          <w:rFonts w:ascii="Times New Roman" w:hAnsi="Times New Roman" w:cs="Times New Roman"/>
          <w:sz w:val="24"/>
          <w:szCs w:val="24"/>
        </w:rPr>
        <w:t xml:space="preserve">are </w:t>
      </w:r>
      <w:r w:rsidR="006E3F3A">
        <w:rPr>
          <w:rFonts w:ascii="Times New Roman" w:hAnsi="Times New Roman" w:cs="Times New Roman"/>
          <w:sz w:val="24"/>
          <w:szCs w:val="24"/>
        </w:rPr>
        <w:t xml:space="preserve">bankrupt) with a total of </w:t>
      </w:r>
      <w:r w:rsidR="006E3F3A" w:rsidRPr="00F13725">
        <w:rPr>
          <w:rFonts w:ascii="Times New Roman" w:hAnsi="Times New Roman" w:cs="Times New Roman"/>
          <w:sz w:val="24"/>
          <w:szCs w:val="24"/>
        </w:rPr>
        <w:t>21,</w:t>
      </w:r>
      <w:r w:rsidR="006E3F3A">
        <w:rPr>
          <w:rFonts w:ascii="Times New Roman" w:hAnsi="Times New Roman" w:cs="Times New Roman"/>
          <w:sz w:val="24"/>
          <w:szCs w:val="24"/>
        </w:rPr>
        <w:t>721 firm-year observations.</w:t>
      </w:r>
    </w:p>
    <w:p w14:paraId="00FEEAB7" w14:textId="77777777" w:rsidR="00260D7D" w:rsidRDefault="00260D7D" w:rsidP="00260D7D">
      <w:pPr>
        <w:tabs>
          <w:tab w:val="left" w:pos="567"/>
        </w:tabs>
        <w:spacing w:after="0" w:line="288" w:lineRule="auto"/>
        <w:jc w:val="both"/>
        <w:rPr>
          <w:rFonts w:ascii="Times New Roman" w:hAnsi="Times New Roman" w:cs="Times New Roman"/>
          <w:sz w:val="24"/>
          <w:szCs w:val="24"/>
        </w:rPr>
      </w:pPr>
    </w:p>
    <w:p w14:paraId="2D7CF88B" w14:textId="77777777" w:rsidR="0094575E" w:rsidRPr="00C029D8" w:rsidRDefault="004C78D5" w:rsidP="00260D7D">
      <w:pPr>
        <w:pStyle w:val="ListParagraph"/>
        <w:numPr>
          <w:ilvl w:val="1"/>
          <w:numId w:val="1"/>
        </w:numPr>
        <w:tabs>
          <w:tab w:val="left" w:pos="567"/>
        </w:tabs>
        <w:spacing w:after="0" w:line="288" w:lineRule="auto"/>
        <w:jc w:val="both"/>
        <w:rPr>
          <w:rFonts w:ascii="Times New Roman" w:hAnsi="Times New Roman" w:cs="Times New Roman"/>
          <w:b/>
          <w:bCs/>
          <w:sz w:val="24"/>
          <w:szCs w:val="24"/>
        </w:rPr>
      </w:pPr>
      <w:r w:rsidRPr="00C029D8">
        <w:rPr>
          <w:rFonts w:ascii="Times New Roman" w:hAnsi="Times New Roman" w:cs="Times New Roman"/>
          <w:b/>
          <w:bCs/>
          <w:sz w:val="24"/>
          <w:szCs w:val="24"/>
        </w:rPr>
        <w:t xml:space="preserve"> </w:t>
      </w:r>
      <w:r w:rsidR="0094575E" w:rsidRPr="00C029D8">
        <w:rPr>
          <w:rFonts w:ascii="Times New Roman" w:hAnsi="Times New Roman" w:cs="Times New Roman"/>
          <w:b/>
          <w:bCs/>
          <w:sz w:val="24"/>
          <w:szCs w:val="24"/>
        </w:rPr>
        <w:t>Methodology</w:t>
      </w:r>
    </w:p>
    <w:p w14:paraId="6467A2E4" w14:textId="77777777" w:rsidR="00C029D8" w:rsidRPr="00C029D8" w:rsidRDefault="00C029D8" w:rsidP="00260D7D">
      <w:pPr>
        <w:tabs>
          <w:tab w:val="left" w:pos="567"/>
        </w:tabs>
        <w:spacing w:after="0" w:line="288" w:lineRule="auto"/>
        <w:jc w:val="both"/>
        <w:rPr>
          <w:rFonts w:ascii="Times New Roman" w:hAnsi="Times New Roman" w:cs="Times New Roman"/>
          <w:sz w:val="6"/>
          <w:szCs w:val="6"/>
        </w:rPr>
      </w:pPr>
    </w:p>
    <w:p w14:paraId="2E57B7F3" w14:textId="2335DCE3" w:rsidR="0094575E" w:rsidRDefault="00E67687"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W</w:t>
      </w:r>
      <w:r w:rsidR="00FA5B4C">
        <w:rPr>
          <w:rFonts w:ascii="Times New Roman" w:hAnsi="Times New Roman" w:cs="Times New Roman"/>
          <w:sz w:val="24"/>
          <w:szCs w:val="24"/>
        </w:rPr>
        <w:t xml:space="preserve">e </w:t>
      </w:r>
      <w:r w:rsidR="0094575E">
        <w:rPr>
          <w:rFonts w:ascii="Times New Roman" w:hAnsi="Times New Roman" w:cs="Times New Roman"/>
          <w:sz w:val="24"/>
          <w:szCs w:val="24"/>
        </w:rPr>
        <w:t xml:space="preserve">focus our efforts on examining the </w:t>
      </w:r>
      <w:r w:rsidR="00BE6750">
        <w:rPr>
          <w:rFonts w:ascii="Times New Roman" w:hAnsi="Times New Roman" w:cs="Times New Roman"/>
          <w:sz w:val="24"/>
          <w:szCs w:val="24"/>
        </w:rPr>
        <w:t xml:space="preserve">bankruptcy </w:t>
      </w:r>
      <w:r w:rsidR="0094575E">
        <w:rPr>
          <w:rFonts w:ascii="Times New Roman" w:hAnsi="Times New Roman" w:cs="Times New Roman"/>
          <w:sz w:val="24"/>
          <w:szCs w:val="24"/>
        </w:rPr>
        <w:t xml:space="preserve">models </w:t>
      </w:r>
      <w:r w:rsidR="00F76E0B">
        <w:rPr>
          <w:rFonts w:ascii="Times New Roman" w:hAnsi="Times New Roman" w:cs="Times New Roman"/>
          <w:sz w:val="24"/>
          <w:szCs w:val="24"/>
        </w:rPr>
        <w:t xml:space="preserve">(henceforth referred to as models) </w:t>
      </w:r>
      <w:r w:rsidR="0094575E">
        <w:rPr>
          <w:rFonts w:ascii="Times New Roman" w:hAnsi="Times New Roman" w:cs="Times New Roman"/>
          <w:sz w:val="24"/>
          <w:szCs w:val="24"/>
        </w:rPr>
        <w:t xml:space="preserve">that got most attention in the literature, while also trying to ensure </w:t>
      </w:r>
      <w:r w:rsidR="000F3080">
        <w:rPr>
          <w:rFonts w:ascii="Times New Roman" w:hAnsi="Times New Roman" w:cs="Times New Roman"/>
          <w:sz w:val="24"/>
          <w:szCs w:val="24"/>
        </w:rPr>
        <w:t>a balanced</w:t>
      </w:r>
      <w:r w:rsidR="0094575E">
        <w:rPr>
          <w:rFonts w:ascii="Times New Roman" w:hAnsi="Times New Roman" w:cs="Times New Roman"/>
          <w:sz w:val="24"/>
          <w:szCs w:val="24"/>
        </w:rPr>
        <w:t xml:space="preserve"> mix of </w:t>
      </w:r>
      <w:r w:rsidR="00862BC3">
        <w:rPr>
          <w:rFonts w:ascii="Times New Roman" w:hAnsi="Times New Roman" w:cs="Times New Roman"/>
          <w:sz w:val="24"/>
          <w:szCs w:val="24"/>
        </w:rPr>
        <w:t xml:space="preserve">both </w:t>
      </w:r>
      <w:r w:rsidR="0094575E">
        <w:rPr>
          <w:rFonts w:ascii="Times New Roman" w:hAnsi="Times New Roman" w:cs="Times New Roman"/>
          <w:sz w:val="24"/>
          <w:szCs w:val="24"/>
        </w:rPr>
        <w:t xml:space="preserve">estimation methods </w:t>
      </w:r>
      <w:r w:rsidR="00862BC3">
        <w:rPr>
          <w:rFonts w:ascii="Times New Roman" w:hAnsi="Times New Roman" w:cs="Times New Roman"/>
          <w:sz w:val="24"/>
          <w:szCs w:val="24"/>
        </w:rPr>
        <w:t>and</w:t>
      </w:r>
      <w:r w:rsidR="0094575E">
        <w:rPr>
          <w:rFonts w:ascii="Times New Roman" w:hAnsi="Times New Roman" w:cs="Times New Roman"/>
          <w:sz w:val="24"/>
          <w:szCs w:val="24"/>
        </w:rPr>
        <w:t xml:space="preserve"> accounting</w:t>
      </w:r>
      <w:r w:rsidR="00B030C1">
        <w:rPr>
          <w:rFonts w:ascii="Times New Roman" w:hAnsi="Times New Roman" w:cs="Times New Roman"/>
          <w:sz w:val="24"/>
          <w:szCs w:val="24"/>
        </w:rPr>
        <w:t>-</w:t>
      </w:r>
      <w:r w:rsidR="0094575E">
        <w:rPr>
          <w:rFonts w:ascii="Times New Roman" w:hAnsi="Times New Roman" w:cs="Times New Roman"/>
          <w:sz w:val="24"/>
          <w:szCs w:val="24"/>
        </w:rPr>
        <w:t xml:space="preserve"> versus market</w:t>
      </w:r>
      <w:r w:rsidR="00B030C1">
        <w:rPr>
          <w:rFonts w:ascii="Times New Roman" w:hAnsi="Times New Roman" w:cs="Times New Roman"/>
          <w:sz w:val="24"/>
          <w:szCs w:val="24"/>
        </w:rPr>
        <w:t>-</w:t>
      </w:r>
      <w:r w:rsidR="0094575E">
        <w:rPr>
          <w:rFonts w:ascii="Times New Roman" w:hAnsi="Times New Roman" w:cs="Times New Roman"/>
          <w:sz w:val="24"/>
          <w:szCs w:val="24"/>
        </w:rPr>
        <w:t>based models</w:t>
      </w:r>
      <w:r w:rsidR="00F41E56">
        <w:rPr>
          <w:rFonts w:ascii="Times New Roman" w:hAnsi="Times New Roman" w:cs="Times New Roman"/>
          <w:sz w:val="24"/>
          <w:szCs w:val="24"/>
        </w:rPr>
        <w:t xml:space="preserve"> </w:t>
      </w:r>
      <w:r w:rsidR="000F3080">
        <w:rPr>
          <w:rStyle w:val="FootnoteReference"/>
          <w:rFonts w:ascii="Times New Roman" w:hAnsi="Times New Roman" w:cs="Times New Roman"/>
          <w:sz w:val="24"/>
          <w:szCs w:val="24"/>
        </w:rPr>
        <w:footnoteReference w:id="6"/>
      </w:r>
      <w:r w:rsidR="00F41E56">
        <w:rPr>
          <w:rFonts w:ascii="Times New Roman" w:hAnsi="Times New Roman" w:cs="Times New Roman"/>
          <w:sz w:val="24"/>
          <w:szCs w:val="24"/>
          <w:vertAlign w:val="superscript"/>
        </w:rPr>
        <w:t>,</w:t>
      </w:r>
      <w:r w:rsidR="00F41E56">
        <w:rPr>
          <w:rStyle w:val="FootnoteReference"/>
          <w:rFonts w:ascii="Times New Roman" w:hAnsi="Times New Roman" w:cs="Times New Roman"/>
          <w:sz w:val="24"/>
          <w:szCs w:val="24"/>
        </w:rPr>
        <w:footnoteReference w:id="7"/>
      </w:r>
      <w:r w:rsidR="0094575E">
        <w:rPr>
          <w:rFonts w:ascii="Times New Roman" w:hAnsi="Times New Roman" w:cs="Times New Roman"/>
          <w:sz w:val="24"/>
          <w:szCs w:val="24"/>
        </w:rPr>
        <w:t xml:space="preserve">. </w:t>
      </w:r>
      <w:r w:rsidR="00FA5B4C">
        <w:rPr>
          <w:rFonts w:ascii="Times New Roman" w:hAnsi="Times New Roman" w:cs="Times New Roman"/>
          <w:sz w:val="24"/>
          <w:szCs w:val="24"/>
        </w:rPr>
        <w:t>T</w:t>
      </w:r>
      <w:r w:rsidR="0094575E">
        <w:rPr>
          <w:rFonts w:ascii="Times New Roman" w:hAnsi="Times New Roman" w:cs="Times New Roman"/>
          <w:sz w:val="24"/>
          <w:szCs w:val="24"/>
        </w:rPr>
        <w:t xml:space="preserve">he characteristics and structure of the models covered in our study </w:t>
      </w:r>
      <w:r w:rsidR="00FA5B4C">
        <w:rPr>
          <w:rFonts w:ascii="Times New Roman" w:hAnsi="Times New Roman" w:cs="Times New Roman"/>
          <w:sz w:val="24"/>
          <w:szCs w:val="24"/>
        </w:rPr>
        <w:t xml:space="preserve">are described </w:t>
      </w:r>
      <w:r w:rsidR="0094575E">
        <w:rPr>
          <w:rFonts w:ascii="Times New Roman" w:hAnsi="Times New Roman" w:cs="Times New Roman"/>
          <w:sz w:val="24"/>
          <w:szCs w:val="24"/>
        </w:rPr>
        <w:t xml:space="preserve">in </w:t>
      </w:r>
      <w:r w:rsidR="0094575E" w:rsidRPr="00C029D8">
        <w:rPr>
          <w:rFonts w:ascii="Times New Roman" w:hAnsi="Times New Roman" w:cs="Times New Roman"/>
          <w:sz w:val="24"/>
          <w:szCs w:val="24"/>
        </w:rPr>
        <w:t>Table 1.</w:t>
      </w:r>
    </w:p>
    <w:p w14:paraId="79875963" w14:textId="18CC28E2" w:rsidR="0094575E" w:rsidRDefault="00A91993"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W</w:t>
      </w:r>
      <w:r w:rsidR="0094575E">
        <w:rPr>
          <w:rFonts w:ascii="Times New Roman" w:hAnsi="Times New Roman" w:cs="Times New Roman"/>
          <w:sz w:val="24"/>
          <w:szCs w:val="24"/>
        </w:rPr>
        <w:t>e</w:t>
      </w:r>
      <w:r>
        <w:rPr>
          <w:rFonts w:ascii="Times New Roman" w:hAnsi="Times New Roman" w:cs="Times New Roman"/>
          <w:sz w:val="24"/>
          <w:szCs w:val="24"/>
        </w:rPr>
        <w:t xml:space="preserve"> </w:t>
      </w:r>
      <w:r w:rsidR="0094575E">
        <w:rPr>
          <w:rFonts w:ascii="Times New Roman" w:hAnsi="Times New Roman" w:cs="Times New Roman"/>
          <w:sz w:val="24"/>
          <w:szCs w:val="24"/>
        </w:rPr>
        <w:t xml:space="preserve">follow the </w:t>
      </w:r>
      <w:r>
        <w:rPr>
          <w:rFonts w:ascii="Times New Roman" w:hAnsi="Times New Roman" w:cs="Times New Roman"/>
          <w:sz w:val="24"/>
          <w:szCs w:val="24"/>
        </w:rPr>
        <w:t xml:space="preserve">estimation process </w:t>
      </w:r>
      <w:r w:rsidR="00D02FF4">
        <w:rPr>
          <w:rFonts w:ascii="Times New Roman" w:hAnsi="Times New Roman" w:cs="Times New Roman"/>
          <w:sz w:val="24"/>
          <w:szCs w:val="24"/>
        </w:rPr>
        <w:t xml:space="preserve">below </w:t>
      </w:r>
      <w:r>
        <w:rPr>
          <w:rFonts w:ascii="Times New Roman" w:hAnsi="Times New Roman" w:cs="Times New Roman"/>
          <w:sz w:val="24"/>
          <w:szCs w:val="24"/>
        </w:rPr>
        <w:t>to address our</w:t>
      </w:r>
      <w:r w:rsidR="00B70B2F">
        <w:rPr>
          <w:rFonts w:ascii="Times New Roman" w:hAnsi="Times New Roman" w:cs="Times New Roman"/>
          <w:sz w:val="24"/>
          <w:szCs w:val="24"/>
        </w:rPr>
        <w:t xml:space="preserve"> research question</w:t>
      </w:r>
      <w:r w:rsidR="00A2132D">
        <w:rPr>
          <w:rFonts w:ascii="Times New Roman" w:hAnsi="Times New Roman" w:cs="Times New Roman"/>
          <w:sz w:val="24"/>
          <w:szCs w:val="24"/>
        </w:rPr>
        <w:t>s</w:t>
      </w:r>
      <w:r w:rsidR="0094575E">
        <w:rPr>
          <w:rFonts w:ascii="Times New Roman" w:hAnsi="Times New Roman" w:cs="Times New Roman"/>
          <w:sz w:val="24"/>
          <w:szCs w:val="24"/>
        </w:rPr>
        <w:t>:</w:t>
      </w:r>
    </w:p>
    <w:p w14:paraId="72FA5594" w14:textId="77777777" w:rsidR="00260D7D" w:rsidRPr="005B501E" w:rsidRDefault="00260D7D" w:rsidP="00260D7D">
      <w:pPr>
        <w:tabs>
          <w:tab w:val="left" w:pos="567"/>
        </w:tabs>
        <w:spacing w:after="0" w:line="288" w:lineRule="auto"/>
        <w:jc w:val="both"/>
        <w:rPr>
          <w:rFonts w:ascii="Times New Roman" w:hAnsi="Times New Roman" w:cs="Times New Roman"/>
          <w:sz w:val="12"/>
          <w:szCs w:val="12"/>
        </w:rPr>
      </w:pPr>
    </w:p>
    <w:p w14:paraId="587D246C" w14:textId="7BE849B6" w:rsidR="001536AC" w:rsidRDefault="0094575E" w:rsidP="00C755B1">
      <w:pPr>
        <w:pStyle w:val="ListParagraph"/>
        <w:spacing w:after="0" w:line="288" w:lineRule="auto"/>
        <w:ind w:left="0"/>
        <w:jc w:val="both"/>
        <w:rPr>
          <w:rFonts w:ascii="Times New Roman" w:hAnsi="Times New Roman" w:cs="Times New Roman"/>
          <w:sz w:val="24"/>
          <w:szCs w:val="24"/>
        </w:rPr>
      </w:pPr>
      <w:r w:rsidRPr="00C755B1">
        <w:rPr>
          <w:rFonts w:ascii="Times New Roman" w:hAnsi="Times New Roman" w:cs="Times New Roman"/>
          <w:b/>
          <w:bCs/>
          <w:sz w:val="24"/>
          <w:szCs w:val="24"/>
        </w:rPr>
        <w:t>Step 1:</w:t>
      </w:r>
      <w:r w:rsidRPr="00C755B1">
        <w:rPr>
          <w:rFonts w:ascii="Times New Roman" w:hAnsi="Times New Roman" w:cs="Times New Roman"/>
          <w:sz w:val="24"/>
          <w:szCs w:val="24"/>
        </w:rPr>
        <w:t xml:space="preserve"> Estimate the original models using our sample and the original estimation methods</w:t>
      </w:r>
      <w:r w:rsidR="001536AC" w:rsidRPr="00C755B1">
        <w:rPr>
          <w:rFonts w:ascii="Times New Roman" w:hAnsi="Times New Roman" w:cs="Times New Roman"/>
          <w:sz w:val="24"/>
          <w:szCs w:val="24"/>
        </w:rPr>
        <w:t xml:space="preserve"> (one year)</w:t>
      </w:r>
      <w:r w:rsidR="00A2132D" w:rsidRPr="00C755B1">
        <w:rPr>
          <w:rFonts w:ascii="Times New Roman" w:hAnsi="Times New Roman" w:cs="Times New Roman"/>
          <w:sz w:val="24"/>
          <w:szCs w:val="24"/>
        </w:rPr>
        <w:t xml:space="preserve"> and r</w:t>
      </w:r>
      <w:r w:rsidR="001536AC" w:rsidRPr="00C755B1">
        <w:rPr>
          <w:rFonts w:ascii="Times New Roman" w:hAnsi="Times New Roman" w:cs="Times New Roman"/>
          <w:sz w:val="24"/>
          <w:szCs w:val="24"/>
        </w:rPr>
        <w:t>e-estimate all models after adding the governance variables (see Table 2).</w:t>
      </w:r>
      <w:r w:rsidR="00A2132D" w:rsidRPr="00C755B1">
        <w:rPr>
          <w:rFonts w:ascii="Times New Roman" w:hAnsi="Times New Roman" w:cs="Times New Roman"/>
          <w:sz w:val="24"/>
          <w:szCs w:val="24"/>
        </w:rPr>
        <w:t xml:space="preserve"> This </w:t>
      </w:r>
      <w:r w:rsidR="00A2132D" w:rsidRPr="00C755B1">
        <w:rPr>
          <w:rFonts w:ascii="Times New Roman" w:hAnsi="Times New Roman" w:cs="Times New Roman"/>
          <w:sz w:val="24"/>
          <w:szCs w:val="24"/>
        </w:rPr>
        <w:lastRenderedPageBreak/>
        <w:t>allows us to measure the added-value from adding the governance variables to the original models, which is related to our first research question.</w:t>
      </w:r>
    </w:p>
    <w:p w14:paraId="1960D2F7" w14:textId="77777777" w:rsidR="002057BC" w:rsidRDefault="002057BC" w:rsidP="00C755B1">
      <w:pPr>
        <w:pStyle w:val="ListParagraph"/>
        <w:spacing w:after="0" w:line="288" w:lineRule="auto"/>
        <w:ind w:left="0"/>
        <w:jc w:val="both"/>
        <w:rPr>
          <w:rFonts w:ascii="Times New Roman" w:hAnsi="Times New Roman" w:cs="Times New Roman"/>
          <w:sz w:val="24"/>
          <w:szCs w:val="24"/>
        </w:rPr>
      </w:pPr>
    </w:p>
    <w:p w14:paraId="53EB2E02" w14:textId="13C81596" w:rsidR="0086790B" w:rsidRDefault="001536AC" w:rsidP="00C755B1">
      <w:pPr>
        <w:pStyle w:val="ListParagraph"/>
        <w:spacing w:after="0" w:line="288" w:lineRule="auto"/>
        <w:ind w:left="0"/>
        <w:jc w:val="both"/>
        <w:rPr>
          <w:rFonts w:ascii="Times New Roman" w:hAnsi="Times New Roman" w:cs="Times New Roman"/>
          <w:sz w:val="24"/>
          <w:szCs w:val="24"/>
        </w:rPr>
      </w:pPr>
      <w:r w:rsidRPr="00C755B1">
        <w:rPr>
          <w:rFonts w:ascii="Times New Roman" w:hAnsi="Times New Roman" w:cs="Times New Roman"/>
          <w:b/>
          <w:bCs/>
          <w:sz w:val="24"/>
          <w:szCs w:val="24"/>
        </w:rPr>
        <w:t xml:space="preserve">Step </w:t>
      </w:r>
      <w:r w:rsidR="00A2132D" w:rsidRPr="00C755B1">
        <w:rPr>
          <w:rFonts w:ascii="Times New Roman" w:hAnsi="Times New Roman" w:cs="Times New Roman"/>
          <w:b/>
          <w:bCs/>
          <w:sz w:val="24"/>
          <w:szCs w:val="24"/>
        </w:rPr>
        <w:t>2</w:t>
      </w:r>
      <w:r w:rsidRPr="00C755B1">
        <w:rPr>
          <w:rFonts w:ascii="Times New Roman" w:hAnsi="Times New Roman" w:cs="Times New Roman"/>
          <w:b/>
          <w:bCs/>
          <w:sz w:val="24"/>
          <w:szCs w:val="24"/>
        </w:rPr>
        <w:t>:</w:t>
      </w:r>
      <w:r w:rsidRPr="00C755B1">
        <w:rPr>
          <w:rFonts w:ascii="Times New Roman" w:hAnsi="Times New Roman" w:cs="Times New Roman"/>
          <w:sz w:val="24"/>
          <w:szCs w:val="24"/>
        </w:rPr>
        <w:t xml:space="preserve"> Re-estimate all models with different horizons to bankruptcy (</w:t>
      </w:r>
      <w:r w:rsidR="00D145BE" w:rsidRPr="00C755B1">
        <w:rPr>
          <w:rFonts w:ascii="Times New Roman" w:hAnsi="Times New Roman" w:cs="Times New Roman"/>
          <w:sz w:val="24"/>
          <w:szCs w:val="24"/>
        </w:rPr>
        <w:t>two</w:t>
      </w:r>
      <w:r w:rsidRPr="00C755B1">
        <w:rPr>
          <w:rFonts w:ascii="Times New Roman" w:hAnsi="Times New Roman" w:cs="Times New Roman"/>
          <w:sz w:val="24"/>
          <w:szCs w:val="24"/>
        </w:rPr>
        <w:t xml:space="preserve"> and </w:t>
      </w:r>
      <w:r w:rsidR="00D145BE" w:rsidRPr="00C755B1">
        <w:rPr>
          <w:rFonts w:ascii="Times New Roman" w:hAnsi="Times New Roman" w:cs="Times New Roman"/>
          <w:sz w:val="24"/>
          <w:szCs w:val="24"/>
        </w:rPr>
        <w:t>three</w:t>
      </w:r>
      <w:r w:rsidRPr="00C755B1">
        <w:rPr>
          <w:rFonts w:ascii="Times New Roman" w:hAnsi="Times New Roman" w:cs="Times New Roman"/>
          <w:sz w:val="24"/>
          <w:szCs w:val="24"/>
        </w:rPr>
        <w:t xml:space="preserve"> years).</w:t>
      </w:r>
      <w:r w:rsidR="00A2132D" w:rsidRPr="00C755B1">
        <w:rPr>
          <w:rFonts w:ascii="Times New Roman" w:hAnsi="Times New Roman" w:cs="Times New Roman"/>
          <w:sz w:val="24"/>
          <w:szCs w:val="24"/>
        </w:rPr>
        <w:t xml:space="preserve"> This allows us to answer our second research question regarding the potential variation in the explanatory power of governance variables in the time leading to bankruptcy. </w:t>
      </w:r>
    </w:p>
    <w:p w14:paraId="7DF0DA0E" w14:textId="77777777" w:rsidR="005B501E" w:rsidRPr="00C755B1" w:rsidRDefault="005B501E" w:rsidP="00C755B1">
      <w:pPr>
        <w:pStyle w:val="ListParagraph"/>
        <w:spacing w:after="0" w:line="288" w:lineRule="auto"/>
        <w:ind w:left="0"/>
        <w:jc w:val="both"/>
        <w:rPr>
          <w:rFonts w:ascii="Times New Roman" w:hAnsi="Times New Roman" w:cs="Times New Roman"/>
          <w:sz w:val="24"/>
          <w:szCs w:val="24"/>
        </w:rPr>
      </w:pPr>
    </w:p>
    <w:p w14:paraId="0050D65A" w14:textId="1BEA3EA1" w:rsidR="0086790B" w:rsidRDefault="0086790B" w:rsidP="00C755B1">
      <w:pPr>
        <w:pStyle w:val="ListParagraph"/>
        <w:spacing w:after="0" w:line="288" w:lineRule="auto"/>
        <w:ind w:left="0"/>
        <w:jc w:val="both"/>
        <w:rPr>
          <w:rFonts w:ascii="Times New Roman" w:hAnsi="Times New Roman" w:cs="Times New Roman"/>
          <w:sz w:val="24"/>
          <w:szCs w:val="24"/>
        </w:rPr>
      </w:pPr>
      <w:r w:rsidRPr="00C755B1">
        <w:rPr>
          <w:rFonts w:ascii="Times New Roman" w:hAnsi="Times New Roman" w:cs="Times New Roman"/>
          <w:b/>
          <w:bCs/>
          <w:sz w:val="24"/>
          <w:szCs w:val="24"/>
        </w:rPr>
        <w:t xml:space="preserve">Step </w:t>
      </w:r>
      <w:r w:rsidR="00A2132D" w:rsidRPr="00C755B1">
        <w:rPr>
          <w:rFonts w:ascii="Times New Roman" w:hAnsi="Times New Roman" w:cs="Times New Roman"/>
          <w:b/>
          <w:bCs/>
          <w:sz w:val="24"/>
          <w:szCs w:val="24"/>
        </w:rPr>
        <w:t>3</w:t>
      </w:r>
      <w:r w:rsidRPr="00C755B1">
        <w:rPr>
          <w:rFonts w:ascii="Times New Roman" w:hAnsi="Times New Roman" w:cs="Times New Roman"/>
          <w:b/>
          <w:bCs/>
          <w:sz w:val="24"/>
          <w:szCs w:val="24"/>
        </w:rPr>
        <w:t>:</w:t>
      </w:r>
      <w:r w:rsidRPr="00C755B1">
        <w:rPr>
          <w:rFonts w:ascii="Times New Roman" w:hAnsi="Times New Roman" w:cs="Times New Roman"/>
          <w:sz w:val="24"/>
          <w:szCs w:val="24"/>
        </w:rPr>
        <w:t xml:space="preserve"> Re-estimate all models using Discriminant Analysis (DA), Logistic Regression (LR), Hazard Analysis (HA), Data Envelopment Analysis (DE)-additive model, and Neural Networks-Backpropagation Network (NN)</w:t>
      </w:r>
      <w:r w:rsidRPr="00C755B1">
        <w:rPr>
          <w:rStyle w:val="FootnoteReference"/>
          <w:rFonts w:ascii="Times New Roman" w:hAnsi="Times New Roman" w:cs="Times New Roman"/>
          <w:sz w:val="24"/>
          <w:szCs w:val="24"/>
        </w:rPr>
        <w:footnoteReference w:id="8"/>
      </w:r>
      <w:r w:rsidR="00A2132D" w:rsidRPr="00C755B1">
        <w:rPr>
          <w:rFonts w:ascii="Times New Roman" w:hAnsi="Times New Roman" w:cs="Times New Roman"/>
          <w:sz w:val="24"/>
          <w:szCs w:val="24"/>
        </w:rPr>
        <w:t>. This allows us to address our last research question regarding the prediction/classification accuracy of the different methods.</w:t>
      </w:r>
    </w:p>
    <w:p w14:paraId="04715D91" w14:textId="77777777" w:rsidR="005B501E" w:rsidRPr="00C755B1" w:rsidRDefault="005B501E" w:rsidP="00C755B1">
      <w:pPr>
        <w:pStyle w:val="ListParagraph"/>
        <w:spacing w:after="0" w:line="288" w:lineRule="auto"/>
        <w:ind w:left="0"/>
        <w:jc w:val="both"/>
        <w:rPr>
          <w:rFonts w:ascii="Times New Roman" w:hAnsi="Times New Roman" w:cs="Times New Roman"/>
          <w:sz w:val="24"/>
          <w:szCs w:val="24"/>
        </w:rPr>
      </w:pPr>
    </w:p>
    <w:p w14:paraId="383BE315" w14:textId="77777777" w:rsidR="00A91993" w:rsidRPr="00A91993" w:rsidRDefault="0094575E" w:rsidP="00C755B1">
      <w:pPr>
        <w:pStyle w:val="ListParagraph"/>
        <w:spacing w:after="0" w:line="288" w:lineRule="auto"/>
        <w:ind w:left="0"/>
        <w:jc w:val="both"/>
        <w:rPr>
          <w:rFonts w:ascii="Times New Roman" w:hAnsi="Times New Roman" w:cs="Times New Roman"/>
          <w:sz w:val="24"/>
          <w:szCs w:val="24"/>
        </w:rPr>
      </w:pPr>
      <w:r w:rsidRPr="00C755B1">
        <w:rPr>
          <w:rFonts w:ascii="Times New Roman" w:hAnsi="Times New Roman" w:cs="Times New Roman"/>
          <w:b/>
          <w:bCs/>
          <w:sz w:val="24"/>
          <w:szCs w:val="24"/>
        </w:rPr>
        <w:t>S</w:t>
      </w:r>
      <w:r w:rsidR="00E63206" w:rsidRPr="00C755B1">
        <w:rPr>
          <w:rFonts w:ascii="Times New Roman" w:hAnsi="Times New Roman" w:cs="Times New Roman"/>
          <w:b/>
          <w:bCs/>
          <w:sz w:val="24"/>
          <w:szCs w:val="24"/>
        </w:rPr>
        <w:t xml:space="preserve">tep </w:t>
      </w:r>
      <w:r w:rsidR="00A2132D" w:rsidRPr="00C755B1">
        <w:rPr>
          <w:rFonts w:ascii="Times New Roman" w:hAnsi="Times New Roman" w:cs="Times New Roman"/>
          <w:b/>
          <w:bCs/>
          <w:sz w:val="24"/>
          <w:szCs w:val="24"/>
        </w:rPr>
        <w:t>4</w:t>
      </w:r>
      <w:r w:rsidRPr="00C755B1">
        <w:rPr>
          <w:rFonts w:ascii="Times New Roman" w:hAnsi="Times New Roman" w:cs="Times New Roman"/>
          <w:b/>
          <w:bCs/>
          <w:sz w:val="24"/>
          <w:szCs w:val="24"/>
        </w:rPr>
        <w:t>:</w:t>
      </w:r>
      <w:r w:rsidR="0000782D" w:rsidRPr="00C755B1">
        <w:rPr>
          <w:rFonts w:ascii="Times New Roman" w:hAnsi="Times New Roman" w:cs="Times New Roman"/>
          <w:sz w:val="24"/>
          <w:szCs w:val="24"/>
        </w:rPr>
        <w:t xml:space="preserve"> </w:t>
      </w:r>
      <w:r w:rsidR="0000782D">
        <w:rPr>
          <w:rFonts w:ascii="Times New Roman" w:hAnsi="Times New Roman" w:cs="Times New Roman"/>
          <w:sz w:val="24"/>
          <w:szCs w:val="24"/>
        </w:rPr>
        <w:t xml:space="preserve">Test </w:t>
      </w:r>
      <w:r w:rsidR="00FE306A">
        <w:rPr>
          <w:rFonts w:ascii="Times New Roman" w:hAnsi="Times New Roman" w:cs="Times New Roman"/>
          <w:sz w:val="24"/>
          <w:szCs w:val="24"/>
        </w:rPr>
        <w:t xml:space="preserve">the </w:t>
      </w:r>
      <w:r>
        <w:rPr>
          <w:rFonts w:ascii="Times New Roman" w:hAnsi="Times New Roman" w:cs="Times New Roman"/>
          <w:sz w:val="24"/>
          <w:szCs w:val="24"/>
        </w:rPr>
        <w:t xml:space="preserve">validity of </w:t>
      </w:r>
      <w:r w:rsidR="00FE306A">
        <w:rPr>
          <w:rFonts w:ascii="Times New Roman" w:hAnsi="Times New Roman" w:cs="Times New Roman"/>
          <w:sz w:val="24"/>
          <w:szCs w:val="24"/>
        </w:rPr>
        <w:t xml:space="preserve">our </w:t>
      </w:r>
      <w:r>
        <w:rPr>
          <w:rFonts w:ascii="Times New Roman" w:hAnsi="Times New Roman" w:cs="Times New Roman"/>
          <w:sz w:val="24"/>
          <w:szCs w:val="24"/>
        </w:rPr>
        <w:t>results after accounting for endogeneity</w:t>
      </w:r>
      <w:r w:rsidR="009B2891">
        <w:rPr>
          <w:rFonts w:ascii="Times New Roman" w:hAnsi="Times New Roman" w:cs="Times New Roman"/>
          <w:sz w:val="24"/>
          <w:szCs w:val="24"/>
        </w:rPr>
        <w:t>.</w:t>
      </w:r>
    </w:p>
    <w:p w14:paraId="0E31C909" w14:textId="77777777" w:rsidR="00E93057" w:rsidRDefault="00E93057" w:rsidP="00260D7D">
      <w:pPr>
        <w:tabs>
          <w:tab w:val="left" w:pos="567"/>
        </w:tabs>
        <w:spacing w:after="0" w:line="288" w:lineRule="auto"/>
        <w:jc w:val="both"/>
        <w:rPr>
          <w:rFonts w:ascii="Times New Roman" w:hAnsi="Times New Roman" w:cs="Times New Roman"/>
          <w:sz w:val="24"/>
          <w:szCs w:val="24"/>
        </w:rPr>
      </w:pPr>
    </w:p>
    <w:p w14:paraId="6C8372CC" w14:textId="0C1F2433" w:rsidR="0094575E" w:rsidRDefault="005B501E"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94575E">
        <w:rPr>
          <w:rFonts w:ascii="Times New Roman" w:hAnsi="Times New Roman" w:cs="Times New Roman"/>
          <w:sz w:val="24"/>
          <w:szCs w:val="24"/>
        </w:rPr>
        <w:t xml:space="preserve">As the main goals of this study are to both investigate the benefits gained from adding the governance variables and to test the accuracy of the different </w:t>
      </w:r>
      <w:r w:rsidR="001D2B72">
        <w:rPr>
          <w:rFonts w:ascii="Times New Roman" w:hAnsi="Times New Roman" w:cs="Times New Roman"/>
          <w:sz w:val="24"/>
          <w:szCs w:val="24"/>
        </w:rPr>
        <w:t xml:space="preserve">statistical </w:t>
      </w:r>
      <w:r w:rsidR="0094575E">
        <w:rPr>
          <w:rFonts w:ascii="Times New Roman" w:hAnsi="Times New Roman" w:cs="Times New Roman"/>
          <w:sz w:val="24"/>
          <w:szCs w:val="24"/>
        </w:rPr>
        <w:t>estimation tech</w:t>
      </w:r>
      <w:r w:rsidR="003735C0">
        <w:rPr>
          <w:rFonts w:ascii="Times New Roman" w:hAnsi="Times New Roman" w:cs="Times New Roman"/>
          <w:sz w:val="24"/>
          <w:szCs w:val="24"/>
        </w:rPr>
        <w:t xml:space="preserve">niques </w:t>
      </w:r>
      <w:r w:rsidR="00F76E0B">
        <w:rPr>
          <w:rFonts w:ascii="Times New Roman" w:hAnsi="Times New Roman" w:cs="Times New Roman"/>
          <w:sz w:val="24"/>
          <w:szCs w:val="24"/>
        </w:rPr>
        <w:t>(henceforth referred to as estimation methods</w:t>
      </w:r>
      <w:r w:rsidR="001D2B72">
        <w:rPr>
          <w:rFonts w:ascii="Times New Roman" w:hAnsi="Times New Roman" w:cs="Times New Roman"/>
          <w:sz w:val="24"/>
          <w:szCs w:val="24"/>
        </w:rPr>
        <w:t xml:space="preserve"> or techniques</w:t>
      </w:r>
      <w:r w:rsidR="00F76E0B">
        <w:rPr>
          <w:rFonts w:ascii="Times New Roman" w:hAnsi="Times New Roman" w:cs="Times New Roman"/>
          <w:sz w:val="24"/>
          <w:szCs w:val="24"/>
        </w:rPr>
        <w:t xml:space="preserve">) </w:t>
      </w:r>
      <w:r w:rsidR="003735C0">
        <w:rPr>
          <w:rFonts w:ascii="Times New Roman" w:hAnsi="Times New Roman" w:cs="Times New Roman"/>
          <w:sz w:val="24"/>
          <w:szCs w:val="24"/>
        </w:rPr>
        <w:t>at the same time, we</w:t>
      </w:r>
      <w:r w:rsidR="0094575E">
        <w:rPr>
          <w:rFonts w:ascii="Times New Roman" w:hAnsi="Times New Roman" w:cs="Times New Roman"/>
          <w:sz w:val="24"/>
          <w:szCs w:val="24"/>
        </w:rPr>
        <w:t xml:space="preserve"> use a battery of tests to compare the</w:t>
      </w:r>
      <w:r w:rsidR="0094575E" w:rsidRPr="00930B94">
        <w:rPr>
          <w:rFonts w:ascii="Times New Roman" w:hAnsi="Times New Roman" w:cs="Times New Roman"/>
          <w:sz w:val="24"/>
          <w:szCs w:val="24"/>
        </w:rPr>
        <w:t xml:space="preserve"> prediction performance</w:t>
      </w:r>
      <w:r w:rsidR="0094575E">
        <w:rPr>
          <w:rFonts w:ascii="Times New Roman" w:hAnsi="Times New Roman" w:cs="Times New Roman"/>
          <w:sz w:val="24"/>
          <w:szCs w:val="24"/>
        </w:rPr>
        <w:t xml:space="preserve">, the </w:t>
      </w:r>
      <w:r w:rsidR="0094575E" w:rsidRPr="00930B94">
        <w:rPr>
          <w:rFonts w:ascii="Times New Roman" w:hAnsi="Times New Roman" w:cs="Times New Roman"/>
          <w:sz w:val="24"/>
          <w:szCs w:val="24"/>
        </w:rPr>
        <w:t>classification power</w:t>
      </w:r>
      <w:r w:rsidR="0094575E">
        <w:rPr>
          <w:rFonts w:ascii="Times New Roman" w:hAnsi="Times New Roman" w:cs="Times New Roman"/>
          <w:sz w:val="24"/>
          <w:szCs w:val="24"/>
        </w:rPr>
        <w:t>, and the information content</w:t>
      </w:r>
      <w:r w:rsidR="003735C0">
        <w:rPr>
          <w:rFonts w:ascii="Times New Roman" w:hAnsi="Times New Roman" w:cs="Times New Roman"/>
          <w:sz w:val="24"/>
          <w:szCs w:val="24"/>
        </w:rPr>
        <w:t xml:space="preserve"> of our models.</w:t>
      </w:r>
    </w:p>
    <w:p w14:paraId="6530DF68" w14:textId="77777777" w:rsidR="00E93057" w:rsidRDefault="00E93057" w:rsidP="00260D7D">
      <w:pPr>
        <w:tabs>
          <w:tab w:val="left" w:pos="567"/>
        </w:tabs>
        <w:spacing w:after="0" w:line="288" w:lineRule="auto"/>
        <w:jc w:val="both"/>
        <w:rPr>
          <w:rFonts w:ascii="Times New Roman" w:hAnsi="Times New Roman" w:cs="Times New Roman"/>
          <w:sz w:val="24"/>
          <w:szCs w:val="24"/>
        </w:rPr>
      </w:pPr>
    </w:p>
    <w:p w14:paraId="09D7DFFE" w14:textId="635A0DE0" w:rsidR="00590F01" w:rsidRPr="00E9252B" w:rsidRDefault="00590F01" w:rsidP="00C755B1">
      <w:pPr>
        <w:pStyle w:val="Heading4"/>
        <w:tabs>
          <w:tab w:val="left" w:pos="567"/>
        </w:tabs>
        <w:spacing w:before="0" w:line="288" w:lineRule="auto"/>
        <w:rPr>
          <w:rFonts w:asciiTheme="majorBidi" w:hAnsiTheme="majorBidi"/>
          <w:b/>
          <w:bCs/>
          <w:i w:val="0"/>
          <w:iCs w:val="0"/>
          <w:color w:val="auto"/>
          <w:sz w:val="24"/>
          <w:szCs w:val="24"/>
        </w:rPr>
      </w:pPr>
      <w:bookmarkStart w:id="1" w:name="_Toc475170409"/>
      <w:r w:rsidRPr="00E9252B">
        <w:rPr>
          <w:rFonts w:asciiTheme="majorBidi" w:hAnsiTheme="majorBidi"/>
          <w:b/>
          <w:bCs/>
          <w:i w:val="0"/>
          <w:iCs w:val="0"/>
          <w:color w:val="auto"/>
          <w:sz w:val="24"/>
          <w:szCs w:val="24"/>
        </w:rPr>
        <w:t xml:space="preserve">Multiple </w:t>
      </w:r>
      <w:r w:rsidR="00C755B1">
        <w:rPr>
          <w:rFonts w:asciiTheme="majorBidi" w:hAnsiTheme="majorBidi"/>
          <w:b/>
          <w:bCs/>
          <w:i w:val="0"/>
          <w:iCs w:val="0"/>
          <w:color w:val="auto"/>
          <w:sz w:val="24"/>
          <w:szCs w:val="24"/>
        </w:rPr>
        <w:t>D</w:t>
      </w:r>
      <w:r w:rsidRPr="00E9252B">
        <w:rPr>
          <w:rFonts w:asciiTheme="majorBidi" w:hAnsiTheme="majorBidi"/>
          <w:b/>
          <w:bCs/>
          <w:i w:val="0"/>
          <w:iCs w:val="0"/>
          <w:color w:val="auto"/>
          <w:sz w:val="24"/>
          <w:szCs w:val="24"/>
        </w:rPr>
        <w:t xml:space="preserve">iscriminant </w:t>
      </w:r>
      <w:r w:rsidR="00C755B1">
        <w:rPr>
          <w:rFonts w:asciiTheme="majorBidi" w:hAnsiTheme="majorBidi"/>
          <w:b/>
          <w:bCs/>
          <w:i w:val="0"/>
          <w:iCs w:val="0"/>
          <w:color w:val="auto"/>
          <w:sz w:val="24"/>
          <w:szCs w:val="24"/>
        </w:rPr>
        <w:t>A</w:t>
      </w:r>
      <w:r w:rsidRPr="00E9252B">
        <w:rPr>
          <w:rFonts w:asciiTheme="majorBidi" w:hAnsiTheme="majorBidi"/>
          <w:b/>
          <w:bCs/>
          <w:i w:val="0"/>
          <w:iCs w:val="0"/>
          <w:color w:val="auto"/>
          <w:sz w:val="24"/>
          <w:szCs w:val="24"/>
        </w:rPr>
        <w:t xml:space="preserve">nalysis (MDA) and </w:t>
      </w:r>
      <w:r w:rsidR="00C755B1">
        <w:rPr>
          <w:rFonts w:asciiTheme="majorBidi" w:hAnsiTheme="majorBidi"/>
          <w:b/>
          <w:bCs/>
          <w:i w:val="0"/>
          <w:iCs w:val="0"/>
          <w:color w:val="auto"/>
          <w:sz w:val="24"/>
          <w:szCs w:val="24"/>
        </w:rPr>
        <w:t>R</w:t>
      </w:r>
      <w:r w:rsidRPr="00E9252B">
        <w:rPr>
          <w:rFonts w:asciiTheme="majorBidi" w:hAnsiTheme="majorBidi"/>
          <w:b/>
          <w:bCs/>
          <w:i w:val="0"/>
          <w:iCs w:val="0"/>
          <w:color w:val="auto"/>
          <w:sz w:val="24"/>
          <w:szCs w:val="24"/>
        </w:rPr>
        <w:t xml:space="preserve">egression </w:t>
      </w:r>
      <w:r w:rsidR="00C755B1">
        <w:rPr>
          <w:rFonts w:asciiTheme="majorBidi" w:hAnsiTheme="majorBidi"/>
          <w:b/>
          <w:bCs/>
          <w:i w:val="0"/>
          <w:iCs w:val="0"/>
          <w:color w:val="auto"/>
          <w:sz w:val="24"/>
          <w:szCs w:val="24"/>
        </w:rPr>
        <w:t>A</w:t>
      </w:r>
      <w:r w:rsidRPr="00E9252B">
        <w:rPr>
          <w:rFonts w:asciiTheme="majorBidi" w:hAnsiTheme="majorBidi"/>
          <w:b/>
          <w:bCs/>
          <w:i w:val="0"/>
          <w:iCs w:val="0"/>
          <w:color w:val="auto"/>
          <w:sz w:val="24"/>
          <w:szCs w:val="24"/>
        </w:rPr>
        <w:t>nalysis</w:t>
      </w:r>
      <w:bookmarkEnd w:id="1"/>
    </w:p>
    <w:p w14:paraId="41DC5A01" w14:textId="77777777" w:rsidR="00C755B1" w:rsidRPr="00C755B1" w:rsidRDefault="00C755B1" w:rsidP="00260D7D">
      <w:pPr>
        <w:tabs>
          <w:tab w:val="left" w:pos="567"/>
        </w:tabs>
        <w:spacing w:after="0" w:line="288" w:lineRule="auto"/>
        <w:jc w:val="both"/>
        <w:rPr>
          <w:rFonts w:ascii="Times New Roman" w:hAnsi="Times New Roman" w:cs="Times New Roman"/>
          <w:sz w:val="6"/>
          <w:szCs w:val="6"/>
        </w:rPr>
      </w:pPr>
    </w:p>
    <w:p w14:paraId="39B8CBB2" w14:textId="51168DD3" w:rsidR="00590F01" w:rsidRDefault="00590F01"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Both MDA and regression analysis have been used extensively in the bankruptcy prediction literature. Put simply, an MDA model is a linear combination of two or more independent variables that are used to differentiate between pre-defined groups. This differentiation is achieved through maximizing the between-group variance relative to the within-group variance in order to produce the discriminant score (also called the Z-score) which is then used to classify the different observations into different groups. The average of the Z-scores of the individual observations in each group are used to measure group means which are also called centroids. The statistical significance of the model is determined through measuring the distance between these different centroids. Furthermore, t</w:t>
      </w:r>
      <w:r w:rsidRPr="006B0442">
        <w:rPr>
          <w:rFonts w:ascii="Times New Roman" w:hAnsi="Times New Roman" w:cs="Times New Roman"/>
          <w:sz w:val="24"/>
          <w:szCs w:val="24"/>
        </w:rPr>
        <w:t>he optimal cutoff discriminating scores between the different groups are selected so that the risk of classification is minimized.</w:t>
      </w:r>
      <w:r>
        <w:rPr>
          <w:rFonts w:ascii="Times New Roman" w:hAnsi="Times New Roman" w:cs="Times New Roman"/>
          <w:sz w:val="24"/>
          <w:szCs w:val="24"/>
        </w:rPr>
        <w:t xml:space="preserve"> MDA is well-suited for analyses with categorical dependent variables and metric independent variables. </w:t>
      </w:r>
    </w:p>
    <w:p w14:paraId="016B3CE4" w14:textId="5390FF28" w:rsidR="00590F01" w:rsidRDefault="005B501E"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90F01">
        <w:rPr>
          <w:rFonts w:ascii="Times New Roman" w:hAnsi="Times New Roman" w:cs="Times New Roman"/>
          <w:sz w:val="24"/>
          <w:szCs w:val="24"/>
        </w:rPr>
        <w:t xml:space="preserve">Regression analysis is one of the most widely used statistical techniques across different disciplines and research streams including bankruptcy prediction. Much like MDA, it is a statistical technique that is used for estimating the relationship between a dependent variable and one or more independent variables. The form of the regression model and its coefficients help understand the relationship between the dependent variable and the independent variables </w:t>
      </w:r>
      <w:r w:rsidR="00590F01">
        <w:rPr>
          <w:rFonts w:ascii="Times New Roman" w:hAnsi="Times New Roman" w:cs="Times New Roman"/>
          <w:sz w:val="24"/>
          <w:szCs w:val="24"/>
        </w:rPr>
        <w:lastRenderedPageBreak/>
        <w:t xml:space="preserve">by measuring average changes in the dependent variable due to changes in the independent ones. Logit analysis is the most frequently used method in the bankruptcy prediction field (Mousavi </w:t>
      </w:r>
      <w:r w:rsidR="00327178" w:rsidRPr="00327178">
        <w:rPr>
          <w:rFonts w:ascii="Times New Roman" w:hAnsi="Times New Roman" w:cs="Times New Roman"/>
          <w:i/>
          <w:iCs/>
          <w:sz w:val="24"/>
          <w:szCs w:val="24"/>
        </w:rPr>
        <w:t>et al.</w:t>
      </w:r>
      <w:r w:rsidR="00590F01">
        <w:rPr>
          <w:rFonts w:ascii="Times New Roman" w:hAnsi="Times New Roman" w:cs="Times New Roman"/>
          <w:sz w:val="24"/>
          <w:szCs w:val="24"/>
        </w:rPr>
        <w:t xml:space="preserve"> 2015). Many researchers have favored regression analysis over MDA because regression models tend to work under less</w:t>
      </w:r>
      <w:r w:rsidR="00590F01" w:rsidRPr="001C400F">
        <w:rPr>
          <w:rFonts w:ascii="Times New Roman" w:hAnsi="Times New Roman" w:cs="Times New Roman"/>
          <w:sz w:val="24"/>
          <w:szCs w:val="24"/>
        </w:rPr>
        <w:t xml:space="preserve"> restrictive statistical properties </w:t>
      </w:r>
      <w:r w:rsidR="00590F01">
        <w:rPr>
          <w:rFonts w:ascii="Times New Roman" w:hAnsi="Times New Roman" w:cs="Times New Roman"/>
          <w:sz w:val="24"/>
          <w:szCs w:val="24"/>
        </w:rPr>
        <w:t>th</w:t>
      </w:r>
      <w:r w:rsidR="00590F01" w:rsidRPr="001C400F">
        <w:rPr>
          <w:rFonts w:ascii="Times New Roman" w:hAnsi="Times New Roman" w:cs="Times New Roman"/>
          <w:sz w:val="24"/>
          <w:szCs w:val="24"/>
        </w:rPr>
        <w:t>a</w:t>
      </w:r>
      <w:r w:rsidR="00590F01">
        <w:rPr>
          <w:rFonts w:ascii="Times New Roman" w:hAnsi="Times New Roman" w:cs="Times New Roman"/>
          <w:sz w:val="24"/>
          <w:szCs w:val="24"/>
        </w:rPr>
        <w:t>n MDA (</w:t>
      </w:r>
      <w:r w:rsidR="00590F01" w:rsidRPr="00280944">
        <w:rPr>
          <w:rFonts w:ascii="Times New Roman" w:hAnsi="Times New Roman" w:cs="Times New Roman"/>
          <w:i/>
          <w:iCs/>
          <w:sz w:val="24"/>
          <w:szCs w:val="24"/>
        </w:rPr>
        <w:t>see</w:t>
      </w:r>
      <w:r w:rsidR="00590F01">
        <w:rPr>
          <w:rFonts w:ascii="Times New Roman" w:hAnsi="Times New Roman" w:cs="Times New Roman"/>
          <w:sz w:val="24"/>
          <w:szCs w:val="24"/>
        </w:rPr>
        <w:t xml:space="preserve"> Ohlson, 1980). Additionally,</w:t>
      </w:r>
      <w:r w:rsidR="00590F01" w:rsidRPr="001C400F">
        <w:rPr>
          <w:rFonts w:ascii="Times New Roman" w:hAnsi="Times New Roman" w:cs="Times New Roman"/>
          <w:sz w:val="24"/>
          <w:szCs w:val="24"/>
        </w:rPr>
        <w:t xml:space="preserve"> the score output from MDA has little explanation power </w:t>
      </w:r>
      <w:r w:rsidR="00590F01">
        <w:rPr>
          <w:rFonts w:ascii="Times New Roman" w:hAnsi="Times New Roman" w:cs="Times New Roman"/>
          <w:sz w:val="24"/>
          <w:szCs w:val="24"/>
        </w:rPr>
        <w:t xml:space="preserve">in terms of closeness to the event as opposed to the more informative output </w:t>
      </w:r>
      <w:r w:rsidR="00590F01" w:rsidRPr="001C400F">
        <w:rPr>
          <w:rFonts w:ascii="Times New Roman" w:hAnsi="Times New Roman" w:cs="Times New Roman"/>
          <w:sz w:val="24"/>
          <w:szCs w:val="24"/>
        </w:rPr>
        <w:t xml:space="preserve">from </w:t>
      </w:r>
      <w:r w:rsidR="00590F01">
        <w:rPr>
          <w:rFonts w:ascii="Times New Roman" w:hAnsi="Times New Roman" w:cs="Times New Roman"/>
          <w:sz w:val="24"/>
          <w:szCs w:val="24"/>
        </w:rPr>
        <w:t>regression analysis. However, it is worth mentioning that MDA and logit estimations are closely linked under the normality assumption (Mc</w:t>
      </w:r>
      <w:r w:rsidR="00D17BE5">
        <w:rPr>
          <w:rFonts w:ascii="Times New Roman" w:hAnsi="Times New Roman" w:cs="Times New Roman"/>
          <w:sz w:val="24"/>
          <w:szCs w:val="24"/>
        </w:rPr>
        <w:t>F</w:t>
      </w:r>
      <w:r w:rsidR="00590F01">
        <w:rPr>
          <w:rFonts w:ascii="Times New Roman" w:hAnsi="Times New Roman" w:cs="Times New Roman"/>
          <w:sz w:val="24"/>
          <w:szCs w:val="24"/>
        </w:rPr>
        <w:t>adden 1976).</w:t>
      </w:r>
    </w:p>
    <w:p w14:paraId="33DD85FB" w14:textId="77777777" w:rsidR="00E93057" w:rsidRDefault="00E93057" w:rsidP="00260D7D">
      <w:pPr>
        <w:tabs>
          <w:tab w:val="left" w:pos="567"/>
        </w:tabs>
        <w:spacing w:after="0" w:line="288" w:lineRule="auto"/>
        <w:jc w:val="both"/>
        <w:rPr>
          <w:rFonts w:ascii="Times New Roman" w:hAnsi="Times New Roman" w:cs="Times New Roman"/>
          <w:sz w:val="24"/>
          <w:szCs w:val="24"/>
        </w:rPr>
      </w:pPr>
    </w:p>
    <w:p w14:paraId="0A0BA669" w14:textId="3331C065" w:rsidR="00590F01" w:rsidRPr="00E9252B" w:rsidRDefault="00590F01" w:rsidP="00CF669B">
      <w:pPr>
        <w:pStyle w:val="Heading4"/>
        <w:tabs>
          <w:tab w:val="left" w:pos="567"/>
        </w:tabs>
        <w:spacing w:before="0" w:line="288" w:lineRule="auto"/>
        <w:rPr>
          <w:rFonts w:asciiTheme="majorBidi" w:hAnsiTheme="majorBidi"/>
          <w:b/>
          <w:bCs/>
          <w:i w:val="0"/>
          <w:iCs w:val="0"/>
          <w:color w:val="auto"/>
          <w:sz w:val="24"/>
          <w:szCs w:val="24"/>
        </w:rPr>
      </w:pPr>
      <w:bookmarkStart w:id="2" w:name="_Toc475170410"/>
      <w:r w:rsidRPr="00E9252B">
        <w:rPr>
          <w:rFonts w:asciiTheme="majorBidi" w:hAnsiTheme="majorBidi"/>
          <w:b/>
          <w:bCs/>
          <w:i w:val="0"/>
          <w:iCs w:val="0"/>
          <w:color w:val="auto"/>
          <w:sz w:val="24"/>
          <w:szCs w:val="24"/>
        </w:rPr>
        <w:t xml:space="preserve">Hazard </w:t>
      </w:r>
      <w:r w:rsidR="00CF669B">
        <w:rPr>
          <w:rFonts w:asciiTheme="majorBidi" w:hAnsiTheme="majorBidi"/>
          <w:b/>
          <w:bCs/>
          <w:i w:val="0"/>
          <w:iCs w:val="0"/>
          <w:color w:val="auto"/>
          <w:sz w:val="24"/>
          <w:szCs w:val="24"/>
        </w:rPr>
        <w:t>A</w:t>
      </w:r>
      <w:r w:rsidRPr="00E9252B">
        <w:rPr>
          <w:rFonts w:asciiTheme="majorBidi" w:hAnsiTheme="majorBidi"/>
          <w:b/>
          <w:bCs/>
          <w:i w:val="0"/>
          <w:iCs w:val="0"/>
          <w:color w:val="auto"/>
          <w:sz w:val="24"/>
          <w:szCs w:val="24"/>
        </w:rPr>
        <w:t>nalysis</w:t>
      </w:r>
      <w:bookmarkEnd w:id="2"/>
    </w:p>
    <w:p w14:paraId="44CC09E3" w14:textId="77777777" w:rsidR="00CF669B" w:rsidRPr="00CF669B" w:rsidRDefault="00CF669B" w:rsidP="00260D7D">
      <w:pPr>
        <w:tabs>
          <w:tab w:val="left" w:pos="567"/>
        </w:tabs>
        <w:spacing w:after="0" w:line="288" w:lineRule="auto"/>
        <w:jc w:val="both"/>
        <w:rPr>
          <w:rFonts w:ascii="Times New Roman" w:hAnsi="Times New Roman" w:cs="Times New Roman"/>
          <w:sz w:val="6"/>
          <w:szCs w:val="6"/>
        </w:rPr>
      </w:pPr>
    </w:p>
    <w:p w14:paraId="7BFBCABB" w14:textId="16AEA3BB" w:rsidR="00590F01" w:rsidRDefault="00590F01"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 number of bankruptcy prediction studies have used hazard analysis to estimate their models rather than MDA or regression analysis.</w:t>
      </w:r>
      <w:r w:rsidRPr="00E6227E">
        <w:t xml:space="preserve"> </w:t>
      </w:r>
      <w:r w:rsidRPr="00E6227E">
        <w:rPr>
          <w:rFonts w:ascii="Times New Roman" w:hAnsi="Times New Roman" w:cs="Times New Roman"/>
          <w:sz w:val="24"/>
          <w:szCs w:val="24"/>
        </w:rPr>
        <w:t xml:space="preserve">Shumway (2001) argues that hazard models are far better than MDA or regression analysis for predicting bankruptcy because </w:t>
      </w:r>
      <w:r>
        <w:rPr>
          <w:rFonts w:ascii="Times New Roman" w:hAnsi="Times New Roman" w:cs="Times New Roman"/>
          <w:sz w:val="24"/>
          <w:szCs w:val="24"/>
        </w:rPr>
        <w:t xml:space="preserve">they </w:t>
      </w:r>
      <w:r w:rsidRPr="00E6227E">
        <w:rPr>
          <w:rFonts w:ascii="Times New Roman" w:hAnsi="Times New Roman" w:cs="Times New Roman"/>
          <w:sz w:val="24"/>
          <w:szCs w:val="24"/>
        </w:rPr>
        <w:t>provide more consistent estimates.</w:t>
      </w:r>
      <w:r>
        <w:rPr>
          <w:rFonts w:ascii="Times New Roman" w:hAnsi="Times New Roman" w:cs="Times New Roman"/>
          <w:sz w:val="24"/>
          <w:szCs w:val="24"/>
        </w:rPr>
        <w:t xml:space="preserve"> Cross-sectional models such as MDA and logit models, fail to take account of changes in the firm’s performance or characteristics over time. Specifically, these models consider each firm-year as an independent observation rather than looking at related firm-years as a series of observations on the same firm. Furthermore, while MDA and logit estimations use the firm’s last observation only to estimate the model, hazard models utilize more data points over the life of the firm</w:t>
      </w:r>
      <w:r w:rsidR="00C73D97">
        <w:rPr>
          <w:rFonts w:ascii="Times New Roman" w:hAnsi="Times New Roman" w:cs="Times New Roman"/>
          <w:sz w:val="24"/>
          <w:szCs w:val="24"/>
        </w:rPr>
        <w:t xml:space="preserve"> and thus consider the full available history of each firm</w:t>
      </w:r>
      <w:r>
        <w:rPr>
          <w:rFonts w:ascii="Times New Roman" w:hAnsi="Times New Roman" w:cs="Times New Roman"/>
          <w:sz w:val="24"/>
          <w:szCs w:val="24"/>
        </w:rPr>
        <w:t>. Shumway equates hazard models to logit models where no data points were excluded. As a result, the use of more data points is expected to produce more consistent and efficient estimates</w:t>
      </w:r>
      <w:r w:rsidR="00C73D97">
        <w:rPr>
          <w:rFonts w:ascii="Times New Roman" w:hAnsi="Times New Roman" w:cs="Times New Roman"/>
          <w:sz w:val="24"/>
          <w:szCs w:val="24"/>
        </w:rPr>
        <w:t xml:space="preserve"> which are not time-dependent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w:t>
      </w:r>
      <w:r w:rsidR="0088395E">
        <w:rPr>
          <w:rFonts w:ascii="Times New Roman" w:hAnsi="Times New Roman" w:cs="Times New Roman"/>
          <w:sz w:val="24"/>
          <w:szCs w:val="24"/>
        </w:rPr>
        <w:t xml:space="preserve"> Hazard models also allow explanatory variables to vary over time which makes it possible to capture any deterioration in the firm’s financial health in the time leading to bankruptcy.</w:t>
      </w:r>
    </w:p>
    <w:p w14:paraId="77905258" w14:textId="77777777" w:rsidR="00E93057" w:rsidRDefault="00E93057" w:rsidP="00260D7D">
      <w:pPr>
        <w:tabs>
          <w:tab w:val="left" w:pos="567"/>
        </w:tabs>
        <w:spacing w:after="0" w:line="288" w:lineRule="auto"/>
        <w:jc w:val="both"/>
        <w:rPr>
          <w:rFonts w:ascii="Times New Roman" w:hAnsi="Times New Roman" w:cs="Times New Roman"/>
          <w:sz w:val="24"/>
          <w:szCs w:val="24"/>
        </w:rPr>
      </w:pPr>
    </w:p>
    <w:p w14:paraId="059D634F" w14:textId="17B2DEAB" w:rsidR="00590F01" w:rsidRDefault="00E93057"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90F01">
        <w:rPr>
          <w:rFonts w:ascii="Times New Roman" w:hAnsi="Times New Roman" w:cs="Times New Roman"/>
          <w:sz w:val="24"/>
          <w:szCs w:val="24"/>
        </w:rPr>
        <w:t>In hazard analysis, the survival and the hazard functions are the two most relevant functions needed to perform the analysis. While both are functions of time, the hazard function represents the probability of failure at time (t) having survived until or after that point in time, whereas the</w:t>
      </w:r>
      <w:r w:rsidR="00590F01" w:rsidRPr="00DC54C5">
        <w:rPr>
          <w:rFonts w:ascii="Times New Roman" w:hAnsi="Times New Roman" w:cs="Times New Roman"/>
          <w:sz w:val="24"/>
          <w:szCs w:val="24"/>
        </w:rPr>
        <w:t xml:space="preserve"> survival function represents the probability</w:t>
      </w:r>
      <w:r w:rsidR="00590F01">
        <w:rPr>
          <w:rFonts w:ascii="Times New Roman" w:hAnsi="Times New Roman" w:cs="Times New Roman"/>
          <w:sz w:val="24"/>
          <w:szCs w:val="24"/>
        </w:rPr>
        <w:t xml:space="preserve"> of survival beyond time</w:t>
      </w:r>
      <w:r w:rsidR="00590F01" w:rsidRPr="00DC54C5">
        <w:rPr>
          <w:rFonts w:ascii="Times New Roman" w:hAnsi="Times New Roman" w:cs="Times New Roman"/>
          <w:sz w:val="24"/>
          <w:szCs w:val="24"/>
        </w:rPr>
        <w:t xml:space="preserve"> </w:t>
      </w:r>
      <w:r w:rsidR="00590F01">
        <w:rPr>
          <w:rFonts w:ascii="Times New Roman" w:hAnsi="Times New Roman" w:cs="Times New Roman"/>
          <w:sz w:val="24"/>
          <w:szCs w:val="24"/>
        </w:rPr>
        <w:t>(</w:t>
      </w:r>
      <w:r w:rsidR="00590F01" w:rsidRPr="00DC54C5">
        <w:rPr>
          <w:rFonts w:ascii="Times New Roman" w:hAnsi="Times New Roman" w:cs="Times New Roman"/>
          <w:sz w:val="24"/>
          <w:szCs w:val="24"/>
        </w:rPr>
        <w:t>t</w:t>
      </w:r>
      <w:r w:rsidR="00590F01">
        <w:rPr>
          <w:rFonts w:ascii="Times New Roman" w:hAnsi="Times New Roman" w:cs="Times New Roman"/>
          <w:sz w:val="24"/>
          <w:szCs w:val="24"/>
        </w:rPr>
        <w:t xml:space="preserve">). Shumway’s discrete-time hazard model is the most frequently used </w:t>
      </w:r>
      <w:r w:rsidR="00946205">
        <w:rPr>
          <w:rFonts w:ascii="Times New Roman" w:hAnsi="Times New Roman" w:cs="Times New Roman"/>
          <w:sz w:val="24"/>
          <w:szCs w:val="24"/>
        </w:rPr>
        <w:t xml:space="preserve">hazard </w:t>
      </w:r>
      <w:r w:rsidR="00590F01">
        <w:rPr>
          <w:rFonts w:ascii="Times New Roman" w:hAnsi="Times New Roman" w:cs="Times New Roman"/>
          <w:sz w:val="24"/>
          <w:szCs w:val="24"/>
        </w:rPr>
        <w:t xml:space="preserve">model in the field of bankruptcy prediction. Shumway’s definition of both functions is as follows: </w:t>
      </w:r>
    </w:p>
    <w:p w14:paraId="441504FC" w14:textId="77777777" w:rsidR="00E93057" w:rsidRPr="006F4237" w:rsidRDefault="00E93057" w:rsidP="00260D7D">
      <w:pPr>
        <w:tabs>
          <w:tab w:val="left" w:pos="567"/>
        </w:tabs>
        <w:spacing w:after="0" w:line="288" w:lineRule="auto"/>
        <w:jc w:val="both"/>
        <w:rPr>
          <w:rFonts w:ascii="Times New Roman" w:hAnsi="Times New Roman" w:cs="Times New Roman"/>
          <w:sz w:val="12"/>
          <w:szCs w:val="12"/>
        </w:rPr>
      </w:pPr>
    </w:p>
    <w:p w14:paraId="01F770D8" w14:textId="77777777" w:rsidR="00590F01" w:rsidRDefault="00590F01" w:rsidP="00260D7D">
      <w:pPr>
        <w:tabs>
          <w:tab w:val="left" w:pos="567"/>
        </w:tabs>
        <w:spacing w:after="0" w:line="288" w:lineRule="auto"/>
        <w:jc w:val="both"/>
        <w:rPr>
          <w:rFonts w:ascii="Times New Roman" w:hAnsi="Times New Roman" w:cs="Times New Roman"/>
          <w:sz w:val="24"/>
          <w:szCs w:val="24"/>
        </w:rPr>
      </w:pPr>
      <m:oMathPara>
        <m:oMath>
          <m:r>
            <w:rPr>
              <w:rFonts w:ascii="Cambria Math" w:hAnsi="Cambria Math" w:cs="Times New Roman"/>
            </w:rPr>
            <m:t>S</m:t>
          </m:r>
          <m:d>
            <m:dPr>
              <m:ctrlPr>
                <w:rPr>
                  <w:rFonts w:ascii="Cambria Math" w:hAnsi="Cambria Math" w:cs="Times New Roman"/>
                  <w:i/>
                </w:rPr>
              </m:ctrlPr>
            </m:dPr>
            <m:e>
              <m:r>
                <w:rPr>
                  <w:rFonts w:ascii="Cambria Math" w:hAnsi="Cambria Math" w:cs="Times New Roman"/>
                </w:rPr>
                <m:t>t,x;θ</m:t>
              </m:r>
            </m:e>
          </m:d>
          <m:r>
            <w:rPr>
              <w:rFonts w:ascii="Cambria Math" w:hAnsi="Cambria Math" w:cs="Times New Roman"/>
            </w:rPr>
            <m:t xml:space="preserve">=1- </m:t>
          </m:r>
          <m:nary>
            <m:naryPr>
              <m:chr m:val="∑"/>
              <m:limLoc m:val="undOvr"/>
              <m:supHide m:val="1"/>
              <m:ctrlPr>
                <w:rPr>
                  <w:rFonts w:ascii="Cambria Math" w:hAnsi="Cambria Math" w:cs="Times New Roman"/>
                  <w:i/>
                </w:rPr>
              </m:ctrlPr>
            </m:naryPr>
            <m:sub>
              <m:r>
                <w:rPr>
                  <w:rFonts w:ascii="Cambria Math" w:hAnsi="Cambria Math" w:cs="Times New Roman"/>
                </w:rPr>
                <m:t>j&lt;t</m:t>
              </m:r>
            </m:sub>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j,x;θ</m:t>
                  </m:r>
                </m:e>
              </m:d>
              <m:r>
                <w:rPr>
                  <w:rFonts w:ascii="Cambria Math" w:hAnsi="Cambria Math" w:cs="Times New Roman"/>
                </w:rPr>
                <m:t xml:space="preserve"> </m:t>
              </m:r>
            </m:e>
          </m:nary>
          <m:r>
            <w:rPr>
              <w:rFonts w:ascii="Cambria Math" w:hAnsi="Cambria Math" w:cs="Times New Roman"/>
            </w:rPr>
            <m:t xml:space="preserve"> and  H</m:t>
          </m:r>
          <m:d>
            <m:dPr>
              <m:ctrlPr>
                <w:rPr>
                  <w:rFonts w:ascii="Cambria Math" w:hAnsi="Cambria Math" w:cs="Times New Roman"/>
                  <w:i/>
                </w:rPr>
              </m:ctrlPr>
            </m:dPr>
            <m:e>
              <m:r>
                <w:rPr>
                  <w:rFonts w:ascii="Cambria Math" w:hAnsi="Cambria Math" w:cs="Times New Roman"/>
                </w:rPr>
                <m:t>t,x;θ</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f</m:t>
              </m:r>
              <m:d>
                <m:dPr>
                  <m:ctrlPr>
                    <w:rPr>
                      <w:rFonts w:ascii="Cambria Math" w:hAnsi="Cambria Math" w:cs="Times New Roman"/>
                      <w:i/>
                    </w:rPr>
                  </m:ctrlPr>
                </m:dPr>
                <m:e>
                  <m:r>
                    <w:rPr>
                      <w:rFonts w:ascii="Cambria Math" w:hAnsi="Cambria Math" w:cs="Times New Roman"/>
                    </w:rPr>
                    <m:t>t,x;θ</m:t>
                  </m:r>
                </m:e>
              </m:d>
            </m:num>
            <m:den>
              <m:r>
                <w:rPr>
                  <w:rFonts w:ascii="Cambria Math" w:hAnsi="Cambria Math" w:cs="Times New Roman"/>
                </w:rPr>
                <m:t>S</m:t>
              </m:r>
              <m:d>
                <m:dPr>
                  <m:ctrlPr>
                    <w:rPr>
                      <w:rFonts w:ascii="Cambria Math" w:hAnsi="Cambria Math" w:cs="Times New Roman"/>
                      <w:i/>
                    </w:rPr>
                  </m:ctrlPr>
                </m:dPr>
                <m:e>
                  <m:r>
                    <w:rPr>
                      <w:rFonts w:ascii="Cambria Math" w:hAnsi="Cambria Math" w:cs="Times New Roman"/>
                    </w:rPr>
                    <m:t>t,x;θ</m:t>
                  </m:r>
                </m:e>
              </m:d>
            </m:den>
          </m:f>
        </m:oMath>
      </m:oMathPara>
    </w:p>
    <w:p w14:paraId="1B90B122" w14:textId="77777777" w:rsidR="00CF669B" w:rsidRPr="006F4237" w:rsidRDefault="00CF669B" w:rsidP="00260D7D">
      <w:pPr>
        <w:tabs>
          <w:tab w:val="left" w:pos="567"/>
        </w:tabs>
        <w:spacing w:after="0" w:line="288" w:lineRule="auto"/>
        <w:jc w:val="both"/>
        <w:rPr>
          <w:rFonts w:ascii="Times New Roman" w:hAnsi="Times New Roman" w:cs="Times New Roman"/>
          <w:sz w:val="12"/>
          <w:szCs w:val="12"/>
        </w:rPr>
      </w:pPr>
    </w:p>
    <w:p w14:paraId="0CB0C937" w14:textId="04FA90C6" w:rsidR="00590F01" w:rsidRDefault="00CF669B"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w</w:t>
      </w:r>
      <w:r w:rsidR="00590F01">
        <w:rPr>
          <w:rFonts w:ascii="Times New Roman" w:hAnsi="Times New Roman" w:cs="Times New Roman"/>
          <w:sz w:val="24"/>
          <w:szCs w:val="24"/>
        </w:rPr>
        <w:t xml:space="preserve">here </w:t>
      </w:r>
      <w:r w:rsidR="00590F01" w:rsidRPr="000A2B40">
        <w:rPr>
          <w:rFonts w:ascii="Times New Roman" w:hAnsi="Times New Roman" w:cs="Times New Roman"/>
          <w:sz w:val="24"/>
          <w:szCs w:val="24"/>
        </w:rPr>
        <w:t>S(t,x;θ)</w:t>
      </w:r>
      <w:r w:rsidR="00590F01">
        <w:rPr>
          <w:rFonts w:ascii="Times New Roman" w:hAnsi="Times New Roman" w:cs="Times New Roman"/>
          <w:sz w:val="24"/>
          <w:szCs w:val="24"/>
        </w:rPr>
        <w:t xml:space="preserve"> and </w:t>
      </w:r>
      <w:r w:rsidR="00590F01" w:rsidRPr="000A2B40">
        <w:rPr>
          <w:rFonts w:ascii="Times New Roman" w:hAnsi="Times New Roman" w:cs="Times New Roman"/>
          <w:sz w:val="24"/>
          <w:szCs w:val="24"/>
        </w:rPr>
        <w:t>H(t,x;θ)</w:t>
      </w:r>
      <w:r w:rsidR="00590F01">
        <w:rPr>
          <w:rFonts w:ascii="Times New Roman" w:hAnsi="Times New Roman" w:cs="Times New Roman"/>
          <w:sz w:val="24"/>
          <w:szCs w:val="24"/>
        </w:rPr>
        <w:t xml:space="preserve"> are the survival and hazard functions, respectively, and f(t,x;</w:t>
      </w:r>
      <w:r w:rsidR="00590F01" w:rsidRPr="000A2B40">
        <w:rPr>
          <w:rFonts w:ascii="Times New Roman" w:hAnsi="Times New Roman" w:cs="Times New Roman"/>
          <w:sz w:val="24"/>
          <w:szCs w:val="24"/>
        </w:rPr>
        <w:t xml:space="preserve">θ) </w:t>
      </w:r>
      <w:r w:rsidR="00590F01">
        <w:rPr>
          <w:rFonts w:ascii="Times New Roman" w:hAnsi="Times New Roman" w:cs="Times New Roman"/>
          <w:sz w:val="24"/>
          <w:szCs w:val="24"/>
        </w:rPr>
        <w:t xml:space="preserve">is </w:t>
      </w:r>
      <w:r w:rsidR="00590F01" w:rsidRPr="001D6B24">
        <w:rPr>
          <w:rFonts w:ascii="Times New Roman" w:hAnsi="Times New Roman" w:cs="Times New Roman"/>
          <w:sz w:val="24"/>
          <w:szCs w:val="24"/>
        </w:rPr>
        <w:t>the probability mass</w:t>
      </w:r>
      <w:r w:rsidR="00590F01">
        <w:rPr>
          <w:rFonts w:ascii="Times New Roman" w:hAnsi="Times New Roman" w:cs="Times New Roman"/>
          <w:sz w:val="24"/>
          <w:szCs w:val="24"/>
        </w:rPr>
        <w:t xml:space="preserve"> function of failure. Also, t represents the time when the firm leaves the sample and </w:t>
      </w:r>
      <w:r w:rsidR="00590F01" w:rsidRPr="001D6B24">
        <w:rPr>
          <w:rFonts w:ascii="Times New Roman" w:hAnsi="Times New Roman" w:cs="Times New Roman"/>
          <w:sz w:val="24"/>
          <w:szCs w:val="24"/>
        </w:rPr>
        <w:t>θ</w:t>
      </w:r>
      <w:r w:rsidR="00590F01">
        <w:rPr>
          <w:rFonts w:ascii="Times New Roman" w:hAnsi="Times New Roman" w:cs="Times New Roman"/>
          <w:sz w:val="24"/>
          <w:szCs w:val="24"/>
        </w:rPr>
        <w:t xml:space="preserve"> is the vector of the function’s parameters, while x is the vector of bankruptcy prediction variables.</w:t>
      </w:r>
      <w:r w:rsidR="00121973">
        <w:rPr>
          <w:rFonts w:ascii="Times New Roman" w:hAnsi="Times New Roman" w:cs="Times New Roman"/>
          <w:sz w:val="24"/>
          <w:szCs w:val="24"/>
        </w:rPr>
        <w:t xml:space="preserve"> </w:t>
      </w:r>
      <w:r w:rsidR="00590F01">
        <w:rPr>
          <w:rFonts w:ascii="Times New Roman" w:hAnsi="Times New Roman" w:cs="Times New Roman"/>
          <w:sz w:val="24"/>
          <w:szCs w:val="24"/>
        </w:rPr>
        <w:t>Bharath and Shumway (</w:t>
      </w:r>
      <w:r w:rsidR="00590F01" w:rsidRPr="00CB2C6B">
        <w:rPr>
          <w:rFonts w:ascii="Times New Roman" w:hAnsi="Times New Roman" w:cs="Times New Roman"/>
          <w:sz w:val="24"/>
          <w:szCs w:val="24"/>
        </w:rPr>
        <w:t>2008</w:t>
      </w:r>
      <w:r w:rsidR="00590F01">
        <w:rPr>
          <w:rFonts w:ascii="Times New Roman" w:hAnsi="Times New Roman" w:cs="Times New Roman"/>
          <w:sz w:val="24"/>
          <w:szCs w:val="24"/>
        </w:rPr>
        <w:t>)</w:t>
      </w:r>
      <w:r w:rsidR="00280944">
        <w:rPr>
          <w:rFonts w:ascii="Times New Roman" w:hAnsi="Times New Roman" w:cs="Times New Roman"/>
          <w:sz w:val="24"/>
          <w:szCs w:val="24"/>
        </w:rPr>
        <w:t xml:space="preserve"> among others,</w:t>
      </w:r>
      <w:r w:rsidR="00590F01">
        <w:rPr>
          <w:rFonts w:ascii="Times New Roman" w:hAnsi="Times New Roman" w:cs="Times New Roman"/>
          <w:sz w:val="24"/>
          <w:szCs w:val="24"/>
        </w:rPr>
        <w:t xml:space="preserve"> employ Cox proportional hazard models in estimating the probability of default. </w:t>
      </w:r>
      <w:r w:rsidR="0007389A">
        <w:rPr>
          <w:rFonts w:ascii="Times New Roman" w:hAnsi="Times New Roman" w:cs="Times New Roman"/>
          <w:sz w:val="24"/>
          <w:szCs w:val="24"/>
        </w:rPr>
        <w:t xml:space="preserve">The </w:t>
      </w:r>
      <w:r w:rsidR="0007389A" w:rsidRPr="0007389A">
        <w:rPr>
          <w:rFonts w:ascii="Times New Roman" w:hAnsi="Times New Roman" w:cs="Times New Roman"/>
          <w:sz w:val="24"/>
          <w:szCs w:val="24"/>
        </w:rPr>
        <w:t>Cox proportional model</w:t>
      </w:r>
      <w:r w:rsidR="0007389A">
        <w:rPr>
          <w:rFonts w:ascii="Times New Roman" w:hAnsi="Times New Roman" w:cs="Times New Roman"/>
          <w:sz w:val="24"/>
          <w:szCs w:val="24"/>
        </w:rPr>
        <w:t xml:space="preserve"> is a </w:t>
      </w:r>
      <w:r w:rsidR="0007389A">
        <w:rPr>
          <w:rFonts w:ascii="Times New Roman" w:hAnsi="Times New Roman" w:cs="Times New Roman"/>
          <w:sz w:val="24"/>
          <w:szCs w:val="24"/>
        </w:rPr>
        <w:lastRenderedPageBreak/>
        <w:t xml:space="preserve">semiparametric hazard regression model that allows testing </w:t>
      </w:r>
      <w:r w:rsidR="005164F3">
        <w:rPr>
          <w:rFonts w:ascii="Times New Roman" w:hAnsi="Times New Roman" w:cs="Times New Roman"/>
          <w:sz w:val="24"/>
          <w:szCs w:val="24"/>
        </w:rPr>
        <w:t xml:space="preserve">for differences in survival times between two or more groups. The model assumes a nonlinear relationship between the hazard function and the predictors. </w:t>
      </w:r>
      <w:r w:rsidR="00590F01">
        <w:rPr>
          <w:rFonts w:ascii="Times New Roman" w:hAnsi="Times New Roman" w:cs="Times New Roman"/>
          <w:sz w:val="24"/>
          <w:szCs w:val="24"/>
        </w:rPr>
        <w:t>In th</w:t>
      </w:r>
      <w:r w:rsidR="00280944">
        <w:rPr>
          <w:rFonts w:ascii="Times New Roman" w:hAnsi="Times New Roman" w:cs="Times New Roman"/>
          <w:sz w:val="24"/>
          <w:szCs w:val="24"/>
        </w:rPr>
        <w:t>is</w:t>
      </w:r>
      <w:r w:rsidR="00590F01">
        <w:rPr>
          <w:rFonts w:ascii="Times New Roman" w:hAnsi="Times New Roman" w:cs="Times New Roman"/>
          <w:sz w:val="24"/>
          <w:szCs w:val="24"/>
        </w:rPr>
        <w:t xml:space="preserve"> model, the hazard function is assumed to be:</w:t>
      </w:r>
    </w:p>
    <w:p w14:paraId="7524060A" w14:textId="77777777" w:rsidR="00590F01" w:rsidRPr="00CB2C6B" w:rsidRDefault="00590F01" w:rsidP="00260D7D">
      <w:pPr>
        <w:tabs>
          <w:tab w:val="left" w:pos="567"/>
        </w:tabs>
        <w:spacing w:after="0" w:line="288" w:lineRule="auto"/>
        <w:jc w:val="both"/>
        <w:rPr>
          <w:rFonts w:ascii="Times New Roman" w:hAnsi="Times New Roman" w:cs="Times New Roman"/>
          <w:sz w:val="24"/>
          <w:szCs w:val="24"/>
        </w:rPr>
      </w:pPr>
      <m:oMathPara>
        <m:oMath>
          <m:r>
            <w:rPr>
              <w:rFonts w:ascii="Cambria Math" w:hAnsi="Cambria Math" w:cs="Times New Roman"/>
            </w:rPr>
            <m:t>H</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 ϕ(t)</m:t>
          </m:r>
          <m:sSup>
            <m:sSupPr>
              <m:ctrlPr>
                <w:rPr>
                  <w:rFonts w:ascii="Cambria Math" w:hAnsi="Cambria Math" w:cs="Times New Roman"/>
                  <w:i/>
                </w:rPr>
              </m:ctrlPr>
            </m:sSupPr>
            <m:e>
              <m:r>
                <w:rPr>
                  <w:rFonts w:ascii="Cambria Math" w:hAnsi="Cambria Math" w:cs="Times New Roman"/>
                </w:rPr>
                <m:t>[e</m:t>
              </m:r>
            </m:e>
            <m:sup>
              <m:d>
                <m:dPr>
                  <m:ctrlPr>
                    <w:rPr>
                      <w:rFonts w:ascii="Cambria Math" w:hAnsi="Cambria Math" w:cs="Times New Roman"/>
                      <w:i/>
                    </w:rPr>
                  </m:ctrlPr>
                </m:dPr>
                <m:e>
                  <m:r>
                    <w:rPr>
                      <w:rFonts w:ascii="Cambria Math" w:hAnsi="Cambria Math" w:cs="Times New Roman"/>
                    </w:rPr>
                    <m:t>x</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t</m:t>
                          </m:r>
                        </m:e>
                      </m:d>
                    </m:e>
                    <m:sup>
                      <m:r>
                        <w:rPr>
                          <w:rFonts w:ascii="Cambria Math" w:hAnsi="Cambria Math" w:cs="Times New Roman"/>
                        </w:rPr>
                        <m:t>'</m:t>
                      </m:r>
                    </m:sup>
                  </m:sSup>
                  <m:r>
                    <w:rPr>
                      <w:rFonts w:ascii="Cambria Math" w:hAnsi="Cambria Math" w:cs="Times New Roman"/>
                    </w:rPr>
                    <m:t>β</m:t>
                  </m:r>
                </m:e>
              </m:d>
            </m:sup>
          </m:sSup>
          <m:r>
            <w:rPr>
              <w:rFonts w:ascii="Cambria Math" w:hAnsi="Cambria Math" w:cs="Times New Roman"/>
            </w:rPr>
            <m:t>]</m:t>
          </m:r>
        </m:oMath>
      </m:oMathPara>
    </w:p>
    <w:p w14:paraId="6D0363A3" w14:textId="77777777" w:rsidR="00E93057" w:rsidRPr="006F4237" w:rsidRDefault="00E93057" w:rsidP="00260D7D">
      <w:pPr>
        <w:tabs>
          <w:tab w:val="left" w:pos="567"/>
        </w:tabs>
        <w:spacing w:after="0" w:line="288" w:lineRule="auto"/>
        <w:jc w:val="both"/>
        <w:rPr>
          <w:rFonts w:ascii="Times New Roman" w:hAnsi="Times New Roman" w:cs="Times New Roman"/>
          <w:sz w:val="12"/>
          <w:szCs w:val="12"/>
        </w:rPr>
      </w:pPr>
    </w:p>
    <w:p w14:paraId="0208B446" w14:textId="7B0D89C1" w:rsidR="00590F01" w:rsidRDefault="00E93057"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w</w:t>
      </w:r>
      <w:r w:rsidR="00590F01">
        <w:rPr>
          <w:rFonts w:ascii="Times New Roman" w:hAnsi="Times New Roman" w:cs="Times New Roman"/>
          <w:sz w:val="24"/>
          <w:szCs w:val="24"/>
        </w:rPr>
        <w:t xml:space="preserve">here </w:t>
      </w:r>
      <w:r w:rsidR="00590F01" w:rsidRPr="00CB2C6B">
        <w:rPr>
          <w:rFonts w:ascii="Times New Roman" w:hAnsi="Times New Roman" w:cs="Times New Roman"/>
          <w:sz w:val="24"/>
          <w:szCs w:val="24"/>
        </w:rPr>
        <w:t>ϕ(t)</w:t>
      </w:r>
      <w:r w:rsidR="00590F01">
        <w:rPr>
          <w:rFonts w:ascii="Times New Roman" w:hAnsi="Times New Roman" w:cs="Times New Roman"/>
          <w:sz w:val="24"/>
          <w:szCs w:val="24"/>
        </w:rPr>
        <w:t xml:space="preserve"> is the common baseline hazard rate and </w:t>
      </w:r>
      <m:oMath>
        <m:sSup>
          <m:sSupPr>
            <m:ctrlPr>
              <w:rPr>
                <w:rFonts w:ascii="Cambria Math" w:hAnsi="Cambria Math" w:cs="Times New Roman"/>
                <w:i/>
                <w:sz w:val="24"/>
                <w:szCs w:val="24"/>
              </w:rPr>
            </m:ctrlPr>
          </m:sSupPr>
          <m:e>
            <m:r>
              <w:rPr>
                <w:rFonts w:ascii="Cambria Math" w:hAnsi="Cambria Math" w:cs="Times New Roman"/>
                <w:sz w:val="24"/>
                <w:szCs w:val="24"/>
              </w:rPr>
              <m:t>e</m:t>
            </m:r>
          </m:e>
          <m:sup>
            <m:d>
              <m:dPr>
                <m:ctrlPr>
                  <w:rPr>
                    <w:rFonts w:ascii="Cambria Math" w:hAnsi="Cambria Math" w:cs="Times New Roman"/>
                    <w:i/>
                    <w:sz w:val="24"/>
                    <w:szCs w:val="24"/>
                  </w:rPr>
                </m:ctrlPr>
              </m:dPr>
              <m:e>
                <m:r>
                  <w:rPr>
                    <w:rFonts w:ascii="Cambria Math" w:hAnsi="Cambria Math" w:cs="Times New Roman"/>
                    <w:sz w:val="24"/>
                    <w:szCs w:val="24"/>
                  </w:rPr>
                  <m:t>x</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t</m:t>
                        </m:r>
                      </m:e>
                    </m:d>
                  </m:e>
                  <m:sup>
                    <m:r>
                      <w:rPr>
                        <w:rFonts w:ascii="Cambria Math" w:hAnsi="Cambria Math" w:cs="Times New Roman"/>
                        <w:sz w:val="24"/>
                        <w:szCs w:val="24"/>
                      </w:rPr>
                      <m:t>'</m:t>
                    </m:r>
                  </m:sup>
                </m:sSup>
                <m:r>
                  <w:rPr>
                    <w:rFonts w:ascii="Cambria Math" w:hAnsi="Cambria Math" w:cs="Times New Roman"/>
                    <w:sz w:val="24"/>
                    <w:szCs w:val="24"/>
                  </w:rPr>
                  <m:t>β</m:t>
                </m:r>
              </m:e>
            </m:d>
          </m:sup>
        </m:sSup>
      </m:oMath>
      <w:r w:rsidR="00590F01">
        <w:rPr>
          <w:rFonts w:ascii="Times New Roman" w:hAnsi="Times New Roman" w:cs="Times New Roman"/>
          <w:sz w:val="24"/>
          <w:szCs w:val="24"/>
        </w:rPr>
        <w:t xml:space="preserve"> allows variation in the expected time to </w:t>
      </w:r>
      <w:r w:rsidR="00280944">
        <w:rPr>
          <w:rFonts w:ascii="Times New Roman" w:hAnsi="Times New Roman" w:cs="Times New Roman"/>
          <w:sz w:val="24"/>
          <w:szCs w:val="24"/>
        </w:rPr>
        <w:t>bankruptcy</w:t>
      </w:r>
      <w:r w:rsidR="00590F01">
        <w:rPr>
          <w:rFonts w:ascii="Times New Roman" w:hAnsi="Times New Roman" w:cs="Times New Roman"/>
          <w:sz w:val="24"/>
          <w:szCs w:val="24"/>
        </w:rPr>
        <w:t xml:space="preserve"> across firms. In our study, we use the proportional hazard models to estimate our different models. </w:t>
      </w:r>
      <w:r w:rsidR="00280944">
        <w:rPr>
          <w:rFonts w:ascii="Times New Roman" w:hAnsi="Times New Roman" w:cs="Times New Roman"/>
          <w:sz w:val="24"/>
          <w:szCs w:val="24"/>
        </w:rPr>
        <w:t>W</w:t>
      </w:r>
      <w:r w:rsidR="00590F01">
        <w:rPr>
          <w:rFonts w:ascii="Times New Roman" w:hAnsi="Times New Roman" w:cs="Times New Roman"/>
          <w:sz w:val="24"/>
          <w:szCs w:val="24"/>
        </w:rPr>
        <w:t xml:space="preserve">e use </w:t>
      </w:r>
      <w:r w:rsidR="00F15F2A">
        <w:rPr>
          <w:rFonts w:ascii="Times New Roman" w:hAnsi="Times New Roman" w:cs="Times New Roman"/>
          <w:sz w:val="24"/>
          <w:szCs w:val="24"/>
        </w:rPr>
        <w:t>the following formula</w:t>
      </w:r>
      <w:r w:rsidR="00590F01">
        <w:rPr>
          <w:rFonts w:ascii="Times New Roman" w:hAnsi="Times New Roman" w:cs="Times New Roman"/>
          <w:sz w:val="24"/>
          <w:szCs w:val="24"/>
        </w:rPr>
        <w:t xml:space="preserve"> to estimate </w:t>
      </w:r>
      <w:r w:rsidR="00280944">
        <w:rPr>
          <w:rFonts w:ascii="Times New Roman" w:hAnsi="Times New Roman" w:cs="Times New Roman"/>
          <w:sz w:val="24"/>
          <w:szCs w:val="24"/>
        </w:rPr>
        <w:t xml:space="preserve">the </w:t>
      </w:r>
      <w:r w:rsidR="00590F01">
        <w:rPr>
          <w:rFonts w:ascii="Times New Roman" w:hAnsi="Times New Roman" w:cs="Times New Roman"/>
          <w:sz w:val="24"/>
          <w:szCs w:val="24"/>
        </w:rPr>
        <w:t>discrete-time hazard rate</w:t>
      </w:r>
      <w:r w:rsidR="00280944">
        <w:rPr>
          <w:rFonts w:ascii="Times New Roman" w:hAnsi="Times New Roman" w:cs="Times New Roman"/>
          <w:sz w:val="24"/>
          <w:szCs w:val="24"/>
        </w:rPr>
        <w:t xml:space="preserve"> (or probability of default)</w:t>
      </w:r>
      <w:r w:rsidR="00590F01">
        <w:rPr>
          <w:rFonts w:ascii="Times New Roman" w:hAnsi="Times New Roman" w:cs="Times New Roman"/>
          <w:sz w:val="24"/>
          <w:szCs w:val="24"/>
        </w:rPr>
        <w:t>:</w:t>
      </w:r>
    </w:p>
    <w:p w14:paraId="22F8955B" w14:textId="516AB1D7" w:rsidR="00590F01" w:rsidRPr="00E93057" w:rsidRDefault="00956BED" w:rsidP="00260D7D">
      <w:pPr>
        <w:tabs>
          <w:tab w:val="left" w:pos="567"/>
        </w:tabs>
        <w:spacing w:after="0" w:line="288" w:lineRule="auto"/>
        <w:jc w:val="center"/>
        <w:rPr>
          <w:rFonts w:ascii="Times New Roman" w:hAnsi="Times New Roman" w:cs="Times New Roman"/>
          <w:sz w:val="24"/>
          <w:szCs w:val="24"/>
        </w:rPr>
      </w:pPr>
      <m:oMathPara>
        <m:oMath>
          <m:sSub>
            <m:sSubPr>
              <m:ctrlPr>
                <w:rPr>
                  <w:rFonts w:ascii="Cambria Math" w:hAnsi="Cambria Math" w:cs="Times New Roman"/>
                  <w:i/>
                </w:rPr>
              </m:ctrlPr>
            </m:sSubPr>
            <m:e>
              <m:r>
                <w:rPr>
                  <w:rFonts w:ascii="Cambria Math" w:hAnsi="Cambria Math" w:cs="Times New Roman"/>
                </w:rPr>
                <m:t>PD</m:t>
              </m:r>
            </m:e>
            <m:sub>
              <m:r>
                <w:rPr>
                  <w:rFonts w:ascii="Cambria Math" w:hAnsi="Cambria Math" w:cs="Times New Roman"/>
                </w:rPr>
                <m:t>t</m:t>
              </m:r>
            </m:sub>
          </m:sSub>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ϕ</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t</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m:t>
                      </m:r>
                    </m:sub>
                  </m:sSub>
                </m:sup>
              </m:sSup>
            </m:num>
            <m:den>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ϕ</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t</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m:t>
                      </m:r>
                    </m:sub>
                  </m:sSub>
                </m:sup>
              </m:sSup>
            </m:den>
          </m:f>
        </m:oMath>
      </m:oMathPara>
    </w:p>
    <w:p w14:paraId="05356159" w14:textId="77777777" w:rsidR="00E93057" w:rsidRPr="006F4237" w:rsidRDefault="00E93057" w:rsidP="00260D7D">
      <w:pPr>
        <w:tabs>
          <w:tab w:val="left" w:pos="567"/>
        </w:tabs>
        <w:spacing w:after="0" w:line="288" w:lineRule="auto"/>
        <w:jc w:val="center"/>
        <w:rPr>
          <w:rFonts w:ascii="Times New Roman" w:hAnsi="Times New Roman" w:cs="Times New Roman"/>
          <w:sz w:val="6"/>
          <w:szCs w:val="6"/>
        </w:rPr>
      </w:pPr>
    </w:p>
    <w:p w14:paraId="3586992E" w14:textId="25652CE4" w:rsidR="0088395E" w:rsidRDefault="00E93057" w:rsidP="00260D7D">
      <w:pPr>
        <w:tabs>
          <w:tab w:val="left" w:pos="567"/>
        </w:tabs>
        <w:spacing w:after="0" w:line="288" w:lineRule="auto"/>
        <w:rPr>
          <w:rFonts w:ascii="Times New Roman" w:hAnsi="Times New Roman" w:cs="Times New Roman"/>
          <w:noProof/>
          <w:sz w:val="24"/>
          <w:szCs w:val="24"/>
        </w:rPr>
      </w:pPr>
      <w:r>
        <w:rPr>
          <w:rFonts w:ascii="Times New Roman" w:hAnsi="Times New Roman" w:cs="Times New Roman"/>
          <w:noProof/>
          <w:sz w:val="24"/>
          <w:szCs w:val="24"/>
        </w:rPr>
        <w:t>w</w:t>
      </w:r>
      <w:r w:rsidR="00590F01">
        <w:rPr>
          <w:rFonts w:ascii="Times New Roman" w:hAnsi="Times New Roman" w:cs="Times New Roman"/>
          <w:noProof/>
          <w:sz w:val="24"/>
          <w:szCs w:val="24"/>
        </w:rPr>
        <w:t>here β</w:t>
      </w:r>
      <w:r w:rsidR="00590F01" w:rsidRPr="009B5402">
        <w:rPr>
          <w:rFonts w:ascii="Times New Roman" w:hAnsi="Times New Roman" w:cs="Times New Roman"/>
          <w:noProof/>
          <w:sz w:val="24"/>
          <w:szCs w:val="24"/>
          <w:vertAlign w:val="subscript"/>
        </w:rPr>
        <w:t>t</w:t>
      </w:r>
      <w:r w:rsidR="00590F01">
        <w:rPr>
          <w:rFonts w:ascii="Times New Roman" w:hAnsi="Times New Roman" w:cs="Times New Roman"/>
          <w:noProof/>
          <w:sz w:val="24"/>
          <w:szCs w:val="24"/>
        </w:rPr>
        <w:t xml:space="preserve"> and X</w:t>
      </w:r>
      <w:r w:rsidR="00590F01" w:rsidRPr="009B5402">
        <w:rPr>
          <w:rFonts w:ascii="Times New Roman" w:hAnsi="Times New Roman" w:cs="Times New Roman"/>
          <w:noProof/>
          <w:sz w:val="24"/>
          <w:szCs w:val="24"/>
          <w:vertAlign w:val="subscript"/>
        </w:rPr>
        <w:t>t</w:t>
      </w:r>
      <w:r w:rsidR="00590F01">
        <w:rPr>
          <w:rFonts w:ascii="Times New Roman" w:hAnsi="Times New Roman" w:cs="Times New Roman"/>
          <w:noProof/>
          <w:sz w:val="24"/>
          <w:szCs w:val="24"/>
        </w:rPr>
        <w:t xml:space="preserve"> are the estimated coefficients and estimated variables, respectively.</w:t>
      </w:r>
    </w:p>
    <w:p w14:paraId="3577FBF3" w14:textId="77777777" w:rsidR="00E93057" w:rsidRDefault="00E93057" w:rsidP="00260D7D">
      <w:pPr>
        <w:tabs>
          <w:tab w:val="left" w:pos="567"/>
        </w:tabs>
        <w:spacing w:after="0" w:line="288" w:lineRule="auto"/>
        <w:rPr>
          <w:rFonts w:ascii="Times New Roman" w:hAnsi="Times New Roman" w:cs="Times New Roman"/>
          <w:noProof/>
          <w:sz w:val="24"/>
          <w:szCs w:val="24"/>
        </w:rPr>
      </w:pPr>
    </w:p>
    <w:p w14:paraId="07AF5161" w14:textId="5304C9DF" w:rsidR="00590F01" w:rsidRPr="00E9252B" w:rsidRDefault="00590F01" w:rsidP="00CF669B">
      <w:pPr>
        <w:pStyle w:val="Heading4"/>
        <w:tabs>
          <w:tab w:val="left" w:pos="567"/>
        </w:tabs>
        <w:spacing w:before="0" w:line="288" w:lineRule="auto"/>
        <w:rPr>
          <w:rFonts w:asciiTheme="majorBidi" w:hAnsiTheme="majorBidi"/>
          <w:b/>
          <w:bCs/>
          <w:i w:val="0"/>
          <w:iCs w:val="0"/>
          <w:color w:val="auto"/>
          <w:sz w:val="24"/>
          <w:szCs w:val="24"/>
        </w:rPr>
      </w:pPr>
      <w:bookmarkStart w:id="3" w:name="_Toc475170411"/>
      <w:r w:rsidRPr="00E9252B">
        <w:rPr>
          <w:rFonts w:asciiTheme="majorBidi" w:hAnsiTheme="majorBidi"/>
          <w:b/>
          <w:bCs/>
          <w:i w:val="0"/>
          <w:iCs w:val="0"/>
          <w:color w:val="auto"/>
          <w:sz w:val="24"/>
          <w:szCs w:val="24"/>
        </w:rPr>
        <w:t xml:space="preserve">Data </w:t>
      </w:r>
      <w:r w:rsidR="00CF669B">
        <w:rPr>
          <w:rFonts w:asciiTheme="majorBidi" w:hAnsiTheme="majorBidi"/>
          <w:b/>
          <w:bCs/>
          <w:i w:val="0"/>
          <w:iCs w:val="0"/>
          <w:color w:val="auto"/>
          <w:sz w:val="24"/>
          <w:szCs w:val="24"/>
        </w:rPr>
        <w:t>E</w:t>
      </w:r>
      <w:r w:rsidRPr="00E9252B">
        <w:rPr>
          <w:rFonts w:asciiTheme="majorBidi" w:hAnsiTheme="majorBidi"/>
          <w:b/>
          <w:bCs/>
          <w:i w:val="0"/>
          <w:iCs w:val="0"/>
          <w:color w:val="auto"/>
          <w:sz w:val="24"/>
          <w:szCs w:val="24"/>
        </w:rPr>
        <w:t xml:space="preserve">nvelopment </w:t>
      </w:r>
      <w:r w:rsidR="00CF669B">
        <w:rPr>
          <w:rFonts w:asciiTheme="majorBidi" w:hAnsiTheme="majorBidi"/>
          <w:b/>
          <w:bCs/>
          <w:i w:val="0"/>
          <w:iCs w:val="0"/>
          <w:color w:val="auto"/>
          <w:sz w:val="24"/>
          <w:szCs w:val="24"/>
        </w:rPr>
        <w:t>A</w:t>
      </w:r>
      <w:r w:rsidRPr="00E9252B">
        <w:rPr>
          <w:rFonts w:asciiTheme="majorBidi" w:hAnsiTheme="majorBidi"/>
          <w:b/>
          <w:bCs/>
          <w:i w:val="0"/>
          <w:iCs w:val="0"/>
          <w:color w:val="auto"/>
          <w:sz w:val="24"/>
          <w:szCs w:val="24"/>
        </w:rPr>
        <w:t>nalysis (DEA)</w:t>
      </w:r>
      <w:bookmarkEnd w:id="3"/>
    </w:p>
    <w:p w14:paraId="0B1215A4" w14:textId="77777777" w:rsidR="00CF669B" w:rsidRPr="00CF669B" w:rsidRDefault="00CF669B" w:rsidP="00260D7D">
      <w:pPr>
        <w:tabs>
          <w:tab w:val="left" w:pos="567"/>
        </w:tabs>
        <w:spacing w:after="0" w:line="288" w:lineRule="auto"/>
        <w:jc w:val="both"/>
        <w:rPr>
          <w:rFonts w:ascii="Times New Roman" w:hAnsi="Times New Roman" w:cs="Times New Roman"/>
          <w:sz w:val="8"/>
          <w:szCs w:val="8"/>
        </w:rPr>
      </w:pPr>
    </w:p>
    <w:p w14:paraId="6BD1BDA5" w14:textId="37472234" w:rsidR="00590F01" w:rsidRDefault="00590F01"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DEA is a nonparametric method mostly used in the field of operations research for estimating production frontiers and measuring production efficiency of decision</w:t>
      </w:r>
      <w:r w:rsidR="00CF669B">
        <w:rPr>
          <w:rFonts w:ascii="Times New Roman" w:hAnsi="Times New Roman" w:cs="Times New Roman"/>
          <w:sz w:val="24"/>
          <w:szCs w:val="24"/>
        </w:rPr>
        <w:t>-</w:t>
      </w:r>
      <w:r>
        <w:rPr>
          <w:rFonts w:ascii="Times New Roman" w:hAnsi="Times New Roman" w:cs="Times New Roman"/>
          <w:sz w:val="24"/>
          <w:szCs w:val="24"/>
        </w:rPr>
        <w:t>making units (DMUs)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DEA functions focus on determining the most efficient DMU, whereas the normal regression analyses focus on the average DMU. DEA offers a nonparametric and distribution free approach to bankruptcy prediction modelling as opposed to the restrictions imposed by MDA and regression analysis (</w:t>
      </w:r>
      <w:r w:rsidRPr="00F771EB">
        <w:rPr>
          <w:rFonts w:ascii="Times New Roman" w:hAnsi="Times New Roman" w:cs="Times New Roman"/>
          <w:sz w:val="24"/>
          <w:szCs w:val="24"/>
        </w:rPr>
        <w:t xml:space="preserve">Premachandra </w:t>
      </w:r>
      <w:r w:rsidR="00327178" w:rsidRPr="00327178">
        <w:rPr>
          <w:rFonts w:ascii="Times New Roman" w:hAnsi="Times New Roman" w:cs="Times New Roman"/>
          <w:i/>
          <w:iCs/>
          <w:sz w:val="24"/>
          <w:szCs w:val="24"/>
        </w:rPr>
        <w:t>et al.</w:t>
      </w:r>
      <w:r w:rsidRPr="00F771EB">
        <w:rPr>
          <w:rFonts w:ascii="Times New Roman" w:hAnsi="Times New Roman" w:cs="Times New Roman"/>
          <w:sz w:val="24"/>
          <w:szCs w:val="24"/>
        </w:rPr>
        <w:t xml:space="preserve"> 2009</w:t>
      </w:r>
      <w:r>
        <w:rPr>
          <w:rFonts w:ascii="Times New Roman" w:hAnsi="Times New Roman" w:cs="Times New Roman"/>
          <w:sz w:val="24"/>
          <w:szCs w:val="24"/>
        </w:rPr>
        <w:t xml:space="preserve">). Furthermore, </w:t>
      </w:r>
      <w:r w:rsidRPr="00375A82">
        <w:rPr>
          <w:rFonts w:ascii="Times New Roman" w:hAnsi="Times New Roman" w:cs="Times New Roman"/>
          <w:sz w:val="24"/>
          <w:szCs w:val="24"/>
        </w:rPr>
        <w:t xml:space="preserve">because </w:t>
      </w:r>
      <w:r>
        <w:rPr>
          <w:rFonts w:ascii="Times New Roman" w:hAnsi="Times New Roman" w:cs="Times New Roman"/>
          <w:sz w:val="24"/>
          <w:szCs w:val="24"/>
        </w:rPr>
        <w:t xml:space="preserve">no estimation samples are required under the </w:t>
      </w:r>
      <w:r w:rsidRPr="00375A82">
        <w:rPr>
          <w:rFonts w:ascii="Times New Roman" w:hAnsi="Times New Roman" w:cs="Times New Roman"/>
          <w:sz w:val="24"/>
          <w:szCs w:val="24"/>
        </w:rPr>
        <w:t>DEA</w:t>
      </w:r>
      <w:r>
        <w:rPr>
          <w:rFonts w:ascii="Times New Roman" w:hAnsi="Times New Roman" w:cs="Times New Roman"/>
          <w:sz w:val="24"/>
          <w:szCs w:val="24"/>
        </w:rPr>
        <w:t xml:space="preserve"> framework, potential issues with using deficient or biased samples of the true population to estimate the model can be avoided. Nevertheless, Premachandra </w:t>
      </w:r>
      <w:r w:rsidR="00327178" w:rsidRPr="00327178">
        <w:rPr>
          <w:rFonts w:ascii="Times New Roman" w:hAnsi="Times New Roman" w:cs="Times New Roman"/>
          <w:i/>
          <w:iCs/>
          <w:sz w:val="24"/>
          <w:szCs w:val="24"/>
        </w:rPr>
        <w:t>et al.</w:t>
      </w:r>
      <w:r>
        <w:rPr>
          <w:rFonts w:ascii="Times New Roman" w:hAnsi="Times New Roman" w:cs="Times New Roman"/>
          <w:sz w:val="24"/>
          <w:szCs w:val="24"/>
        </w:rPr>
        <w:t xml:space="preserve"> (2009) argue that DEA is inferior to the conventional models when it comes to the availability of statistical tests as well as bankruptcy prediction in varying time horizons. The results of DEA models are also sensitive to the selection of inputs and outputs. </w:t>
      </w:r>
    </w:p>
    <w:p w14:paraId="1CCC4307" w14:textId="77777777" w:rsidR="00E93057" w:rsidRDefault="00E93057" w:rsidP="00260D7D">
      <w:pPr>
        <w:tabs>
          <w:tab w:val="left" w:pos="567"/>
        </w:tabs>
        <w:spacing w:after="0" w:line="288" w:lineRule="auto"/>
        <w:jc w:val="both"/>
        <w:rPr>
          <w:rFonts w:ascii="Times New Roman" w:hAnsi="Times New Roman" w:cs="Times New Roman"/>
          <w:sz w:val="24"/>
          <w:szCs w:val="24"/>
        </w:rPr>
      </w:pPr>
    </w:p>
    <w:p w14:paraId="686540C0" w14:textId="43E322D0" w:rsidR="00590F01" w:rsidRDefault="00E93057"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90F01">
        <w:rPr>
          <w:rFonts w:ascii="Times New Roman" w:hAnsi="Times New Roman" w:cs="Times New Roman"/>
          <w:sz w:val="24"/>
          <w:szCs w:val="24"/>
        </w:rPr>
        <w:t xml:space="preserve">Following Premachandra </w:t>
      </w:r>
      <w:r w:rsidR="00327178" w:rsidRPr="00327178">
        <w:rPr>
          <w:rFonts w:ascii="Times New Roman" w:hAnsi="Times New Roman" w:cs="Times New Roman"/>
          <w:i/>
          <w:iCs/>
          <w:sz w:val="24"/>
          <w:szCs w:val="24"/>
        </w:rPr>
        <w:t>et al.</w:t>
      </w:r>
      <w:r w:rsidR="00590F01">
        <w:rPr>
          <w:rFonts w:ascii="Times New Roman" w:hAnsi="Times New Roman" w:cs="Times New Roman"/>
          <w:sz w:val="24"/>
          <w:szCs w:val="24"/>
        </w:rPr>
        <w:t xml:space="preserve"> (2009) and others, we use the additive DEA model introduced in Charnes </w:t>
      </w:r>
      <w:r w:rsidR="00327178" w:rsidRPr="00327178">
        <w:rPr>
          <w:rFonts w:ascii="Times New Roman" w:hAnsi="Times New Roman" w:cs="Times New Roman"/>
          <w:i/>
          <w:iCs/>
          <w:sz w:val="24"/>
          <w:szCs w:val="24"/>
        </w:rPr>
        <w:t>et al.</w:t>
      </w:r>
      <w:r w:rsidR="00590F01" w:rsidRPr="00090E7C">
        <w:rPr>
          <w:rFonts w:ascii="Times New Roman" w:hAnsi="Times New Roman" w:cs="Times New Roman"/>
          <w:sz w:val="24"/>
          <w:szCs w:val="24"/>
        </w:rPr>
        <w:t xml:space="preserve"> </w:t>
      </w:r>
      <w:r w:rsidR="00590F01">
        <w:rPr>
          <w:rFonts w:ascii="Times New Roman" w:hAnsi="Times New Roman" w:cs="Times New Roman"/>
          <w:sz w:val="24"/>
          <w:szCs w:val="24"/>
        </w:rPr>
        <w:t>(</w:t>
      </w:r>
      <w:r w:rsidR="00590F01" w:rsidRPr="00090E7C">
        <w:rPr>
          <w:rFonts w:ascii="Times New Roman" w:hAnsi="Times New Roman" w:cs="Times New Roman"/>
          <w:sz w:val="24"/>
          <w:szCs w:val="24"/>
        </w:rPr>
        <w:t>1985)</w:t>
      </w:r>
      <w:r w:rsidR="00590F01">
        <w:rPr>
          <w:rFonts w:ascii="Times New Roman" w:hAnsi="Times New Roman" w:cs="Times New Roman"/>
          <w:sz w:val="24"/>
          <w:szCs w:val="24"/>
        </w:rPr>
        <w:t xml:space="preserve"> to estimate the probability of bankruptcy of firms in our sample. The additive model allows for negative values in the inputs/outputs which is an important feature in bankruptcy data. Additionally, the additive model circumvents issues</w:t>
      </w:r>
      <w:r w:rsidR="00590F01" w:rsidRPr="00AC21DC">
        <w:t xml:space="preserve"> </w:t>
      </w:r>
      <w:r w:rsidR="00590F01" w:rsidRPr="00AC21DC">
        <w:rPr>
          <w:rFonts w:ascii="Times New Roman" w:hAnsi="Times New Roman" w:cs="Times New Roman"/>
          <w:sz w:val="24"/>
          <w:szCs w:val="24"/>
        </w:rPr>
        <w:t>observed in prior bankruptcy studies</w:t>
      </w:r>
      <w:r w:rsidR="00590F01">
        <w:rPr>
          <w:rFonts w:ascii="Times New Roman" w:hAnsi="Times New Roman" w:cs="Times New Roman"/>
          <w:sz w:val="24"/>
          <w:szCs w:val="24"/>
        </w:rPr>
        <w:t xml:space="preserve"> with regard</w:t>
      </w:r>
      <w:r w:rsidR="00280944">
        <w:rPr>
          <w:rFonts w:ascii="Times New Roman" w:hAnsi="Times New Roman" w:cs="Times New Roman"/>
          <w:sz w:val="24"/>
          <w:szCs w:val="24"/>
        </w:rPr>
        <w:t>s</w:t>
      </w:r>
      <w:r w:rsidR="00590F01">
        <w:rPr>
          <w:rFonts w:ascii="Times New Roman" w:hAnsi="Times New Roman" w:cs="Times New Roman"/>
          <w:sz w:val="24"/>
          <w:szCs w:val="24"/>
        </w:rPr>
        <w:t xml:space="preserve"> to measuring the efficiency and slack scores for outputs and inputs separately (</w:t>
      </w:r>
      <w:r w:rsidR="00CF669B">
        <w:rPr>
          <w:rFonts w:ascii="Times New Roman" w:hAnsi="Times New Roman" w:cs="Times New Roman"/>
          <w:sz w:val="24"/>
          <w:szCs w:val="24"/>
        </w:rPr>
        <w:t xml:space="preserve">for example, </w:t>
      </w:r>
      <w:r w:rsidR="00590F01" w:rsidRPr="00090E7C">
        <w:rPr>
          <w:rFonts w:ascii="Times New Roman" w:hAnsi="Times New Roman" w:cs="Times New Roman"/>
          <w:sz w:val="24"/>
          <w:szCs w:val="24"/>
        </w:rPr>
        <w:t>Cielen</w:t>
      </w:r>
      <w:r w:rsidR="00590F01">
        <w:rPr>
          <w:rFonts w:ascii="Times New Roman" w:hAnsi="Times New Roman" w:cs="Times New Roman"/>
          <w:sz w:val="24"/>
          <w:szCs w:val="24"/>
        </w:rPr>
        <w:t xml:space="preserve"> </w:t>
      </w:r>
      <w:r w:rsidR="00327178" w:rsidRPr="00327178">
        <w:rPr>
          <w:rFonts w:ascii="Times New Roman" w:hAnsi="Times New Roman" w:cs="Times New Roman"/>
          <w:i/>
          <w:iCs/>
          <w:sz w:val="24"/>
          <w:szCs w:val="24"/>
        </w:rPr>
        <w:t>et al.</w:t>
      </w:r>
      <w:r w:rsidR="00590F01">
        <w:rPr>
          <w:rFonts w:ascii="Times New Roman" w:hAnsi="Times New Roman" w:cs="Times New Roman"/>
          <w:sz w:val="24"/>
          <w:szCs w:val="24"/>
        </w:rPr>
        <w:t xml:space="preserve"> </w:t>
      </w:r>
      <w:r w:rsidR="00590F01" w:rsidRPr="00090E7C">
        <w:rPr>
          <w:rFonts w:ascii="Times New Roman" w:hAnsi="Times New Roman" w:cs="Times New Roman"/>
          <w:sz w:val="24"/>
          <w:szCs w:val="24"/>
        </w:rPr>
        <w:t>2004)</w:t>
      </w:r>
      <w:r w:rsidR="00590F01">
        <w:rPr>
          <w:rFonts w:ascii="Times New Roman" w:hAnsi="Times New Roman" w:cs="Times New Roman"/>
          <w:sz w:val="24"/>
          <w:szCs w:val="24"/>
        </w:rPr>
        <w:t>. With regard</w:t>
      </w:r>
      <w:r w:rsidR="00280944">
        <w:rPr>
          <w:rFonts w:ascii="Times New Roman" w:hAnsi="Times New Roman" w:cs="Times New Roman"/>
          <w:sz w:val="24"/>
          <w:szCs w:val="24"/>
        </w:rPr>
        <w:t>s</w:t>
      </w:r>
      <w:r w:rsidR="00590F01">
        <w:rPr>
          <w:rFonts w:ascii="Times New Roman" w:hAnsi="Times New Roman" w:cs="Times New Roman"/>
          <w:sz w:val="24"/>
          <w:szCs w:val="24"/>
        </w:rPr>
        <w:t xml:space="preserve"> to defining inputs and outputs, the guideline provided in Premachandra </w:t>
      </w:r>
      <w:r w:rsidR="00327178" w:rsidRPr="00327178">
        <w:rPr>
          <w:rFonts w:ascii="Times New Roman" w:hAnsi="Times New Roman" w:cs="Times New Roman"/>
          <w:i/>
          <w:iCs/>
          <w:sz w:val="24"/>
          <w:szCs w:val="24"/>
        </w:rPr>
        <w:t>et al.</w:t>
      </w:r>
      <w:r w:rsidR="00590F01">
        <w:rPr>
          <w:rFonts w:ascii="Times New Roman" w:hAnsi="Times New Roman" w:cs="Times New Roman"/>
          <w:sz w:val="24"/>
          <w:szCs w:val="24"/>
        </w:rPr>
        <w:t xml:space="preserve"> (2009) is to use ratios that increase (decrease) with the probability of bankruptcy as outputs (inputs). The intuition behind this guideline is simple, because higher (lower) values of outputs (inputs) tend to result in a value of zero for the objective function of the additive model, which makes the firm more likely to appear on the bankruptcy frontier.</w:t>
      </w:r>
      <w:r w:rsidR="00E91099">
        <w:rPr>
          <w:rFonts w:ascii="Times New Roman" w:hAnsi="Times New Roman" w:cs="Times New Roman"/>
          <w:sz w:val="24"/>
          <w:szCs w:val="24"/>
        </w:rPr>
        <w:t xml:space="preserve"> </w:t>
      </w:r>
      <w:bookmarkStart w:id="4" w:name="_Hlk510339221"/>
      <w:r w:rsidR="003E457A">
        <w:rPr>
          <w:rFonts w:ascii="Times New Roman" w:hAnsi="Times New Roman" w:cs="Times New Roman"/>
          <w:sz w:val="24"/>
          <w:szCs w:val="24"/>
        </w:rPr>
        <w:t xml:space="preserve">Following Premachandra </w:t>
      </w:r>
      <w:r w:rsidR="00327178" w:rsidRPr="00327178">
        <w:rPr>
          <w:rFonts w:ascii="Times New Roman" w:hAnsi="Times New Roman" w:cs="Times New Roman"/>
          <w:i/>
          <w:iCs/>
          <w:sz w:val="24"/>
          <w:szCs w:val="24"/>
        </w:rPr>
        <w:t>et al.</w:t>
      </w:r>
      <w:r w:rsidR="003E457A">
        <w:rPr>
          <w:rFonts w:ascii="Times New Roman" w:hAnsi="Times New Roman" w:cs="Times New Roman"/>
          <w:sz w:val="24"/>
          <w:szCs w:val="24"/>
        </w:rPr>
        <w:t xml:space="preserve"> (2009), any firm that has zero on all input and output slacks is classified as bankrupt and thus falls on the bankruptcy frontier. </w:t>
      </w:r>
      <w:r w:rsidR="00E91099">
        <w:rPr>
          <w:rFonts w:ascii="Times New Roman" w:hAnsi="Times New Roman" w:cs="Times New Roman"/>
          <w:sz w:val="24"/>
          <w:szCs w:val="24"/>
        </w:rPr>
        <w:t xml:space="preserve">Due to limitations with regards to computing power, we use our full bankrupt sample </w:t>
      </w:r>
      <w:r w:rsidR="00E91099">
        <w:rPr>
          <w:rFonts w:ascii="Times New Roman" w:hAnsi="Times New Roman" w:cs="Times New Roman"/>
          <w:sz w:val="24"/>
          <w:szCs w:val="24"/>
        </w:rPr>
        <w:lastRenderedPageBreak/>
        <w:t xml:space="preserve">and match each bankrupt firm with </w:t>
      </w:r>
      <w:r w:rsidR="00D17BE5">
        <w:rPr>
          <w:rFonts w:ascii="Times New Roman" w:hAnsi="Times New Roman" w:cs="Times New Roman"/>
          <w:sz w:val="24"/>
          <w:szCs w:val="24"/>
        </w:rPr>
        <w:t>ten</w:t>
      </w:r>
      <w:r w:rsidR="00E91099">
        <w:rPr>
          <w:rFonts w:ascii="Times New Roman" w:hAnsi="Times New Roman" w:cs="Times New Roman"/>
          <w:sz w:val="24"/>
          <w:szCs w:val="24"/>
        </w:rPr>
        <w:t xml:space="preserve"> non-bankrupt firms based on market value (+/- 20%)</w:t>
      </w:r>
      <w:r w:rsidR="00AB3E0D">
        <w:rPr>
          <w:rFonts w:ascii="Times New Roman" w:hAnsi="Times New Roman" w:cs="Times New Roman"/>
          <w:sz w:val="24"/>
          <w:szCs w:val="24"/>
        </w:rPr>
        <w:t xml:space="preserve"> and </w:t>
      </w:r>
      <w:r w:rsidR="00AB3E0D" w:rsidRPr="00AB3E0D">
        <w:rPr>
          <w:rFonts w:ascii="Times New Roman" w:hAnsi="Times New Roman" w:cs="Times New Roman"/>
          <w:sz w:val="24"/>
          <w:szCs w:val="24"/>
        </w:rPr>
        <w:t>the 3-digit Standard Industrial Classification (SIC)</w:t>
      </w:r>
      <w:r w:rsidR="00E91099">
        <w:rPr>
          <w:rFonts w:ascii="Times New Roman" w:hAnsi="Times New Roman" w:cs="Times New Roman"/>
          <w:sz w:val="24"/>
          <w:szCs w:val="24"/>
        </w:rPr>
        <w:t>.</w:t>
      </w:r>
      <w:bookmarkEnd w:id="4"/>
    </w:p>
    <w:p w14:paraId="04A17248" w14:textId="40F53A80" w:rsidR="00E93057" w:rsidRDefault="00E93057" w:rsidP="00260D7D">
      <w:pPr>
        <w:tabs>
          <w:tab w:val="left" w:pos="567"/>
        </w:tabs>
        <w:spacing w:after="0" w:line="288" w:lineRule="auto"/>
        <w:jc w:val="both"/>
        <w:rPr>
          <w:rFonts w:ascii="Times New Roman" w:hAnsi="Times New Roman" w:cs="Times New Roman"/>
          <w:sz w:val="24"/>
          <w:szCs w:val="24"/>
        </w:rPr>
      </w:pPr>
    </w:p>
    <w:p w14:paraId="138630B5" w14:textId="77777777" w:rsidR="0049324B" w:rsidRPr="0049324B" w:rsidRDefault="0049324B" w:rsidP="00CF669B">
      <w:pPr>
        <w:pStyle w:val="Heading4"/>
        <w:tabs>
          <w:tab w:val="left" w:pos="567"/>
        </w:tabs>
        <w:spacing w:before="0" w:line="288" w:lineRule="auto"/>
        <w:rPr>
          <w:rFonts w:asciiTheme="majorBidi" w:hAnsiTheme="majorBidi"/>
          <w:b/>
          <w:bCs/>
          <w:i w:val="0"/>
          <w:iCs w:val="0"/>
          <w:color w:val="auto"/>
          <w:sz w:val="2"/>
          <w:szCs w:val="2"/>
        </w:rPr>
      </w:pPr>
      <w:bookmarkStart w:id="5" w:name="_Toc475170412"/>
    </w:p>
    <w:p w14:paraId="0F71EF7A" w14:textId="1E075776" w:rsidR="00590F01" w:rsidRPr="00E9252B" w:rsidRDefault="00590F01" w:rsidP="00CF669B">
      <w:pPr>
        <w:pStyle w:val="Heading4"/>
        <w:tabs>
          <w:tab w:val="left" w:pos="567"/>
        </w:tabs>
        <w:spacing w:before="0" w:line="288" w:lineRule="auto"/>
        <w:rPr>
          <w:rFonts w:asciiTheme="majorBidi" w:hAnsiTheme="majorBidi"/>
          <w:b/>
          <w:bCs/>
          <w:i w:val="0"/>
          <w:iCs w:val="0"/>
          <w:color w:val="auto"/>
          <w:sz w:val="24"/>
          <w:szCs w:val="24"/>
        </w:rPr>
      </w:pPr>
      <w:r w:rsidRPr="00E9252B">
        <w:rPr>
          <w:rFonts w:asciiTheme="majorBidi" w:hAnsiTheme="majorBidi"/>
          <w:b/>
          <w:bCs/>
          <w:i w:val="0"/>
          <w:iCs w:val="0"/>
          <w:color w:val="auto"/>
          <w:sz w:val="24"/>
          <w:szCs w:val="24"/>
        </w:rPr>
        <w:t xml:space="preserve">Neural </w:t>
      </w:r>
      <w:r w:rsidR="00CF669B">
        <w:rPr>
          <w:rFonts w:asciiTheme="majorBidi" w:hAnsiTheme="majorBidi"/>
          <w:b/>
          <w:bCs/>
          <w:i w:val="0"/>
          <w:iCs w:val="0"/>
          <w:color w:val="auto"/>
          <w:sz w:val="24"/>
          <w:szCs w:val="24"/>
        </w:rPr>
        <w:t>N</w:t>
      </w:r>
      <w:r w:rsidRPr="00E9252B">
        <w:rPr>
          <w:rFonts w:asciiTheme="majorBidi" w:hAnsiTheme="majorBidi"/>
          <w:b/>
          <w:bCs/>
          <w:i w:val="0"/>
          <w:iCs w:val="0"/>
          <w:color w:val="auto"/>
          <w:sz w:val="24"/>
          <w:szCs w:val="24"/>
        </w:rPr>
        <w:t>etworks</w:t>
      </w:r>
      <w:bookmarkEnd w:id="5"/>
    </w:p>
    <w:p w14:paraId="54069252" w14:textId="77777777" w:rsidR="00CF669B" w:rsidRPr="00CF669B" w:rsidRDefault="00CF669B" w:rsidP="00260D7D">
      <w:pPr>
        <w:tabs>
          <w:tab w:val="left" w:pos="567"/>
        </w:tabs>
        <w:spacing w:after="0" w:line="288" w:lineRule="auto"/>
        <w:jc w:val="both"/>
        <w:rPr>
          <w:rFonts w:ascii="Times New Roman" w:hAnsi="Times New Roman" w:cs="Times New Roman"/>
          <w:sz w:val="6"/>
          <w:szCs w:val="6"/>
        </w:rPr>
      </w:pPr>
    </w:p>
    <w:p w14:paraId="20FCDA1D" w14:textId="58EA4418" w:rsidR="00590F01" w:rsidRDefault="00590F01"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Neural networks models have long been used in the credit scoring literature and were hailed in many studies for their superiority over many conventional models (</w:t>
      </w:r>
      <w:r w:rsidRPr="006C0A18">
        <w:rPr>
          <w:rFonts w:ascii="Times New Roman" w:hAnsi="Times New Roman" w:cs="Times New Roman"/>
          <w:sz w:val="24"/>
          <w:szCs w:val="24"/>
        </w:rPr>
        <w:t xml:space="preserve">Desai </w:t>
      </w:r>
      <w:r w:rsidR="00327178" w:rsidRPr="00327178">
        <w:rPr>
          <w:rFonts w:ascii="Times New Roman" w:hAnsi="Times New Roman" w:cs="Times New Roman"/>
          <w:i/>
          <w:iCs/>
          <w:sz w:val="24"/>
          <w:szCs w:val="24"/>
        </w:rPr>
        <w:t>et al.</w:t>
      </w:r>
      <w:r w:rsidRPr="006C0A18">
        <w:rPr>
          <w:rFonts w:ascii="Times New Roman" w:hAnsi="Times New Roman" w:cs="Times New Roman"/>
          <w:sz w:val="24"/>
          <w:szCs w:val="24"/>
        </w:rPr>
        <w:t xml:space="preserve"> 1</w:t>
      </w:r>
      <w:r>
        <w:rPr>
          <w:rFonts w:ascii="Times New Roman" w:hAnsi="Times New Roman" w:cs="Times New Roman"/>
          <w:sz w:val="24"/>
          <w:szCs w:val="24"/>
        </w:rPr>
        <w:t>996</w:t>
      </w:r>
      <w:r w:rsidR="006D5DD3" w:rsidRPr="006D5DD3">
        <w:rPr>
          <w:rFonts w:ascii="Times New Roman" w:hAnsi="Times New Roman" w:cs="Times New Roman"/>
          <w:sz w:val="24"/>
          <w:szCs w:val="24"/>
        </w:rPr>
        <w:t>,</w:t>
      </w:r>
      <w:r>
        <w:rPr>
          <w:rFonts w:ascii="Times New Roman" w:hAnsi="Times New Roman" w:cs="Times New Roman"/>
          <w:sz w:val="24"/>
          <w:szCs w:val="24"/>
        </w:rPr>
        <w:t xml:space="preserve"> Malhotra and Malhotra 2003</w:t>
      </w:r>
      <w:r w:rsidR="006D5DD3" w:rsidRPr="006D5DD3">
        <w:rPr>
          <w:rFonts w:ascii="Times New Roman" w:hAnsi="Times New Roman" w:cs="Times New Roman"/>
          <w:sz w:val="24"/>
          <w:szCs w:val="24"/>
        </w:rPr>
        <w:t>,</w:t>
      </w:r>
      <w:r>
        <w:rPr>
          <w:rFonts w:ascii="Times New Roman" w:hAnsi="Times New Roman" w:cs="Times New Roman"/>
          <w:sz w:val="24"/>
          <w:szCs w:val="24"/>
        </w:rPr>
        <w:t xml:space="preserve"> </w:t>
      </w:r>
      <w:r w:rsidRPr="006C0A18">
        <w:rPr>
          <w:rFonts w:ascii="Times New Roman" w:hAnsi="Times New Roman" w:cs="Times New Roman"/>
          <w:sz w:val="24"/>
          <w:szCs w:val="24"/>
        </w:rPr>
        <w:t>Wilson and Sharda</w:t>
      </w:r>
      <w:r w:rsidR="003777EB">
        <w:rPr>
          <w:rFonts w:ascii="Times New Roman" w:hAnsi="Times New Roman" w:cs="Times New Roman"/>
          <w:sz w:val="24"/>
          <w:szCs w:val="24"/>
        </w:rPr>
        <w:t xml:space="preserve"> </w:t>
      </w:r>
      <w:r w:rsidRPr="006C0A18">
        <w:rPr>
          <w:rFonts w:ascii="Times New Roman" w:hAnsi="Times New Roman" w:cs="Times New Roman"/>
          <w:sz w:val="24"/>
          <w:szCs w:val="24"/>
        </w:rPr>
        <w:t>1994</w:t>
      </w:r>
      <w:r w:rsidR="006D5DD3" w:rsidRPr="006D5DD3">
        <w:rPr>
          <w:rFonts w:ascii="Times New Roman" w:hAnsi="Times New Roman" w:cs="Times New Roman"/>
          <w:sz w:val="24"/>
          <w:szCs w:val="24"/>
        </w:rPr>
        <w:t>,</w:t>
      </w:r>
      <w:r w:rsidRPr="006C0A18">
        <w:rPr>
          <w:rFonts w:ascii="Times New Roman" w:hAnsi="Times New Roman" w:cs="Times New Roman"/>
          <w:sz w:val="24"/>
          <w:szCs w:val="24"/>
        </w:rPr>
        <w:t xml:space="preserve"> Zhang </w:t>
      </w:r>
      <w:r w:rsidR="00327178" w:rsidRPr="00327178">
        <w:rPr>
          <w:rFonts w:ascii="Times New Roman" w:hAnsi="Times New Roman" w:cs="Times New Roman"/>
          <w:i/>
          <w:iCs/>
          <w:sz w:val="24"/>
          <w:szCs w:val="24"/>
        </w:rPr>
        <w:t>et al.</w:t>
      </w:r>
      <w:r w:rsidRPr="006C0A18">
        <w:rPr>
          <w:rFonts w:ascii="Times New Roman" w:hAnsi="Times New Roman" w:cs="Times New Roman"/>
          <w:sz w:val="24"/>
          <w:szCs w:val="24"/>
        </w:rPr>
        <w:t xml:space="preserve"> 1999</w:t>
      </w:r>
      <w:r>
        <w:rPr>
          <w:rFonts w:ascii="Times New Roman" w:hAnsi="Times New Roman" w:cs="Times New Roman"/>
          <w:sz w:val="24"/>
          <w:szCs w:val="24"/>
        </w:rPr>
        <w:t xml:space="preserve">). The computational framework of neural networks is inspired by the neural networks of the human nervous system. It processes information by linking an enormous number of artificial nerves to simulate the capabilities of biological neural networks. Put simply, neural networks use a combination of concepts and algorithms to learn from examples, simulating the learning experience of a human being. The process of estimation or learning in neural networks involves estimating the output and re-adjusting the weights in a repeated process in order to minimize the difference between the outputs and the desired targets. Kumar and Ravi (2007) point out that although neural networks tend to perform well in different classification and forecasting tasks, the selection of the different parameters involved in the neural networks training and estimation process is not a simple task. </w:t>
      </w:r>
    </w:p>
    <w:p w14:paraId="519DDE38" w14:textId="77777777" w:rsidR="00E93057" w:rsidRDefault="00E93057" w:rsidP="00260D7D">
      <w:pPr>
        <w:tabs>
          <w:tab w:val="left" w:pos="567"/>
        </w:tabs>
        <w:spacing w:after="0" w:line="288" w:lineRule="auto"/>
        <w:jc w:val="both"/>
        <w:rPr>
          <w:rFonts w:ascii="Times New Roman" w:hAnsi="Times New Roman" w:cs="Times New Roman"/>
          <w:sz w:val="24"/>
          <w:szCs w:val="24"/>
        </w:rPr>
      </w:pPr>
    </w:p>
    <w:p w14:paraId="1F484641" w14:textId="299A7F02" w:rsidR="00DC1C3C" w:rsidRDefault="00E93057"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90F01">
        <w:rPr>
          <w:rFonts w:ascii="Times New Roman" w:hAnsi="Times New Roman" w:cs="Times New Roman"/>
          <w:sz w:val="24"/>
          <w:szCs w:val="24"/>
        </w:rPr>
        <w:t>As with many statistical techniques, there are different algorithms or estimation techniques for neural networks of which t</w:t>
      </w:r>
      <w:r w:rsidR="00590F01" w:rsidRPr="0065166A">
        <w:rPr>
          <w:rFonts w:ascii="Times New Roman" w:hAnsi="Times New Roman" w:cs="Times New Roman"/>
          <w:sz w:val="24"/>
          <w:szCs w:val="24"/>
        </w:rPr>
        <w:t>he backpropagation model</w:t>
      </w:r>
      <w:r w:rsidR="00590F01">
        <w:rPr>
          <w:rFonts w:ascii="Times New Roman" w:hAnsi="Times New Roman" w:cs="Times New Roman"/>
          <w:sz w:val="24"/>
          <w:szCs w:val="24"/>
        </w:rPr>
        <w:t xml:space="preserve"> is the most popular for classification and prediction problems (Kumar and Ravi 2007). Malhotra and Malhotra (2003) point out that the ability of the </w:t>
      </w:r>
      <w:r w:rsidR="00590F01" w:rsidRPr="0065166A">
        <w:rPr>
          <w:rFonts w:ascii="Times New Roman" w:hAnsi="Times New Roman" w:cs="Times New Roman"/>
          <w:sz w:val="24"/>
          <w:szCs w:val="24"/>
        </w:rPr>
        <w:t>backpropagation model</w:t>
      </w:r>
      <w:r w:rsidR="00590F01">
        <w:rPr>
          <w:rFonts w:ascii="Times New Roman" w:hAnsi="Times New Roman" w:cs="Times New Roman"/>
          <w:sz w:val="24"/>
          <w:szCs w:val="24"/>
        </w:rPr>
        <w:t xml:space="preserve"> to identify patterns in large pools of data makes it a suitable technique for credit scoring and bankruptcy problems. A standard backpropagation model consists of three layers: the input layer, the hidden layer, and the output layer. The input layer processes the inputs, which usually correspond to the independent variables in a standard regression analysis, and provides the processed values to the hidden layer, which in turn processes the values further before sending them to the output layer. This process continues until the model is able to remember the output of most of the observations in the training sample. The technique takes its name from the process that takes place once the network does a mistake, because when this happens the algorithm starts at the last layer (the output) and backpropagates the error to the hidden layer. For the purposes of our study, we will use the backpropagation model with the independent variables as inputs and the bankruptcy indicator (1 or 0) as an output. As with other studies, </w:t>
      </w:r>
      <w:r w:rsidR="00721100">
        <w:rPr>
          <w:rFonts w:ascii="Times New Roman" w:hAnsi="Times New Roman" w:cs="Times New Roman"/>
          <w:sz w:val="24"/>
          <w:szCs w:val="24"/>
        </w:rPr>
        <w:t xml:space="preserve">we </w:t>
      </w:r>
      <w:r w:rsidR="00647898">
        <w:rPr>
          <w:rFonts w:ascii="Times New Roman" w:hAnsi="Times New Roman" w:cs="Times New Roman"/>
          <w:sz w:val="24"/>
          <w:szCs w:val="24"/>
        </w:rPr>
        <w:t xml:space="preserve">allow the </w:t>
      </w:r>
      <w:r w:rsidR="00590F01">
        <w:rPr>
          <w:rFonts w:ascii="Times New Roman" w:hAnsi="Times New Roman" w:cs="Times New Roman"/>
          <w:sz w:val="24"/>
          <w:szCs w:val="24"/>
        </w:rPr>
        <w:t>number of hidden neurons</w:t>
      </w:r>
      <w:r w:rsidR="00647898">
        <w:rPr>
          <w:rFonts w:ascii="Times New Roman" w:hAnsi="Times New Roman" w:cs="Times New Roman"/>
          <w:sz w:val="24"/>
          <w:szCs w:val="24"/>
        </w:rPr>
        <w:t xml:space="preserve"> to vary based on a trial and error approach while allowing up to 1,000 training cycles. We find that on average</w:t>
      </w:r>
      <w:r w:rsidR="00721100">
        <w:rPr>
          <w:rFonts w:ascii="Times New Roman" w:hAnsi="Times New Roman" w:cs="Times New Roman"/>
          <w:sz w:val="24"/>
          <w:szCs w:val="24"/>
        </w:rPr>
        <w:t xml:space="preserve"> six neurons provide the </w:t>
      </w:r>
      <w:r w:rsidR="00647898">
        <w:rPr>
          <w:rFonts w:ascii="Times New Roman" w:hAnsi="Times New Roman" w:cs="Times New Roman"/>
          <w:sz w:val="24"/>
          <w:szCs w:val="24"/>
        </w:rPr>
        <w:t xml:space="preserve">most efficient </w:t>
      </w:r>
      <w:r w:rsidR="00721100">
        <w:rPr>
          <w:rFonts w:ascii="Times New Roman" w:hAnsi="Times New Roman" w:cs="Times New Roman"/>
          <w:sz w:val="24"/>
          <w:szCs w:val="24"/>
        </w:rPr>
        <w:t>results</w:t>
      </w:r>
      <w:r w:rsidR="00647898">
        <w:rPr>
          <w:rFonts w:ascii="Times New Roman" w:hAnsi="Times New Roman" w:cs="Times New Roman"/>
          <w:sz w:val="24"/>
          <w:szCs w:val="24"/>
        </w:rPr>
        <w:t xml:space="preserve"> and hence use this setup throughout our study</w:t>
      </w:r>
      <w:r w:rsidR="00721100">
        <w:rPr>
          <w:rFonts w:ascii="Times New Roman" w:hAnsi="Times New Roman" w:cs="Times New Roman"/>
          <w:sz w:val="24"/>
          <w:szCs w:val="24"/>
        </w:rPr>
        <w:t>.</w:t>
      </w:r>
      <w:r w:rsidR="00647898">
        <w:rPr>
          <w:rFonts w:ascii="Times New Roman" w:hAnsi="Times New Roman" w:cs="Times New Roman"/>
          <w:sz w:val="24"/>
          <w:szCs w:val="24"/>
        </w:rPr>
        <w:t xml:space="preserve"> </w:t>
      </w:r>
      <w:r w:rsidR="00DC1C3C">
        <w:rPr>
          <w:rFonts w:ascii="Times New Roman" w:hAnsi="Times New Roman" w:cs="Times New Roman"/>
          <w:sz w:val="24"/>
          <w:szCs w:val="24"/>
        </w:rPr>
        <w:t xml:space="preserve">As with DEA, due to limitations with regarding to computing power, every bankrupt firm will be matched with ten similar non-bankrupt firms </w:t>
      </w:r>
      <w:r w:rsidR="00D17BE5">
        <w:rPr>
          <w:rFonts w:ascii="Times New Roman" w:hAnsi="Times New Roman" w:cs="Times New Roman"/>
          <w:sz w:val="24"/>
          <w:szCs w:val="24"/>
        </w:rPr>
        <w:t xml:space="preserve">based on market value (+/- 20%) and </w:t>
      </w:r>
      <w:r w:rsidR="00D17BE5" w:rsidRPr="00AB3E0D">
        <w:rPr>
          <w:rFonts w:ascii="Times New Roman" w:hAnsi="Times New Roman" w:cs="Times New Roman"/>
          <w:sz w:val="24"/>
          <w:szCs w:val="24"/>
        </w:rPr>
        <w:t>the 3-digit Standard Industrial Classification (SIC)</w:t>
      </w:r>
      <w:r w:rsidR="00E91099">
        <w:rPr>
          <w:rFonts w:ascii="Times New Roman" w:hAnsi="Times New Roman" w:cs="Times New Roman"/>
          <w:sz w:val="24"/>
          <w:szCs w:val="24"/>
        </w:rPr>
        <w:t>.</w:t>
      </w:r>
    </w:p>
    <w:p w14:paraId="2E1B0D66" w14:textId="328A0D59" w:rsidR="00E93057" w:rsidRDefault="00E93057" w:rsidP="00260D7D">
      <w:pPr>
        <w:tabs>
          <w:tab w:val="left" w:pos="567"/>
        </w:tabs>
        <w:spacing w:after="0" w:line="288" w:lineRule="auto"/>
        <w:jc w:val="both"/>
        <w:rPr>
          <w:rFonts w:ascii="Times New Roman" w:hAnsi="Times New Roman" w:cs="Times New Roman"/>
          <w:b/>
          <w:bCs/>
          <w:sz w:val="24"/>
          <w:szCs w:val="24"/>
        </w:rPr>
      </w:pPr>
    </w:p>
    <w:p w14:paraId="752ECAF9" w14:textId="5466C79D" w:rsidR="002057BC" w:rsidRDefault="002057BC" w:rsidP="00260D7D">
      <w:pPr>
        <w:tabs>
          <w:tab w:val="left" w:pos="567"/>
        </w:tabs>
        <w:spacing w:after="0" w:line="288" w:lineRule="auto"/>
        <w:jc w:val="both"/>
        <w:rPr>
          <w:rFonts w:ascii="Times New Roman" w:hAnsi="Times New Roman" w:cs="Times New Roman"/>
          <w:b/>
          <w:bCs/>
          <w:sz w:val="24"/>
          <w:szCs w:val="24"/>
        </w:rPr>
      </w:pPr>
    </w:p>
    <w:p w14:paraId="0604BFCF" w14:textId="77777777" w:rsidR="002057BC" w:rsidRPr="00E93057" w:rsidRDefault="002057BC" w:rsidP="00260D7D">
      <w:pPr>
        <w:tabs>
          <w:tab w:val="left" w:pos="567"/>
        </w:tabs>
        <w:spacing w:after="0" w:line="288" w:lineRule="auto"/>
        <w:jc w:val="both"/>
        <w:rPr>
          <w:rFonts w:ascii="Times New Roman" w:hAnsi="Times New Roman" w:cs="Times New Roman"/>
          <w:b/>
          <w:bCs/>
          <w:sz w:val="24"/>
          <w:szCs w:val="24"/>
        </w:rPr>
      </w:pPr>
    </w:p>
    <w:p w14:paraId="32BBFC89" w14:textId="33345FC1" w:rsidR="00DE233F" w:rsidRPr="00D02FF4" w:rsidRDefault="00990BD4" w:rsidP="00D02FF4">
      <w:pPr>
        <w:pStyle w:val="ListParagraph"/>
        <w:keepNext/>
        <w:numPr>
          <w:ilvl w:val="1"/>
          <w:numId w:val="1"/>
        </w:numPr>
        <w:tabs>
          <w:tab w:val="left" w:pos="567"/>
        </w:tabs>
        <w:spacing w:after="0" w:line="288" w:lineRule="auto"/>
        <w:jc w:val="both"/>
        <w:rPr>
          <w:rFonts w:ascii="Times New Roman" w:hAnsi="Times New Roman" w:cs="Times New Roman"/>
          <w:b/>
          <w:bCs/>
          <w:sz w:val="24"/>
          <w:szCs w:val="24"/>
        </w:rPr>
      </w:pPr>
      <w:bookmarkStart w:id="6" w:name="_Toc475170418"/>
      <w:r>
        <w:rPr>
          <w:rFonts w:ascii="Times New Roman" w:hAnsi="Times New Roman" w:cs="Times New Roman"/>
          <w:b/>
          <w:bCs/>
          <w:sz w:val="24"/>
          <w:szCs w:val="24"/>
        </w:rPr>
        <w:lastRenderedPageBreak/>
        <w:t xml:space="preserve"> </w:t>
      </w:r>
      <w:r w:rsidR="005C594F" w:rsidRPr="00D02FF4">
        <w:rPr>
          <w:rFonts w:ascii="Times New Roman" w:hAnsi="Times New Roman" w:cs="Times New Roman"/>
          <w:b/>
          <w:bCs/>
          <w:sz w:val="24"/>
          <w:szCs w:val="24"/>
        </w:rPr>
        <w:t xml:space="preserve">Governance </w:t>
      </w:r>
      <w:r w:rsidR="003777EB" w:rsidRPr="00D02FF4">
        <w:rPr>
          <w:rFonts w:ascii="Times New Roman" w:hAnsi="Times New Roman" w:cs="Times New Roman"/>
          <w:b/>
          <w:bCs/>
          <w:sz w:val="24"/>
          <w:szCs w:val="24"/>
        </w:rPr>
        <w:t>V</w:t>
      </w:r>
      <w:r w:rsidR="005C594F" w:rsidRPr="00D02FF4">
        <w:rPr>
          <w:rFonts w:ascii="Times New Roman" w:hAnsi="Times New Roman" w:cs="Times New Roman"/>
          <w:b/>
          <w:bCs/>
          <w:sz w:val="24"/>
          <w:szCs w:val="24"/>
        </w:rPr>
        <w:t>ariables</w:t>
      </w:r>
      <w:bookmarkEnd w:id="6"/>
    </w:p>
    <w:p w14:paraId="4135423E" w14:textId="77777777" w:rsidR="003777EB" w:rsidRPr="003777EB" w:rsidRDefault="003777EB" w:rsidP="00260D7D">
      <w:pPr>
        <w:tabs>
          <w:tab w:val="left" w:pos="567"/>
        </w:tabs>
        <w:spacing w:after="0" w:line="288" w:lineRule="auto"/>
        <w:jc w:val="both"/>
        <w:rPr>
          <w:rFonts w:ascii="Times New Roman" w:hAnsi="Times New Roman" w:cs="Times New Roman"/>
          <w:sz w:val="6"/>
          <w:szCs w:val="6"/>
        </w:rPr>
      </w:pPr>
    </w:p>
    <w:p w14:paraId="3B47E2E3" w14:textId="77777777" w:rsidR="006F4237" w:rsidRDefault="003D7655"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We focus our analysis in this study on a number of governance variables related to board composition and structure. </w:t>
      </w:r>
      <w:r w:rsidR="00DE233F" w:rsidRPr="00D240EA">
        <w:rPr>
          <w:rFonts w:ascii="Times New Roman" w:hAnsi="Times New Roman" w:cs="Times New Roman"/>
          <w:sz w:val="24"/>
          <w:szCs w:val="24"/>
        </w:rPr>
        <w:t>While the firm</w:t>
      </w:r>
      <w:r w:rsidR="000B5311" w:rsidRPr="00D240EA">
        <w:rPr>
          <w:rFonts w:ascii="Times New Roman" w:hAnsi="Times New Roman" w:cs="Times New Roman"/>
          <w:sz w:val="24"/>
          <w:szCs w:val="24"/>
        </w:rPr>
        <w:t xml:space="preserve">’s governance framework extends well beyond the structure and composition of its board of directors, </w:t>
      </w:r>
      <w:r w:rsidR="00DE233F" w:rsidRPr="00D240EA">
        <w:rPr>
          <w:rFonts w:ascii="Times New Roman" w:hAnsi="Times New Roman" w:cs="Times New Roman"/>
          <w:sz w:val="24"/>
          <w:szCs w:val="24"/>
        </w:rPr>
        <w:t xml:space="preserve">the board’s monitoring and advising functions stand out as </w:t>
      </w:r>
      <w:r w:rsidR="000B5311" w:rsidRPr="00D240EA">
        <w:rPr>
          <w:rFonts w:ascii="Times New Roman" w:hAnsi="Times New Roman" w:cs="Times New Roman"/>
          <w:sz w:val="24"/>
          <w:szCs w:val="24"/>
        </w:rPr>
        <w:t>two of the most important mechanisms</w:t>
      </w:r>
      <w:r w:rsidR="00DE233F" w:rsidRPr="00D240EA">
        <w:rPr>
          <w:rFonts w:ascii="Times New Roman" w:hAnsi="Times New Roman" w:cs="Times New Roman"/>
          <w:sz w:val="24"/>
          <w:szCs w:val="24"/>
        </w:rPr>
        <w:t xml:space="preserve"> in which a firm’s </w:t>
      </w:r>
      <w:r w:rsidR="000B5311" w:rsidRPr="00D240EA">
        <w:rPr>
          <w:rFonts w:ascii="Times New Roman" w:hAnsi="Times New Roman" w:cs="Times New Roman"/>
          <w:sz w:val="24"/>
          <w:szCs w:val="24"/>
        </w:rPr>
        <w:t xml:space="preserve">fate is determined </w:t>
      </w:r>
      <w:r w:rsidR="00DE233F" w:rsidRPr="00D240EA">
        <w:rPr>
          <w:rFonts w:ascii="Times New Roman" w:hAnsi="Times New Roman" w:cs="Times New Roman"/>
          <w:sz w:val="24"/>
          <w:szCs w:val="24"/>
        </w:rPr>
        <w:t xml:space="preserve">(Darrat </w:t>
      </w:r>
      <w:r w:rsidR="00327178" w:rsidRPr="00327178">
        <w:rPr>
          <w:rFonts w:ascii="Times New Roman" w:hAnsi="Times New Roman" w:cs="Times New Roman"/>
          <w:i/>
          <w:iCs/>
          <w:sz w:val="24"/>
          <w:szCs w:val="24"/>
        </w:rPr>
        <w:t>et al.</w:t>
      </w:r>
      <w:r w:rsidR="00DE233F" w:rsidRPr="00D240EA">
        <w:rPr>
          <w:rFonts w:ascii="Times New Roman" w:hAnsi="Times New Roman" w:cs="Times New Roman"/>
          <w:sz w:val="24"/>
          <w:szCs w:val="24"/>
        </w:rPr>
        <w:t xml:space="preserve"> 2016). </w:t>
      </w:r>
      <w:r w:rsidR="005C594F" w:rsidRPr="00D240EA">
        <w:rPr>
          <w:rFonts w:ascii="Times New Roman" w:hAnsi="Times New Roman" w:cs="Times New Roman"/>
          <w:sz w:val="24"/>
          <w:szCs w:val="24"/>
        </w:rPr>
        <w:t xml:space="preserve">The </w:t>
      </w:r>
      <w:r w:rsidR="00D240EA" w:rsidRPr="00D240EA">
        <w:rPr>
          <w:rFonts w:ascii="Times New Roman" w:hAnsi="Times New Roman" w:cs="Times New Roman"/>
          <w:sz w:val="24"/>
          <w:szCs w:val="24"/>
        </w:rPr>
        <w:t>firm’s board</w:t>
      </w:r>
      <w:r w:rsidR="005C594F" w:rsidRPr="00D240EA">
        <w:rPr>
          <w:rFonts w:ascii="Times New Roman" w:hAnsi="Times New Roman" w:cs="Times New Roman"/>
          <w:sz w:val="24"/>
          <w:szCs w:val="24"/>
        </w:rPr>
        <w:t xml:space="preserve"> </w:t>
      </w:r>
      <w:r w:rsidR="00D240EA" w:rsidRPr="00D240EA">
        <w:rPr>
          <w:rFonts w:ascii="Times New Roman" w:hAnsi="Times New Roman" w:cs="Times New Roman"/>
          <w:sz w:val="24"/>
          <w:szCs w:val="24"/>
        </w:rPr>
        <w:t>influences its</w:t>
      </w:r>
      <w:r w:rsidR="005C594F" w:rsidRPr="00D240EA">
        <w:rPr>
          <w:rFonts w:ascii="Times New Roman" w:hAnsi="Times New Roman" w:cs="Times New Roman"/>
          <w:sz w:val="24"/>
          <w:szCs w:val="24"/>
        </w:rPr>
        <w:t xml:space="preserve"> performance</w:t>
      </w:r>
      <w:r w:rsidR="00D240EA" w:rsidRPr="00D240EA">
        <w:rPr>
          <w:rFonts w:ascii="Times New Roman" w:hAnsi="Times New Roman" w:cs="Times New Roman"/>
          <w:sz w:val="24"/>
          <w:szCs w:val="24"/>
        </w:rPr>
        <w:t xml:space="preserve"> through its role</w:t>
      </w:r>
      <w:r w:rsidR="00916306" w:rsidRPr="00D240EA">
        <w:rPr>
          <w:rFonts w:ascii="Times New Roman" w:hAnsi="Times New Roman" w:cs="Times New Roman"/>
          <w:sz w:val="24"/>
          <w:szCs w:val="24"/>
        </w:rPr>
        <w:t xml:space="preserve">, directly and indirectly, </w:t>
      </w:r>
      <w:r w:rsidR="00D240EA" w:rsidRPr="00D240EA">
        <w:rPr>
          <w:rFonts w:ascii="Times New Roman" w:hAnsi="Times New Roman" w:cs="Times New Roman"/>
          <w:sz w:val="24"/>
          <w:szCs w:val="24"/>
        </w:rPr>
        <w:t xml:space="preserve">in </w:t>
      </w:r>
      <w:r w:rsidR="00916306" w:rsidRPr="00D240EA">
        <w:rPr>
          <w:rFonts w:ascii="Times New Roman" w:hAnsi="Times New Roman" w:cs="Times New Roman"/>
          <w:sz w:val="24"/>
          <w:szCs w:val="24"/>
        </w:rPr>
        <w:t xml:space="preserve">the allocation and management of </w:t>
      </w:r>
      <w:r w:rsidR="00D240EA">
        <w:rPr>
          <w:rFonts w:ascii="Times New Roman" w:hAnsi="Times New Roman" w:cs="Times New Roman"/>
          <w:sz w:val="24"/>
          <w:szCs w:val="24"/>
        </w:rPr>
        <w:t>its</w:t>
      </w:r>
      <w:r w:rsidR="00916306" w:rsidRPr="00D240EA">
        <w:rPr>
          <w:rFonts w:ascii="Times New Roman" w:hAnsi="Times New Roman" w:cs="Times New Roman"/>
          <w:sz w:val="24"/>
          <w:szCs w:val="24"/>
        </w:rPr>
        <w:t xml:space="preserve"> resources.</w:t>
      </w:r>
      <w:r w:rsidR="00503A4A">
        <w:rPr>
          <w:rFonts w:ascii="Times New Roman" w:hAnsi="Times New Roman" w:cs="Times New Roman"/>
          <w:sz w:val="24"/>
          <w:szCs w:val="24"/>
        </w:rPr>
        <w:t xml:space="preserve"> </w:t>
      </w:r>
      <w:r w:rsidR="005C594F" w:rsidRPr="00D240EA">
        <w:rPr>
          <w:rFonts w:ascii="Times New Roman" w:hAnsi="Times New Roman" w:cs="Times New Roman"/>
          <w:sz w:val="24"/>
          <w:szCs w:val="24"/>
        </w:rPr>
        <w:t>First of all, a large number of studies have documented positive effects of board independence on firm value</w:t>
      </w:r>
      <w:r w:rsidR="00D50F55">
        <w:rPr>
          <w:rFonts w:ascii="Times New Roman" w:hAnsi="Times New Roman" w:cs="Times New Roman"/>
          <w:sz w:val="24"/>
          <w:szCs w:val="24"/>
        </w:rPr>
        <w:t xml:space="preserve"> and</w:t>
      </w:r>
      <w:r w:rsidR="005C594F" w:rsidRPr="00D240EA">
        <w:rPr>
          <w:rFonts w:ascii="Times New Roman" w:hAnsi="Times New Roman" w:cs="Times New Roman"/>
          <w:sz w:val="24"/>
          <w:szCs w:val="24"/>
        </w:rPr>
        <w:t xml:space="preserve"> operating performance</w:t>
      </w:r>
      <w:r w:rsidR="00D50F55">
        <w:rPr>
          <w:rFonts w:ascii="Times New Roman" w:hAnsi="Times New Roman" w:cs="Times New Roman"/>
          <w:sz w:val="24"/>
          <w:szCs w:val="24"/>
        </w:rPr>
        <w:t xml:space="preserve"> </w:t>
      </w:r>
      <w:r w:rsidR="008702F4">
        <w:rPr>
          <w:rFonts w:ascii="Times New Roman" w:hAnsi="Times New Roman" w:cs="Times New Roman"/>
          <w:sz w:val="24"/>
          <w:szCs w:val="24"/>
        </w:rPr>
        <w:t>due to</w:t>
      </w:r>
      <w:r w:rsidR="00D240EA">
        <w:rPr>
          <w:rFonts w:ascii="Times New Roman" w:hAnsi="Times New Roman" w:cs="Times New Roman"/>
          <w:sz w:val="24"/>
          <w:szCs w:val="24"/>
        </w:rPr>
        <w:t xml:space="preserve"> reasons such as the role of independent directors in offering better and more autonomous advices</w:t>
      </w:r>
      <w:r w:rsidR="00D50F55">
        <w:rPr>
          <w:rFonts w:ascii="Times New Roman" w:hAnsi="Times New Roman" w:cs="Times New Roman"/>
          <w:sz w:val="24"/>
          <w:szCs w:val="24"/>
        </w:rPr>
        <w:t xml:space="preserve"> </w:t>
      </w:r>
      <w:r>
        <w:rPr>
          <w:rFonts w:ascii="Times New Roman" w:hAnsi="Times New Roman" w:cs="Times New Roman"/>
          <w:sz w:val="24"/>
          <w:szCs w:val="24"/>
        </w:rPr>
        <w:t>compared to</w:t>
      </w:r>
      <w:r w:rsidR="00D50F55">
        <w:rPr>
          <w:rFonts w:ascii="Times New Roman" w:hAnsi="Times New Roman" w:cs="Times New Roman"/>
          <w:sz w:val="24"/>
          <w:szCs w:val="24"/>
        </w:rPr>
        <w:t xml:space="preserve"> insider directors</w:t>
      </w:r>
      <w:r w:rsidR="005C594F" w:rsidRPr="00D240EA">
        <w:rPr>
          <w:rFonts w:ascii="Times New Roman" w:hAnsi="Times New Roman" w:cs="Times New Roman"/>
          <w:sz w:val="24"/>
          <w:szCs w:val="24"/>
        </w:rPr>
        <w:t xml:space="preserve"> (Baysinger and Butler 1985</w:t>
      </w:r>
      <w:r w:rsidR="006D5DD3" w:rsidRPr="006D5DD3">
        <w:rPr>
          <w:rFonts w:ascii="Times New Roman" w:hAnsi="Times New Roman" w:cs="Times New Roman"/>
          <w:sz w:val="24"/>
          <w:szCs w:val="24"/>
        </w:rPr>
        <w:t>,</w:t>
      </w:r>
      <w:r w:rsidR="005C594F" w:rsidRPr="00D240EA">
        <w:rPr>
          <w:rFonts w:ascii="Times New Roman" w:hAnsi="Times New Roman" w:cs="Times New Roman"/>
          <w:sz w:val="24"/>
          <w:szCs w:val="24"/>
        </w:rPr>
        <w:t xml:space="preserve"> Boone </w:t>
      </w:r>
      <w:r w:rsidR="00327178" w:rsidRPr="00327178">
        <w:rPr>
          <w:rFonts w:ascii="Times New Roman" w:hAnsi="Times New Roman" w:cs="Times New Roman"/>
          <w:i/>
          <w:iCs/>
          <w:sz w:val="24"/>
          <w:szCs w:val="24"/>
        </w:rPr>
        <w:t>et al.</w:t>
      </w:r>
      <w:r w:rsidR="005C594F" w:rsidRPr="00D240EA">
        <w:rPr>
          <w:rFonts w:ascii="Times New Roman" w:hAnsi="Times New Roman" w:cs="Times New Roman"/>
          <w:sz w:val="24"/>
          <w:szCs w:val="24"/>
        </w:rPr>
        <w:t xml:space="preserve"> 2007</w:t>
      </w:r>
      <w:r w:rsidR="006D5DD3" w:rsidRPr="006D5DD3">
        <w:rPr>
          <w:rFonts w:ascii="Times New Roman" w:hAnsi="Times New Roman" w:cs="Times New Roman"/>
          <w:sz w:val="24"/>
          <w:szCs w:val="24"/>
        </w:rPr>
        <w:t>,</w:t>
      </w:r>
      <w:r w:rsidR="005C594F" w:rsidRPr="00D240EA">
        <w:rPr>
          <w:rFonts w:ascii="Times New Roman" w:hAnsi="Times New Roman" w:cs="Times New Roman"/>
          <w:sz w:val="24"/>
          <w:szCs w:val="24"/>
        </w:rPr>
        <w:t xml:space="preserve"> Raheja 2005</w:t>
      </w:r>
      <w:r w:rsidR="006D5DD3" w:rsidRPr="006D5DD3">
        <w:rPr>
          <w:rFonts w:ascii="Times New Roman" w:hAnsi="Times New Roman" w:cs="Times New Roman"/>
          <w:sz w:val="24"/>
          <w:szCs w:val="24"/>
        </w:rPr>
        <w:t>,</w:t>
      </w:r>
      <w:r w:rsidR="005C594F" w:rsidRPr="00D93CE1">
        <w:rPr>
          <w:rFonts w:ascii="Times New Roman" w:hAnsi="Times New Roman" w:cs="Times New Roman"/>
          <w:sz w:val="24"/>
          <w:szCs w:val="24"/>
        </w:rPr>
        <w:t xml:space="preserve"> Rosenstein and Wyatt</w:t>
      </w:r>
      <w:r w:rsidR="008A7E75">
        <w:rPr>
          <w:rFonts w:ascii="Times New Roman" w:hAnsi="Times New Roman" w:cs="Times New Roman"/>
          <w:sz w:val="24"/>
          <w:szCs w:val="24"/>
        </w:rPr>
        <w:t xml:space="preserve"> </w:t>
      </w:r>
      <w:r w:rsidR="005C594F" w:rsidRPr="00D93CE1">
        <w:rPr>
          <w:rFonts w:ascii="Times New Roman" w:hAnsi="Times New Roman" w:cs="Times New Roman"/>
          <w:sz w:val="24"/>
          <w:szCs w:val="24"/>
        </w:rPr>
        <w:t>1990</w:t>
      </w:r>
      <w:r w:rsidR="006D5DD3" w:rsidRPr="006D5DD3">
        <w:rPr>
          <w:rFonts w:ascii="Times New Roman" w:hAnsi="Times New Roman" w:cs="Times New Roman"/>
          <w:sz w:val="24"/>
          <w:szCs w:val="24"/>
        </w:rPr>
        <w:t>,</w:t>
      </w:r>
      <w:r w:rsidR="005C594F" w:rsidRPr="00D93CE1">
        <w:rPr>
          <w:rFonts w:ascii="Times New Roman" w:hAnsi="Times New Roman" w:cs="Times New Roman"/>
          <w:sz w:val="24"/>
          <w:szCs w:val="24"/>
        </w:rPr>
        <w:t xml:space="preserve"> Weisbach 1988</w:t>
      </w:r>
      <w:r w:rsidR="006D5DD3" w:rsidRPr="006D5DD3">
        <w:rPr>
          <w:rFonts w:ascii="Times New Roman" w:hAnsi="Times New Roman" w:cs="Times New Roman"/>
          <w:sz w:val="24"/>
          <w:szCs w:val="24"/>
        </w:rPr>
        <w:t>,</w:t>
      </w:r>
      <w:r w:rsidR="005C594F" w:rsidRPr="00D93CE1">
        <w:rPr>
          <w:rFonts w:ascii="Times New Roman" w:hAnsi="Times New Roman" w:cs="Times New Roman"/>
          <w:sz w:val="24"/>
          <w:szCs w:val="24"/>
        </w:rPr>
        <w:t xml:space="preserve"> Yermack</w:t>
      </w:r>
      <w:r w:rsidR="008A7E75">
        <w:rPr>
          <w:rFonts w:ascii="Times New Roman" w:hAnsi="Times New Roman" w:cs="Times New Roman"/>
          <w:sz w:val="24"/>
          <w:szCs w:val="24"/>
        </w:rPr>
        <w:t xml:space="preserve"> </w:t>
      </w:r>
      <w:r w:rsidR="005C594F" w:rsidRPr="00D93CE1">
        <w:rPr>
          <w:rFonts w:ascii="Times New Roman" w:hAnsi="Times New Roman" w:cs="Times New Roman"/>
          <w:sz w:val="24"/>
          <w:szCs w:val="24"/>
        </w:rPr>
        <w:t xml:space="preserve">2006). </w:t>
      </w:r>
    </w:p>
    <w:p w14:paraId="28C2B803" w14:textId="77777777" w:rsidR="006F4237" w:rsidRDefault="006F4237" w:rsidP="00260D7D">
      <w:pPr>
        <w:tabs>
          <w:tab w:val="left" w:pos="567"/>
        </w:tabs>
        <w:spacing w:after="0" w:line="288" w:lineRule="auto"/>
        <w:jc w:val="both"/>
        <w:rPr>
          <w:rFonts w:ascii="Times New Roman" w:hAnsi="Times New Roman" w:cs="Times New Roman"/>
          <w:sz w:val="24"/>
          <w:szCs w:val="24"/>
        </w:rPr>
      </w:pPr>
    </w:p>
    <w:p w14:paraId="338A3AC6" w14:textId="77777777" w:rsidR="006F4237" w:rsidRDefault="006F4237"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C594F" w:rsidRPr="00D93CE1">
        <w:rPr>
          <w:rFonts w:ascii="Times New Roman" w:hAnsi="Times New Roman" w:cs="Times New Roman"/>
          <w:sz w:val="24"/>
          <w:szCs w:val="24"/>
        </w:rPr>
        <w:t>Second</w:t>
      </w:r>
      <w:r w:rsidR="008A7E75">
        <w:rPr>
          <w:rFonts w:ascii="Times New Roman" w:hAnsi="Times New Roman" w:cs="Times New Roman"/>
          <w:sz w:val="24"/>
          <w:szCs w:val="24"/>
        </w:rPr>
        <w:t>ly</w:t>
      </w:r>
      <w:r w:rsidR="005C594F" w:rsidRPr="00D93CE1">
        <w:rPr>
          <w:rFonts w:ascii="Times New Roman" w:hAnsi="Times New Roman" w:cs="Times New Roman"/>
          <w:sz w:val="24"/>
          <w:szCs w:val="24"/>
        </w:rPr>
        <w:t xml:space="preserve">, findings in the literature on CEO-Chairman duality seem to be mixed. While some studies find </w:t>
      </w:r>
      <w:r w:rsidR="005C594F">
        <w:rPr>
          <w:rFonts w:ascii="Times New Roman" w:hAnsi="Times New Roman" w:cs="Times New Roman"/>
          <w:sz w:val="24"/>
          <w:szCs w:val="24"/>
        </w:rPr>
        <w:t xml:space="preserve">that </w:t>
      </w:r>
      <w:r w:rsidR="005C594F" w:rsidRPr="00D93CE1">
        <w:rPr>
          <w:rFonts w:ascii="Times New Roman" w:hAnsi="Times New Roman" w:cs="Times New Roman"/>
          <w:sz w:val="24"/>
          <w:szCs w:val="24"/>
        </w:rPr>
        <w:t xml:space="preserve">the separation costs are larger than the benefits gained (Baliga </w:t>
      </w:r>
      <w:r w:rsidR="00327178" w:rsidRPr="00327178">
        <w:rPr>
          <w:rFonts w:ascii="Times New Roman" w:hAnsi="Times New Roman" w:cs="Times New Roman"/>
          <w:i/>
          <w:iCs/>
          <w:sz w:val="24"/>
          <w:szCs w:val="24"/>
        </w:rPr>
        <w:t>et al.</w:t>
      </w:r>
      <w:r w:rsidR="005C594F" w:rsidRPr="00D93CE1">
        <w:rPr>
          <w:rFonts w:ascii="Times New Roman" w:hAnsi="Times New Roman" w:cs="Times New Roman"/>
          <w:sz w:val="24"/>
          <w:szCs w:val="24"/>
        </w:rPr>
        <w:t xml:space="preserve"> 1996</w:t>
      </w:r>
      <w:r w:rsidR="006D5DD3" w:rsidRPr="006D5DD3">
        <w:rPr>
          <w:rFonts w:ascii="Times New Roman" w:hAnsi="Times New Roman" w:cs="Times New Roman"/>
          <w:sz w:val="24"/>
          <w:szCs w:val="24"/>
        </w:rPr>
        <w:t>,</w:t>
      </w:r>
      <w:r w:rsidR="005C594F" w:rsidRPr="00D93CE1">
        <w:rPr>
          <w:rFonts w:ascii="Times New Roman" w:hAnsi="Times New Roman" w:cs="Times New Roman"/>
          <w:sz w:val="24"/>
          <w:szCs w:val="24"/>
        </w:rPr>
        <w:t xml:space="preserve"> Brickley </w:t>
      </w:r>
      <w:r w:rsidR="00327178" w:rsidRPr="00327178">
        <w:rPr>
          <w:rFonts w:ascii="Times New Roman" w:hAnsi="Times New Roman" w:cs="Times New Roman"/>
          <w:i/>
          <w:iCs/>
          <w:sz w:val="24"/>
          <w:szCs w:val="24"/>
        </w:rPr>
        <w:t>et al.</w:t>
      </w:r>
      <w:r w:rsidR="005C594F" w:rsidRPr="00D93CE1">
        <w:rPr>
          <w:rFonts w:ascii="Times New Roman" w:hAnsi="Times New Roman" w:cs="Times New Roman"/>
          <w:sz w:val="24"/>
          <w:szCs w:val="24"/>
        </w:rPr>
        <w:t xml:space="preserve"> 1997), others argue that the duality weakens the board monitoring powers and reduces the likelihood of firing underperforming managers (Adams </w:t>
      </w:r>
      <w:r w:rsidR="00327178" w:rsidRPr="00327178">
        <w:rPr>
          <w:rFonts w:ascii="Times New Roman" w:hAnsi="Times New Roman" w:cs="Times New Roman"/>
          <w:i/>
          <w:iCs/>
          <w:sz w:val="24"/>
          <w:szCs w:val="24"/>
        </w:rPr>
        <w:t>et al.</w:t>
      </w:r>
      <w:r w:rsidR="005C594F" w:rsidRPr="00D93CE1">
        <w:rPr>
          <w:rFonts w:ascii="Times New Roman" w:hAnsi="Times New Roman" w:cs="Times New Roman"/>
          <w:sz w:val="24"/>
          <w:szCs w:val="24"/>
        </w:rPr>
        <w:t xml:space="preserve"> 2005</w:t>
      </w:r>
      <w:r w:rsidR="006D5DD3" w:rsidRPr="006D5DD3">
        <w:rPr>
          <w:rFonts w:ascii="Times New Roman" w:hAnsi="Times New Roman" w:cs="Times New Roman"/>
          <w:sz w:val="24"/>
          <w:szCs w:val="24"/>
        </w:rPr>
        <w:t>,</w:t>
      </w:r>
      <w:r w:rsidR="005C594F" w:rsidRPr="00D93CE1">
        <w:rPr>
          <w:rFonts w:ascii="Times New Roman" w:hAnsi="Times New Roman" w:cs="Times New Roman"/>
          <w:sz w:val="24"/>
          <w:szCs w:val="24"/>
        </w:rPr>
        <w:t xml:space="preserve"> Dey </w:t>
      </w:r>
      <w:r w:rsidR="00327178" w:rsidRPr="00327178">
        <w:rPr>
          <w:rFonts w:ascii="Times New Roman" w:hAnsi="Times New Roman" w:cs="Times New Roman"/>
          <w:i/>
          <w:iCs/>
          <w:sz w:val="24"/>
          <w:szCs w:val="24"/>
        </w:rPr>
        <w:t>et al.</w:t>
      </w:r>
      <w:r w:rsidR="005C594F" w:rsidRPr="00D93CE1">
        <w:rPr>
          <w:rFonts w:ascii="Times New Roman" w:hAnsi="Times New Roman" w:cs="Times New Roman"/>
          <w:sz w:val="24"/>
          <w:szCs w:val="24"/>
        </w:rPr>
        <w:t xml:space="preserve"> 2011</w:t>
      </w:r>
      <w:r w:rsidR="006D5DD3" w:rsidRPr="006D5DD3">
        <w:rPr>
          <w:rFonts w:ascii="Times New Roman" w:hAnsi="Times New Roman" w:cs="Times New Roman"/>
          <w:sz w:val="24"/>
          <w:szCs w:val="24"/>
        </w:rPr>
        <w:t>,</w:t>
      </w:r>
      <w:r w:rsidR="005C594F" w:rsidRPr="00D93CE1">
        <w:rPr>
          <w:rFonts w:ascii="Times New Roman" w:hAnsi="Times New Roman" w:cs="Times New Roman"/>
          <w:sz w:val="24"/>
          <w:szCs w:val="24"/>
        </w:rPr>
        <w:t xml:space="preserve"> Goyal and Park 2002). </w:t>
      </w:r>
    </w:p>
    <w:p w14:paraId="0F6463E7" w14:textId="77777777" w:rsidR="006F4237" w:rsidRDefault="006F4237" w:rsidP="00260D7D">
      <w:pPr>
        <w:tabs>
          <w:tab w:val="left" w:pos="567"/>
        </w:tabs>
        <w:spacing w:after="0" w:line="288" w:lineRule="auto"/>
        <w:jc w:val="both"/>
        <w:rPr>
          <w:rFonts w:ascii="Times New Roman" w:hAnsi="Times New Roman" w:cs="Times New Roman"/>
          <w:sz w:val="24"/>
          <w:szCs w:val="24"/>
        </w:rPr>
      </w:pPr>
    </w:p>
    <w:p w14:paraId="70D3F433" w14:textId="1959518A" w:rsidR="00273097" w:rsidRDefault="006F4237"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C594F" w:rsidRPr="00D93CE1">
        <w:rPr>
          <w:rFonts w:ascii="Times New Roman" w:hAnsi="Times New Roman" w:cs="Times New Roman"/>
          <w:sz w:val="24"/>
          <w:szCs w:val="24"/>
        </w:rPr>
        <w:t>Third</w:t>
      </w:r>
      <w:r w:rsidR="008A7E75">
        <w:rPr>
          <w:rFonts w:ascii="Times New Roman" w:hAnsi="Times New Roman" w:cs="Times New Roman"/>
          <w:sz w:val="24"/>
          <w:szCs w:val="24"/>
        </w:rPr>
        <w:t>ly</w:t>
      </w:r>
      <w:r w:rsidR="005C594F" w:rsidRPr="00D93CE1">
        <w:rPr>
          <w:rFonts w:ascii="Times New Roman" w:hAnsi="Times New Roman" w:cs="Times New Roman"/>
          <w:sz w:val="24"/>
          <w:szCs w:val="24"/>
        </w:rPr>
        <w:t xml:space="preserve">, many studies found a negative relationship between board size and firm value or performance (Eisenberg </w:t>
      </w:r>
      <w:r w:rsidR="00327178" w:rsidRPr="00327178">
        <w:rPr>
          <w:rFonts w:ascii="Times New Roman" w:hAnsi="Times New Roman" w:cs="Times New Roman"/>
          <w:i/>
          <w:iCs/>
          <w:sz w:val="24"/>
          <w:szCs w:val="24"/>
        </w:rPr>
        <w:t>et al.</w:t>
      </w:r>
      <w:r w:rsidR="005C594F" w:rsidRPr="00D93CE1">
        <w:rPr>
          <w:rFonts w:ascii="Times New Roman" w:hAnsi="Times New Roman" w:cs="Times New Roman"/>
          <w:sz w:val="24"/>
          <w:szCs w:val="24"/>
        </w:rPr>
        <w:t xml:space="preserve"> 1998</w:t>
      </w:r>
      <w:r w:rsidR="006D5DD3" w:rsidRPr="006D5DD3">
        <w:rPr>
          <w:rFonts w:ascii="Times New Roman" w:hAnsi="Times New Roman" w:cs="Times New Roman"/>
          <w:sz w:val="24"/>
          <w:szCs w:val="24"/>
        </w:rPr>
        <w:t>,</w:t>
      </w:r>
      <w:r w:rsidR="005C594F" w:rsidRPr="00D93CE1">
        <w:rPr>
          <w:rFonts w:ascii="Times New Roman" w:hAnsi="Times New Roman" w:cs="Times New Roman"/>
          <w:sz w:val="24"/>
          <w:szCs w:val="24"/>
        </w:rPr>
        <w:t xml:space="preserve"> Mak and Kusnadi 2005</w:t>
      </w:r>
      <w:r w:rsidR="006D5DD3" w:rsidRPr="006D5DD3">
        <w:rPr>
          <w:rFonts w:ascii="Times New Roman" w:hAnsi="Times New Roman" w:cs="Times New Roman"/>
          <w:sz w:val="24"/>
          <w:szCs w:val="24"/>
        </w:rPr>
        <w:t>,</w:t>
      </w:r>
      <w:r w:rsidR="005C594F" w:rsidRPr="00D93CE1">
        <w:rPr>
          <w:rFonts w:ascii="Times New Roman" w:hAnsi="Times New Roman" w:cs="Times New Roman"/>
          <w:sz w:val="24"/>
          <w:szCs w:val="24"/>
        </w:rPr>
        <w:t xml:space="preserve"> Yermack 1996). This is supported by claims in the literature that larger boards tend to have poor communication issues and ineffective decision-making process (Lipton and Lorsch 1992</w:t>
      </w:r>
      <w:r w:rsidR="006D5DD3" w:rsidRPr="006D5DD3">
        <w:rPr>
          <w:rFonts w:ascii="Times New Roman" w:hAnsi="Times New Roman" w:cs="Times New Roman"/>
          <w:sz w:val="24"/>
          <w:szCs w:val="24"/>
        </w:rPr>
        <w:t>,</w:t>
      </w:r>
      <w:r w:rsidR="005C594F" w:rsidRPr="00D93CE1">
        <w:rPr>
          <w:rFonts w:ascii="Times New Roman" w:hAnsi="Times New Roman" w:cs="Times New Roman"/>
          <w:sz w:val="24"/>
          <w:szCs w:val="24"/>
        </w:rPr>
        <w:t xml:space="preserve"> Jensen 1993). Other studies, however, found some support for the arguments that larger boards tend to take less extreme decisions and that they are beneficial for complex firms (Boone </w:t>
      </w:r>
      <w:r w:rsidR="00327178" w:rsidRPr="00327178">
        <w:rPr>
          <w:rFonts w:ascii="Times New Roman" w:hAnsi="Times New Roman" w:cs="Times New Roman"/>
          <w:i/>
          <w:iCs/>
          <w:sz w:val="24"/>
          <w:szCs w:val="24"/>
        </w:rPr>
        <w:t>et al.</w:t>
      </w:r>
      <w:r w:rsidR="005C594F" w:rsidRPr="00D93CE1">
        <w:rPr>
          <w:rFonts w:ascii="Times New Roman" w:hAnsi="Times New Roman" w:cs="Times New Roman"/>
          <w:sz w:val="24"/>
          <w:szCs w:val="24"/>
        </w:rPr>
        <w:t xml:space="preserve"> 2007</w:t>
      </w:r>
      <w:r w:rsidR="006D5DD3" w:rsidRPr="006D5DD3">
        <w:rPr>
          <w:rFonts w:ascii="Times New Roman" w:hAnsi="Times New Roman" w:cs="Times New Roman"/>
          <w:sz w:val="24"/>
          <w:szCs w:val="24"/>
        </w:rPr>
        <w:t>,</w:t>
      </w:r>
      <w:r w:rsidR="005C594F" w:rsidRPr="00D93CE1">
        <w:rPr>
          <w:rFonts w:ascii="Times New Roman" w:hAnsi="Times New Roman" w:cs="Times New Roman"/>
          <w:sz w:val="24"/>
          <w:szCs w:val="24"/>
        </w:rPr>
        <w:t xml:space="preserve"> Cheng 2008</w:t>
      </w:r>
      <w:r w:rsidR="006D5DD3" w:rsidRPr="006D5DD3">
        <w:rPr>
          <w:rFonts w:ascii="Times New Roman" w:hAnsi="Times New Roman" w:cs="Times New Roman"/>
          <w:sz w:val="24"/>
          <w:szCs w:val="24"/>
        </w:rPr>
        <w:t>,</w:t>
      </w:r>
      <w:r w:rsidR="005C594F" w:rsidRPr="00D93CE1">
        <w:rPr>
          <w:rFonts w:ascii="Times New Roman" w:hAnsi="Times New Roman" w:cs="Times New Roman"/>
          <w:sz w:val="24"/>
          <w:szCs w:val="24"/>
        </w:rPr>
        <w:t xml:space="preserve"> Coles </w:t>
      </w:r>
      <w:r w:rsidR="00327178" w:rsidRPr="00327178">
        <w:rPr>
          <w:rFonts w:ascii="Times New Roman" w:hAnsi="Times New Roman" w:cs="Times New Roman"/>
          <w:i/>
          <w:iCs/>
          <w:sz w:val="24"/>
          <w:szCs w:val="24"/>
        </w:rPr>
        <w:t>et al.</w:t>
      </w:r>
      <w:r w:rsidR="005C594F" w:rsidRPr="00D93CE1">
        <w:rPr>
          <w:rFonts w:ascii="Times New Roman" w:hAnsi="Times New Roman" w:cs="Times New Roman"/>
          <w:sz w:val="24"/>
          <w:szCs w:val="24"/>
        </w:rPr>
        <w:t xml:space="preserve"> 2008). </w:t>
      </w:r>
    </w:p>
    <w:p w14:paraId="334B5C78" w14:textId="77777777" w:rsidR="00E93057" w:rsidRDefault="00E93057" w:rsidP="00260D7D">
      <w:pPr>
        <w:tabs>
          <w:tab w:val="left" w:pos="567"/>
        </w:tabs>
        <w:spacing w:after="0" w:line="288" w:lineRule="auto"/>
        <w:jc w:val="both"/>
        <w:rPr>
          <w:rFonts w:ascii="Times New Roman" w:hAnsi="Times New Roman" w:cs="Times New Roman"/>
          <w:sz w:val="24"/>
          <w:szCs w:val="24"/>
        </w:rPr>
      </w:pPr>
    </w:p>
    <w:p w14:paraId="0E4C3FF7" w14:textId="0231097D" w:rsidR="005C594F" w:rsidRDefault="00E93057"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C594F" w:rsidRPr="00D93CE1">
        <w:rPr>
          <w:rFonts w:ascii="Times New Roman" w:hAnsi="Times New Roman" w:cs="Times New Roman"/>
          <w:sz w:val="24"/>
          <w:szCs w:val="24"/>
        </w:rPr>
        <w:t>Four</w:t>
      </w:r>
      <w:r w:rsidR="00F03275">
        <w:rPr>
          <w:rFonts w:ascii="Times New Roman" w:hAnsi="Times New Roman" w:cs="Times New Roman"/>
          <w:sz w:val="24"/>
          <w:szCs w:val="24"/>
        </w:rPr>
        <w:t>th</w:t>
      </w:r>
      <w:r>
        <w:rPr>
          <w:rFonts w:ascii="Times New Roman" w:hAnsi="Times New Roman" w:cs="Times New Roman"/>
          <w:sz w:val="24"/>
          <w:szCs w:val="24"/>
        </w:rPr>
        <w:t>ly</w:t>
      </w:r>
      <w:r w:rsidR="005C594F" w:rsidRPr="00D93CE1">
        <w:rPr>
          <w:rFonts w:ascii="Times New Roman" w:hAnsi="Times New Roman" w:cs="Times New Roman"/>
          <w:sz w:val="24"/>
          <w:szCs w:val="24"/>
        </w:rPr>
        <w:t>, staggered boards have been found to be harmful to firm</w:t>
      </w:r>
      <w:r w:rsidR="00D50F55">
        <w:rPr>
          <w:rFonts w:ascii="Times New Roman" w:hAnsi="Times New Roman" w:cs="Times New Roman"/>
          <w:sz w:val="24"/>
          <w:szCs w:val="24"/>
        </w:rPr>
        <w:t xml:space="preserve"> performance</w:t>
      </w:r>
      <w:r w:rsidR="005C594F" w:rsidRPr="00D93CE1">
        <w:rPr>
          <w:rFonts w:ascii="Times New Roman" w:hAnsi="Times New Roman" w:cs="Times New Roman"/>
          <w:sz w:val="24"/>
          <w:szCs w:val="24"/>
        </w:rPr>
        <w:t xml:space="preserve"> through contributing to managers’ entrenchment and reducing the board’s monitoring powers (Bebchuk and Cohen 2005</w:t>
      </w:r>
      <w:r w:rsidR="006D5DD3" w:rsidRPr="006D5DD3">
        <w:rPr>
          <w:rFonts w:ascii="Times New Roman" w:hAnsi="Times New Roman" w:cs="Times New Roman"/>
          <w:sz w:val="24"/>
          <w:szCs w:val="24"/>
        </w:rPr>
        <w:t>,</w:t>
      </w:r>
      <w:r w:rsidR="005C594F" w:rsidRPr="00D93CE1">
        <w:rPr>
          <w:rFonts w:ascii="Times New Roman" w:hAnsi="Times New Roman" w:cs="Times New Roman"/>
          <w:sz w:val="24"/>
          <w:szCs w:val="24"/>
        </w:rPr>
        <w:t xml:space="preserve"> Cohen and Wang 2013</w:t>
      </w:r>
      <w:r w:rsidR="006D5DD3" w:rsidRPr="006D5DD3">
        <w:rPr>
          <w:rFonts w:ascii="Times New Roman" w:hAnsi="Times New Roman" w:cs="Times New Roman"/>
          <w:sz w:val="24"/>
          <w:szCs w:val="24"/>
        </w:rPr>
        <w:t>,</w:t>
      </w:r>
      <w:r w:rsidR="005C594F" w:rsidRPr="00D93CE1">
        <w:rPr>
          <w:rFonts w:ascii="Times New Roman" w:hAnsi="Times New Roman" w:cs="Times New Roman"/>
          <w:sz w:val="24"/>
          <w:szCs w:val="24"/>
        </w:rPr>
        <w:t xml:space="preserve"> Faleye 2007</w:t>
      </w:r>
      <w:r w:rsidR="006D5DD3" w:rsidRPr="006D5DD3">
        <w:rPr>
          <w:rFonts w:ascii="Times New Roman" w:hAnsi="Times New Roman" w:cs="Times New Roman"/>
          <w:sz w:val="24"/>
          <w:szCs w:val="24"/>
        </w:rPr>
        <w:t>,</w:t>
      </w:r>
      <w:r w:rsidR="005C594F" w:rsidRPr="00D93CE1">
        <w:rPr>
          <w:rFonts w:ascii="Times New Roman" w:hAnsi="Times New Roman" w:cs="Times New Roman"/>
          <w:sz w:val="24"/>
          <w:szCs w:val="24"/>
        </w:rPr>
        <w:t xml:space="preserve"> Faleye 2009). </w:t>
      </w:r>
      <w:r w:rsidR="00273097">
        <w:rPr>
          <w:rFonts w:ascii="Times New Roman" w:hAnsi="Times New Roman" w:cs="Times New Roman"/>
          <w:sz w:val="24"/>
          <w:szCs w:val="24"/>
        </w:rPr>
        <w:t>Fifth</w:t>
      </w:r>
      <w:r w:rsidR="008A7E75">
        <w:rPr>
          <w:rFonts w:ascii="Times New Roman" w:hAnsi="Times New Roman" w:cs="Times New Roman"/>
          <w:sz w:val="24"/>
          <w:szCs w:val="24"/>
        </w:rPr>
        <w:t>ly</w:t>
      </w:r>
      <w:r w:rsidR="00273097">
        <w:rPr>
          <w:rFonts w:ascii="Times New Roman" w:hAnsi="Times New Roman" w:cs="Times New Roman"/>
          <w:sz w:val="24"/>
          <w:szCs w:val="24"/>
        </w:rPr>
        <w:t>, Yermack (</w:t>
      </w:r>
      <w:r w:rsidR="00273097" w:rsidRPr="006E7BEF">
        <w:rPr>
          <w:rFonts w:ascii="Times New Roman" w:hAnsi="Times New Roman" w:cs="Times New Roman"/>
          <w:sz w:val="24"/>
          <w:szCs w:val="24"/>
        </w:rPr>
        <w:t>2004</w:t>
      </w:r>
      <w:r w:rsidR="00273097">
        <w:rPr>
          <w:rFonts w:ascii="Times New Roman" w:hAnsi="Times New Roman" w:cs="Times New Roman"/>
          <w:sz w:val="24"/>
          <w:szCs w:val="24"/>
        </w:rPr>
        <w:t xml:space="preserve">) report that more than half of the overall incentives to external directors come from changes in the value of equity-related holdings (stocks and options), confirming the vital role of equity-related incentives in aligning the interests of board members with those of the shareholders. </w:t>
      </w:r>
      <w:r w:rsidR="00F03275">
        <w:rPr>
          <w:rFonts w:ascii="Times New Roman" w:hAnsi="Times New Roman" w:cs="Times New Roman"/>
          <w:sz w:val="24"/>
          <w:szCs w:val="24"/>
        </w:rPr>
        <w:t xml:space="preserve">Sixth, </w:t>
      </w:r>
      <w:r w:rsidR="00F03275" w:rsidRPr="00D93CE1">
        <w:rPr>
          <w:rFonts w:ascii="Times New Roman" w:hAnsi="Times New Roman" w:cs="Times New Roman"/>
          <w:sz w:val="24"/>
          <w:szCs w:val="24"/>
        </w:rPr>
        <w:t>Adams and Ferreira</w:t>
      </w:r>
      <w:r w:rsidR="00F03275">
        <w:rPr>
          <w:rFonts w:ascii="Times New Roman" w:hAnsi="Times New Roman" w:cs="Times New Roman"/>
          <w:sz w:val="24"/>
          <w:szCs w:val="24"/>
        </w:rPr>
        <w:t xml:space="preserve"> (</w:t>
      </w:r>
      <w:r w:rsidR="00F03275" w:rsidRPr="00D93CE1">
        <w:rPr>
          <w:rFonts w:ascii="Times New Roman" w:hAnsi="Times New Roman" w:cs="Times New Roman"/>
          <w:sz w:val="24"/>
          <w:szCs w:val="24"/>
        </w:rPr>
        <w:t>200</w:t>
      </w:r>
      <w:r w:rsidR="00F03275">
        <w:rPr>
          <w:rFonts w:ascii="Times New Roman" w:hAnsi="Times New Roman" w:cs="Times New Roman"/>
          <w:sz w:val="24"/>
          <w:szCs w:val="24"/>
        </w:rPr>
        <w:t xml:space="preserve">9) document a positive relationship between gender-diversity and the board’s monitoring activities. The results show that female directors have less attendance problems and more active participation in the board’s committees than their male counterparts. </w:t>
      </w:r>
      <w:r w:rsidR="005C594F" w:rsidRPr="00D93CE1">
        <w:rPr>
          <w:rFonts w:ascii="Times New Roman" w:hAnsi="Times New Roman" w:cs="Times New Roman"/>
          <w:sz w:val="24"/>
          <w:szCs w:val="24"/>
        </w:rPr>
        <w:t xml:space="preserve">Lastly, several studies have documented a negative link between director busyness </w:t>
      </w:r>
      <w:r w:rsidR="00D50F55">
        <w:rPr>
          <w:rFonts w:ascii="Times New Roman" w:hAnsi="Times New Roman" w:cs="Times New Roman"/>
          <w:sz w:val="24"/>
          <w:szCs w:val="24"/>
        </w:rPr>
        <w:t xml:space="preserve">and </w:t>
      </w:r>
      <w:r w:rsidR="005C594F" w:rsidRPr="00D93CE1">
        <w:rPr>
          <w:rFonts w:ascii="Times New Roman" w:hAnsi="Times New Roman" w:cs="Times New Roman"/>
          <w:sz w:val="24"/>
          <w:szCs w:val="24"/>
        </w:rPr>
        <w:t>firm value</w:t>
      </w:r>
      <w:r w:rsidR="00D50F55">
        <w:rPr>
          <w:rFonts w:ascii="Times New Roman" w:hAnsi="Times New Roman" w:cs="Times New Roman"/>
          <w:sz w:val="24"/>
          <w:szCs w:val="24"/>
        </w:rPr>
        <w:t xml:space="preserve"> and</w:t>
      </w:r>
      <w:r w:rsidR="005C594F" w:rsidRPr="00D93CE1">
        <w:rPr>
          <w:rFonts w:ascii="Times New Roman" w:hAnsi="Times New Roman" w:cs="Times New Roman"/>
          <w:sz w:val="24"/>
          <w:szCs w:val="24"/>
        </w:rPr>
        <w:t xml:space="preserve"> performance</w:t>
      </w:r>
      <w:r w:rsidR="00D50F55">
        <w:rPr>
          <w:rFonts w:ascii="Times New Roman" w:hAnsi="Times New Roman" w:cs="Times New Roman"/>
          <w:sz w:val="24"/>
          <w:szCs w:val="24"/>
        </w:rPr>
        <w:t xml:space="preserve"> </w:t>
      </w:r>
      <w:r w:rsidR="008702F4">
        <w:rPr>
          <w:rFonts w:ascii="Times New Roman" w:hAnsi="Times New Roman" w:cs="Times New Roman"/>
          <w:sz w:val="24"/>
          <w:szCs w:val="24"/>
        </w:rPr>
        <w:t>based on the fact that</w:t>
      </w:r>
      <w:r w:rsidR="00D50F55">
        <w:rPr>
          <w:rFonts w:ascii="Times New Roman" w:hAnsi="Times New Roman" w:cs="Times New Roman"/>
          <w:sz w:val="24"/>
          <w:szCs w:val="24"/>
        </w:rPr>
        <w:t xml:space="preserve"> boards with</w:t>
      </w:r>
      <w:r w:rsidR="008702F4">
        <w:rPr>
          <w:rFonts w:ascii="Times New Roman" w:hAnsi="Times New Roman" w:cs="Times New Roman"/>
          <w:sz w:val="24"/>
          <w:szCs w:val="24"/>
        </w:rPr>
        <w:t xml:space="preserve"> more</w:t>
      </w:r>
      <w:r w:rsidR="00D50F55">
        <w:rPr>
          <w:rFonts w:ascii="Times New Roman" w:hAnsi="Times New Roman" w:cs="Times New Roman"/>
          <w:sz w:val="24"/>
          <w:szCs w:val="24"/>
        </w:rPr>
        <w:t xml:space="preserve"> busy members </w:t>
      </w:r>
      <w:r w:rsidR="008702F4">
        <w:rPr>
          <w:rFonts w:ascii="Times New Roman" w:hAnsi="Times New Roman" w:cs="Times New Roman"/>
          <w:sz w:val="24"/>
          <w:szCs w:val="24"/>
        </w:rPr>
        <w:t>tend to be</w:t>
      </w:r>
      <w:r w:rsidR="00D50F55">
        <w:rPr>
          <w:rFonts w:ascii="Times New Roman" w:hAnsi="Times New Roman" w:cs="Times New Roman"/>
          <w:sz w:val="24"/>
          <w:szCs w:val="24"/>
        </w:rPr>
        <w:t xml:space="preserve"> less effective at monitoring and advising the firm’s management </w:t>
      </w:r>
      <w:r w:rsidR="00D50F55" w:rsidRPr="00D93CE1">
        <w:rPr>
          <w:rFonts w:ascii="Times New Roman" w:hAnsi="Times New Roman" w:cs="Times New Roman"/>
          <w:sz w:val="24"/>
          <w:szCs w:val="24"/>
        </w:rPr>
        <w:t>(Adams and Ferreira 2008</w:t>
      </w:r>
      <w:r w:rsidR="006D5DD3" w:rsidRPr="006D5DD3">
        <w:rPr>
          <w:rFonts w:ascii="Times New Roman" w:hAnsi="Times New Roman" w:cs="Times New Roman"/>
          <w:sz w:val="24"/>
          <w:szCs w:val="24"/>
        </w:rPr>
        <w:t>,</w:t>
      </w:r>
      <w:r w:rsidR="00D50F55" w:rsidRPr="00D93CE1">
        <w:rPr>
          <w:rFonts w:ascii="Times New Roman" w:hAnsi="Times New Roman" w:cs="Times New Roman"/>
          <w:sz w:val="24"/>
          <w:szCs w:val="24"/>
        </w:rPr>
        <w:t xml:space="preserve"> Ahn </w:t>
      </w:r>
      <w:r w:rsidR="00327178" w:rsidRPr="00327178">
        <w:rPr>
          <w:rFonts w:ascii="Times New Roman" w:hAnsi="Times New Roman" w:cs="Times New Roman"/>
          <w:i/>
          <w:iCs/>
          <w:sz w:val="24"/>
          <w:szCs w:val="24"/>
        </w:rPr>
        <w:t>et al.</w:t>
      </w:r>
      <w:r w:rsidR="00D50F55" w:rsidRPr="00D93CE1">
        <w:rPr>
          <w:rFonts w:ascii="Times New Roman" w:hAnsi="Times New Roman" w:cs="Times New Roman"/>
          <w:sz w:val="24"/>
          <w:szCs w:val="24"/>
        </w:rPr>
        <w:t xml:space="preserve"> 2010</w:t>
      </w:r>
      <w:r w:rsidR="006D5DD3" w:rsidRPr="006D5DD3">
        <w:rPr>
          <w:rFonts w:ascii="Times New Roman" w:hAnsi="Times New Roman" w:cs="Times New Roman"/>
          <w:sz w:val="24"/>
          <w:szCs w:val="24"/>
        </w:rPr>
        <w:t>,</w:t>
      </w:r>
      <w:r w:rsidR="00D50F55" w:rsidRPr="00D93CE1">
        <w:rPr>
          <w:rFonts w:ascii="Times New Roman" w:hAnsi="Times New Roman" w:cs="Times New Roman"/>
          <w:sz w:val="24"/>
          <w:szCs w:val="24"/>
        </w:rPr>
        <w:t xml:space="preserve"> Fich and Shivdasani 2006</w:t>
      </w:r>
      <w:r w:rsidR="006D5DD3" w:rsidRPr="006D5DD3">
        <w:rPr>
          <w:rFonts w:ascii="Times New Roman" w:hAnsi="Times New Roman" w:cs="Times New Roman"/>
          <w:sz w:val="24"/>
          <w:szCs w:val="24"/>
        </w:rPr>
        <w:t>,</w:t>
      </w:r>
      <w:r w:rsidR="00D50F55" w:rsidRPr="00D93CE1">
        <w:rPr>
          <w:rFonts w:ascii="Times New Roman" w:hAnsi="Times New Roman" w:cs="Times New Roman"/>
          <w:sz w:val="24"/>
          <w:szCs w:val="24"/>
        </w:rPr>
        <w:t xml:space="preserve"> Jiraporn </w:t>
      </w:r>
      <w:r w:rsidR="00327178" w:rsidRPr="00327178">
        <w:rPr>
          <w:rFonts w:ascii="Times New Roman" w:hAnsi="Times New Roman" w:cs="Times New Roman"/>
          <w:i/>
          <w:iCs/>
          <w:sz w:val="24"/>
          <w:szCs w:val="24"/>
        </w:rPr>
        <w:t>et al.</w:t>
      </w:r>
      <w:r w:rsidR="00D50F55" w:rsidRPr="00D93CE1">
        <w:rPr>
          <w:rFonts w:ascii="Times New Roman" w:hAnsi="Times New Roman" w:cs="Times New Roman"/>
          <w:sz w:val="24"/>
          <w:szCs w:val="24"/>
        </w:rPr>
        <w:t xml:space="preserve"> 2009)</w:t>
      </w:r>
      <w:r w:rsidR="00D50F55">
        <w:rPr>
          <w:rFonts w:ascii="Times New Roman" w:hAnsi="Times New Roman" w:cs="Times New Roman"/>
          <w:sz w:val="24"/>
          <w:szCs w:val="24"/>
        </w:rPr>
        <w:t xml:space="preserve">. </w:t>
      </w:r>
      <w:r w:rsidR="005C594F">
        <w:rPr>
          <w:rFonts w:ascii="Times New Roman" w:hAnsi="Times New Roman" w:cs="Times New Roman"/>
          <w:sz w:val="24"/>
          <w:szCs w:val="24"/>
        </w:rPr>
        <w:t xml:space="preserve">With regards to the bankruptcy literature, </w:t>
      </w:r>
      <w:r w:rsidR="005C594F" w:rsidRPr="00A437B4">
        <w:rPr>
          <w:rFonts w:ascii="Times New Roman" w:hAnsi="Times New Roman" w:cs="Times New Roman"/>
          <w:sz w:val="24"/>
          <w:szCs w:val="24"/>
        </w:rPr>
        <w:t xml:space="preserve">Daily and Dalton (1994) </w:t>
      </w:r>
      <w:r w:rsidR="005C594F">
        <w:rPr>
          <w:rFonts w:ascii="Times New Roman" w:hAnsi="Times New Roman" w:cs="Times New Roman"/>
          <w:sz w:val="24"/>
          <w:szCs w:val="24"/>
        </w:rPr>
        <w:t xml:space="preserve">found that </w:t>
      </w:r>
      <w:r w:rsidR="005C594F" w:rsidRPr="00A437B4">
        <w:rPr>
          <w:rFonts w:ascii="Times New Roman" w:hAnsi="Times New Roman" w:cs="Times New Roman"/>
          <w:sz w:val="24"/>
          <w:szCs w:val="24"/>
        </w:rPr>
        <w:t>bankrupt firms had CEO-chairman duality, less independent boards, and lower overall board quality.</w:t>
      </w:r>
      <w:r w:rsidR="005C594F">
        <w:rPr>
          <w:rFonts w:ascii="Times New Roman" w:hAnsi="Times New Roman" w:cs="Times New Roman"/>
          <w:sz w:val="24"/>
          <w:szCs w:val="24"/>
        </w:rPr>
        <w:t xml:space="preserve"> Additionally, </w:t>
      </w:r>
      <w:r w:rsidR="005C594F" w:rsidRPr="00A437B4">
        <w:rPr>
          <w:rFonts w:ascii="Times New Roman" w:hAnsi="Times New Roman" w:cs="Times New Roman"/>
          <w:sz w:val="24"/>
          <w:szCs w:val="24"/>
        </w:rPr>
        <w:t xml:space="preserve">Elloumi and Gueyie (2001) </w:t>
      </w:r>
      <w:r w:rsidR="005C594F">
        <w:rPr>
          <w:rFonts w:ascii="Times New Roman" w:hAnsi="Times New Roman" w:cs="Times New Roman"/>
          <w:sz w:val="24"/>
          <w:szCs w:val="24"/>
        </w:rPr>
        <w:t>found that board independence is</w:t>
      </w:r>
      <w:r w:rsidR="005C594F" w:rsidRPr="00A437B4">
        <w:rPr>
          <w:rFonts w:ascii="Times New Roman" w:hAnsi="Times New Roman" w:cs="Times New Roman"/>
          <w:sz w:val="24"/>
          <w:szCs w:val="24"/>
        </w:rPr>
        <w:t xml:space="preserve"> inversely </w:t>
      </w:r>
      <w:r w:rsidR="005C594F">
        <w:rPr>
          <w:rFonts w:ascii="Times New Roman" w:hAnsi="Times New Roman" w:cs="Times New Roman"/>
          <w:sz w:val="24"/>
          <w:szCs w:val="24"/>
        </w:rPr>
        <w:t xml:space="preserve">related with financial </w:t>
      </w:r>
      <w:r w:rsidR="005C594F">
        <w:rPr>
          <w:rFonts w:ascii="Times New Roman" w:hAnsi="Times New Roman" w:cs="Times New Roman"/>
          <w:sz w:val="24"/>
          <w:szCs w:val="24"/>
        </w:rPr>
        <w:lastRenderedPageBreak/>
        <w:t xml:space="preserve">distress. Also, </w:t>
      </w:r>
      <w:r w:rsidR="005C594F" w:rsidRPr="00654AAB">
        <w:rPr>
          <w:rFonts w:ascii="Times New Roman" w:hAnsi="Times New Roman" w:cs="Times New Roman"/>
          <w:sz w:val="24"/>
          <w:szCs w:val="24"/>
        </w:rPr>
        <w:t xml:space="preserve">Fich and Slezak (2008) </w:t>
      </w:r>
      <w:r w:rsidR="005C594F">
        <w:rPr>
          <w:rFonts w:ascii="Times New Roman" w:hAnsi="Times New Roman" w:cs="Times New Roman"/>
          <w:sz w:val="24"/>
          <w:szCs w:val="24"/>
        </w:rPr>
        <w:t xml:space="preserve">show that smaller and more independent boards </w:t>
      </w:r>
      <w:r w:rsidR="005C594F" w:rsidRPr="00654AAB">
        <w:rPr>
          <w:rFonts w:ascii="Times New Roman" w:hAnsi="Times New Roman" w:cs="Times New Roman"/>
          <w:sz w:val="24"/>
          <w:szCs w:val="24"/>
        </w:rPr>
        <w:t>reduce the probability of a distressed firm going into bankruptcy</w:t>
      </w:r>
      <w:r w:rsidR="005C594F">
        <w:rPr>
          <w:rFonts w:ascii="Times New Roman" w:hAnsi="Times New Roman" w:cs="Times New Roman"/>
          <w:sz w:val="24"/>
          <w:szCs w:val="24"/>
        </w:rPr>
        <w:t xml:space="preserve"> (see also</w:t>
      </w:r>
      <w:r w:rsidR="008A7E75">
        <w:rPr>
          <w:rFonts w:ascii="Times New Roman" w:hAnsi="Times New Roman" w:cs="Times New Roman"/>
          <w:sz w:val="24"/>
          <w:szCs w:val="24"/>
        </w:rPr>
        <w:t xml:space="preserve"> </w:t>
      </w:r>
      <w:r w:rsidR="005C594F">
        <w:rPr>
          <w:rFonts w:ascii="Times New Roman" w:hAnsi="Times New Roman" w:cs="Times New Roman"/>
          <w:sz w:val="24"/>
          <w:szCs w:val="24"/>
        </w:rPr>
        <w:t xml:space="preserve">Liang </w:t>
      </w:r>
      <w:r w:rsidR="00327178" w:rsidRPr="00327178">
        <w:rPr>
          <w:rFonts w:ascii="Times New Roman" w:hAnsi="Times New Roman" w:cs="Times New Roman"/>
          <w:i/>
          <w:iCs/>
          <w:sz w:val="24"/>
          <w:szCs w:val="24"/>
        </w:rPr>
        <w:t>et al.</w:t>
      </w:r>
      <w:r w:rsidR="005C594F">
        <w:rPr>
          <w:rFonts w:ascii="Times New Roman" w:hAnsi="Times New Roman" w:cs="Times New Roman"/>
          <w:sz w:val="24"/>
          <w:szCs w:val="24"/>
        </w:rPr>
        <w:t xml:space="preserve"> </w:t>
      </w:r>
      <w:r w:rsidR="005C594F" w:rsidRPr="00654AAB">
        <w:rPr>
          <w:rFonts w:ascii="Times New Roman" w:hAnsi="Times New Roman" w:cs="Times New Roman"/>
          <w:sz w:val="24"/>
          <w:szCs w:val="24"/>
        </w:rPr>
        <w:t>2016</w:t>
      </w:r>
      <w:r w:rsidR="006D5DD3" w:rsidRPr="006D5DD3">
        <w:rPr>
          <w:rFonts w:ascii="Times New Roman" w:hAnsi="Times New Roman" w:cs="Times New Roman"/>
          <w:sz w:val="24"/>
          <w:szCs w:val="24"/>
        </w:rPr>
        <w:t>,</w:t>
      </w:r>
      <w:r w:rsidR="005C594F">
        <w:rPr>
          <w:rFonts w:ascii="Times New Roman" w:hAnsi="Times New Roman" w:cs="Times New Roman"/>
          <w:sz w:val="24"/>
          <w:szCs w:val="24"/>
        </w:rPr>
        <w:t xml:space="preserve"> </w:t>
      </w:r>
      <w:r w:rsidR="005C594F" w:rsidRPr="00654AAB">
        <w:rPr>
          <w:rFonts w:ascii="Times New Roman" w:hAnsi="Times New Roman" w:cs="Times New Roman"/>
          <w:sz w:val="24"/>
          <w:szCs w:val="24"/>
        </w:rPr>
        <w:t>Manza</w:t>
      </w:r>
      <w:r w:rsidR="005C594F">
        <w:rPr>
          <w:rFonts w:ascii="Times New Roman" w:hAnsi="Times New Roman" w:cs="Times New Roman"/>
          <w:sz w:val="24"/>
          <w:szCs w:val="24"/>
        </w:rPr>
        <w:t xml:space="preserve">neque </w:t>
      </w:r>
      <w:r w:rsidR="00327178" w:rsidRPr="00327178">
        <w:rPr>
          <w:rFonts w:ascii="Times New Roman" w:hAnsi="Times New Roman" w:cs="Times New Roman"/>
          <w:i/>
          <w:iCs/>
          <w:sz w:val="24"/>
          <w:szCs w:val="24"/>
        </w:rPr>
        <w:t>et al.</w:t>
      </w:r>
      <w:r w:rsidR="005C594F">
        <w:rPr>
          <w:rFonts w:ascii="Times New Roman" w:hAnsi="Times New Roman" w:cs="Times New Roman"/>
          <w:sz w:val="24"/>
          <w:szCs w:val="24"/>
        </w:rPr>
        <w:t xml:space="preserve"> </w:t>
      </w:r>
      <w:r w:rsidR="005C594F" w:rsidRPr="00654AAB">
        <w:rPr>
          <w:rFonts w:ascii="Times New Roman" w:hAnsi="Times New Roman" w:cs="Times New Roman"/>
          <w:sz w:val="24"/>
          <w:szCs w:val="24"/>
        </w:rPr>
        <w:t>2016).</w:t>
      </w:r>
    </w:p>
    <w:p w14:paraId="56852EDF" w14:textId="77777777" w:rsidR="00E93057" w:rsidRPr="00273097" w:rsidRDefault="00E93057" w:rsidP="00260D7D">
      <w:pPr>
        <w:tabs>
          <w:tab w:val="left" w:pos="567"/>
        </w:tabs>
        <w:spacing w:after="0" w:line="288" w:lineRule="auto"/>
        <w:jc w:val="both"/>
        <w:rPr>
          <w:rFonts w:ascii="Times New Roman" w:hAnsi="Times New Roman" w:cs="Times New Roman"/>
          <w:sz w:val="24"/>
          <w:szCs w:val="24"/>
        </w:rPr>
      </w:pPr>
    </w:p>
    <w:p w14:paraId="1E3EAEE4" w14:textId="77777777" w:rsidR="005C594F" w:rsidRDefault="005C594F"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The definition of the different governance variables covered in our study and their expected effect on the firm’s probability of bankruptcy are included in </w:t>
      </w:r>
      <w:r w:rsidRPr="00E93057">
        <w:rPr>
          <w:rFonts w:ascii="Times New Roman" w:hAnsi="Times New Roman" w:cs="Times New Roman"/>
          <w:sz w:val="24"/>
          <w:szCs w:val="24"/>
        </w:rPr>
        <w:t>Table 2.</w:t>
      </w:r>
    </w:p>
    <w:p w14:paraId="6BBDF8D3" w14:textId="77777777" w:rsidR="00E93057" w:rsidRPr="00892C61" w:rsidRDefault="00E93057" w:rsidP="00260D7D">
      <w:pPr>
        <w:tabs>
          <w:tab w:val="left" w:pos="567"/>
        </w:tabs>
        <w:spacing w:after="0" w:line="288" w:lineRule="auto"/>
        <w:jc w:val="both"/>
        <w:rPr>
          <w:rFonts w:ascii="Times New Roman" w:hAnsi="Times New Roman" w:cs="Times New Roman"/>
          <w:b/>
          <w:bCs/>
          <w:sz w:val="20"/>
          <w:szCs w:val="20"/>
        </w:rPr>
      </w:pPr>
    </w:p>
    <w:p w14:paraId="4749EB4F" w14:textId="6FD80518" w:rsidR="0094575E" w:rsidRPr="00D02FF4" w:rsidRDefault="00A24E6D" w:rsidP="00D02FF4">
      <w:pPr>
        <w:pStyle w:val="ListParagraph"/>
        <w:keepNext/>
        <w:numPr>
          <w:ilvl w:val="1"/>
          <w:numId w:val="1"/>
        </w:numPr>
        <w:tabs>
          <w:tab w:val="left" w:pos="567"/>
        </w:tabs>
        <w:spacing w:after="0" w:line="288" w:lineRule="auto"/>
        <w:jc w:val="both"/>
        <w:rPr>
          <w:rFonts w:ascii="Times New Roman" w:hAnsi="Times New Roman" w:cs="Times New Roman"/>
          <w:b/>
          <w:bCs/>
          <w:sz w:val="24"/>
          <w:szCs w:val="24"/>
        </w:rPr>
      </w:pPr>
      <w:bookmarkStart w:id="7" w:name="_Toc475170413"/>
      <w:r w:rsidRPr="00892C61">
        <w:rPr>
          <w:rFonts w:ascii="Times New Roman" w:hAnsi="Times New Roman" w:cs="Times New Roman"/>
          <w:b/>
          <w:bCs/>
          <w:sz w:val="24"/>
          <w:szCs w:val="24"/>
        </w:rPr>
        <w:t xml:space="preserve"> </w:t>
      </w:r>
      <w:r w:rsidR="0094575E" w:rsidRPr="00112354">
        <w:rPr>
          <w:rFonts w:ascii="Times New Roman" w:hAnsi="Times New Roman" w:cs="Times New Roman"/>
          <w:b/>
          <w:bCs/>
          <w:sz w:val="24"/>
          <w:szCs w:val="24"/>
        </w:rPr>
        <w:t xml:space="preserve">Performance </w:t>
      </w:r>
      <w:r w:rsidR="00892C61" w:rsidRPr="006659C5">
        <w:rPr>
          <w:rFonts w:ascii="Times New Roman" w:hAnsi="Times New Roman" w:cs="Times New Roman"/>
          <w:b/>
          <w:bCs/>
          <w:sz w:val="24"/>
          <w:szCs w:val="24"/>
        </w:rPr>
        <w:t>C</w:t>
      </w:r>
      <w:r w:rsidR="0094575E" w:rsidRPr="006659C5">
        <w:rPr>
          <w:rFonts w:ascii="Times New Roman" w:hAnsi="Times New Roman" w:cs="Times New Roman"/>
          <w:b/>
          <w:bCs/>
          <w:sz w:val="24"/>
          <w:szCs w:val="24"/>
        </w:rPr>
        <w:t xml:space="preserve">omparison </w:t>
      </w:r>
      <w:r w:rsidR="00892C61" w:rsidRPr="006659C5">
        <w:rPr>
          <w:rFonts w:ascii="Times New Roman" w:hAnsi="Times New Roman" w:cs="Times New Roman"/>
          <w:b/>
          <w:bCs/>
          <w:sz w:val="24"/>
          <w:szCs w:val="24"/>
        </w:rPr>
        <w:t>M</w:t>
      </w:r>
      <w:r w:rsidR="0094575E" w:rsidRPr="006659C5">
        <w:rPr>
          <w:rFonts w:ascii="Times New Roman" w:hAnsi="Times New Roman" w:cs="Times New Roman"/>
          <w:b/>
          <w:bCs/>
          <w:sz w:val="24"/>
          <w:szCs w:val="24"/>
        </w:rPr>
        <w:t>etrics</w:t>
      </w:r>
      <w:bookmarkEnd w:id="7"/>
    </w:p>
    <w:p w14:paraId="0E5B8EA7" w14:textId="77777777" w:rsidR="007621E3" w:rsidRPr="008A7E75" w:rsidRDefault="007621E3" w:rsidP="008A7E75">
      <w:pPr>
        <w:keepNext/>
        <w:tabs>
          <w:tab w:val="left" w:pos="567"/>
        </w:tabs>
        <w:spacing w:after="0" w:line="288" w:lineRule="auto"/>
        <w:jc w:val="both"/>
        <w:rPr>
          <w:rFonts w:ascii="Times New Roman" w:hAnsi="Times New Roman" w:cs="Times New Roman"/>
          <w:sz w:val="6"/>
          <w:szCs w:val="6"/>
        </w:rPr>
      </w:pPr>
    </w:p>
    <w:p w14:paraId="79D51E98" w14:textId="350271CB" w:rsidR="00844C99" w:rsidRPr="00AF181A" w:rsidRDefault="00892C61" w:rsidP="00892C61">
      <w:pPr>
        <w:pStyle w:val="ListParagraph"/>
        <w:keepNext/>
        <w:spacing w:after="0" w:line="288"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44C99" w:rsidRPr="00AF181A">
        <w:rPr>
          <w:rFonts w:ascii="Times New Roman" w:hAnsi="Times New Roman" w:cs="Times New Roman"/>
          <w:b/>
          <w:bCs/>
          <w:sz w:val="24"/>
          <w:szCs w:val="24"/>
        </w:rPr>
        <w:t>Prediction Performance</w:t>
      </w:r>
    </w:p>
    <w:p w14:paraId="5B5D32D2" w14:textId="77777777" w:rsidR="001F4F1E" w:rsidRPr="001F4F1E" w:rsidRDefault="001F4F1E" w:rsidP="00260D7D">
      <w:pPr>
        <w:keepNext/>
        <w:tabs>
          <w:tab w:val="left" w:pos="567"/>
        </w:tabs>
        <w:spacing w:after="0" w:line="288" w:lineRule="auto"/>
        <w:jc w:val="both"/>
        <w:rPr>
          <w:rFonts w:ascii="Times New Roman" w:hAnsi="Times New Roman" w:cs="Times New Roman"/>
          <w:sz w:val="6"/>
          <w:szCs w:val="6"/>
        </w:rPr>
      </w:pPr>
    </w:p>
    <w:p w14:paraId="0003B8D0" w14:textId="5378C653" w:rsidR="0094575E" w:rsidRDefault="0094575E" w:rsidP="00260D7D">
      <w:pPr>
        <w:keepNext/>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To examine the prediction performance of the various models, we use a number of interrelated ratios as explained below.</w:t>
      </w:r>
    </w:p>
    <w:p w14:paraId="5768BE74" w14:textId="77777777" w:rsidR="00E93057" w:rsidRPr="001F4F1E" w:rsidRDefault="00E93057" w:rsidP="00260D7D">
      <w:pPr>
        <w:keepNext/>
        <w:tabs>
          <w:tab w:val="left" w:pos="567"/>
        </w:tabs>
        <w:spacing w:after="0" w:line="288" w:lineRule="auto"/>
        <w:jc w:val="both"/>
        <w:rPr>
          <w:rFonts w:ascii="Times New Roman" w:hAnsi="Times New Roman" w:cs="Times New Roman"/>
          <w:sz w:val="12"/>
          <w:szCs w:val="12"/>
        </w:rPr>
      </w:pPr>
    </w:p>
    <w:p w14:paraId="29D5C653" w14:textId="77777777" w:rsidR="0094575E" w:rsidRPr="006F4237" w:rsidRDefault="0094575E" w:rsidP="006F4237">
      <w:pPr>
        <w:tabs>
          <w:tab w:val="left" w:pos="567"/>
        </w:tabs>
        <w:spacing w:after="0" w:line="288" w:lineRule="auto"/>
        <w:jc w:val="both"/>
        <w:rPr>
          <w:rFonts w:ascii="Times New Roman" w:hAnsi="Times New Roman" w:cs="Times New Roman"/>
          <w:sz w:val="24"/>
          <w:szCs w:val="24"/>
        </w:rPr>
      </w:pPr>
      <w:r w:rsidRPr="006F4237">
        <w:rPr>
          <w:rFonts w:ascii="Times New Roman" w:hAnsi="Times New Roman" w:cs="Times New Roman"/>
          <w:b/>
          <w:bCs/>
          <w:sz w:val="24"/>
          <w:szCs w:val="24"/>
        </w:rPr>
        <w:t>Accuracy ratio (</w:t>
      </w:r>
      <w:r w:rsidRPr="006F4237">
        <w:rPr>
          <w:rFonts w:ascii="Times New Roman" w:hAnsi="Times New Roman" w:cs="Times New Roman"/>
          <w:b/>
          <w:bCs/>
          <w:i/>
          <w:iCs/>
          <w:sz w:val="24"/>
          <w:szCs w:val="24"/>
        </w:rPr>
        <w:t>AR</w:t>
      </w:r>
      <w:r w:rsidRPr="006F4237">
        <w:rPr>
          <w:rFonts w:ascii="Times New Roman" w:hAnsi="Times New Roman" w:cs="Times New Roman"/>
          <w:b/>
          <w:bCs/>
          <w:sz w:val="24"/>
          <w:szCs w:val="24"/>
        </w:rPr>
        <w:t>):</w:t>
      </w:r>
      <w:r w:rsidRPr="006F4237">
        <w:rPr>
          <w:rFonts w:ascii="Times New Roman" w:hAnsi="Times New Roman" w:cs="Times New Roman"/>
          <w:sz w:val="24"/>
          <w:szCs w:val="24"/>
        </w:rPr>
        <w:t xml:space="preserve"> is the proportion of cases correctly classified (bad or good), and is measured as follows:</w:t>
      </w:r>
    </w:p>
    <w:p w14:paraId="092631ED" w14:textId="00571745" w:rsidR="0094575E" w:rsidRPr="007621E3" w:rsidRDefault="007621E3" w:rsidP="007621E3">
      <w:pPr>
        <w:pStyle w:val="ListParagraph"/>
        <w:tabs>
          <w:tab w:val="left" w:pos="567"/>
        </w:tabs>
        <w:spacing w:after="0" w:line="288" w:lineRule="auto"/>
        <w:ind w:left="426" w:hanging="426"/>
        <w:jc w:val="both"/>
        <w:rPr>
          <w:rFonts w:ascii="Times New Roman" w:hAnsi="Times New Roman" w:cs="Times New Roman"/>
          <w:sz w:val="24"/>
          <w:szCs w:val="24"/>
        </w:rPr>
      </w:pPr>
      <m:oMathPara>
        <m:oMath>
          <m:r>
            <m:rPr>
              <m:sty m:val="p"/>
            </m:rPr>
            <w:rPr>
              <w:rFonts w:ascii="Cambria Math" w:hAnsi="Cambria Math" w:cs="Times New Roman"/>
            </w:rPr>
            <m:t>Accuracy ratio (AR)=</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GG</m:t>
                  </m:r>
                </m:sub>
              </m:sSub>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BB</m:t>
                  </m:r>
                </m:sub>
              </m:sSub>
            </m:num>
            <m:den>
              <m:r>
                <m:rPr>
                  <m:sty m:val="p"/>
                </m:rPr>
                <w:rPr>
                  <w:rFonts w:ascii="Cambria Math" w:hAnsi="Cambria Math" w:cs="Times New Roman"/>
                </w:rPr>
                <m:t>Total sample</m:t>
              </m:r>
            </m:den>
          </m:f>
        </m:oMath>
      </m:oMathPara>
    </w:p>
    <w:p w14:paraId="1956153F" w14:textId="2ACAE46D" w:rsidR="0094575E" w:rsidRPr="007621E3" w:rsidRDefault="007621E3" w:rsidP="007621E3">
      <w:pPr>
        <w:pStyle w:val="ListParagraph"/>
        <w:tabs>
          <w:tab w:val="left" w:pos="567"/>
        </w:tabs>
        <w:spacing w:after="0" w:line="288" w:lineRule="auto"/>
        <w:ind w:left="426" w:hanging="426"/>
        <w:jc w:val="both"/>
        <w:rPr>
          <w:rFonts w:ascii="Times New Roman" w:hAnsi="Times New Roman" w:cs="Times New Roman"/>
          <w:sz w:val="24"/>
          <w:szCs w:val="24"/>
        </w:rPr>
      </w:pPr>
      <w:r w:rsidRPr="007621E3">
        <w:rPr>
          <w:rFonts w:ascii="Times New Roman" w:hAnsi="Times New Roman" w:cs="Times New Roman"/>
          <w:sz w:val="24"/>
          <w:szCs w:val="24"/>
        </w:rPr>
        <w:t>w</w:t>
      </w:r>
      <w:r w:rsidR="0094575E" w:rsidRPr="007621E3">
        <w:rPr>
          <w:rFonts w:ascii="Times New Roman" w:hAnsi="Times New Roman" w:cs="Times New Roman"/>
          <w:sz w:val="24"/>
          <w:szCs w:val="24"/>
        </w:rPr>
        <w:t>here N</w:t>
      </w:r>
      <w:r w:rsidR="0094575E" w:rsidRPr="007621E3">
        <w:rPr>
          <w:rFonts w:ascii="Times New Roman" w:hAnsi="Times New Roman" w:cs="Times New Roman"/>
          <w:sz w:val="24"/>
          <w:szCs w:val="24"/>
          <w:vertAlign w:val="subscript"/>
        </w:rPr>
        <w:t>GG</w:t>
      </w:r>
      <w:r w:rsidR="0094575E" w:rsidRPr="007621E3">
        <w:rPr>
          <w:rFonts w:ascii="Times New Roman" w:hAnsi="Times New Roman" w:cs="Times New Roman"/>
          <w:sz w:val="24"/>
          <w:szCs w:val="24"/>
        </w:rPr>
        <w:t xml:space="preserve"> (N</w:t>
      </w:r>
      <w:r w:rsidR="0094575E" w:rsidRPr="007621E3">
        <w:rPr>
          <w:rFonts w:ascii="Times New Roman" w:hAnsi="Times New Roman" w:cs="Times New Roman"/>
          <w:sz w:val="24"/>
          <w:szCs w:val="24"/>
          <w:vertAlign w:val="subscript"/>
        </w:rPr>
        <w:t>BB</w:t>
      </w:r>
      <w:r w:rsidR="0094575E" w:rsidRPr="007621E3">
        <w:rPr>
          <w:rFonts w:ascii="Times New Roman" w:hAnsi="Times New Roman" w:cs="Times New Roman"/>
          <w:sz w:val="24"/>
          <w:szCs w:val="24"/>
        </w:rPr>
        <w:t>) is the number of good (bad) cases classified as good (bad).</w:t>
      </w:r>
    </w:p>
    <w:p w14:paraId="44A9EB29" w14:textId="77777777" w:rsidR="007621E3" w:rsidRPr="007621E3" w:rsidRDefault="007621E3" w:rsidP="007621E3">
      <w:pPr>
        <w:pStyle w:val="ListParagraph"/>
        <w:tabs>
          <w:tab w:val="left" w:pos="567"/>
        </w:tabs>
        <w:spacing w:after="0" w:line="288" w:lineRule="auto"/>
        <w:ind w:left="426" w:hanging="426"/>
        <w:jc w:val="both"/>
        <w:rPr>
          <w:rFonts w:ascii="Times New Roman" w:hAnsi="Times New Roman" w:cs="Times New Roman"/>
          <w:sz w:val="24"/>
          <w:szCs w:val="24"/>
        </w:rPr>
      </w:pPr>
    </w:p>
    <w:p w14:paraId="1679E04D" w14:textId="77777777" w:rsidR="0094575E" w:rsidRPr="006F4237" w:rsidRDefault="0094575E" w:rsidP="006F4237">
      <w:pPr>
        <w:tabs>
          <w:tab w:val="left" w:pos="567"/>
        </w:tabs>
        <w:spacing w:after="0" w:line="288" w:lineRule="auto"/>
        <w:jc w:val="both"/>
        <w:rPr>
          <w:rFonts w:ascii="Times New Roman" w:hAnsi="Times New Roman" w:cs="Times New Roman"/>
          <w:sz w:val="24"/>
          <w:szCs w:val="24"/>
        </w:rPr>
      </w:pPr>
      <w:r w:rsidRPr="006F4237">
        <w:rPr>
          <w:rFonts w:ascii="Times New Roman" w:hAnsi="Times New Roman" w:cs="Times New Roman"/>
          <w:b/>
          <w:bCs/>
          <w:sz w:val="24"/>
          <w:szCs w:val="24"/>
        </w:rPr>
        <w:t>Sensitivity:</w:t>
      </w:r>
      <w:r w:rsidRPr="006F4237">
        <w:rPr>
          <w:rFonts w:ascii="Times New Roman" w:hAnsi="Times New Roman" w:cs="Times New Roman"/>
          <w:sz w:val="24"/>
          <w:szCs w:val="24"/>
        </w:rPr>
        <w:t xml:space="preserve"> is the proportion of bad cases correctly classified as bad, and is measured as follows:</w:t>
      </w:r>
    </w:p>
    <w:p w14:paraId="5C9EB3F7" w14:textId="63C6D98F" w:rsidR="0094575E" w:rsidRPr="007621E3" w:rsidRDefault="007621E3" w:rsidP="007621E3">
      <w:pPr>
        <w:pStyle w:val="ListParagraph"/>
        <w:tabs>
          <w:tab w:val="left" w:pos="567"/>
        </w:tabs>
        <w:spacing w:after="0" w:line="288" w:lineRule="auto"/>
        <w:ind w:left="426" w:hanging="426"/>
        <w:jc w:val="both"/>
        <w:rPr>
          <w:rFonts w:ascii="Times New Roman" w:hAnsi="Times New Roman" w:cs="Times New Roman"/>
          <w:sz w:val="24"/>
          <w:szCs w:val="24"/>
        </w:rPr>
      </w:pPr>
      <m:oMathPara>
        <m:oMath>
          <m:r>
            <m:rPr>
              <m:sty m:val="p"/>
            </m:rPr>
            <w:rPr>
              <w:rFonts w:ascii="Cambria Math" w:hAnsi="Cambria Math" w:cs="Times New Roman"/>
            </w:rPr>
            <m:t>Sensitivity=</m:t>
          </m:r>
          <m:f>
            <m:fPr>
              <m:ctrlPr>
                <w:rPr>
                  <w:rFonts w:ascii="Cambria Math" w:hAnsi="Cambria Math" w:cs="Times New Roman"/>
                </w:rPr>
              </m:ctrlPr>
            </m:fPr>
            <m:num>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BB</m:t>
                  </m:r>
                </m:sub>
              </m:sSub>
            </m:num>
            <m:den>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BB</m:t>
                  </m:r>
                </m:sub>
              </m:sSub>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BG</m:t>
                  </m:r>
                </m:sub>
              </m:sSub>
            </m:den>
          </m:f>
        </m:oMath>
      </m:oMathPara>
    </w:p>
    <w:p w14:paraId="4F6ADF96" w14:textId="2E24FDC3" w:rsidR="0094575E" w:rsidRPr="007621E3" w:rsidRDefault="007621E3" w:rsidP="007621E3">
      <w:pPr>
        <w:pStyle w:val="ListParagraph"/>
        <w:tabs>
          <w:tab w:val="left" w:pos="567"/>
        </w:tabs>
        <w:spacing w:after="0" w:line="288" w:lineRule="auto"/>
        <w:ind w:left="426" w:hanging="426"/>
        <w:jc w:val="both"/>
        <w:rPr>
          <w:rFonts w:ascii="Times New Roman" w:hAnsi="Times New Roman" w:cs="Times New Roman"/>
          <w:sz w:val="24"/>
          <w:szCs w:val="24"/>
        </w:rPr>
      </w:pPr>
      <w:r w:rsidRPr="007621E3">
        <w:rPr>
          <w:rFonts w:ascii="Times New Roman" w:hAnsi="Times New Roman" w:cs="Times New Roman"/>
          <w:sz w:val="24"/>
          <w:szCs w:val="24"/>
        </w:rPr>
        <w:t>w</w:t>
      </w:r>
      <w:r w:rsidR="0094575E" w:rsidRPr="007621E3">
        <w:rPr>
          <w:rFonts w:ascii="Times New Roman" w:hAnsi="Times New Roman" w:cs="Times New Roman"/>
          <w:sz w:val="24"/>
          <w:szCs w:val="24"/>
        </w:rPr>
        <w:t>here N</w:t>
      </w:r>
      <w:r w:rsidR="0094575E" w:rsidRPr="007621E3">
        <w:rPr>
          <w:rFonts w:ascii="Times New Roman" w:hAnsi="Times New Roman" w:cs="Times New Roman"/>
          <w:sz w:val="24"/>
          <w:szCs w:val="24"/>
          <w:vertAlign w:val="subscript"/>
        </w:rPr>
        <w:t>BG</w:t>
      </w:r>
      <w:r w:rsidR="0094575E" w:rsidRPr="007621E3">
        <w:rPr>
          <w:rFonts w:ascii="Times New Roman" w:hAnsi="Times New Roman" w:cs="Times New Roman"/>
          <w:sz w:val="24"/>
          <w:szCs w:val="24"/>
        </w:rPr>
        <w:t xml:space="preserve"> (N</w:t>
      </w:r>
      <w:r w:rsidR="0094575E" w:rsidRPr="007621E3">
        <w:rPr>
          <w:rFonts w:ascii="Times New Roman" w:hAnsi="Times New Roman" w:cs="Times New Roman"/>
          <w:sz w:val="24"/>
          <w:szCs w:val="24"/>
          <w:vertAlign w:val="subscript"/>
        </w:rPr>
        <w:t>BB</w:t>
      </w:r>
      <w:r w:rsidR="0094575E" w:rsidRPr="007621E3">
        <w:rPr>
          <w:rFonts w:ascii="Times New Roman" w:hAnsi="Times New Roman" w:cs="Times New Roman"/>
          <w:sz w:val="24"/>
          <w:szCs w:val="24"/>
        </w:rPr>
        <w:t>) is the number of bad (bad) cases classified as good (bad).</w:t>
      </w:r>
    </w:p>
    <w:p w14:paraId="72C184D9" w14:textId="77777777" w:rsidR="007621E3" w:rsidRPr="007621E3" w:rsidRDefault="007621E3" w:rsidP="007621E3">
      <w:pPr>
        <w:pStyle w:val="ListParagraph"/>
        <w:tabs>
          <w:tab w:val="left" w:pos="567"/>
        </w:tabs>
        <w:spacing w:after="0" w:line="288" w:lineRule="auto"/>
        <w:ind w:left="426" w:hanging="426"/>
        <w:jc w:val="both"/>
        <w:rPr>
          <w:rFonts w:ascii="Times New Roman" w:hAnsi="Times New Roman" w:cs="Times New Roman"/>
          <w:sz w:val="24"/>
          <w:szCs w:val="24"/>
        </w:rPr>
      </w:pPr>
    </w:p>
    <w:p w14:paraId="52105F59" w14:textId="77777777" w:rsidR="0094575E" w:rsidRPr="006F4237" w:rsidRDefault="0094575E" w:rsidP="006F4237">
      <w:pPr>
        <w:tabs>
          <w:tab w:val="left" w:pos="567"/>
        </w:tabs>
        <w:spacing w:after="0" w:line="288" w:lineRule="auto"/>
        <w:jc w:val="both"/>
        <w:rPr>
          <w:rFonts w:ascii="Times New Roman" w:hAnsi="Times New Roman" w:cs="Times New Roman"/>
          <w:sz w:val="24"/>
          <w:szCs w:val="24"/>
        </w:rPr>
      </w:pPr>
      <w:r w:rsidRPr="006F4237">
        <w:rPr>
          <w:rFonts w:ascii="Times New Roman" w:hAnsi="Times New Roman" w:cs="Times New Roman"/>
          <w:b/>
          <w:bCs/>
          <w:sz w:val="24"/>
          <w:szCs w:val="24"/>
        </w:rPr>
        <w:t>Specificity:</w:t>
      </w:r>
      <w:r w:rsidRPr="006F4237">
        <w:rPr>
          <w:rFonts w:ascii="Times New Roman" w:hAnsi="Times New Roman" w:cs="Times New Roman"/>
          <w:sz w:val="24"/>
          <w:szCs w:val="24"/>
        </w:rPr>
        <w:t xml:space="preserve"> is the proportion of good cases correctly classified as good, and is measured as follows:</w:t>
      </w:r>
    </w:p>
    <w:p w14:paraId="5926BBB6" w14:textId="77777777" w:rsidR="0094575E" w:rsidRDefault="0094575E" w:rsidP="007621E3">
      <w:pPr>
        <w:pStyle w:val="ListParagraph"/>
        <w:tabs>
          <w:tab w:val="left" w:pos="567"/>
        </w:tabs>
        <w:spacing w:after="0" w:line="288" w:lineRule="auto"/>
        <w:ind w:left="426" w:hanging="426"/>
        <w:jc w:val="both"/>
        <w:rPr>
          <w:rFonts w:ascii="Times New Roman" w:hAnsi="Times New Roman" w:cs="Times New Roman"/>
          <w:sz w:val="24"/>
          <w:szCs w:val="24"/>
        </w:rPr>
      </w:pPr>
      <m:oMathPara>
        <m:oMath>
          <m:r>
            <w:rPr>
              <w:rFonts w:ascii="Cambria Math" w:hAnsi="Cambria Math" w:cs="Times New Roman"/>
              <w:sz w:val="24"/>
              <w:szCs w:val="24"/>
            </w:rPr>
            <m:t>Specificity=</m:t>
          </m:r>
          <m:f>
            <m:fPr>
              <m:ctrlPr>
                <w:rPr>
                  <w:rFonts w:ascii="Cambria Math" w:hAnsi="Cambria Math" w:cs="Times New Roman"/>
                  <w:i/>
                  <w:sz w:val="24"/>
                  <w:szCs w:val="24"/>
                </w:rPr>
              </m:ctrlPr>
            </m:fPr>
            <m:num>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GG</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GG</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GB</m:t>
                  </m:r>
                </m:sub>
              </m:sSub>
            </m:den>
          </m:f>
        </m:oMath>
      </m:oMathPara>
    </w:p>
    <w:p w14:paraId="3DFC21EA" w14:textId="5163C3EE" w:rsidR="0094575E" w:rsidRDefault="006F4237" w:rsidP="007621E3">
      <w:pPr>
        <w:pStyle w:val="ListParagraph"/>
        <w:tabs>
          <w:tab w:val="left" w:pos="567"/>
        </w:tabs>
        <w:spacing w:after="0" w:line="288" w:lineRule="auto"/>
        <w:ind w:left="426" w:hanging="426"/>
        <w:jc w:val="both"/>
        <w:rPr>
          <w:rFonts w:ascii="Times New Roman" w:hAnsi="Times New Roman" w:cs="Times New Roman"/>
          <w:sz w:val="24"/>
          <w:szCs w:val="24"/>
        </w:rPr>
      </w:pPr>
      <w:r>
        <w:rPr>
          <w:rFonts w:ascii="Times New Roman" w:hAnsi="Times New Roman" w:cs="Times New Roman"/>
          <w:sz w:val="24"/>
          <w:szCs w:val="24"/>
        </w:rPr>
        <w:t>w</w:t>
      </w:r>
      <w:r w:rsidR="0094575E">
        <w:rPr>
          <w:rFonts w:ascii="Times New Roman" w:hAnsi="Times New Roman" w:cs="Times New Roman"/>
          <w:sz w:val="24"/>
          <w:szCs w:val="24"/>
        </w:rPr>
        <w:t>here N</w:t>
      </w:r>
      <w:r w:rsidR="0094575E">
        <w:rPr>
          <w:rFonts w:ascii="Times New Roman" w:hAnsi="Times New Roman" w:cs="Times New Roman"/>
          <w:sz w:val="24"/>
          <w:szCs w:val="24"/>
          <w:vertAlign w:val="subscript"/>
        </w:rPr>
        <w:t>GG</w:t>
      </w:r>
      <w:r w:rsidR="0094575E">
        <w:rPr>
          <w:rFonts w:ascii="Times New Roman" w:hAnsi="Times New Roman" w:cs="Times New Roman"/>
          <w:sz w:val="24"/>
          <w:szCs w:val="24"/>
        </w:rPr>
        <w:t xml:space="preserve"> (N</w:t>
      </w:r>
      <w:r w:rsidR="0094575E">
        <w:rPr>
          <w:rFonts w:ascii="Times New Roman" w:hAnsi="Times New Roman" w:cs="Times New Roman"/>
          <w:sz w:val="24"/>
          <w:szCs w:val="24"/>
          <w:vertAlign w:val="subscript"/>
        </w:rPr>
        <w:t>G</w:t>
      </w:r>
      <w:r w:rsidR="0094575E" w:rsidRPr="001421E0">
        <w:rPr>
          <w:rFonts w:ascii="Times New Roman" w:hAnsi="Times New Roman" w:cs="Times New Roman"/>
          <w:sz w:val="24"/>
          <w:szCs w:val="24"/>
          <w:vertAlign w:val="subscript"/>
        </w:rPr>
        <w:t>B</w:t>
      </w:r>
      <w:r w:rsidR="0094575E">
        <w:rPr>
          <w:rFonts w:ascii="Times New Roman" w:hAnsi="Times New Roman" w:cs="Times New Roman"/>
          <w:sz w:val="24"/>
          <w:szCs w:val="24"/>
        </w:rPr>
        <w:t>) is the number of good (good) cases classified as good (bad).</w:t>
      </w:r>
    </w:p>
    <w:p w14:paraId="19DD1ECA" w14:textId="77777777" w:rsidR="007621E3" w:rsidRDefault="007621E3" w:rsidP="007621E3">
      <w:pPr>
        <w:pStyle w:val="ListParagraph"/>
        <w:tabs>
          <w:tab w:val="left" w:pos="567"/>
        </w:tabs>
        <w:spacing w:after="0" w:line="288" w:lineRule="auto"/>
        <w:ind w:left="426" w:hanging="426"/>
        <w:jc w:val="both"/>
        <w:rPr>
          <w:rFonts w:ascii="Times New Roman" w:hAnsi="Times New Roman" w:cs="Times New Roman"/>
          <w:sz w:val="24"/>
          <w:szCs w:val="24"/>
        </w:rPr>
      </w:pPr>
    </w:p>
    <w:p w14:paraId="0CADDDF6" w14:textId="667FBA2B" w:rsidR="0094575E" w:rsidRDefault="0094575E" w:rsidP="001F4F1E">
      <w:pPr>
        <w:spacing w:after="0" w:line="288" w:lineRule="auto"/>
        <w:jc w:val="both"/>
        <w:rPr>
          <w:rFonts w:ascii="Times New Roman" w:hAnsi="Times New Roman" w:cs="Times New Roman"/>
          <w:sz w:val="24"/>
          <w:szCs w:val="24"/>
        </w:rPr>
      </w:pPr>
      <w:r w:rsidRPr="001F4F1E">
        <w:rPr>
          <w:rFonts w:ascii="Times New Roman" w:hAnsi="Times New Roman" w:cs="Times New Roman"/>
          <w:b/>
          <w:bCs/>
          <w:sz w:val="24"/>
          <w:szCs w:val="24"/>
        </w:rPr>
        <w:t>Type I and Type II errors:</w:t>
      </w:r>
      <w:r w:rsidRPr="001F4F1E">
        <w:rPr>
          <w:rFonts w:ascii="Times New Roman" w:hAnsi="Times New Roman" w:cs="Times New Roman"/>
          <w:sz w:val="24"/>
          <w:szCs w:val="24"/>
        </w:rPr>
        <w:t xml:space="preserve"> Type I error is the proportion of bad cases classified as good, while Type II error is the proportion of good cases classified as bad, and are measured as follows:</w:t>
      </w:r>
    </w:p>
    <w:p w14:paraId="4D15F25D" w14:textId="77777777" w:rsidR="001F4F1E" w:rsidRPr="001F4F1E" w:rsidRDefault="001F4F1E" w:rsidP="001F4F1E">
      <w:pPr>
        <w:spacing w:after="0" w:line="288" w:lineRule="auto"/>
        <w:jc w:val="both"/>
        <w:rPr>
          <w:rFonts w:ascii="Times New Roman" w:hAnsi="Times New Roman" w:cs="Times New Roman"/>
          <w:sz w:val="12"/>
          <w:szCs w:val="12"/>
        </w:rPr>
      </w:pPr>
    </w:p>
    <w:p w14:paraId="0528D294" w14:textId="53461D09" w:rsidR="0094575E" w:rsidRPr="007621E3" w:rsidRDefault="007621E3" w:rsidP="007621E3">
      <w:pPr>
        <w:pStyle w:val="ListParagraph"/>
        <w:spacing w:after="0" w:line="288" w:lineRule="auto"/>
        <w:ind w:left="426" w:hanging="426"/>
        <w:jc w:val="both"/>
        <w:rPr>
          <w:rFonts w:ascii="Times New Roman" w:hAnsi="Times New Roman" w:cs="Times New Roman"/>
          <w:sz w:val="24"/>
          <w:szCs w:val="24"/>
        </w:rPr>
      </w:pPr>
      <m:oMathPara>
        <m:oMath>
          <m:r>
            <m:rPr>
              <m:sty m:val="p"/>
            </m:rPr>
            <w:rPr>
              <w:rFonts w:ascii="Cambria Math" w:hAnsi="Cambria Math" w:cs="Times New Roman"/>
              <w:sz w:val="24"/>
              <w:szCs w:val="24"/>
            </w:rPr>
            <m:t>Type I error=1-Sensitivity and   Type II error=1-Specificity</m:t>
          </m:r>
        </m:oMath>
      </m:oMathPara>
    </w:p>
    <w:p w14:paraId="13FC2519" w14:textId="77777777" w:rsidR="007621E3" w:rsidRPr="001F4F1E" w:rsidRDefault="007621E3" w:rsidP="007621E3">
      <w:pPr>
        <w:pStyle w:val="ListParagraph"/>
        <w:spacing w:after="0" w:line="288" w:lineRule="auto"/>
        <w:ind w:left="426" w:hanging="426"/>
        <w:jc w:val="both"/>
        <w:rPr>
          <w:rFonts w:ascii="Times New Roman" w:hAnsi="Times New Roman" w:cs="Times New Roman"/>
          <w:sz w:val="12"/>
          <w:szCs w:val="12"/>
        </w:rPr>
      </w:pPr>
    </w:p>
    <w:p w14:paraId="0A2331B0" w14:textId="4B27DF36" w:rsidR="0094575E" w:rsidRPr="001F4F1E" w:rsidRDefault="0094575E" w:rsidP="001F4F1E">
      <w:pPr>
        <w:spacing w:after="0" w:line="288" w:lineRule="auto"/>
        <w:jc w:val="both"/>
        <w:rPr>
          <w:rFonts w:ascii="Times New Roman" w:hAnsi="Times New Roman" w:cs="Times New Roman"/>
          <w:sz w:val="24"/>
          <w:szCs w:val="24"/>
        </w:rPr>
      </w:pPr>
      <w:r w:rsidRPr="001F4F1E">
        <w:rPr>
          <w:rFonts w:ascii="Times New Roman" w:hAnsi="Times New Roman" w:cs="Times New Roman"/>
          <w:b/>
          <w:bCs/>
          <w:sz w:val="24"/>
          <w:szCs w:val="24"/>
        </w:rPr>
        <w:t>Misclassification costs:</w:t>
      </w:r>
      <w:r w:rsidRPr="001F4F1E">
        <w:rPr>
          <w:rFonts w:ascii="Times New Roman" w:hAnsi="Times New Roman" w:cs="Times New Roman"/>
          <w:sz w:val="24"/>
          <w:szCs w:val="24"/>
        </w:rPr>
        <w:t xml:space="preserve"> this is basically the sum of Type I and Type II errors and reflects the total costs associated with using the model to classify the different cases.</w:t>
      </w:r>
    </w:p>
    <w:p w14:paraId="53AAFE1F" w14:textId="77777777" w:rsidR="007621E3" w:rsidRDefault="007621E3" w:rsidP="007621E3">
      <w:pPr>
        <w:pStyle w:val="ListParagraph"/>
        <w:spacing w:after="0" w:line="288" w:lineRule="auto"/>
        <w:ind w:left="426"/>
        <w:jc w:val="both"/>
        <w:rPr>
          <w:rFonts w:ascii="Times New Roman" w:hAnsi="Times New Roman" w:cs="Times New Roman"/>
          <w:sz w:val="24"/>
          <w:szCs w:val="24"/>
        </w:rPr>
      </w:pPr>
    </w:p>
    <w:p w14:paraId="0335F014" w14:textId="6C00645D" w:rsidR="0094575E" w:rsidRDefault="007621E3" w:rsidP="007621E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94575E">
        <w:rPr>
          <w:rFonts w:ascii="Times New Roman" w:hAnsi="Times New Roman" w:cs="Times New Roman"/>
          <w:sz w:val="24"/>
          <w:szCs w:val="24"/>
        </w:rPr>
        <w:t>It can be argued that the ratio that conveys the most important piece of information from the perspective of the decision maker is Type I error. This is because the expected costs from classifying a bad case as good far exceed the costs from classifying a good case as bad. In other words, the losses to a bank from lending a bad firm (</w:t>
      </w:r>
      <w:r w:rsidR="008F2D39">
        <w:rPr>
          <w:rFonts w:ascii="Times New Roman" w:hAnsi="Times New Roman" w:cs="Times New Roman"/>
          <w:sz w:val="24"/>
          <w:szCs w:val="24"/>
        </w:rPr>
        <w:t>Type I error</w:t>
      </w:r>
      <w:r w:rsidR="0094575E">
        <w:rPr>
          <w:rFonts w:ascii="Times New Roman" w:hAnsi="Times New Roman" w:cs="Times New Roman"/>
          <w:sz w:val="24"/>
          <w:szCs w:val="24"/>
        </w:rPr>
        <w:t xml:space="preserve">) are expected to be much </w:t>
      </w:r>
      <w:r w:rsidR="0094575E">
        <w:rPr>
          <w:rFonts w:ascii="Times New Roman" w:hAnsi="Times New Roman" w:cs="Times New Roman"/>
          <w:sz w:val="24"/>
          <w:szCs w:val="24"/>
        </w:rPr>
        <w:lastRenderedPageBreak/>
        <w:t>higher than the losses from refusing to lend to a good firm (</w:t>
      </w:r>
      <w:r w:rsidR="008F2D39">
        <w:rPr>
          <w:rFonts w:ascii="Times New Roman" w:hAnsi="Times New Roman" w:cs="Times New Roman"/>
          <w:sz w:val="24"/>
          <w:szCs w:val="24"/>
        </w:rPr>
        <w:t>Type II error</w:t>
      </w:r>
      <w:r w:rsidR="0094575E">
        <w:rPr>
          <w:rFonts w:ascii="Times New Roman" w:hAnsi="Times New Roman" w:cs="Times New Roman"/>
          <w:sz w:val="24"/>
          <w:szCs w:val="24"/>
        </w:rPr>
        <w:t>).</w:t>
      </w:r>
      <w:r w:rsidR="00716A72">
        <w:rPr>
          <w:rFonts w:ascii="Times New Roman" w:hAnsi="Times New Roman" w:cs="Times New Roman"/>
          <w:sz w:val="24"/>
          <w:szCs w:val="24"/>
        </w:rPr>
        <w:t xml:space="preserve"> It is worth mentioning, however, that the costs to the society and the economy from Type II errors might be significant when good opportunities are systematically disregarded due to this error. </w:t>
      </w:r>
    </w:p>
    <w:p w14:paraId="2936AE93" w14:textId="77777777" w:rsidR="00E93057" w:rsidRPr="00673205" w:rsidRDefault="00E93057" w:rsidP="007621E3">
      <w:pPr>
        <w:tabs>
          <w:tab w:val="left" w:pos="426"/>
        </w:tabs>
        <w:spacing w:after="0" w:line="288" w:lineRule="auto"/>
        <w:jc w:val="both"/>
        <w:rPr>
          <w:rFonts w:ascii="Times New Roman" w:hAnsi="Times New Roman" w:cs="Times New Roman"/>
          <w:sz w:val="24"/>
          <w:szCs w:val="24"/>
        </w:rPr>
      </w:pPr>
    </w:p>
    <w:p w14:paraId="4747D927" w14:textId="547805D8" w:rsidR="0094575E" w:rsidRPr="007621E3" w:rsidRDefault="0094575E" w:rsidP="007621E3">
      <w:pPr>
        <w:tabs>
          <w:tab w:val="left" w:pos="567"/>
        </w:tabs>
        <w:spacing w:after="0" w:line="288" w:lineRule="auto"/>
        <w:jc w:val="both"/>
        <w:rPr>
          <w:rFonts w:asciiTheme="majorBidi" w:hAnsiTheme="majorBidi"/>
          <w:b/>
          <w:bCs/>
          <w:i/>
          <w:iCs/>
          <w:sz w:val="24"/>
          <w:szCs w:val="24"/>
        </w:rPr>
      </w:pPr>
      <w:bookmarkStart w:id="8" w:name="_Toc475170415"/>
      <w:r w:rsidRPr="007621E3">
        <w:rPr>
          <w:rFonts w:asciiTheme="majorBidi" w:hAnsiTheme="majorBidi"/>
          <w:b/>
          <w:bCs/>
          <w:sz w:val="24"/>
          <w:szCs w:val="24"/>
        </w:rPr>
        <w:t xml:space="preserve">Classification </w:t>
      </w:r>
      <w:r w:rsidR="0049324B">
        <w:rPr>
          <w:rFonts w:asciiTheme="majorBidi" w:hAnsiTheme="majorBidi"/>
          <w:b/>
          <w:bCs/>
          <w:sz w:val="24"/>
          <w:szCs w:val="24"/>
        </w:rPr>
        <w:t>P</w:t>
      </w:r>
      <w:r w:rsidRPr="007621E3">
        <w:rPr>
          <w:rFonts w:asciiTheme="majorBidi" w:hAnsiTheme="majorBidi"/>
          <w:b/>
          <w:bCs/>
          <w:sz w:val="24"/>
          <w:szCs w:val="24"/>
        </w:rPr>
        <w:t>ower</w:t>
      </w:r>
      <w:bookmarkEnd w:id="8"/>
    </w:p>
    <w:p w14:paraId="21A2752F" w14:textId="77777777" w:rsidR="007621E3" w:rsidRPr="007621E3" w:rsidRDefault="007621E3" w:rsidP="00260D7D">
      <w:pPr>
        <w:tabs>
          <w:tab w:val="left" w:pos="567"/>
        </w:tabs>
        <w:spacing w:after="0" w:line="288" w:lineRule="auto"/>
        <w:jc w:val="both"/>
        <w:rPr>
          <w:rFonts w:ascii="Times New Roman" w:hAnsi="Times New Roman" w:cs="Times New Roman"/>
          <w:sz w:val="6"/>
          <w:szCs w:val="6"/>
        </w:rPr>
      </w:pPr>
    </w:p>
    <w:p w14:paraId="2A627541" w14:textId="0A3B57C2" w:rsidR="0094575E" w:rsidRDefault="0094575E" w:rsidP="007621E3">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In line with prior studies in the field, we utilize the receiver operating characteristic (ROC) curve to compare the classification ability of each model in our study. ROC is a graphical representation of the levels of</w:t>
      </w:r>
      <w:r w:rsidRPr="00164B3E">
        <w:rPr>
          <w:rFonts w:ascii="Times New Roman" w:hAnsi="Times New Roman" w:cs="Times New Roman"/>
          <w:sz w:val="24"/>
          <w:szCs w:val="24"/>
        </w:rPr>
        <w:t xml:space="preserve"> true positive rate (TPR) </w:t>
      </w:r>
      <w:r>
        <w:rPr>
          <w:rFonts w:ascii="Times New Roman" w:hAnsi="Times New Roman" w:cs="Times New Roman"/>
          <w:sz w:val="24"/>
          <w:szCs w:val="24"/>
        </w:rPr>
        <w:t>and</w:t>
      </w:r>
      <w:r w:rsidRPr="00164B3E">
        <w:rPr>
          <w:rFonts w:ascii="Times New Roman" w:hAnsi="Times New Roman" w:cs="Times New Roman"/>
          <w:sz w:val="24"/>
          <w:szCs w:val="24"/>
        </w:rPr>
        <w:t xml:space="preserve"> false positive rate (FPR) </w:t>
      </w:r>
      <w:r>
        <w:rPr>
          <w:rFonts w:ascii="Times New Roman" w:hAnsi="Times New Roman" w:cs="Times New Roman"/>
          <w:sz w:val="24"/>
          <w:szCs w:val="24"/>
        </w:rPr>
        <w:t>as the discrimination</w:t>
      </w:r>
      <w:r w:rsidRPr="00164B3E">
        <w:rPr>
          <w:rFonts w:ascii="Times New Roman" w:hAnsi="Times New Roman" w:cs="Times New Roman"/>
          <w:sz w:val="24"/>
          <w:szCs w:val="24"/>
        </w:rPr>
        <w:t xml:space="preserve"> threshold settings</w:t>
      </w:r>
      <w:r>
        <w:rPr>
          <w:rFonts w:ascii="Times New Roman" w:hAnsi="Times New Roman" w:cs="Times New Roman"/>
          <w:sz w:val="24"/>
          <w:szCs w:val="24"/>
        </w:rPr>
        <w:t xml:space="preserve"> are varied. For the purposes of our study we plot FPR and TPR on the x-and y-axis of the ROC curve, respectively</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The larger the area under the curve (AUC) the better the model’s classification ability is. Furthermore, to compare the significance of the AUC of the different models, we use the Hanley and McNeil (</w:t>
      </w:r>
      <w:r w:rsidRPr="00C9205F">
        <w:rPr>
          <w:rFonts w:ascii="Times New Roman" w:hAnsi="Times New Roman" w:cs="Times New Roman"/>
          <w:sz w:val="24"/>
          <w:szCs w:val="24"/>
        </w:rPr>
        <w:t>1983</w:t>
      </w:r>
      <w:r>
        <w:rPr>
          <w:rFonts w:ascii="Times New Roman" w:hAnsi="Times New Roman" w:cs="Times New Roman"/>
          <w:sz w:val="24"/>
          <w:szCs w:val="24"/>
        </w:rPr>
        <w:t xml:space="preserve">) test which adjusts for the induced correlation due to the usage of the same sample in both models. </w:t>
      </w:r>
    </w:p>
    <w:p w14:paraId="2C34093F" w14:textId="77777777" w:rsidR="00E93057" w:rsidRDefault="00E93057" w:rsidP="00260D7D">
      <w:pPr>
        <w:tabs>
          <w:tab w:val="left" w:pos="567"/>
        </w:tabs>
        <w:spacing w:after="0" w:line="288" w:lineRule="auto"/>
        <w:jc w:val="both"/>
        <w:rPr>
          <w:rFonts w:ascii="Times New Roman" w:hAnsi="Times New Roman" w:cs="Times New Roman"/>
          <w:sz w:val="24"/>
          <w:szCs w:val="24"/>
        </w:rPr>
      </w:pPr>
    </w:p>
    <w:p w14:paraId="1E38FF0E" w14:textId="610DA766" w:rsidR="0094575E" w:rsidRPr="00BA12FA" w:rsidRDefault="0094575E" w:rsidP="00BA12FA">
      <w:pPr>
        <w:tabs>
          <w:tab w:val="left" w:pos="567"/>
        </w:tabs>
        <w:spacing w:after="0" w:line="288" w:lineRule="auto"/>
        <w:jc w:val="both"/>
        <w:rPr>
          <w:rFonts w:asciiTheme="majorBidi" w:hAnsiTheme="majorBidi"/>
          <w:b/>
          <w:bCs/>
          <w:sz w:val="24"/>
          <w:szCs w:val="24"/>
        </w:rPr>
      </w:pPr>
      <w:bookmarkStart w:id="9" w:name="_Toc475170416"/>
      <w:r w:rsidRPr="00BA12FA">
        <w:rPr>
          <w:rFonts w:asciiTheme="majorBidi" w:hAnsiTheme="majorBidi"/>
          <w:b/>
          <w:bCs/>
          <w:sz w:val="24"/>
          <w:szCs w:val="24"/>
        </w:rPr>
        <w:t xml:space="preserve">Information </w:t>
      </w:r>
      <w:r w:rsidR="00BA12FA">
        <w:rPr>
          <w:rFonts w:asciiTheme="majorBidi" w:hAnsiTheme="majorBidi"/>
          <w:b/>
          <w:bCs/>
          <w:sz w:val="24"/>
          <w:szCs w:val="24"/>
        </w:rPr>
        <w:t>C</w:t>
      </w:r>
      <w:r w:rsidRPr="00BA12FA">
        <w:rPr>
          <w:rFonts w:asciiTheme="majorBidi" w:hAnsiTheme="majorBidi"/>
          <w:b/>
          <w:bCs/>
          <w:sz w:val="24"/>
          <w:szCs w:val="24"/>
        </w:rPr>
        <w:t>ontent</w:t>
      </w:r>
      <w:bookmarkEnd w:id="9"/>
    </w:p>
    <w:p w14:paraId="633F088B" w14:textId="77777777" w:rsidR="00BA12FA" w:rsidRPr="00BA12FA" w:rsidRDefault="00BA12FA" w:rsidP="00260D7D">
      <w:pPr>
        <w:tabs>
          <w:tab w:val="left" w:pos="567"/>
        </w:tabs>
        <w:spacing w:after="0" w:line="288" w:lineRule="auto"/>
        <w:jc w:val="both"/>
        <w:rPr>
          <w:rFonts w:ascii="Times New Roman" w:hAnsi="Times New Roman" w:cs="Times New Roman"/>
          <w:sz w:val="6"/>
          <w:szCs w:val="6"/>
        </w:rPr>
      </w:pPr>
    </w:p>
    <w:p w14:paraId="0B9D77A8" w14:textId="06115D90" w:rsidR="0094575E" w:rsidRDefault="0094575E"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As highlighted by </w:t>
      </w:r>
      <w:r w:rsidRPr="00A61785">
        <w:rPr>
          <w:rFonts w:ascii="Times New Roman" w:hAnsi="Times New Roman" w:cs="Times New Roman"/>
          <w:sz w:val="24"/>
          <w:szCs w:val="24"/>
        </w:rPr>
        <w:t xml:space="preserve">Hillegeist </w:t>
      </w:r>
      <w:r w:rsidR="00327178" w:rsidRPr="00327178">
        <w:rPr>
          <w:rFonts w:ascii="Times New Roman" w:hAnsi="Times New Roman" w:cs="Times New Roman"/>
          <w:i/>
          <w:iCs/>
          <w:sz w:val="24"/>
          <w:szCs w:val="24"/>
        </w:rPr>
        <w:t>et al.</w:t>
      </w:r>
      <w:r w:rsidRPr="00A61785">
        <w:rPr>
          <w:rFonts w:ascii="Times New Roman" w:hAnsi="Times New Roman" w:cs="Times New Roman"/>
          <w:sz w:val="24"/>
          <w:szCs w:val="24"/>
        </w:rPr>
        <w:t xml:space="preserve"> (2004)</w:t>
      </w:r>
      <w:r>
        <w:rPr>
          <w:rFonts w:ascii="Times New Roman" w:hAnsi="Times New Roman" w:cs="Times New Roman"/>
          <w:sz w:val="24"/>
          <w:szCs w:val="24"/>
        </w:rPr>
        <w:t xml:space="preserve"> and Agarwal and </w:t>
      </w:r>
      <w:r w:rsidRPr="00A61785">
        <w:rPr>
          <w:rFonts w:ascii="Times New Roman" w:hAnsi="Times New Roman" w:cs="Times New Roman"/>
          <w:sz w:val="24"/>
          <w:szCs w:val="24"/>
        </w:rPr>
        <w:t>Taffler</w:t>
      </w:r>
      <w:r>
        <w:rPr>
          <w:rFonts w:ascii="Times New Roman" w:hAnsi="Times New Roman" w:cs="Times New Roman"/>
          <w:sz w:val="24"/>
          <w:szCs w:val="24"/>
        </w:rPr>
        <w:t xml:space="preserve"> (2008), a decision maker does not always face a dichotomous decision, thus he or she may use the output of the model to rate the firm’s riskiness in order to decide on the interest to be charged or the collateral to be used, among other things. Therefore, rating models by their prediction performance only may not be the best approach to select which model to use. As a result, we use the </w:t>
      </w:r>
      <w:r w:rsidRPr="00417846">
        <w:rPr>
          <w:rFonts w:ascii="Times New Roman" w:hAnsi="Times New Roman" w:cs="Times New Roman"/>
          <w:sz w:val="24"/>
          <w:szCs w:val="24"/>
        </w:rPr>
        <w:t>Akaike information criterion (AIC)</w:t>
      </w:r>
      <w:r>
        <w:rPr>
          <w:rFonts w:ascii="Times New Roman" w:hAnsi="Times New Roman" w:cs="Times New Roman"/>
          <w:sz w:val="24"/>
          <w:szCs w:val="24"/>
        </w:rPr>
        <w:t xml:space="preserve"> to </w:t>
      </w:r>
      <w:r w:rsidRPr="00350958">
        <w:rPr>
          <w:rFonts w:ascii="Times New Roman" w:hAnsi="Times New Roman" w:cs="Times New Roman"/>
          <w:sz w:val="24"/>
          <w:szCs w:val="24"/>
        </w:rPr>
        <w:t xml:space="preserve">compare the information </w:t>
      </w:r>
      <w:r>
        <w:rPr>
          <w:rFonts w:ascii="Times New Roman" w:hAnsi="Times New Roman" w:cs="Times New Roman"/>
          <w:sz w:val="24"/>
          <w:szCs w:val="24"/>
        </w:rPr>
        <w:t xml:space="preserve">content of the different models in our study. </w:t>
      </w:r>
      <w:r w:rsidR="00BB5224">
        <w:rPr>
          <w:rFonts w:ascii="Times New Roman" w:hAnsi="Times New Roman" w:cs="Times New Roman"/>
          <w:sz w:val="24"/>
          <w:szCs w:val="24"/>
        </w:rPr>
        <w:t xml:space="preserve">AIC </w:t>
      </w:r>
      <w:r w:rsidR="00BB5224" w:rsidRPr="00BB5224">
        <w:rPr>
          <w:rFonts w:ascii="Times New Roman" w:hAnsi="Times New Roman" w:cs="Times New Roman"/>
          <w:sz w:val="24"/>
          <w:szCs w:val="24"/>
        </w:rPr>
        <w:t>measures the relative quality of a model compared to other models, through considering the tradeoff between the model’s complexity and its goodness of fit.</w:t>
      </w:r>
      <w:r w:rsidR="00BB5224">
        <w:rPr>
          <w:rFonts w:ascii="Times New Roman" w:hAnsi="Times New Roman" w:cs="Times New Roman"/>
          <w:sz w:val="24"/>
          <w:szCs w:val="24"/>
        </w:rPr>
        <w:t xml:space="preserve"> </w:t>
      </w:r>
      <w:r>
        <w:rPr>
          <w:rFonts w:ascii="Times New Roman" w:hAnsi="Times New Roman" w:cs="Times New Roman"/>
          <w:sz w:val="24"/>
          <w:szCs w:val="24"/>
        </w:rPr>
        <w:t>The reason behind our selection of the AIC measure instead of the various other measures used in prior studies, is our need to compare the quality of each model relative to all other models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It is worth mentioning that the AIC does not test the absolute quality of the model, so no inferences about the absolute fit of the model can be made using this measure. The smaller the value of the AIC measure the better the model </w:t>
      </w:r>
      <w:r w:rsidR="00FE306A">
        <w:rPr>
          <w:rFonts w:ascii="Times New Roman" w:hAnsi="Times New Roman" w:cs="Times New Roman"/>
          <w:sz w:val="24"/>
          <w:szCs w:val="24"/>
        </w:rPr>
        <w:t>in comparison</w:t>
      </w:r>
      <w:r>
        <w:rPr>
          <w:rFonts w:ascii="Times New Roman" w:hAnsi="Times New Roman" w:cs="Times New Roman"/>
          <w:sz w:val="24"/>
          <w:szCs w:val="24"/>
        </w:rPr>
        <w:t xml:space="preserve"> to other models.</w:t>
      </w:r>
    </w:p>
    <w:p w14:paraId="5753DC9C" w14:textId="77777777" w:rsidR="00E93057" w:rsidRPr="00662071" w:rsidRDefault="00E93057" w:rsidP="00260D7D">
      <w:pPr>
        <w:tabs>
          <w:tab w:val="left" w:pos="567"/>
        </w:tabs>
        <w:spacing w:after="0" w:line="288" w:lineRule="auto"/>
        <w:jc w:val="both"/>
        <w:rPr>
          <w:rFonts w:ascii="Times New Roman" w:hAnsi="Times New Roman" w:cs="Times New Roman"/>
          <w:sz w:val="24"/>
          <w:szCs w:val="24"/>
        </w:rPr>
      </w:pPr>
    </w:p>
    <w:p w14:paraId="33042B05" w14:textId="77777777" w:rsidR="00765E31" w:rsidRPr="00703E8D" w:rsidRDefault="00531D3B" w:rsidP="00D02FF4">
      <w:pPr>
        <w:pStyle w:val="ListParagraph"/>
        <w:numPr>
          <w:ilvl w:val="0"/>
          <w:numId w:val="1"/>
        </w:numPr>
        <w:spacing w:after="0" w:line="288" w:lineRule="auto"/>
        <w:jc w:val="both"/>
        <w:rPr>
          <w:rFonts w:asciiTheme="majorBidi" w:hAnsiTheme="majorBidi" w:cstheme="majorBidi"/>
          <w:b/>
          <w:bCs/>
          <w:sz w:val="24"/>
          <w:szCs w:val="24"/>
        </w:rPr>
      </w:pPr>
      <w:r>
        <w:rPr>
          <w:rFonts w:asciiTheme="majorBidi" w:hAnsiTheme="majorBidi" w:cstheme="majorBidi"/>
          <w:b/>
          <w:bCs/>
          <w:sz w:val="24"/>
          <w:szCs w:val="24"/>
        </w:rPr>
        <w:t>Results and Discussion</w:t>
      </w:r>
    </w:p>
    <w:p w14:paraId="41F32121" w14:textId="38C879CB" w:rsidR="00765E31" w:rsidRPr="001F4F1E" w:rsidRDefault="00112354" w:rsidP="006C1288">
      <w:pPr>
        <w:spacing w:before="60" w:after="0" w:line="288"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1F4F1E">
        <w:rPr>
          <w:rFonts w:ascii="Times New Roman" w:hAnsi="Times New Roman" w:cs="Times New Roman"/>
          <w:b/>
          <w:bCs/>
          <w:sz w:val="24"/>
          <w:szCs w:val="24"/>
        </w:rPr>
        <w:t>.1</w:t>
      </w:r>
      <w:r>
        <w:rPr>
          <w:rFonts w:ascii="Times New Roman" w:hAnsi="Times New Roman" w:cs="Times New Roman"/>
          <w:b/>
          <w:bCs/>
          <w:sz w:val="24"/>
          <w:szCs w:val="24"/>
        </w:rPr>
        <w:t>.</w:t>
      </w:r>
      <w:r w:rsidR="00AF181A" w:rsidRPr="001F4F1E">
        <w:rPr>
          <w:rFonts w:ascii="Times New Roman" w:hAnsi="Times New Roman" w:cs="Times New Roman"/>
          <w:b/>
          <w:bCs/>
          <w:sz w:val="24"/>
          <w:szCs w:val="24"/>
        </w:rPr>
        <w:t xml:space="preserve"> </w:t>
      </w:r>
      <w:r w:rsidR="00765E31" w:rsidRPr="001F4F1E">
        <w:rPr>
          <w:rFonts w:ascii="Times New Roman" w:hAnsi="Times New Roman" w:cs="Times New Roman"/>
          <w:b/>
          <w:bCs/>
          <w:sz w:val="24"/>
          <w:szCs w:val="24"/>
        </w:rPr>
        <w:t xml:space="preserve">Univariate </w:t>
      </w:r>
      <w:r w:rsidR="00BA12FA" w:rsidRPr="001F4F1E">
        <w:rPr>
          <w:rFonts w:ascii="Times New Roman" w:hAnsi="Times New Roman" w:cs="Times New Roman"/>
          <w:b/>
          <w:bCs/>
          <w:sz w:val="24"/>
          <w:szCs w:val="24"/>
        </w:rPr>
        <w:t>A</w:t>
      </w:r>
      <w:r w:rsidR="00765E31" w:rsidRPr="001F4F1E">
        <w:rPr>
          <w:rFonts w:ascii="Times New Roman" w:hAnsi="Times New Roman" w:cs="Times New Roman"/>
          <w:b/>
          <w:bCs/>
          <w:sz w:val="24"/>
          <w:szCs w:val="24"/>
        </w:rPr>
        <w:t>nalysis</w:t>
      </w:r>
    </w:p>
    <w:p w14:paraId="7756A606" w14:textId="77777777" w:rsidR="007621E3" w:rsidRPr="007621E3" w:rsidRDefault="007621E3" w:rsidP="006C1288">
      <w:pPr>
        <w:tabs>
          <w:tab w:val="left" w:pos="567"/>
        </w:tabs>
        <w:spacing w:before="60" w:after="0" w:line="288" w:lineRule="auto"/>
        <w:jc w:val="both"/>
        <w:rPr>
          <w:rFonts w:ascii="Times New Roman" w:hAnsi="Times New Roman" w:cs="Times New Roman"/>
          <w:sz w:val="6"/>
          <w:szCs w:val="6"/>
        </w:rPr>
      </w:pPr>
    </w:p>
    <w:p w14:paraId="63E23364" w14:textId="77777777" w:rsidR="001F4F1E" w:rsidRPr="001F4F1E" w:rsidRDefault="001F4F1E" w:rsidP="006C1288">
      <w:pPr>
        <w:tabs>
          <w:tab w:val="left" w:pos="567"/>
        </w:tabs>
        <w:spacing w:before="60" w:after="0" w:line="288" w:lineRule="auto"/>
        <w:jc w:val="both"/>
        <w:rPr>
          <w:rFonts w:ascii="Times New Roman" w:hAnsi="Times New Roman" w:cs="Times New Roman"/>
          <w:sz w:val="6"/>
          <w:szCs w:val="6"/>
        </w:rPr>
      </w:pPr>
    </w:p>
    <w:p w14:paraId="799A2F1C" w14:textId="39503023" w:rsidR="00CE5633" w:rsidRDefault="00140F8F" w:rsidP="00260D7D">
      <w:pPr>
        <w:tabs>
          <w:tab w:val="left" w:pos="567"/>
        </w:tabs>
        <w:spacing w:after="0" w:line="288" w:lineRule="auto"/>
        <w:jc w:val="both"/>
        <w:rPr>
          <w:rFonts w:ascii="Times New Roman" w:hAnsi="Times New Roman" w:cs="Times New Roman"/>
          <w:sz w:val="24"/>
          <w:szCs w:val="24"/>
        </w:rPr>
      </w:pPr>
      <w:r w:rsidRPr="00BA12FA">
        <w:rPr>
          <w:rFonts w:ascii="Times New Roman" w:hAnsi="Times New Roman" w:cs="Times New Roman"/>
          <w:sz w:val="24"/>
          <w:szCs w:val="24"/>
        </w:rPr>
        <w:t>Table 3 p</w:t>
      </w:r>
      <w:r w:rsidRPr="00140F8F">
        <w:rPr>
          <w:rFonts w:ascii="Times New Roman" w:hAnsi="Times New Roman" w:cs="Times New Roman"/>
          <w:sz w:val="24"/>
          <w:szCs w:val="24"/>
        </w:rPr>
        <w:t xml:space="preserve">rovides </w:t>
      </w:r>
      <w:r>
        <w:rPr>
          <w:rFonts w:ascii="Times New Roman" w:hAnsi="Times New Roman" w:cs="Times New Roman"/>
          <w:sz w:val="24"/>
          <w:szCs w:val="24"/>
        </w:rPr>
        <w:t>mean and median statistics</w:t>
      </w:r>
      <w:r w:rsidRPr="00140F8F">
        <w:rPr>
          <w:rFonts w:ascii="Times New Roman" w:hAnsi="Times New Roman" w:cs="Times New Roman"/>
          <w:sz w:val="24"/>
          <w:szCs w:val="24"/>
        </w:rPr>
        <w:t xml:space="preserve"> for the </w:t>
      </w:r>
      <w:r>
        <w:rPr>
          <w:rFonts w:ascii="Times New Roman" w:hAnsi="Times New Roman" w:cs="Times New Roman"/>
          <w:sz w:val="24"/>
          <w:szCs w:val="24"/>
        </w:rPr>
        <w:t>governance variables</w:t>
      </w:r>
      <w:r w:rsidRPr="00140F8F">
        <w:rPr>
          <w:rFonts w:ascii="Times New Roman" w:hAnsi="Times New Roman" w:cs="Times New Roman"/>
          <w:sz w:val="24"/>
          <w:szCs w:val="24"/>
        </w:rPr>
        <w:t xml:space="preserve"> </w:t>
      </w:r>
      <w:r w:rsidR="003605E6">
        <w:rPr>
          <w:rFonts w:ascii="Times New Roman" w:hAnsi="Times New Roman" w:cs="Times New Roman"/>
          <w:sz w:val="24"/>
          <w:szCs w:val="24"/>
        </w:rPr>
        <w:t xml:space="preserve">and some of the financial variables </w:t>
      </w:r>
      <w:r w:rsidRPr="00140F8F">
        <w:rPr>
          <w:rFonts w:ascii="Times New Roman" w:hAnsi="Times New Roman" w:cs="Times New Roman"/>
          <w:sz w:val="24"/>
          <w:szCs w:val="24"/>
        </w:rPr>
        <w:t xml:space="preserve">included in our analysis based on the </w:t>
      </w:r>
      <w:r>
        <w:rPr>
          <w:rFonts w:ascii="Times New Roman" w:hAnsi="Times New Roman" w:cs="Times New Roman"/>
          <w:sz w:val="24"/>
          <w:szCs w:val="24"/>
        </w:rPr>
        <w:t>split between non-bankrupt and bankrupt firms</w:t>
      </w:r>
      <w:r w:rsidRPr="00140F8F">
        <w:rPr>
          <w:rFonts w:ascii="Times New Roman" w:hAnsi="Times New Roman" w:cs="Times New Roman"/>
          <w:sz w:val="24"/>
          <w:szCs w:val="24"/>
        </w:rPr>
        <w:t xml:space="preserve">. </w:t>
      </w:r>
      <w:r>
        <w:rPr>
          <w:rFonts w:ascii="Times New Roman" w:hAnsi="Times New Roman" w:cs="Times New Roman"/>
          <w:sz w:val="24"/>
          <w:szCs w:val="24"/>
        </w:rPr>
        <w:t xml:space="preserve">Out of the </w:t>
      </w:r>
      <w:r w:rsidR="00061CF7">
        <w:rPr>
          <w:rFonts w:ascii="Times New Roman" w:hAnsi="Times New Roman" w:cs="Times New Roman"/>
          <w:sz w:val="24"/>
          <w:szCs w:val="24"/>
        </w:rPr>
        <w:t>eleven</w:t>
      </w:r>
      <w:r>
        <w:rPr>
          <w:rFonts w:ascii="Times New Roman" w:hAnsi="Times New Roman" w:cs="Times New Roman"/>
          <w:sz w:val="24"/>
          <w:szCs w:val="24"/>
        </w:rPr>
        <w:t xml:space="preserve"> governance variables included in the study, </w:t>
      </w:r>
      <w:r w:rsidR="00061CF7">
        <w:rPr>
          <w:rFonts w:ascii="Times New Roman" w:hAnsi="Times New Roman" w:cs="Times New Roman"/>
          <w:sz w:val="24"/>
          <w:szCs w:val="24"/>
        </w:rPr>
        <w:t>ten</w:t>
      </w:r>
      <w:r>
        <w:rPr>
          <w:rFonts w:ascii="Times New Roman" w:hAnsi="Times New Roman" w:cs="Times New Roman"/>
          <w:sz w:val="24"/>
          <w:szCs w:val="24"/>
        </w:rPr>
        <w:t xml:space="preserve"> have significantly different mean and median statistics between the non-bankrupt and bankrupt firms. The statistics suggest that</w:t>
      </w:r>
      <w:r w:rsidR="00722906">
        <w:rPr>
          <w:rFonts w:ascii="Times New Roman" w:hAnsi="Times New Roman" w:cs="Times New Roman"/>
          <w:sz w:val="24"/>
          <w:szCs w:val="24"/>
        </w:rPr>
        <w:t>, compared to non-bankrupt firms,</w:t>
      </w:r>
      <w:r>
        <w:rPr>
          <w:rFonts w:ascii="Times New Roman" w:hAnsi="Times New Roman" w:cs="Times New Roman"/>
          <w:sz w:val="24"/>
          <w:szCs w:val="24"/>
        </w:rPr>
        <w:t xml:space="preserve"> bankrupt firms tend to have: </w:t>
      </w:r>
      <w:r w:rsidR="00722906">
        <w:rPr>
          <w:rFonts w:ascii="Times New Roman" w:hAnsi="Times New Roman" w:cs="Times New Roman"/>
          <w:sz w:val="24"/>
          <w:szCs w:val="24"/>
        </w:rPr>
        <w:t>higher at</w:t>
      </w:r>
      <w:r w:rsidR="00722906" w:rsidRPr="002B0DB1">
        <w:rPr>
          <w:rFonts w:ascii="Times New Roman" w:hAnsi="Times New Roman" w:cs="Times New Roman"/>
          <w:sz w:val="24"/>
          <w:szCs w:val="24"/>
        </w:rPr>
        <w:t>tritio</w:t>
      </w:r>
      <w:r w:rsidR="00722906">
        <w:rPr>
          <w:rFonts w:ascii="Times New Roman" w:hAnsi="Times New Roman" w:cs="Times New Roman"/>
          <w:sz w:val="24"/>
          <w:szCs w:val="24"/>
        </w:rPr>
        <w:t>n</w:t>
      </w:r>
      <w:r w:rsidR="002B0DB1">
        <w:rPr>
          <w:rFonts w:ascii="Times New Roman" w:hAnsi="Times New Roman" w:cs="Times New Roman"/>
          <w:sz w:val="24"/>
          <w:szCs w:val="24"/>
        </w:rPr>
        <w:t xml:space="preserve">, </w:t>
      </w:r>
      <w:r w:rsidR="005232A2">
        <w:rPr>
          <w:rFonts w:ascii="Times New Roman" w:hAnsi="Times New Roman" w:cs="Times New Roman"/>
          <w:sz w:val="24"/>
          <w:szCs w:val="24"/>
        </w:rPr>
        <w:t>more male dominated boards, less independent boards, less cases of CEO-</w:t>
      </w:r>
      <w:r w:rsidR="00061CF7">
        <w:rPr>
          <w:rFonts w:ascii="Times New Roman" w:hAnsi="Times New Roman" w:cs="Times New Roman"/>
          <w:sz w:val="24"/>
          <w:szCs w:val="24"/>
        </w:rPr>
        <w:lastRenderedPageBreak/>
        <w:t>c</w:t>
      </w:r>
      <w:r w:rsidR="005232A2">
        <w:rPr>
          <w:rFonts w:ascii="Times New Roman" w:hAnsi="Times New Roman" w:cs="Times New Roman"/>
          <w:sz w:val="24"/>
          <w:szCs w:val="24"/>
        </w:rPr>
        <w:t xml:space="preserve">hairman duality, smaller boards, larger proportion of directors whose appointments predates that of the CEO, less experienced directors (external, internal and company), and </w:t>
      </w:r>
      <w:r w:rsidR="00F64921">
        <w:rPr>
          <w:rFonts w:ascii="Times New Roman" w:hAnsi="Times New Roman" w:cs="Times New Roman"/>
          <w:sz w:val="24"/>
          <w:szCs w:val="24"/>
        </w:rPr>
        <w:t xml:space="preserve">lower presence </w:t>
      </w:r>
      <w:r w:rsidR="0042128A">
        <w:rPr>
          <w:rFonts w:ascii="Times New Roman" w:hAnsi="Times New Roman" w:cs="Times New Roman"/>
          <w:sz w:val="24"/>
          <w:szCs w:val="24"/>
        </w:rPr>
        <w:t>of equity-based components in directors’ compensation</w:t>
      </w:r>
      <w:r w:rsidRPr="00140F8F">
        <w:rPr>
          <w:rFonts w:ascii="Times New Roman" w:hAnsi="Times New Roman" w:cs="Times New Roman"/>
          <w:sz w:val="24"/>
          <w:szCs w:val="24"/>
        </w:rPr>
        <w:t xml:space="preserve">. </w:t>
      </w:r>
      <w:r w:rsidR="00061CF7">
        <w:rPr>
          <w:rFonts w:ascii="Times New Roman" w:hAnsi="Times New Roman" w:cs="Times New Roman"/>
          <w:sz w:val="24"/>
          <w:szCs w:val="24"/>
        </w:rPr>
        <w:t xml:space="preserve">This </w:t>
      </w:r>
      <w:r w:rsidR="006C1288">
        <w:rPr>
          <w:rFonts w:ascii="Times New Roman" w:hAnsi="Times New Roman" w:cs="Times New Roman"/>
          <w:sz w:val="24"/>
          <w:szCs w:val="24"/>
        </w:rPr>
        <w:t xml:space="preserve">is </w:t>
      </w:r>
      <w:r w:rsidR="00061CF7">
        <w:rPr>
          <w:rFonts w:ascii="Times New Roman" w:hAnsi="Times New Roman" w:cs="Times New Roman"/>
          <w:sz w:val="24"/>
          <w:szCs w:val="24"/>
        </w:rPr>
        <w:t>in line with the previous findings in the literature and our predictions (</w:t>
      </w:r>
      <w:r w:rsidR="00CE5633">
        <w:rPr>
          <w:rFonts w:ascii="Times New Roman" w:hAnsi="Times New Roman" w:cs="Times New Roman"/>
          <w:sz w:val="24"/>
          <w:szCs w:val="24"/>
        </w:rPr>
        <w:t>see</w:t>
      </w:r>
      <w:r w:rsidR="00061CF7">
        <w:rPr>
          <w:rFonts w:ascii="Times New Roman" w:hAnsi="Times New Roman" w:cs="Times New Roman"/>
          <w:sz w:val="24"/>
          <w:szCs w:val="24"/>
        </w:rPr>
        <w:t xml:space="preserve"> </w:t>
      </w:r>
      <w:r w:rsidR="00061CF7" w:rsidRPr="00BA12FA">
        <w:rPr>
          <w:rFonts w:ascii="Times New Roman" w:hAnsi="Times New Roman" w:cs="Times New Roman"/>
          <w:sz w:val="24"/>
          <w:szCs w:val="24"/>
        </w:rPr>
        <w:t>Table 2</w:t>
      </w:r>
      <w:r w:rsidR="00061CF7" w:rsidRPr="00061CF7">
        <w:rPr>
          <w:rFonts w:ascii="Times New Roman" w:hAnsi="Times New Roman" w:cs="Times New Roman"/>
          <w:sz w:val="24"/>
          <w:szCs w:val="24"/>
        </w:rPr>
        <w:t xml:space="preserve">) </w:t>
      </w:r>
      <w:r w:rsidR="00061CF7">
        <w:rPr>
          <w:rFonts w:ascii="Times New Roman" w:hAnsi="Times New Roman" w:cs="Times New Roman"/>
          <w:sz w:val="24"/>
          <w:szCs w:val="24"/>
        </w:rPr>
        <w:t xml:space="preserve">about the </w:t>
      </w:r>
      <w:r w:rsidR="00CE5633">
        <w:rPr>
          <w:rFonts w:ascii="Times New Roman" w:hAnsi="Times New Roman" w:cs="Times New Roman"/>
          <w:sz w:val="24"/>
          <w:szCs w:val="24"/>
        </w:rPr>
        <w:t xml:space="preserve">expected </w:t>
      </w:r>
      <w:r w:rsidR="00061CF7">
        <w:rPr>
          <w:rFonts w:ascii="Times New Roman" w:hAnsi="Times New Roman" w:cs="Times New Roman"/>
          <w:sz w:val="24"/>
          <w:szCs w:val="24"/>
        </w:rPr>
        <w:t>relationship between governance structure and the probability of bankruptcy (</w:t>
      </w:r>
      <w:r w:rsidR="00061CF7" w:rsidRPr="00A437B4">
        <w:rPr>
          <w:rFonts w:ascii="Times New Roman" w:hAnsi="Times New Roman" w:cs="Times New Roman"/>
          <w:sz w:val="24"/>
          <w:szCs w:val="24"/>
        </w:rPr>
        <w:t>Daily and Dalton</w:t>
      </w:r>
      <w:r w:rsidR="00061CF7">
        <w:rPr>
          <w:rFonts w:ascii="Times New Roman" w:hAnsi="Times New Roman" w:cs="Times New Roman"/>
          <w:sz w:val="24"/>
          <w:szCs w:val="24"/>
        </w:rPr>
        <w:t xml:space="preserve"> </w:t>
      </w:r>
      <w:r w:rsidR="00061CF7" w:rsidRPr="00A437B4">
        <w:rPr>
          <w:rFonts w:ascii="Times New Roman" w:hAnsi="Times New Roman" w:cs="Times New Roman"/>
          <w:sz w:val="24"/>
          <w:szCs w:val="24"/>
        </w:rPr>
        <w:t>1994</w:t>
      </w:r>
      <w:r w:rsidR="006D5DD3" w:rsidRPr="006D5DD3">
        <w:rPr>
          <w:rFonts w:ascii="Times New Roman" w:hAnsi="Times New Roman" w:cs="Times New Roman"/>
          <w:sz w:val="24"/>
          <w:szCs w:val="24"/>
        </w:rPr>
        <w:t>,</w:t>
      </w:r>
      <w:r w:rsidR="00061CF7">
        <w:rPr>
          <w:rFonts w:ascii="Times New Roman" w:hAnsi="Times New Roman" w:cs="Times New Roman"/>
          <w:sz w:val="24"/>
          <w:szCs w:val="24"/>
        </w:rPr>
        <w:t xml:space="preserve"> </w:t>
      </w:r>
      <w:r w:rsidR="00061CF7" w:rsidRPr="00A437B4">
        <w:rPr>
          <w:rFonts w:ascii="Times New Roman" w:hAnsi="Times New Roman" w:cs="Times New Roman"/>
          <w:sz w:val="24"/>
          <w:szCs w:val="24"/>
        </w:rPr>
        <w:t>Elloumi and Gueyie</w:t>
      </w:r>
      <w:r w:rsidR="00BA12FA">
        <w:rPr>
          <w:rFonts w:ascii="Times New Roman" w:hAnsi="Times New Roman" w:cs="Times New Roman"/>
          <w:sz w:val="24"/>
          <w:szCs w:val="24"/>
        </w:rPr>
        <w:t xml:space="preserve"> </w:t>
      </w:r>
      <w:r w:rsidR="00061CF7" w:rsidRPr="00A437B4">
        <w:rPr>
          <w:rFonts w:ascii="Times New Roman" w:hAnsi="Times New Roman" w:cs="Times New Roman"/>
          <w:sz w:val="24"/>
          <w:szCs w:val="24"/>
        </w:rPr>
        <w:t>2001</w:t>
      </w:r>
      <w:r w:rsidR="006D5DD3" w:rsidRPr="006D5DD3">
        <w:rPr>
          <w:rFonts w:ascii="Times New Roman" w:hAnsi="Times New Roman" w:cs="Times New Roman"/>
          <w:sz w:val="24"/>
          <w:szCs w:val="24"/>
        </w:rPr>
        <w:t>,</w:t>
      </w:r>
      <w:r w:rsidR="00061CF7">
        <w:rPr>
          <w:rFonts w:ascii="Times New Roman" w:hAnsi="Times New Roman" w:cs="Times New Roman"/>
          <w:sz w:val="24"/>
          <w:szCs w:val="24"/>
        </w:rPr>
        <w:t xml:space="preserve"> </w:t>
      </w:r>
      <w:r w:rsidR="00061CF7" w:rsidRPr="00654AAB">
        <w:rPr>
          <w:rFonts w:ascii="Times New Roman" w:hAnsi="Times New Roman" w:cs="Times New Roman"/>
          <w:sz w:val="24"/>
          <w:szCs w:val="24"/>
        </w:rPr>
        <w:t>Fich and Slezak</w:t>
      </w:r>
      <w:r w:rsidR="00061CF7">
        <w:rPr>
          <w:rFonts w:ascii="Times New Roman" w:hAnsi="Times New Roman" w:cs="Times New Roman"/>
          <w:sz w:val="24"/>
          <w:szCs w:val="24"/>
        </w:rPr>
        <w:t xml:space="preserve">, </w:t>
      </w:r>
      <w:r w:rsidR="00061CF7" w:rsidRPr="00654AAB">
        <w:rPr>
          <w:rFonts w:ascii="Times New Roman" w:hAnsi="Times New Roman" w:cs="Times New Roman"/>
          <w:sz w:val="24"/>
          <w:szCs w:val="24"/>
        </w:rPr>
        <w:t>2008</w:t>
      </w:r>
      <w:r w:rsidR="006D5DD3" w:rsidRPr="006D5DD3">
        <w:rPr>
          <w:rFonts w:ascii="Times New Roman" w:hAnsi="Times New Roman" w:cs="Times New Roman"/>
          <w:sz w:val="24"/>
          <w:szCs w:val="24"/>
        </w:rPr>
        <w:t>,</w:t>
      </w:r>
      <w:r w:rsidR="00061CF7">
        <w:rPr>
          <w:rFonts w:ascii="Times New Roman" w:hAnsi="Times New Roman" w:cs="Times New Roman"/>
          <w:sz w:val="24"/>
          <w:szCs w:val="24"/>
        </w:rPr>
        <w:t xml:space="preserve"> Liang </w:t>
      </w:r>
      <w:r w:rsidR="00327178" w:rsidRPr="00327178">
        <w:rPr>
          <w:rFonts w:ascii="Times New Roman" w:hAnsi="Times New Roman" w:cs="Times New Roman"/>
          <w:i/>
          <w:iCs/>
          <w:sz w:val="24"/>
          <w:szCs w:val="24"/>
        </w:rPr>
        <w:t>et al.</w:t>
      </w:r>
      <w:r w:rsidR="00061CF7">
        <w:rPr>
          <w:rFonts w:ascii="Times New Roman" w:hAnsi="Times New Roman" w:cs="Times New Roman"/>
          <w:sz w:val="24"/>
          <w:szCs w:val="24"/>
        </w:rPr>
        <w:t xml:space="preserve"> </w:t>
      </w:r>
      <w:r w:rsidR="00061CF7" w:rsidRPr="00654AAB">
        <w:rPr>
          <w:rFonts w:ascii="Times New Roman" w:hAnsi="Times New Roman" w:cs="Times New Roman"/>
          <w:sz w:val="24"/>
          <w:szCs w:val="24"/>
        </w:rPr>
        <w:t>2016</w:t>
      </w:r>
      <w:r w:rsidR="006D5DD3" w:rsidRPr="006D5DD3">
        <w:rPr>
          <w:rFonts w:ascii="Times New Roman" w:hAnsi="Times New Roman" w:cs="Times New Roman"/>
          <w:sz w:val="24"/>
          <w:szCs w:val="24"/>
        </w:rPr>
        <w:t>,</w:t>
      </w:r>
      <w:r w:rsidR="00061CF7">
        <w:rPr>
          <w:rFonts w:ascii="Times New Roman" w:hAnsi="Times New Roman" w:cs="Times New Roman"/>
          <w:sz w:val="24"/>
          <w:szCs w:val="24"/>
        </w:rPr>
        <w:t xml:space="preserve"> </w:t>
      </w:r>
      <w:r w:rsidR="00061CF7" w:rsidRPr="00654AAB">
        <w:rPr>
          <w:rFonts w:ascii="Times New Roman" w:hAnsi="Times New Roman" w:cs="Times New Roman"/>
          <w:sz w:val="24"/>
          <w:szCs w:val="24"/>
        </w:rPr>
        <w:t>Manza</w:t>
      </w:r>
      <w:r w:rsidR="00061CF7">
        <w:rPr>
          <w:rFonts w:ascii="Times New Roman" w:hAnsi="Times New Roman" w:cs="Times New Roman"/>
          <w:sz w:val="24"/>
          <w:szCs w:val="24"/>
        </w:rPr>
        <w:t xml:space="preserve">neque </w:t>
      </w:r>
      <w:r w:rsidR="00327178" w:rsidRPr="00327178">
        <w:rPr>
          <w:rFonts w:ascii="Times New Roman" w:hAnsi="Times New Roman" w:cs="Times New Roman"/>
          <w:i/>
          <w:iCs/>
          <w:sz w:val="24"/>
          <w:szCs w:val="24"/>
        </w:rPr>
        <w:t>et al.</w:t>
      </w:r>
      <w:r w:rsidR="00061CF7">
        <w:rPr>
          <w:rFonts w:ascii="Times New Roman" w:hAnsi="Times New Roman" w:cs="Times New Roman"/>
          <w:sz w:val="24"/>
          <w:szCs w:val="24"/>
        </w:rPr>
        <w:t xml:space="preserve"> </w:t>
      </w:r>
      <w:r w:rsidR="00061CF7" w:rsidRPr="00654AAB">
        <w:rPr>
          <w:rFonts w:ascii="Times New Roman" w:hAnsi="Times New Roman" w:cs="Times New Roman"/>
          <w:sz w:val="24"/>
          <w:szCs w:val="24"/>
        </w:rPr>
        <w:t>2016).</w:t>
      </w:r>
      <w:r w:rsidR="003605E6">
        <w:rPr>
          <w:rFonts w:ascii="Times New Roman" w:hAnsi="Times New Roman" w:cs="Times New Roman"/>
          <w:sz w:val="24"/>
          <w:szCs w:val="24"/>
        </w:rPr>
        <w:t xml:space="preserve"> We can also see significant differences in the financial variables between the two groups (bankrupt </w:t>
      </w:r>
      <w:r w:rsidR="00BA12FA">
        <w:rPr>
          <w:rFonts w:ascii="Times New Roman" w:hAnsi="Times New Roman" w:cs="Times New Roman"/>
          <w:sz w:val="24"/>
          <w:szCs w:val="24"/>
        </w:rPr>
        <w:t>versus</w:t>
      </w:r>
      <w:r w:rsidR="003605E6">
        <w:rPr>
          <w:rFonts w:ascii="Times New Roman" w:hAnsi="Times New Roman" w:cs="Times New Roman"/>
          <w:sz w:val="24"/>
          <w:szCs w:val="24"/>
        </w:rPr>
        <w:t xml:space="preserve"> non-bankrupt) in line with our expectations and findings in prior studies regarding the financial health of a bankrupt firm one year before bankruptcy. </w:t>
      </w:r>
      <w:r w:rsidR="00DA21FC">
        <w:rPr>
          <w:rFonts w:ascii="Times New Roman" w:hAnsi="Times New Roman" w:cs="Times New Roman"/>
          <w:sz w:val="24"/>
          <w:szCs w:val="24"/>
        </w:rPr>
        <w:t xml:space="preserve">More specifically, we can see </w:t>
      </w:r>
      <w:r w:rsidR="00811130">
        <w:rPr>
          <w:rFonts w:ascii="Times New Roman" w:hAnsi="Times New Roman" w:cs="Times New Roman"/>
          <w:sz w:val="24"/>
          <w:szCs w:val="24"/>
        </w:rPr>
        <w:t xml:space="preserve">from the different ratios </w:t>
      </w:r>
      <w:r w:rsidR="00DA21FC">
        <w:rPr>
          <w:rFonts w:ascii="Times New Roman" w:hAnsi="Times New Roman" w:cs="Times New Roman"/>
          <w:sz w:val="24"/>
          <w:szCs w:val="24"/>
        </w:rPr>
        <w:t xml:space="preserve">that bankrupt firms have significantly lower earnings, working capital and market value as well as significantly higher liabilities. </w:t>
      </w:r>
    </w:p>
    <w:p w14:paraId="77D2AE1E" w14:textId="77777777" w:rsidR="00E93057" w:rsidRDefault="00E93057" w:rsidP="00260D7D">
      <w:pPr>
        <w:tabs>
          <w:tab w:val="left" w:pos="567"/>
        </w:tabs>
        <w:spacing w:after="0" w:line="288" w:lineRule="auto"/>
        <w:jc w:val="both"/>
        <w:rPr>
          <w:rFonts w:ascii="Times New Roman" w:hAnsi="Times New Roman" w:cs="Times New Roman"/>
          <w:sz w:val="24"/>
          <w:szCs w:val="24"/>
        </w:rPr>
      </w:pPr>
    </w:p>
    <w:p w14:paraId="2B0E3737" w14:textId="7DF5393C" w:rsidR="00CE5633" w:rsidRPr="001F4F1E" w:rsidRDefault="00DD4C3C" w:rsidP="001F4F1E">
      <w:pPr>
        <w:spacing w:after="0" w:line="288"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1F4F1E">
        <w:rPr>
          <w:rFonts w:ascii="Times New Roman" w:hAnsi="Times New Roman" w:cs="Times New Roman"/>
          <w:b/>
          <w:bCs/>
          <w:sz w:val="24"/>
          <w:szCs w:val="24"/>
        </w:rPr>
        <w:t>.2</w:t>
      </w:r>
      <w:r>
        <w:rPr>
          <w:rFonts w:ascii="Times New Roman" w:hAnsi="Times New Roman" w:cs="Times New Roman"/>
          <w:b/>
          <w:bCs/>
          <w:sz w:val="24"/>
          <w:szCs w:val="24"/>
        </w:rPr>
        <w:t>.</w:t>
      </w:r>
      <w:r w:rsidR="001F4F1E">
        <w:rPr>
          <w:rFonts w:ascii="Times New Roman" w:hAnsi="Times New Roman" w:cs="Times New Roman"/>
          <w:b/>
          <w:bCs/>
          <w:sz w:val="24"/>
          <w:szCs w:val="24"/>
        </w:rPr>
        <w:t xml:space="preserve"> </w:t>
      </w:r>
      <w:r w:rsidR="00BA12FA" w:rsidRPr="001F4F1E">
        <w:rPr>
          <w:rFonts w:ascii="Times New Roman" w:hAnsi="Times New Roman" w:cs="Times New Roman"/>
          <w:b/>
          <w:bCs/>
          <w:sz w:val="24"/>
          <w:szCs w:val="24"/>
        </w:rPr>
        <w:t xml:space="preserve"> </w:t>
      </w:r>
      <w:r w:rsidR="00241658" w:rsidRPr="001F4F1E">
        <w:rPr>
          <w:rFonts w:ascii="Times New Roman" w:hAnsi="Times New Roman" w:cs="Times New Roman"/>
          <w:b/>
          <w:bCs/>
          <w:sz w:val="24"/>
          <w:szCs w:val="24"/>
        </w:rPr>
        <w:t xml:space="preserve">Corporate </w:t>
      </w:r>
      <w:r w:rsidR="00BA12FA" w:rsidRPr="001F4F1E">
        <w:rPr>
          <w:rFonts w:ascii="Times New Roman" w:hAnsi="Times New Roman" w:cs="Times New Roman"/>
          <w:b/>
          <w:bCs/>
          <w:sz w:val="24"/>
          <w:szCs w:val="24"/>
        </w:rPr>
        <w:t>Governance Structure and Bankruptcy Prediction</w:t>
      </w:r>
    </w:p>
    <w:p w14:paraId="266CFEC4" w14:textId="77777777" w:rsidR="00BA12FA" w:rsidRPr="00BA12FA" w:rsidRDefault="00BA12FA" w:rsidP="00260D7D">
      <w:pPr>
        <w:tabs>
          <w:tab w:val="left" w:pos="567"/>
        </w:tabs>
        <w:spacing w:after="0" w:line="288" w:lineRule="auto"/>
        <w:jc w:val="both"/>
        <w:rPr>
          <w:rFonts w:ascii="Times New Roman" w:hAnsi="Times New Roman" w:cs="Times New Roman"/>
          <w:i/>
          <w:iCs/>
          <w:sz w:val="6"/>
          <w:szCs w:val="6"/>
        </w:rPr>
      </w:pPr>
    </w:p>
    <w:p w14:paraId="65EA77A7" w14:textId="1885B522" w:rsidR="00126285" w:rsidRDefault="00CE5633" w:rsidP="00260D7D">
      <w:pPr>
        <w:tabs>
          <w:tab w:val="left" w:pos="567"/>
        </w:tabs>
        <w:spacing w:after="0" w:line="288" w:lineRule="auto"/>
        <w:jc w:val="both"/>
        <w:rPr>
          <w:rFonts w:ascii="Times New Roman" w:hAnsi="Times New Roman" w:cs="Times New Roman"/>
          <w:sz w:val="24"/>
          <w:szCs w:val="24"/>
        </w:rPr>
      </w:pPr>
      <w:r w:rsidRPr="00BA12FA">
        <w:rPr>
          <w:rFonts w:ascii="Times New Roman" w:hAnsi="Times New Roman" w:cs="Times New Roman"/>
          <w:sz w:val="24"/>
          <w:szCs w:val="24"/>
        </w:rPr>
        <w:t xml:space="preserve">Panel A in Table 4 </w:t>
      </w:r>
      <w:r>
        <w:rPr>
          <w:rFonts w:ascii="Times New Roman" w:hAnsi="Times New Roman" w:cs="Times New Roman"/>
          <w:sz w:val="24"/>
          <w:szCs w:val="24"/>
        </w:rPr>
        <w:t>shows the results of re-e</w:t>
      </w:r>
      <w:r w:rsidRPr="00CE5633">
        <w:rPr>
          <w:rFonts w:ascii="Times New Roman" w:hAnsi="Times New Roman" w:cs="Times New Roman"/>
          <w:sz w:val="24"/>
          <w:szCs w:val="24"/>
        </w:rPr>
        <w:t>stimat</w:t>
      </w:r>
      <w:r>
        <w:rPr>
          <w:rFonts w:ascii="Times New Roman" w:hAnsi="Times New Roman" w:cs="Times New Roman"/>
          <w:sz w:val="24"/>
          <w:szCs w:val="24"/>
        </w:rPr>
        <w:t>ing</w:t>
      </w:r>
      <w:r w:rsidRPr="00CE5633">
        <w:rPr>
          <w:rFonts w:ascii="Times New Roman" w:hAnsi="Times New Roman" w:cs="Times New Roman"/>
          <w:sz w:val="24"/>
          <w:szCs w:val="24"/>
        </w:rPr>
        <w:t xml:space="preserve"> the original models using our sample and the original estimation methods</w:t>
      </w:r>
      <w:r w:rsidRPr="00474494">
        <w:rPr>
          <w:rFonts w:ascii="Times New Roman" w:hAnsi="Times New Roman" w:cs="Times New Roman"/>
          <w:sz w:val="24"/>
          <w:szCs w:val="24"/>
        </w:rPr>
        <w:t>.</w:t>
      </w:r>
      <w:r w:rsidR="0019792D">
        <w:rPr>
          <w:rFonts w:ascii="Times New Roman" w:hAnsi="Times New Roman" w:cs="Times New Roman"/>
          <w:sz w:val="24"/>
          <w:szCs w:val="24"/>
        </w:rPr>
        <w:t xml:space="preserve"> The results </w:t>
      </w:r>
      <w:r w:rsidR="00126285">
        <w:rPr>
          <w:rFonts w:ascii="Times New Roman" w:hAnsi="Times New Roman" w:cs="Times New Roman"/>
          <w:sz w:val="24"/>
          <w:szCs w:val="24"/>
        </w:rPr>
        <w:t>show</w:t>
      </w:r>
      <w:r w:rsidR="0019792D">
        <w:rPr>
          <w:rFonts w:ascii="Times New Roman" w:hAnsi="Times New Roman" w:cs="Times New Roman"/>
          <w:sz w:val="24"/>
          <w:szCs w:val="24"/>
        </w:rPr>
        <w:t xml:space="preserve"> that </w:t>
      </w:r>
      <w:r w:rsidR="00A80831">
        <w:rPr>
          <w:rFonts w:ascii="Times New Roman" w:hAnsi="Times New Roman" w:cs="Times New Roman"/>
          <w:sz w:val="24"/>
          <w:szCs w:val="24"/>
        </w:rPr>
        <w:t>Altman</w:t>
      </w:r>
      <w:r w:rsidR="00473819">
        <w:rPr>
          <w:rFonts w:ascii="Times New Roman" w:hAnsi="Times New Roman" w:cs="Times New Roman"/>
          <w:sz w:val="24"/>
          <w:szCs w:val="24"/>
        </w:rPr>
        <w:t xml:space="preserve"> (1968)</w:t>
      </w:r>
      <w:r w:rsidR="00A80831">
        <w:rPr>
          <w:rFonts w:ascii="Times New Roman" w:hAnsi="Times New Roman" w:cs="Times New Roman"/>
          <w:sz w:val="24"/>
          <w:szCs w:val="24"/>
        </w:rPr>
        <w:t>’s original model</w:t>
      </w:r>
      <w:r w:rsidR="00473819">
        <w:rPr>
          <w:rFonts w:ascii="Times New Roman" w:hAnsi="Times New Roman" w:cs="Times New Roman"/>
          <w:sz w:val="24"/>
          <w:szCs w:val="24"/>
        </w:rPr>
        <w:t xml:space="preserve"> as we</w:t>
      </w:r>
      <w:r w:rsidR="00126285">
        <w:rPr>
          <w:rFonts w:ascii="Times New Roman" w:hAnsi="Times New Roman" w:cs="Times New Roman"/>
          <w:sz w:val="24"/>
          <w:szCs w:val="24"/>
        </w:rPr>
        <w:t>ll as</w:t>
      </w:r>
      <w:r w:rsidR="00A80831">
        <w:rPr>
          <w:rFonts w:ascii="Times New Roman" w:hAnsi="Times New Roman" w:cs="Times New Roman"/>
          <w:sz w:val="24"/>
          <w:szCs w:val="24"/>
        </w:rPr>
        <w:t xml:space="preserve"> </w:t>
      </w:r>
      <w:r w:rsidR="00473819" w:rsidRPr="00473819">
        <w:rPr>
          <w:rFonts w:ascii="Times New Roman" w:hAnsi="Times New Roman" w:cs="Times New Roman"/>
          <w:sz w:val="24"/>
          <w:szCs w:val="24"/>
        </w:rPr>
        <w:t>Zmijewski</w:t>
      </w:r>
      <w:r w:rsidR="00473819">
        <w:rPr>
          <w:rFonts w:ascii="Times New Roman" w:hAnsi="Times New Roman" w:cs="Times New Roman"/>
          <w:sz w:val="24"/>
          <w:szCs w:val="24"/>
        </w:rPr>
        <w:t>’s</w:t>
      </w:r>
      <w:r w:rsidR="00473819" w:rsidRPr="00473819">
        <w:rPr>
          <w:rFonts w:ascii="Times New Roman" w:hAnsi="Times New Roman" w:cs="Times New Roman"/>
          <w:sz w:val="24"/>
          <w:szCs w:val="24"/>
        </w:rPr>
        <w:t xml:space="preserve"> (1984</w:t>
      </w:r>
      <w:r w:rsidR="00473819">
        <w:rPr>
          <w:rFonts w:ascii="Times New Roman" w:hAnsi="Times New Roman" w:cs="Times New Roman"/>
          <w:sz w:val="24"/>
          <w:szCs w:val="24"/>
        </w:rPr>
        <w:t xml:space="preserve">) provide the most accurate overall classification as measured by the accuracy ratio (proportion of correctly classified cases). However, the models of </w:t>
      </w:r>
      <w:r w:rsidR="00473819" w:rsidRPr="00473819">
        <w:rPr>
          <w:rFonts w:ascii="Times New Roman" w:hAnsi="Times New Roman" w:cs="Times New Roman"/>
          <w:sz w:val="24"/>
          <w:szCs w:val="24"/>
        </w:rPr>
        <w:t>Shumway (2001</w:t>
      </w:r>
      <w:r w:rsidR="00473819">
        <w:rPr>
          <w:rFonts w:ascii="Times New Roman" w:hAnsi="Times New Roman" w:cs="Times New Roman"/>
          <w:sz w:val="24"/>
          <w:szCs w:val="24"/>
        </w:rPr>
        <w:t xml:space="preserve">), </w:t>
      </w:r>
      <w:r w:rsidR="00473819" w:rsidRPr="00473819">
        <w:rPr>
          <w:rFonts w:ascii="Times New Roman" w:hAnsi="Times New Roman" w:cs="Times New Roman"/>
          <w:sz w:val="24"/>
          <w:szCs w:val="24"/>
        </w:rPr>
        <w:t>Bharath and Shumway (2008)</w:t>
      </w:r>
      <w:r w:rsidR="00473819">
        <w:rPr>
          <w:rFonts w:ascii="Times New Roman" w:hAnsi="Times New Roman" w:cs="Times New Roman"/>
          <w:sz w:val="24"/>
          <w:szCs w:val="24"/>
        </w:rPr>
        <w:t xml:space="preserve"> and </w:t>
      </w:r>
      <w:r w:rsidR="00473819" w:rsidRPr="00473819">
        <w:rPr>
          <w:rFonts w:ascii="Times New Roman" w:hAnsi="Times New Roman" w:cs="Times New Roman"/>
          <w:sz w:val="24"/>
          <w:szCs w:val="24"/>
        </w:rPr>
        <w:t xml:space="preserve">Premachandra </w:t>
      </w:r>
      <w:r w:rsidR="00327178" w:rsidRPr="00327178">
        <w:rPr>
          <w:rFonts w:ascii="Times New Roman" w:hAnsi="Times New Roman" w:cs="Times New Roman"/>
          <w:i/>
          <w:iCs/>
          <w:sz w:val="24"/>
          <w:szCs w:val="24"/>
        </w:rPr>
        <w:t>et al.</w:t>
      </w:r>
      <w:r w:rsidR="00473819" w:rsidRPr="00473819">
        <w:rPr>
          <w:rFonts w:ascii="Times New Roman" w:hAnsi="Times New Roman" w:cs="Times New Roman"/>
          <w:sz w:val="24"/>
          <w:szCs w:val="24"/>
        </w:rPr>
        <w:t xml:space="preserve"> (2009)</w:t>
      </w:r>
      <w:r w:rsidR="00473819">
        <w:rPr>
          <w:rFonts w:ascii="Times New Roman" w:hAnsi="Times New Roman" w:cs="Times New Roman"/>
          <w:sz w:val="24"/>
          <w:szCs w:val="24"/>
        </w:rPr>
        <w:t xml:space="preserve">, provide better accuracy </w:t>
      </w:r>
      <w:r w:rsidR="00212664">
        <w:rPr>
          <w:rFonts w:ascii="Times New Roman" w:hAnsi="Times New Roman" w:cs="Times New Roman"/>
          <w:sz w:val="24"/>
          <w:szCs w:val="24"/>
        </w:rPr>
        <w:t>with regards</w:t>
      </w:r>
      <w:r w:rsidR="00473819">
        <w:rPr>
          <w:rFonts w:ascii="Times New Roman" w:hAnsi="Times New Roman" w:cs="Times New Roman"/>
          <w:sz w:val="24"/>
          <w:szCs w:val="24"/>
        </w:rPr>
        <w:t xml:space="preserve"> to classifying </w:t>
      </w:r>
      <w:r w:rsidR="0029757F">
        <w:rPr>
          <w:rFonts w:ascii="Times New Roman" w:hAnsi="Times New Roman" w:cs="Times New Roman"/>
          <w:sz w:val="24"/>
          <w:szCs w:val="24"/>
        </w:rPr>
        <w:t xml:space="preserve">bankrupt firms </w:t>
      </w:r>
      <w:r w:rsidR="009C4DCB">
        <w:rPr>
          <w:rFonts w:ascii="Times New Roman" w:hAnsi="Times New Roman" w:cs="Times New Roman"/>
          <w:sz w:val="24"/>
          <w:szCs w:val="24"/>
        </w:rPr>
        <w:t>(sensitivity &gt;</w:t>
      </w:r>
      <w:r w:rsidR="00776975">
        <w:rPr>
          <w:rFonts w:ascii="Times New Roman" w:hAnsi="Times New Roman" w:cs="Times New Roman"/>
          <w:sz w:val="24"/>
          <w:szCs w:val="24"/>
        </w:rPr>
        <w:t xml:space="preserve"> </w:t>
      </w:r>
      <w:r w:rsidR="009C4DCB">
        <w:rPr>
          <w:rFonts w:ascii="Times New Roman" w:hAnsi="Times New Roman" w:cs="Times New Roman"/>
          <w:sz w:val="24"/>
          <w:szCs w:val="24"/>
        </w:rPr>
        <w:t>75%).</w:t>
      </w:r>
      <w:r w:rsidR="00212664" w:rsidRPr="00212664">
        <w:rPr>
          <w:rFonts w:ascii="Times New Roman" w:hAnsi="Times New Roman" w:cs="Times New Roman"/>
          <w:sz w:val="24"/>
          <w:szCs w:val="24"/>
        </w:rPr>
        <w:t xml:space="preserve"> </w:t>
      </w:r>
      <w:r w:rsidR="00212664">
        <w:rPr>
          <w:rFonts w:ascii="Times New Roman" w:hAnsi="Times New Roman" w:cs="Times New Roman"/>
          <w:sz w:val="24"/>
          <w:szCs w:val="24"/>
        </w:rPr>
        <w:t>Additionally, th</w:t>
      </w:r>
      <w:r w:rsidR="00126285">
        <w:rPr>
          <w:rFonts w:ascii="Times New Roman" w:hAnsi="Times New Roman" w:cs="Times New Roman"/>
          <w:sz w:val="24"/>
          <w:szCs w:val="24"/>
        </w:rPr>
        <w:t xml:space="preserve">e latter </w:t>
      </w:r>
      <w:r w:rsidR="00212664">
        <w:rPr>
          <w:rFonts w:ascii="Times New Roman" w:hAnsi="Times New Roman" w:cs="Times New Roman"/>
          <w:sz w:val="24"/>
          <w:szCs w:val="24"/>
        </w:rPr>
        <w:t>models have better classification power as shown by the</w:t>
      </w:r>
      <w:r w:rsidR="00126285">
        <w:rPr>
          <w:rFonts w:ascii="Times New Roman" w:hAnsi="Times New Roman" w:cs="Times New Roman"/>
          <w:sz w:val="24"/>
          <w:szCs w:val="24"/>
        </w:rPr>
        <w:t xml:space="preserve"> higher</w:t>
      </w:r>
      <w:r w:rsidR="00212664">
        <w:rPr>
          <w:rFonts w:ascii="Times New Roman" w:hAnsi="Times New Roman" w:cs="Times New Roman"/>
          <w:sz w:val="24"/>
          <w:szCs w:val="24"/>
        </w:rPr>
        <w:t xml:space="preserve"> area under the curve (AUC) measure. The </w:t>
      </w:r>
      <w:r w:rsidR="005462D2">
        <w:rPr>
          <w:rFonts w:ascii="Times New Roman" w:hAnsi="Times New Roman" w:cs="Times New Roman"/>
          <w:sz w:val="24"/>
          <w:szCs w:val="24"/>
        </w:rPr>
        <w:t xml:space="preserve">accuracy rates of the </w:t>
      </w:r>
      <w:r w:rsidR="00212664">
        <w:rPr>
          <w:rFonts w:ascii="Times New Roman" w:hAnsi="Times New Roman" w:cs="Times New Roman"/>
          <w:sz w:val="24"/>
          <w:szCs w:val="24"/>
        </w:rPr>
        <w:t>out-of-sample forecast</w:t>
      </w:r>
      <w:r w:rsidR="005462D2">
        <w:rPr>
          <w:rFonts w:ascii="Times New Roman" w:hAnsi="Times New Roman" w:cs="Times New Roman"/>
          <w:sz w:val="24"/>
          <w:szCs w:val="24"/>
        </w:rPr>
        <w:t xml:space="preserve">s of the different models are very close with an average accuracy ratio of 70%. </w:t>
      </w:r>
    </w:p>
    <w:p w14:paraId="5C828DBA" w14:textId="77777777" w:rsidR="00956BED" w:rsidRDefault="00956BED" w:rsidP="00260D7D">
      <w:pPr>
        <w:tabs>
          <w:tab w:val="left" w:pos="567"/>
        </w:tabs>
        <w:spacing w:after="0" w:line="288" w:lineRule="auto"/>
        <w:jc w:val="both"/>
        <w:rPr>
          <w:rFonts w:ascii="Times New Roman" w:hAnsi="Times New Roman" w:cs="Times New Roman"/>
          <w:sz w:val="24"/>
          <w:szCs w:val="24"/>
        </w:rPr>
      </w:pPr>
    </w:p>
    <w:p w14:paraId="215A5BE7" w14:textId="77777777" w:rsidR="006C1288" w:rsidRDefault="00BA12FA"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126285">
        <w:rPr>
          <w:rFonts w:ascii="Times New Roman" w:hAnsi="Times New Roman" w:cs="Times New Roman"/>
          <w:sz w:val="24"/>
          <w:szCs w:val="24"/>
        </w:rPr>
        <w:t xml:space="preserve">Next, when we add the eleven governance variables covered by </w:t>
      </w:r>
      <w:r w:rsidR="00126285" w:rsidRPr="00BA12FA">
        <w:rPr>
          <w:rFonts w:ascii="Times New Roman" w:hAnsi="Times New Roman" w:cs="Times New Roman"/>
          <w:sz w:val="24"/>
          <w:szCs w:val="24"/>
        </w:rPr>
        <w:t xml:space="preserve">our study (Table 2) to each of these models, we notice a general improvement, sometimes very significant, in the prediction and classification accuracy of these models. </w:t>
      </w:r>
      <w:r w:rsidR="00CE5633" w:rsidRPr="00BA12FA">
        <w:rPr>
          <w:rFonts w:ascii="Times New Roman" w:hAnsi="Times New Roman" w:cs="Times New Roman"/>
          <w:sz w:val="24"/>
          <w:szCs w:val="24"/>
        </w:rPr>
        <w:t>Panel B in Table 4 shows the results of re-estimating the original models from Panel A after adding the governance variables</w:t>
      </w:r>
      <w:r w:rsidR="001A2E0A" w:rsidRPr="00BA12FA">
        <w:rPr>
          <w:rFonts w:ascii="Times New Roman" w:hAnsi="Times New Roman" w:cs="Times New Roman"/>
          <w:sz w:val="24"/>
          <w:szCs w:val="24"/>
        </w:rPr>
        <w:t>, while Panel C shows the differences between Panels A and B</w:t>
      </w:r>
      <w:r w:rsidR="00126285" w:rsidRPr="00BA12FA">
        <w:rPr>
          <w:rFonts w:ascii="Times New Roman" w:hAnsi="Times New Roman" w:cs="Times New Roman"/>
          <w:sz w:val="24"/>
          <w:szCs w:val="24"/>
        </w:rPr>
        <w:t xml:space="preserve">. First of all, </w:t>
      </w:r>
      <w:r w:rsidR="00D15C56" w:rsidRPr="00BA12FA">
        <w:rPr>
          <w:rFonts w:ascii="Times New Roman" w:hAnsi="Times New Roman" w:cs="Times New Roman"/>
          <w:sz w:val="24"/>
          <w:szCs w:val="24"/>
        </w:rPr>
        <w:t>all models now sh</w:t>
      </w:r>
      <w:r w:rsidR="00D15C56">
        <w:rPr>
          <w:rFonts w:ascii="Times New Roman" w:hAnsi="Times New Roman" w:cs="Times New Roman"/>
          <w:sz w:val="24"/>
          <w:szCs w:val="24"/>
        </w:rPr>
        <w:t>ow better classification accuracy and improved classification power as measured by the accuracy ratio and the AUC, respectively.</w:t>
      </w:r>
      <w:r w:rsidR="007350B8">
        <w:rPr>
          <w:rFonts w:ascii="Times New Roman" w:hAnsi="Times New Roman" w:cs="Times New Roman"/>
          <w:sz w:val="24"/>
          <w:szCs w:val="24"/>
        </w:rPr>
        <w:t xml:space="preserve"> Using the Hanley and McNeil (</w:t>
      </w:r>
      <w:r w:rsidR="007350B8" w:rsidRPr="00C9205F">
        <w:rPr>
          <w:rFonts w:ascii="Times New Roman" w:hAnsi="Times New Roman" w:cs="Times New Roman"/>
          <w:sz w:val="24"/>
          <w:szCs w:val="24"/>
        </w:rPr>
        <w:t>1983</w:t>
      </w:r>
      <w:r w:rsidR="007350B8">
        <w:rPr>
          <w:rFonts w:ascii="Times New Roman" w:hAnsi="Times New Roman" w:cs="Times New Roman"/>
          <w:sz w:val="24"/>
          <w:szCs w:val="24"/>
        </w:rPr>
        <w:t>) test, we find that the AUC results of all models are significantly</w:t>
      </w:r>
      <w:r w:rsidR="007350B8" w:rsidRPr="007350B8">
        <w:rPr>
          <w:rFonts w:ascii="Times New Roman" w:hAnsi="Times New Roman" w:cs="Times New Roman"/>
          <w:sz w:val="24"/>
          <w:szCs w:val="24"/>
        </w:rPr>
        <w:t xml:space="preserve"> </w:t>
      </w:r>
      <w:r w:rsidR="007350B8">
        <w:rPr>
          <w:rFonts w:ascii="Times New Roman" w:hAnsi="Times New Roman" w:cs="Times New Roman"/>
          <w:sz w:val="24"/>
          <w:szCs w:val="24"/>
        </w:rPr>
        <w:t xml:space="preserve">different from the baseline or the random predictor (AUC = 0.5). </w:t>
      </w:r>
      <w:r>
        <w:rPr>
          <w:rFonts w:ascii="Times New Roman" w:hAnsi="Times New Roman" w:cs="Times New Roman"/>
          <w:sz w:val="24"/>
          <w:szCs w:val="24"/>
        </w:rPr>
        <w:t xml:space="preserve"> </w:t>
      </w:r>
      <w:r w:rsidR="00D15C56">
        <w:rPr>
          <w:rFonts w:ascii="Times New Roman" w:hAnsi="Times New Roman" w:cs="Times New Roman"/>
          <w:sz w:val="24"/>
          <w:szCs w:val="24"/>
        </w:rPr>
        <w:t xml:space="preserve">Specifically, the models of </w:t>
      </w:r>
      <w:r w:rsidR="00D15C56" w:rsidRPr="00473819">
        <w:rPr>
          <w:rFonts w:ascii="Times New Roman" w:hAnsi="Times New Roman" w:cs="Times New Roman"/>
          <w:sz w:val="24"/>
          <w:szCs w:val="24"/>
        </w:rPr>
        <w:t>Shumway (2001</w:t>
      </w:r>
      <w:r w:rsidR="00D15C56">
        <w:rPr>
          <w:rFonts w:ascii="Times New Roman" w:hAnsi="Times New Roman" w:cs="Times New Roman"/>
          <w:sz w:val="24"/>
          <w:szCs w:val="24"/>
        </w:rPr>
        <w:t xml:space="preserve">) and </w:t>
      </w:r>
      <w:r w:rsidR="00D15C56" w:rsidRPr="00473819">
        <w:rPr>
          <w:rFonts w:ascii="Times New Roman" w:hAnsi="Times New Roman" w:cs="Times New Roman"/>
          <w:sz w:val="24"/>
          <w:szCs w:val="24"/>
        </w:rPr>
        <w:t>Bharath and Shumway (2008)</w:t>
      </w:r>
      <w:r w:rsidR="00D15C56">
        <w:rPr>
          <w:rFonts w:ascii="Times New Roman" w:hAnsi="Times New Roman" w:cs="Times New Roman"/>
          <w:sz w:val="24"/>
          <w:szCs w:val="24"/>
        </w:rPr>
        <w:t xml:space="preserve"> show the biggest improvement from including the governance variables by classifying 18% and 22% more cases correctly, respectively. </w:t>
      </w:r>
    </w:p>
    <w:p w14:paraId="4C1F4C9A" w14:textId="77777777" w:rsidR="006C1288" w:rsidRDefault="006C1288" w:rsidP="00260D7D">
      <w:pPr>
        <w:tabs>
          <w:tab w:val="left" w:pos="567"/>
        </w:tabs>
        <w:spacing w:after="0" w:line="288" w:lineRule="auto"/>
        <w:jc w:val="both"/>
        <w:rPr>
          <w:rFonts w:ascii="Times New Roman" w:hAnsi="Times New Roman" w:cs="Times New Roman"/>
          <w:sz w:val="24"/>
          <w:szCs w:val="24"/>
        </w:rPr>
      </w:pPr>
    </w:p>
    <w:p w14:paraId="6EFD33EE" w14:textId="67CA9E9D" w:rsidR="00F02D81" w:rsidRDefault="006C1288"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D15C56">
        <w:rPr>
          <w:rFonts w:ascii="Times New Roman" w:hAnsi="Times New Roman" w:cs="Times New Roman"/>
          <w:sz w:val="24"/>
          <w:szCs w:val="24"/>
        </w:rPr>
        <w:t xml:space="preserve">These two models in addition to </w:t>
      </w:r>
      <w:r w:rsidR="00D15C56" w:rsidRPr="00473819">
        <w:rPr>
          <w:rFonts w:ascii="Times New Roman" w:hAnsi="Times New Roman" w:cs="Times New Roman"/>
          <w:sz w:val="24"/>
          <w:szCs w:val="24"/>
        </w:rPr>
        <w:t xml:space="preserve">Premachandra </w:t>
      </w:r>
      <w:r w:rsidR="00327178" w:rsidRPr="00327178">
        <w:rPr>
          <w:rFonts w:ascii="Times New Roman" w:hAnsi="Times New Roman" w:cs="Times New Roman"/>
          <w:i/>
          <w:iCs/>
          <w:sz w:val="24"/>
          <w:szCs w:val="24"/>
        </w:rPr>
        <w:t>et al.</w:t>
      </w:r>
      <w:r w:rsidR="00D15C56" w:rsidRPr="00473819">
        <w:rPr>
          <w:rFonts w:ascii="Times New Roman" w:hAnsi="Times New Roman" w:cs="Times New Roman"/>
          <w:sz w:val="24"/>
          <w:szCs w:val="24"/>
        </w:rPr>
        <w:t xml:space="preserve"> (2009)</w:t>
      </w:r>
      <w:r w:rsidR="00D15C56">
        <w:rPr>
          <w:rFonts w:ascii="Times New Roman" w:hAnsi="Times New Roman" w:cs="Times New Roman"/>
          <w:sz w:val="24"/>
          <w:szCs w:val="24"/>
        </w:rPr>
        <w:t xml:space="preserve"> also provide a more accurate classification of the bankrupt companies with an average increase in the classification accuracy of 6% in comparison to the original models without governance variables.  Additionally, all models are now able to predict bankruptcy in firms outside the sample with better accuracy, with a</w:t>
      </w:r>
      <w:r w:rsidR="00A564D5">
        <w:rPr>
          <w:rFonts w:ascii="Times New Roman" w:hAnsi="Times New Roman" w:cs="Times New Roman"/>
          <w:sz w:val="24"/>
          <w:szCs w:val="24"/>
        </w:rPr>
        <w:t xml:space="preserve">n increase of between 4% and 14% in the accuracy of out-of-sample forecasts after the inclusion of the governance variables. With regards to the information content of the different </w:t>
      </w:r>
      <w:r w:rsidR="00A564D5">
        <w:rPr>
          <w:rFonts w:ascii="Times New Roman" w:hAnsi="Times New Roman" w:cs="Times New Roman"/>
          <w:sz w:val="24"/>
          <w:szCs w:val="24"/>
        </w:rPr>
        <w:lastRenderedPageBreak/>
        <w:t>models, we notice that the models with governance variables have lower AIC values which suggests that these models are more informative and of a better quality than the original ones.</w:t>
      </w:r>
    </w:p>
    <w:p w14:paraId="603DE853" w14:textId="77777777" w:rsidR="00E93057" w:rsidRDefault="00E93057" w:rsidP="00260D7D">
      <w:pPr>
        <w:tabs>
          <w:tab w:val="left" w:pos="567"/>
        </w:tabs>
        <w:spacing w:after="0" w:line="288" w:lineRule="auto"/>
        <w:jc w:val="both"/>
        <w:rPr>
          <w:rFonts w:ascii="Times New Roman" w:hAnsi="Times New Roman" w:cs="Times New Roman"/>
          <w:sz w:val="24"/>
          <w:szCs w:val="24"/>
        </w:rPr>
      </w:pPr>
    </w:p>
    <w:p w14:paraId="02BE31BE" w14:textId="56021E4B" w:rsidR="009E1E70" w:rsidRDefault="00BA12FA"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A564D5">
        <w:rPr>
          <w:rFonts w:ascii="Times New Roman" w:hAnsi="Times New Roman" w:cs="Times New Roman"/>
          <w:sz w:val="24"/>
          <w:szCs w:val="24"/>
        </w:rPr>
        <w:t xml:space="preserve">Overall, this suggests that </w:t>
      </w:r>
      <w:r w:rsidR="007350B8">
        <w:rPr>
          <w:rFonts w:ascii="Times New Roman" w:hAnsi="Times New Roman" w:cs="Times New Roman"/>
          <w:sz w:val="24"/>
          <w:szCs w:val="24"/>
        </w:rPr>
        <w:t>the addition of governance variables to</w:t>
      </w:r>
      <w:r w:rsidR="002A270E">
        <w:rPr>
          <w:rFonts w:ascii="Times New Roman" w:hAnsi="Times New Roman" w:cs="Times New Roman"/>
          <w:sz w:val="24"/>
          <w:szCs w:val="24"/>
        </w:rPr>
        <w:t xml:space="preserve"> the different </w:t>
      </w:r>
      <w:r w:rsidR="007350B8">
        <w:rPr>
          <w:rFonts w:ascii="Times New Roman" w:hAnsi="Times New Roman" w:cs="Times New Roman"/>
          <w:sz w:val="24"/>
          <w:szCs w:val="24"/>
        </w:rPr>
        <w:t xml:space="preserve">bankruptcy prediction models leads to a significant improvement in their classification power and prediction accuracy. </w:t>
      </w:r>
      <w:r w:rsidR="00F02D81">
        <w:rPr>
          <w:rFonts w:ascii="Times New Roman" w:hAnsi="Times New Roman" w:cs="Times New Roman"/>
          <w:sz w:val="24"/>
          <w:szCs w:val="24"/>
        </w:rPr>
        <w:t>The most noticeable improvement is found in models utilizing hazard analysis, which might be related</w:t>
      </w:r>
      <w:r w:rsidR="00DF1326">
        <w:rPr>
          <w:rFonts w:ascii="Times New Roman" w:hAnsi="Times New Roman" w:cs="Times New Roman"/>
          <w:sz w:val="24"/>
          <w:szCs w:val="24"/>
        </w:rPr>
        <w:t xml:space="preserve"> to</w:t>
      </w:r>
      <w:r w:rsidR="00F02D81">
        <w:rPr>
          <w:rFonts w:ascii="Times New Roman" w:hAnsi="Times New Roman" w:cs="Times New Roman"/>
          <w:sz w:val="24"/>
          <w:szCs w:val="24"/>
        </w:rPr>
        <w:t xml:space="preserve"> the fact that unlike cross-sectional models such as MDA and logit models, hazard analysis takes account of changes in the firm’s performance or characteristics over time. Specifically, hazard analysis looks at related firm-years as a series of observations on the same firm and thus is able to incorporate changes in the firm’s governance structure and as a result produce more consistent and efficient predictions (Shumway 2001).</w:t>
      </w:r>
      <w:r w:rsidR="006C1288">
        <w:rPr>
          <w:rFonts w:ascii="Times New Roman" w:hAnsi="Times New Roman" w:cs="Times New Roman"/>
          <w:sz w:val="24"/>
          <w:szCs w:val="24"/>
        </w:rPr>
        <w:t xml:space="preserve"> </w:t>
      </w:r>
      <w:r w:rsidR="00F02D81">
        <w:rPr>
          <w:rFonts w:ascii="Times New Roman" w:hAnsi="Times New Roman" w:cs="Times New Roman"/>
          <w:sz w:val="24"/>
          <w:szCs w:val="24"/>
        </w:rPr>
        <w:t xml:space="preserve"> </w:t>
      </w:r>
      <w:r w:rsidR="00D16787">
        <w:rPr>
          <w:rFonts w:ascii="Times New Roman" w:hAnsi="Times New Roman" w:cs="Times New Roman"/>
          <w:sz w:val="24"/>
          <w:szCs w:val="24"/>
        </w:rPr>
        <w:t xml:space="preserve">Both </w:t>
      </w:r>
      <w:r w:rsidR="008D47A3">
        <w:rPr>
          <w:rFonts w:ascii="Times New Roman" w:hAnsi="Times New Roman" w:cs="Times New Roman"/>
          <w:sz w:val="24"/>
          <w:szCs w:val="24"/>
        </w:rPr>
        <w:t>error I (</w:t>
      </w:r>
      <w:r w:rsidR="008D47A3" w:rsidRPr="008D47A3">
        <w:rPr>
          <w:rFonts w:ascii="Times New Roman" w:hAnsi="Times New Roman" w:cs="Times New Roman"/>
          <w:sz w:val="24"/>
          <w:szCs w:val="24"/>
        </w:rPr>
        <w:t>classifying a bad case as good</w:t>
      </w:r>
      <w:r w:rsidR="008D47A3">
        <w:rPr>
          <w:rFonts w:ascii="Times New Roman" w:hAnsi="Times New Roman" w:cs="Times New Roman"/>
          <w:sz w:val="24"/>
          <w:szCs w:val="24"/>
        </w:rPr>
        <w:t xml:space="preserve">) and </w:t>
      </w:r>
      <w:r w:rsidR="00EC06ED">
        <w:rPr>
          <w:rFonts w:ascii="Times New Roman" w:hAnsi="Times New Roman" w:cs="Times New Roman"/>
          <w:sz w:val="24"/>
          <w:szCs w:val="24"/>
        </w:rPr>
        <w:t>error II (</w:t>
      </w:r>
      <w:r w:rsidR="00EC06ED" w:rsidRPr="008D47A3">
        <w:rPr>
          <w:rFonts w:ascii="Times New Roman" w:hAnsi="Times New Roman" w:cs="Times New Roman"/>
          <w:sz w:val="24"/>
          <w:szCs w:val="24"/>
        </w:rPr>
        <w:t xml:space="preserve">classifying a </w:t>
      </w:r>
      <w:r w:rsidR="00EC06ED">
        <w:rPr>
          <w:rFonts w:ascii="Times New Roman" w:hAnsi="Times New Roman" w:cs="Times New Roman"/>
          <w:sz w:val="24"/>
          <w:szCs w:val="24"/>
        </w:rPr>
        <w:t>good</w:t>
      </w:r>
      <w:r w:rsidR="00EC06ED" w:rsidRPr="008D47A3">
        <w:rPr>
          <w:rFonts w:ascii="Times New Roman" w:hAnsi="Times New Roman" w:cs="Times New Roman"/>
          <w:sz w:val="24"/>
          <w:szCs w:val="24"/>
        </w:rPr>
        <w:t xml:space="preserve"> case as </w:t>
      </w:r>
      <w:r w:rsidR="00EC06ED">
        <w:rPr>
          <w:rFonts w:ascii="Times New Roman" w:hAnsi="Times New Roman" w:cs="Times New Roman"/>
          <w:sz w:val="24"/>
          <w:szCs w:val="24"/>
        </w:rPr>
        <w:t>bad)</w:t>
      </w:r>
      <w:r w:rsidR="008D47A3">
        <w:rPr>
          <w:rFonts w:ascii="Times New Roman" w:hAnsi="Times New Roman" w:cs="Times New Roman"/>
          <w:sz w:val="24"/>
          <w:szCs w:val="24"/>
        </w:rPr>
        <w:t xml:space="preserve"> are lower under hazard analysis, confirming the superiority of these models in reducing the potential economic impacts</w:t>
      </w:r>
      <w:r w:rsidR="003733BE">
        <w:rPr>
          <w:rFonts w:ascii="Times New Roman" w:hAnsi="Times New Roman" w:cs="Times New Roman"/>
          <w:sz w:val="24"/>
          <w:szCs w:val="24"/>
        </w:rPr>
        <w:t xml:space="preserve"> from erroneously classifying a firm that is about to be bankrupt as a healthy one and vice versa</w:t>
      </w:r>
      <w:r w:rsidR="008D47A3">
        <w:rPr>
          <w:rFonts w:ascii="Times New Roman" w:hAnsi="Times New Roman" w:cs="Times New Roman"/>
          <w:sz w:val="24"/>
          <w:szCs w:val="24"/>
        </w:rPr>
        <w:t xml:space="preserve">. </w:t>
      </w:r>
      <w:r w:rsidR="00F02D81">
        <w:rPr>
          <w:rFonts w:ascii="Times New Roman" w:hAnsi="Times New Roman" w:cs="Times New Roman"/>
          <w:sz w:val="24"/>
          <w:szCs w:val="24"/>
        </w:rPr>
        <w:t xml:space="preserve">Our findings on the effect of including governance factors in bankruptcy prediction models are largely in line with findings of several recent </w:t>
      </w:r>
      <w:r w:rsidR="002808FB">
        <w:rPr>
          <w:rFonts w:ascii="Times New Roman" w:hAnsi="Times New Roman" w:cs="Times New Roman"/>
          <w:sz w:val="24"/>
          <w:szCs w:val="24"/>
        </w:rPr>
        <w:t xml:space="preserve">empirical </w:t>
      </w:r>
      <w:r w:rsidR="00F02D81">
        <w:rPr>
          <w:rFonts w:ascii="Times New Roman" w:hAnsi="Times New Roman" w:cs="Times New Roman"/>
          <w:sz w:val="24"/>
          <w:szCs w:val="24"/>
        </w:rPr>
        <w:t>studies</w:t>
      </w:r>
      <w:r w:rsidR="007135A4">
        <w:rPr>
          <w:rFonts w:ascii="Times New Roman" w:hAnsi="Times New Roman" w:cs="Times New Roman"/>
          <w:sz w:val="24"/>
          <w:szCs w:val="24"/>
        </w:rPr>
        <w:t xml:space="preserve"> who covered a limited set of models</w:t>
      </w:r>
      <w:r w:rsidR="00EC06ED">
        <w:rPr>
          <w:rFonts w:ascii="Times New Roman" w:hAnsi="Times New Roman" w:cs="Times New Roman"/>
          <w:sz w:val="24"/>
          <w:szCs w:val="24"/>
        </w:rPr>
        <w:t xml:space="preserve"> and techniques</w:t>
      </w:r>
      <w:r w:rsidR="007135A4">
        <w:rPr>
          <w:rFonts w:ascii="Times New Roman" w:hAnsi="Times New Roman" w:cs="Times New Roman"/>
          <w:sz w:val="24"/>
          <w:szCs w:val="24"/>
        </w:rPr>
        <w:t xml:space="preserve"> </w:t>
      </w:r>
      <w:r w:rsidR="002808FB">
        <w:rPr>
          <w:rFonts w:ascii="Times New Roman" w:hAnsi="Times New Roman" w:cs="Times New Roman"/>
          <w:sz w:val="24"/>
          <w:szCs w:val="24"/>
        </w:rPr>
        <w:t>(</w:t>
      </w:r>
      <w:r w:rsidR="00F02D81" w:rsidRPr="005E1EEF">
        <w:rPr>
          <w:rFonts w:ascii="Times New Roman" w:hAnsi="Times New Roman" w:cs="Times New Roman"/>
          <w:sz w:val="24"/>
          <w:szCs w:val="24"/>
        </w:rPr>
        <w:t xml:space="preserve">Chan </w:t>
      </w:r>
      <w:r w:rsidR="00327178" w:rsidRPr="00327178">
        <w:rPr>
          <w:rFonts w:ascii="Times New Roman" w:hAnsi="Times New Roman" w:cs="Times New Roman"/>
          <w:i/>
          <w:iCs/>
          <w:sz w:val="24"/>
          <w:szCs w:val="24"/>
        </w:rPr>
        <w:t>et al.</w:t>
      </w:r>
      <w:r w:rsidR="00F02D81">
        <w:rPr>
          <w:rFonts w:ascii="Times New Roman" w:hAnsi="Times New Roman" w:cs="Times New Roman"/>
          <w:sz w:val="24"/>
          <w:szCs w:val="24"/>
        </w:rPr>
        <w:t xml:space="preserve"> </w:t>
      </w:r>
      <w:r w:rsidR="00F02D81" w:rsidRPr="005E1EEF">
        <w:rPr>
          <w:rFonts w:ascii="Times New Roman" w:hAnsi="Times New Roman" w:cs="Times New Roman"/>
          <w:sz w:val="24"/>
          <w:szCs w:val="24"/>
        </w:rPr>
        <w:t>2016</w:t>
      </w:r>
      <w:r w:rsidR="006D5DD3" w:rsidRPr="006D5DD3">
        <w:rPr>
          <w:rFonts w:ascii="Times New Roman" w:hAnsi="Times New Roman" w:cs="Times New Roman"/>
          <w:sz w:val="24"/>
          <w:szCs w:val="24"/>
        </w:rPr>
        <w:t>,</w:t>
      </w:r>
      <w:r w:rsidR="00F02D81">
        <w:rPr>
          <w:rFonts w:ascii="Times New Roman" w:hAnsi="Times New Roman" w:cs="Times New Roman"/>
          <w:sz w:val="24"/>
          <w:szCs w:val="24"/>
        </w:rPr>
        <w:t xml:space="preserve"> Darrat </w:t>
      </w:r>
      <w:r w:rsidR="00327178" w:rsidRPr="00327178">
        <w:rPr>
          <w:rFonts w:ascii="Times New Roman" w:hAnsi="Times New Roman" w:cs="Times New Roman"/>
          <w:i/>
          <w:iCs/>
          <w:sz w:val="24"/>
          <w:szCs w:val="24"/>
        </w:rPr>
        <w:t>et al.</w:t>
      </w:r>
      <w:r w:rsidR="00F02D81">
        <w:rPr>
          <w:rFonts w:ascii="Times New Roman" w:hAnsi="Times New Roman" w:cs="Times New Roman"/>
          <w:sz w:val="24"/>
          <w:szCs w:val="24"/>
        </w:rPr>
        <w:t xml:space="preserve"> 2016</w:t>
      </w:r>
      <w:r w:rsidR="006D5DD3" w:rsidRPr="006D5DD3">
        <w:rPr>
          <w:rFonts w:ascii="Times New Roman" w:hAnsi="Times New Roman" w:cs="Times New Roman"/>
          <w:sz w:val="24"/>
          <w:szCs w:val="24"/>
        </w:rPr>
        <w:t>,</w:t>
      </w:r>
      <w:r w:rsidR="00F02D81">
        <w:rPr>
          <w:rFonts w:ascii="Times New Roman" w:hAnsi="Times New Roman" w:cs="Times New Roman"/>
          <w:sz w:val="24"/>
          <w:szCs w:val="24"/>
        </w:rPr>
        <w:t xml:space="preserve"> Liang </w:t>
      </w:r>
      <w:r w:rsidR="00327178" w:rsidRPr="00327178">
        <w:rPr>
          <w:rFonts w:ascii="Times New Roman" w:hAnsi="Times New Roman" w:cs="Times New Roman"/>
          <w:i/>
          <w:iCs/>
          <w:sz w:val="24"/>
          <w:szCs w:val="24"/>
        </w:rPr>
        <w:t>et al.</w:t>
      </w:r>
      <w:r w:rsidR="00F02D81">
        <w:rPr>
          <w:rFonts w:ascii="Times New Roman" w:hAnsi="Times New Roman" w:cs="Times New Roman"/>
          <w:sz w:val="24"/>
          <w:szCs w:val="24"/>
        </w:rPr>
        <w:t xml:space="preserve"> 2016</w:t>
      </w:r>
      <w:r w:rsidR="006D5DD3" w:rsidRPr="006D5DD3">
        <w:rPr>
          <w:rFonts w:ascii="Times New Roman" w:hAnsi="Times New Roman" w:cs="Times New Roman"/>
          <w:sz w:val="24"/>
          <w:szCs w:val="24"/>
        </w:rPr>
        <w:t>,</w:t>
      </w:r>
      <w:r w:rsidR="00F02D81">
        <w:t xml:space="preserve"> </w:t>
      </w:r>
      <w:r w:rsidR="00F02D81">
        <w:rPr>
          <w:rFonts w:ascii="Times New Roman" w:hAnsi="Times New Roman" w:cs="Times New Roman"/>
          <w:sz w:val="24"/>
          <w:szCs w:val="24"/>
        </w:rPr>
        <w:t>Tsai 2013).</w:t>
      </w:r>
      <w:r w:rsidR="002808FB">
        <w:rPr>
          <w:rFonts w:ascii="Times New Roman" w:hAnsi="Times New Roman" w:cs="Times New Roman"/>
          <w:sz w:val="24"/>
          <w:szCs w:val="24"/>
        </w:rPr>
        <w:t xml:space="preserve"> </w:t>
      </w:r>
    </w:p>
    <w:p w14:paraId="13859E9B" w14:textId="77777777" w:rsidR="00E93057" w:rsidRDefault="00E93057" w:rsidP="00260D7D">
      <w:pPr>
        <w:tabs>
          <w:tab w:val="left" w:pos="567"/>
        </w:tabs>
        <w:spacing w:after="0" w:line="288" w:lineRule="auto"/>
        <w:jc w:val="both"/>
        <w:rPr>
          <w:rFonts w:ascii="Times New Roman" w:hAnsi="Times New Roman" w:cs="Times New Roman"/>
          <w:sz w:val="24"/>
          <w:szCs w:val="24"/>
        </w:rPr>
      </w:pPr>
    </w:p>
    <w:p w14:paraId="35F0773F" w14:textId="0C532D94" w:rsidR="007350B8" w:rsidRDefault="00BA12FA"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t>H</w:t>
      </w:r>
      <w:r w:rsidR="002808FB">
        <w:rPr>
          <w:rFonts w:ascii="Times New Roman" w:hAnsi="Times New Roman" w:cs="Times New Roman"/>
          <w:sz w:val="24"/>
          <w:szCs w:val="24"/>
        </w:rPr>
        <w:t xml:space="preserve">owever, </w:t>
      </w:r>
      <w:r w:rsidR="00C63E0C">
        <w:rPr>
          <w:rFonts w:ascii="Times New Roman" w:hAnsi="Times New Roman" w:cs="Times New Roman"/>
          <w:sz w:val="24"/>
          <w:szCs w:val="24"/>
        </w:rPr>
        <w:t xml:space="preserve">as highlighted in the discussion leading to our second research question, </w:t>
      </w:r>
      <w:r w:rsidR="007135A4">
        <w:rPr>
          <w:rFonts w:ascii="Times New Roman" w:hAnsi="Times New Roman" w:cs="Times New Roman"/>
          <w:sz w:val="24"/>
          <w:szCs w:val="24"/>
        </w:rPr>
        <w:t>previous findings in the literature also suggest that</w:t>
      </w:r>
      <w:r w:rsidR="00C63E0C">
        <w:rPr>
          <w:rFonts w:ascii="Times New Roman" w:hAnsi="Times New Roman" w:cs="Times New Roman"/>
          <w:sz w:val="24"/>
          <w:szCs w:val="24"/>
        </w:rPr>
        <w:t xml:space="preserve"> </w:t>
      </w:r>
      <w:r w:rsidR="00C63E0C" w:rsidRPr="007135A4">
        <w:rPr>
          <w:rFonts w:ascii="Times New Roman" w:hAnsi="Times New Roman" w:cs="Times New Roman"/>
          <w:sz w:val="24"/>
          <w:szCs w:val="24"/>
        </w:rPr>
        <w:t xml:space="preserve">the additional explanatory power provided by adding the governance measures </w:t>
      </w:r>
      <w:r w:rsidR="00C63E0C">
        <w:rPr>
          <w:rFonts w:ascii="Times New Roman" w:hAnsi="Times New Roman" w:cs="Times New Roman"/>
          <w:sz w:val="24"/>
          <w:szCs w:val="24"/>
        </w:rPr>
        <w:t>increases with the time to bankruptcy (</w:t>
      </w:r>
      <w:r w:rsidR="007135A4" w:rsidRPr="007135A4">
        <w:rPr>
          <w:rFonts w:ascii="Times New Roman" w:hAnsi="Times New Roman" w:cs="Times New Roman"/>
          <w:sz w:val="24"/>
          <w:szCs w:val="24"/>
        </w:rPr>
        <w:t>Daily and Dalton</w:t>
      </w:r>
      <w:r w:rsidR="00C63E0C">
        <w:rPr>
          <w:rFonts w:ascii="Times New Roman" w:hAnsi="Times New Roman" w:cs="Times New Roman"/>
          <w:sz w:val="24"/>
          <w:szCs w:val="24"/>
        </w:rPr>
        <w:t xml:space="preserve">, </w:t>
      </w:r>
      <w:r w:rsidR="007135A4" w:rsidRPr="007135A4">
        <w:rPr>
          <w:rFonts w:ascii="Times New Roman" w:hAnsi="Times New Roman" w:cs="Times New Roman"/>
          <w:sz w:val="24"/>
          <w:szCs w:val="24"/>
        </w:rPr>
        <w:t>1994</w:t>
      </w:r>
      <w:r w:rsidR="00C63E0C">
        <w:rPr>
          <w:rFonts w:ascii="Times New Roman" w:hAnsi="Times New Roman" w:cs="Times New Roman"/>
          <w:sz w:val="24"/>
          <w:szCs w:val="24"/>
        </w:rPr>
        <w:t xml:space="preserve">, </w:t>
      </w:r>
      <w:r w:rsidR="007135A4" w:rsidRPr="007135A4">
        <w:rPr>
          <w:rFonts w:ascii="Times New Roman" w:hAnsi="Times New Roman" w:cs="Times New Roman"/>
          <w:sz w:val="24"/>
          <w:szCs w:val="24"/>
        </w:rPr>
        <w:t xml:space="preserve">Darrat </w:t>
      </w:r>
      <w:r w:rsidR="00327178" w:rsidRPr="00327178">
        <w:rPr>
          <w:rFonts w:ascii="Times New Roman" w:hAnsi="Times New Roman" w:cs="Times New Roman"/>
          <w:i/>
          <w:iCs/>
          <w:sz w:val="24"/>
          <w:szCs w:val="24"/>
        </w:rPr>
        <w:t>et al.</w:t>
      </w:r>
      <w:r w:rsidR="007135A4" w:rsidRPr="007135A4">
        <w:rPr>
          <w:rFonts w:ascii="Times New Roman" w:hAnsi="Times New Roman" w:cs="Times New Roman"/>
          <w:sz w:val="24"/>
          <w:szCs w:val="24"/>
        </w:rPr>
        <w:t xml:space="preserve"> 2016).</w:t>
      </w:r>
      <w:r w:rsidR="00C63E0C">
        <w:rPr>
          <w:rFonts w:ascii="Times New Roman" w:hAnsi="Times New Roman" w:cs="Times New Roman"/>
          <w:sz w:val="24"/>
          <w:szCs w:val="24"/>
        </w:rPr>
        <w:t xml:space="preserve"> Therefore, we re-estimate the models including the governance variables with </w:t>
      </w:r>
      <w:r w:rsidR="009E1E70">
        <w:rPr>
          <w:rFonts w:ascii="Times New Roman" w:hAnsi="Times New Roman" w:cs="Times New Roman"/>
          <w:sz w:val="24"/>
          <w:szCs w:val="24"/>
        </w:rPr>
        <w:t>two and three years</w:t>
      </w:r>
      <w:r w:rsidR="00C63E0C">
        <w:rPr>
          <w:rFonts w:ascii="Times New Roman" w:hAnsi="Times New Roman" w:cs="Times New Roman"/>
          <w:sz w:val="24"/>
          <w:szCs w:val="24"/>
        </w:rPr>
        <w:t xml:space="preserve"> to bankruptcy. </w:t>
      </w:r>
      <w:r w:rsidR="00C63E0C" w:rsidRPr="00BA12FA">
        <w:rPr>
          <w:rFonts w:ascii="Times New Roman" w:hAnsi="Times New Roman" w:cs="Times New Roman"/>
          <w:sz w:val="24"/>
          <w:szCs w:val="24"/>
        </w:rPr>
        <w:t>Panels A and B in Table 5</w:t>
      </w:r>
      <w:r w:rsidR="009E1E70" w:rsidRPr="009E1E70">
        <w:rPr>
          <w:rFonts w:ascii="Times New Roman" w:hAnsi="Times New Roman" w:cs="Times New Roman"/>
          <w:sz w:val="24"/>
          <w:szCs w:val="24"/>
        </w:rPr>
        <w:t xml:space="preserve"> </w:t>
      </w:r>
      <w:r w:rsidR="00CA4F35">
        <w:rPr>
          <w:rFonts w:ascii="Times New Roman" w:hAnsi="Times New Roman" w:cs="Times New Roman"/>
          <w:sz w:val="24"/>
          <w:szCs w:val="24"/>
        </w:rPr>
        <w:t xml:space="preserve">present the </w:t>
      </w:r>
      <w:r w:rsidR="00CA4F35" w:rsidRPr="00CA4F35">
        <w:rPr>
          <w:rFonts w:ascii="Times New Roman" w:hAnsi="Times New Roman" w:cs="Times New Roman"/>
          <w:sz w:val="24"/>
          <w:szCs w:val="24"/>
        </w:rPr>
        <w:t>differences in the performance of the different prediction models before and after adding the governance variables (After minus Before), two- and three-years before bankruptcy, respectively</w:t>
      </w:r>
      <w:r w:rsidR="009E1E70">
        <w:rPr>
          <w:rFonts w:ascii="Times New Roman" w:hAnsi="Times New Roman" w:cs="Times New Roman"/>
          <w:sz w:val="24"/>
          <w:szCs w:val="24"/>
        </w:rPr>
        <w:t xml:space="preserve">. </w:t>
      </w:r>
      <w:r w:rsidR="004F2A14">
        <w:rPr>
          <w:rFonts w:ascii="Times New Roman" w:hAnsi="Times New Roman" w:cs="Times New Roman"/>
          <w:sz w:val="24"/>
          <w:szCs w:val="24"/>
        </w:rPr>
        <w:t xml:space="preserve">Compared to the results shown in </w:t>
      </w:r>
      <w:r w:rsidR="004F2A14" w:rsidRPr="00BA12FA">
        <w:rPr>
          <w:rFonts w:ascii="Times New Roman" w:hAnsi="Times New Roman" w:cs="Times New Roman"/>
          <w:sz w:val="24"/>
          <w:szCs w:val="24"/>
        </w:rPr>
        <w:t xml:space="preserve">Panel </w:t>
      </w:r>
      <w:r w:rsidR="001A2E0A" w:rsidRPr="00BA12FA">
        <w:rPr>
          <w:rFonts w:ascii="Times New Roman" w:hAnsi="Times New Roman" w:cs="Times New Roman"/>
          <w:sz w:val="24"/>
          <w:szCs w:val="24"/>
        </w:rPr>
        <w:t>C</w:t>
      </w:r>
      <w:r w:rsidR="004F2A14" w:rsidRPr="00BA12FA">
        <w:rPr>
          <w:rFonts w:ascii="Times New Roman" w:hAnsi="Times New Roman" w:cs="Times New Roman"/>
          <w:sz w:val="24"/>
          <w:szCs w:val="24"/>
        </w:rPr>
        <w:t xml:space="preserve"> in Table 4,</w:t>
      </w:r>
      <w:r w:rsidR="004F2A14">
        <w:rPr>
          <w:rFonts w:ascii="Times New Roman" w:hAnsi="Times New Roman" w:cs="Times New Roman"/>
          <w:sz w:val="24"/>
          <w:szCs w:val="24"/>
        </w:rPr>
        <w:t xml:space="preserve"> t</w:t>
      </w:r>
      <w:r w:rsidR="009E1E70">
        <w:rPr>
          <w:rFonts w:ascii="Times New Roman" w:hAnsi="Times New Roman" w:cs="Times New Roman"/>
          <w:sz w:val="24"/>
          <w:szCs w:val="24"/>
        </w:rPr>
        <w:t xml:space="preserve">he </w:t>
      </w:r>
      <w:r w:rsidR="004F2A14">
        <w:rPr>
          <w:rFonts w:ascii="Times New Roman" w:hAnsi="Times New Roman" w:cs="Times New Roman"/>
          <w:sz w:val="24"/>
          <w:szCs w:val="24"/>
        </w:rPr>
        <w:t xml:space="preserve">current </w:t>
      </w:r>
      <w:r w:rsidR="009E1E70">
        <w:rPr>
          <w:rFonts w:ascii="Times New Roman" w:hAnsi="Times New Roman" w:cs="Times New Roman"/>
          <w:sz w:val="24"/>
          <w:szCs w:val="24"/>
        </w:rPr>
        <w:t xml:space="preserve">results show </w:t>
      </w:r>
      <w:r w:rsidR="00033041">
        <w:rPr>
          <w:rFonts w:ascii="Times New Roman" w:hAnsi="Times New Roman" w:cs="Times New Roman"/>
          <w:sz w:val="24"/>
          <w:szCs w:val="24"/>
        </w:rPr>
        <w:t>improved</w:t>
      </w:r>
      <w:r w:rsidR="009E1E70">
        <w:rPr>
          <w:rFonts w:ascii="Times New Roman" w:hAnsi="Times New Roman" w:cs="Times New Roman"/>
          <w:sz w:val="24"/>
          <w:szCs w:val="24"/>
        </w:rPr>
        <w:t xml:space="preserve"> </w:t>
      </w:r>
      <w:r w:rsidR="00033041">
        <w:rPr>
          <w:rFonts w:ascii="Times New Roman" w:hAnsi="Times New Roman" w:cs="Times New Roman"/>
          <w:sz w:val="24"/>
          <w:szCs w:val="24"/>
        </w:rPr>
        <w:t xml:space="preserve">accuracy in the </w:t>
      </w:r>
      <w:r w:rsidR="009E1E70">
        <w:rPr>
          <w:rFonts w:ascii="Times New Roman" w:hAnsi="Times New Roman" w:cs="Times New Roman"/>
          <w:sz w:val="24"/>
          <w:szCs w:val="24"/>
        </w:rPr>
        <w:t xml:space="preserve">overall </w:t>
      </w:r>
      <w:r w:rsidR="00033041">
        <w:rPr>
          <w:rFonts w:ascii="Times New Roman" w:hAnsi="Times New Roman" w:cs="Times New Roman"/>
          <w:sz w:val="24"/>
          <w:szCs w:val="24"/>
        </w:rPr>
        <w:t xml:space="preserve">classification and </w:t>
      </w:r>
      <w:r w:rsidR="009E1E70">
        <w:rPr>
          <w:rFonts w:ascii="Times New Roman" w:hAnsi="Times New Roman" w:cs="Times New Roman"/>
          <w:sz w:val="24"/>
          <w:szCs w:val="24"/>
        </w:rPr>
        <w:t>out-of-sample</w:t>
      </w:r>
      <w:r w:rsidR="00033041">
        <w:rPr>
          <w:rFonts w:ascii="Times New Roman" w:hAnsi="Times New Roman" w:cs="Times New Roman"/>
          <w:sz w:val="24"/>
          <w:szCs w:val="24"/>
        </w:rPr>
        <w:t xml:space="preserve"> forecast as well as higher classification power as measured by the accuracy ratios and the AUC, respectively. Additionally, the different models are either able to provide the same level of classification accuracy or better when it comes to classifying bankrupt companies, with clear dominance for models utilizing DEA and hazard analysis. </w:t>
      </w:r>
      <w:r w:rsidR="00B4619B">
        <w:rPr>
          <w:rFonts w:ascii="Times New Roman" w:hAnsi="Times New Roman" w:cs="Times New Roman"/>
          <w:sz w:val="24"/>
          <w:szCs w:val="24"/>
        </w:rPr>
        <w:t>In</w:t>
      </w:r>
      <w:r w:rsidR="00E55338">
        <w:rPr>
          <w:rFonts w:ascii="Times New Roman" w:hAnsi="Times New Roman" w:cs="Times New Roman"/>
          <w:sz w:val="24"/>
          <w:szCs w:val="24"/>
        </w:rPr>
        <w:t xml:space="preserve"> a set of</w:t>
      </w:r>
      <w:r w:rsidR="00B4619B">
        <w:rPr>
          <w:rFonts w:ascii="Times New Roman" w:hAnsi="Times New Roman" w:cs="Times New Roman"/>
          <w:sz w:val="24"/>
          <w:szCs w:val="24"/>
        </w:rPr>
        <w:t xml:space="preserve"> unreported results, we </w:t>
      </w:r>
      <w:r w:rsidR="00CA4F35">
        <w:rPr>
          <w:rFonts w:ascii="Times New Roman" w:hAnsi="Times New Roman" w:cs="Times New Roman"/>
          <w:sz w:val="24"/>
          <w:szCs w:val="24"/>
        </w:rPr>
        <w:t>compare</w:t>
      </w:r>
      <w:r w:rsidR="00B4619B">
        <w:rPr>
          <w:rFonts w:ascii="Times New Roman" w:hAnsi="Times New Roman" w:cs="Times New Roman"/>
          <w:sz w:val="24"/>
          <w:szCs w:val="24"/>
        </w:rPr>
        <w:t xml:space="preserve"> the </w:t>
      </w:r>
      <w:r w:rsidR="00CA4F35">
        <w:rPr>
          <w:rFonts w:ascii="Times New Roman" w:hAnsi="Times New Roman" w:cs="Times New Roman"/>
          <w:sz w:val="24"/>
          <w:szCs w:val="24"/>
        </w:rPr>
        <w:t>performance of</w:t>
      </w:r>
      <w:r w:rsidR="00B4619B">
        <w:rPr>
          <w:rFonts w:ascii="Times New Roman" w:hAnsi="Times New Roman" w:cs="Times New Roman"/>
          <w:sz w:val="24"/>
          <w:szCs w:val="24"/>
        </w:rPr>
        <w:t xml:space="preserve"> </w:t>
      </w:r>
      <w:r w:rsidR="001A2E0A">
        <w:rPr>
          <w:rFonts w:ascii="Times New Roman" w:hAnsi="Times New Roman" w:cs="Times New Roman"/>
          <w:sz w:val="24"/>
          <w:szCs w:val="24"/>
        </w:rPr>
        <w:t xml:space="preserve">the </w:t>
      </w:r>
      <w:r w:rsidR="00B4619B">
        <w:rPr>
          <w:rFonts w:ascii="Times New Roman" w:hAnsi="Times New Roman" w:cs="Times New Roman"/>
          <w:sz w:val="24"/>
          <w:szCs w:val="24"/>
        </w:rPr>
        <w:t>original models without the governance variables and notice a</w:t>
      </w:r>
      <w:r w:rsidR="001A2E0A">
        <w:rPr>
          <w:rFonts w:ascii="Times New Roman" w:hAnsi="Times New Roman" w:cs="Times New Roman"/>
          <w:sz w:val="24"/>
          <w:szCs w:val="24"/>
        </w:rPr>
        <w:t xml:space="preserve"> general</w:t>
      </w:r>
      <w:r w:rsidR="00B4619B">
        <w:rPr>
          <w:rFonts w:ascii="Times New Roman" w:hAnsi="Times New Roman" w:cs="Times New Roman"/>
          <w:sz w:val="24"/>
          <w:szCs w:val="24"/>
        </w:rPr>
        <w:t xml:space="preserve"> deterioration in the forecasting and classification ability as we increase the time to bankruptcy. Overall, t</w:t>
      </w:r>
      <w:r w:rsidR="004F2A14">
        <w:rPr>
          <w:rFonts w:ascii="Times New Roman" w:hAnsi="Times New Roman" w:cs="Times New Roman"/>
          <w:sz w:val="24"/>
          <w:szCs w:val="24"/>
        </w:rPr>
        <w:t>h</w:t>
      </w:r>
      <w:r w:rsidR="00B4619B">
        <w:rPr>
          <w:rFonts w:ascii="Times New Roman" w:hAnsi="Times New Roman" w:cs="Times New Roman"/>
          <w:sz w:val="24"/>
          <w:szCs w:val="24"/>
        </w:rPr>
        <w:t>ese findings</w:t>
      </w:r>
      <w:r w:rsidR="004F2A14">
        <w:rPr>
          <w:rFonts w:ascii="Times New Roman" w:hAnsi="Times New Roman" w:cs="Times New Roman"/>
          <w:sz w:val="24"/>
          <w:szCs w:val="24"/>
        </w:rPr>
        <w:t xml:space="preserve"> </w:t>
      </w:r>
      <w:r w:rsidR="00B4619B">
        <w:rPr>
          <w:rFonts w:ascii="Times New Roman" w:hAnsi="Times New Roman" w:cs="Times New Roman"/>
          <w:sz w:val="24"/>
          <w:szCs w:val="24"/>
        </w:rPr>
        <w:t xml:space="preserve">suggest </w:t>
      </w:r>
      <w:r w:rsidR="004F2A14">
        <w:rPr>
          <w:rFonts w:ascii="Times New Roman" w:hAnsi="Times New Roman" w:cs="Times New Roman"/>
          <w:sz w:val="24"/>
          <w:szCs w:val="24"/>
        </w:rPr>
        <w:t xml:space="preserve">that </w:t>
      </w:r>
      <w:r w:rsidR="00B4619B">
        <w:rPr>
          <w:rFonts w:ascii="Times New Roman" w:hAnsi="Times New Roman" w:cs="Times New Roman"/>
          <w:sz w:val="24"/>
          <w:szCs w:val="24"/>
        </w:rPr>
        <w:t xml:space="preserve">while adding governance variables improves the performance of bankruptcy prediction models, the </w:t>
      </w:r>
      <w:r w:rsidR="00B4619B" w:rsidRPr="004F2A14">
        <w:rPr>
          <w:rFonts w:ascii="Times New Roman" w:hAnsi="Times New Roman" w:cs="Times New Roman"/>
          <w:sz w:val="24"/>
          <w:szCs w:val="24"/>
        </w:rPr>
        <w:t>additional explanatory power provided by adding the governance measures</w:t>
      </w:r>
      <w:r w:rsidR="00B4619B">
        <w:rPr>
          <w:rFonts w:ascii="Times New Roman" w:hAnsi="Times New Roman" w:cs="Times New Roman"/>
          <w:sz w:val="24"/>
          <w:szCs w:val="24"/>
        </w:rPr>
        <w:t xml:space="preserve"> </w:t>
      </w:r>
      <w:r w:rsidR="008636D7">
        <w:rPr>
          <w:rFonts w:ascii="Times New Roman" w:hAnsi="Times New Roman" w:cs="Times New Roman"/>
          <w:sz w:val="24"/>
          <w:szCs w:val="24"/>
        </w:rPr>
        <w:t>improves with time to bankruptcy. This effect is however not applicable to models without governance variables, which implies that governance variables tend to provide earlier and more accurate warnings of the firm’s bankruptcy potential.</w:t>
      </w:r>
    </w:p>
    <w:p w14:paraId="2BE32A6E" w14:textId="38AF8262" w:rsidR="00E93057" w:rsidRDefault="00E93057" w:rsidP="00260D7D">
      <w:pPr>
        <w:tabs>
          <w:tab w:val="left" w:pos="567"/>
        </w:tabs>
        <w:spacing w:after="0" w:line="288" w:lineRule="auto"/>
        <w:jc w:val="both"/>
        <w:rPr>
          <w:rFonts w:ascii="Times New Roman" w:hAnsi="Times New Roman" w:cs="Times New Roman"/>
          <w:sz w:val="24"/>
          <w:szCs w:val="24"/>
        </w:rPr>
      </w:pPr>
    </w:p>
    <w:p w14:paraId="4029CA69" w14:textId="1E46EBB3" w:rsidR="002057BC" w:rsidRDefault="002057BC" w:rsidP="00260D7D">
      <w:pPr>
        <w:tabs>
          <w:tab w:val="left" w:pos="567"/>
        </w:tabs>
        <w:spacing w:after="0" w:line="288" w:lineRule="auto"/>
        <w:jc w:val="both"/>
        <w:rPr>
          <w:rFonts w:ascii="Times New Roman" w:hAnsi="Times New Roman" w:cs="Times New Roman"/>
          <w:sz w:val="24"/>
          <w:szCs w:val="24"/>
        </w:rPr>
      </w:pPr>
    </w:p>
    <w:p w14:paraId="21CCE56E" w14:textId="77777777" w:rsidR="002057BC" w:rsidRDefault="002057BC" w:rsidP="00260D7D">
      <w:pPr>
        <w:tabs>
          <w:tab w:val="left" w:pos="567"/>
        </w:tabs>
        <w:spacing w:after="0" w:line="288" w:lineRule="auto"/>
        <w:jc w:val="both"/>
        <w:rPr>
          <w:rFonts w:ascii="Times New Roman" w:hAnsi="Times New Roman" w:cs="Times New Roman"/>
          <w:sz w:val="24"/>
          <w:szCs w:val="24"/>
        </w:rPr>
      </w:pPr>
    </w:p>
    <w:p w14:paraId="651B6B20" w14:textId="43A1A07E" w:rsidR="00241658" w:rsidRPr="006C1288" w:rsidRDefault="00D33AB1" w:rsidP="006C1288">
      <w:pPr>
        <w:spacing w:after="0" w:line="288"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4</w:t>
      </w:r>
      <w:r w:rsidR="006C1288">
        <w:rPr>
          <w:rFonts w:ascii="Times New Roman" w:hAnsi="Times New Roman" w:cs="Times New Roman"/>
          <w:b/>
          <w:bCs/>
          <w:sz w:val="24"/>
          <w:szCs w:val="24"/>
        </w:rPr>
        <w:t>.3</w:t>
      </w:r>
      <w:r>
        <w:rPr>
          <w:rFonts w:ascii="Times New Roman" w:hAnsi="Times New Roman" w:cs="Times New Roman"/>
          <w:b/>
          <w:bCs/>
          <w:sz w:val="24"/>
          <w:szCs w:val="24"/>
        </w:rPr>
        <w:t>.</w:t>
      </w:r>
      <w:r w:rsidR="006C1288">
        <w:rPr>
          <w:rFonts w:ascii="Times New Roman" w:hAnsi="Times New Roman" w:cs="Times New Roman"/>
          <w:b/>
          <w:bCs/>
          <w:sz w:val="24"/>
          <w:szCs w:val="24"/>
        </w:rPr>
        <w:t xml:space="preserve"> </w:t>
      </w:r>
      <w:r w:rsidR="006067A9" w:rsidRPr="006C1288">
        <w:rPr>
          <w:rFonts w:ascii="Times New Roman" w:hAnsi="Times New Roman" w:cs="Times New Roman"/>
          <w:b/>
          <w:bCs/>
          <w:sz w:val="24"/>
          <w:szCs w:val="24"/>
        </w:rPr>
        <w:t xml:space="preserve"> </w:t>
      </w:r>
      <w:r w:rsidR="00434272" w:rsidRPr="006C1288">
        <w:rPr>
          <w:rFonts w:ascii="Times New Roman" w:hAnsi="Times New Roman" w:cs="Times New Roman"/>
          <w:b/>
          <w:bCs/>
          <w:sz w:val="24"/>
          <w:szCs w:val="24"/>
        </w:rPr>
        <w:t xml:space="preserve">The </w:t>
      </w:r>
      <w:r w:rsidR="006067A9" w:rsidRPr="006C1288">
        <w:rPr>
          <w:rFonts w:ascii="Times New Roman" w:hAnsi="Times New Roman" w:cs="Times New Roman"/>
          <w:b/>
          <w:bCs/>
          <w:sz w:val="24"/>
          <w:szCs w:val="24"/>
        </w:rPr>
        <w:t>Role of the Different Estimation Techniques in Bankruptcy Prediction</w:t>
      </w:r>
    </w:p>
    <w:p w14:paraId="67E99027" w14:textId="18766D6B" w:rsidR="00241658" w:rsidRPr="006067A9" w:rsidRDefault="00241658" w:rsidP="00260D7D">
      <w:pPr>
        <w:tabs>
          <w:tab w:val="left" w:pos="567"/>
        </w:tabs>
        <w:spacing w:after="0" w:line="288" w:lineRule="auto"/>
        <w:jc w:val="both"/>
        <w:rPr>
          <w:rFonts w:ascii="Times New Roman" w:hAnsi="Times New Roman" w:cs="Times New Roman"/>
          <w:b/>
          <w:bCs/>
          <w:sz w:val="8"/>
          <w:szCs w:val="8"/>
        </w:rPr>
      </w:pPr>
    </w:p>
    <w:p w14:paraId="064C06BB" w14:textId="2F48C49C" w:rsidR="00605419" w:rsidRDefault="00241658" w:rsidP="006067A9">
      <w:pPr>
        <w:spacing w:after="0" w:line="288" w:lineRule="auto"/>
        <w:jc w:val="both"/>
        <w:rPr>
          <w:rFonts w:ascii="Times New Roman" w:hAnsi="Times New Roman" w:cs="Times New Roman"/>
          <w:sz w:val="24"/>
          <w:szCs w:val="24"/>
        </w:rPr>
      </w:pPr>
      <w:r w:rsidRPr="006067A9">
        <w:rPr>
          <w:rFonts w:ascii="Times New Roman" w:hAnsi="Times New Roman" w:cs="Times New Roman"/>
          <w:sz w:val="24"/>
          <w:szCs w:val="24"/>
        </w:rPr>
        <w:t>Table 6</w:t>
      </w:r>
      <w:r>
        <w:rPr>
          <w:rFonts w:ascii="Times New Roman" w:hAnsi="Times New Roman" w:cs="Times New Roman"/>
          <w:sz w:val="24"/>
          <w:szCs w:val="24"/>
        </w:rPr>
        <w:t xml:space="preserve"> shows the results of re-e</w:t>
      </w:r>
      <w:r w:rsidRPr="00CE5633">
        <w:rPr>
          <w:rFonts w:ascii="Times New Roman" w:hAnsi="Times New Roman" w:cs="Times New Roman"/>
          <w:sz w:val="24"/>
          <w:szCs w:val="24"/>
        </w:rPr>
        <w:t>stimat</w:t>
      </w:r>
      <w:r>
        <w:rPr>
          <w:rFonts w:ascii="Times New Roman" w:hAnsi="Times New Roman" w:cs="Times New Roman"/>
          <w:sz w:val="24"/>
          <w:szCs w:val="24"/>
        </w:rPr>
        <w:t>ing</w:t>
      </w:r>
      <w:r w:rsidRPr="00CE5633">
        <w:rPr>
          <w:rFonts w:ascii="Times New Roman" w:hAnsi="Times New Roman" w:cs="Times New Roman"/>
          <w:sz w:val="24"/>
          <w:szCs w:val="24"/>
        </w:rPr>
        <w:t xml:space="preserve"> </w:t>
      </w:r>
      <w:r>
        <w:rPr>
          <w:rFonts w:ascii="Times New Roman" w:hAnsi="Times New Roman" w:cs="Times New Roman"/>
          <w:sz w:val="24"/>
          <w:szCs w:val="24"/>
        </w:rPr>
        <w:t>the bankruptcy models including the governance variables using different estimation techniques.</w:t>
      </w:r>
      <w:r w:rsidR="009477C9">
        <w:rPr>
          <w:rFonts w:ascii="Times New Roman" w:hAnsi="Times New Roman" w:cs="Times New Roman"/>
          <w:sz w:val="24"/>
          <w:szCs w:val="24"/>
        </w:rPr>
        <w:t xml:space="preserve"> </w:t>
      </w:r>
      <w:r w:rsidR="00AB3E0D">
        <w:rPr>
          <w:rFonts w:ascii="Times New Roman" w:hAnsi="Times New Roman" w:cs="Times New Roman"/>
          <w:sz w:val="24"/>
          <w:szCs w:val="24"/>
        </w:rPr>
        <w:t>Due to limitations with regards to computing power as well as potential sample bias</w:t>
      </w:r>
      <w:r w:rsidR="00BD6977">
        <w:rPr>
          <w:rFonts w:ascii="Times New Roman" w:hAnsi="Times New Roman" w:cs="Times New Roman"/>
          <w:sz w:val="24"/>
          <w:szCs w:val="24"/>
        </w:rPr>
        <w:t xml:space="preserve"> from over representing bankrupt firms</w:t>
      </w:r>
      <w:r w:rsidR="00AB3E0D">
        <w:rPr>
          <w:rFonts w:ascii="Times New Roman" w:hAnsi="Times New Roman" w:cs="Times New Roman"/>
          <w:sz w:val="24"/>
          <w:szCs w:val="24"/>
        </w:rPr>
        <w:t xml:space="preserve">, we use our full bankrupt sample and match each bankrupt firm with 10 non-bankrupt firms based on market value (+/- 20%) and </w:t>
      </w:r>
      <w:r w:rsidR="00AB3E0D" w:rsidRPr="00AB3E0D">
        <w:rPr>
          <w:rFonts w:ascii="Times New Roman" w:hAnsi="Times New Roman" w:cs="Times New Roman"/>
          <w:sz w:val="24"/>
          <w:szCs w:val="24"/>
        </w:rPr>
        <w:t>the 3-digit Standard Industrial Classification (SIC)</w:t>
      </w:r>
      <w:r w:rsidR="00BD6977">
        <w:rPr>
          <w:rFonts w:ascii="Times New Roman" w:hAnsi="Times New Roman" w:cs="Times New Roman"/>
          <w:sz w:val="24"/>
          <w:szCs w:val="24"/>
        </w:rPr>
        <w:t xml:space="preserve"> code</w:t>
      </w:r>
      <w:r w:rsidR="00B815F1">
        <w:rPr>
          <w:rStyle w:val="FootnoteReference"/>
          <w:rFonts w:ascii="Times New Roman" w:hAnsi="Times New Roman" w:cs="Times New Roman"/>
          <w:sz w:val="24"/>
          <w:szCs w:val="24"/>
        </w:rPr>
        <w:footnoteReference w:id="13"/>
      </w:r>
      <w:r w:rsidR="00B815F1" w:rsidRPr="00B815F1">
        <w:rPr>
          <w:rFonts w:ascii="Times New Roman" w:hAnsi="Times New Roman" w:cs="Times New Roman"/>
          <w:sz w:val="24"/>
          <w:szCs w:val="24"/>
          <w:vertAlign w:val="superscript"/>
        </w:rPr>
        <w:t>,</w:t>
      </w:r>
      <w:r w:rsidR="00BD6977">
        <w:rPr>
          <w:rStyle w:val="FootnoteReference"/>
          <w:rFonts w:ascii="Times New Roman" w:hAnsi="Times New Roman" w:cs="Times New Roman"/>
          <w:sz w:val="24"/>
          <w:szCs w:val="24"/>
        </w:rPr>
        <w:footnoteReference w:id="14"/>
      </w:r>
      <w:r w:rsidR="00BD6977" w:rsidRPr="00BD6977">
        <w:rPr>
          <w:rFonts w:ascii="Times New Roman" w:hAnsi="Times New Roman" w:cs="Times New Roman"/>
          <w:sz w:val="24"/>
          <w:szCs w:val="24"/>
          <w:vertAlign w:val="superscript"/>
        </w:rPr>
        <w:t>,</w:t>
      </w:r>
      <w:r w:rsidR="00AB3E0D">
        <w:rPr>
          <w:rStyle w:val="FootnoteReference"/>
          <w:rFonts w:ascii="Times New Roman" w:hAnsi="Times New Roman" w:cs="Times New Roman"/>
          <w:sz w:val="24"/>
          <w:szCs w:val="24"/>
        </w:rPr>
        <w:footnoteReference w:id="15"/>
      </w:r>
      <w:r w:rsidR="00AB3E0D">
        <w:rPr>
          <w:rFonts w:ascii="Times New Roman" w:hAnsi="Times New Roman" w:cs="Times New Roman"/>
          <w:sz w:val="24"/>
          <w:szCs w:val="24"/>
        </w:rPr>
        <w:t xml:space="preserve">. </w:t>
      </w:r>
      <w:r w:rsidR="009477C9">
        <w:rPr>
          <w:rFonts w:ascii="Times New Roman" w:hAnsi="Times New Roman" w:cs="Times New Roman"/>
          <w:sz w:val="24"/>
          <w:szCs w:val="24"/>
        </w:rPr>
        <w:t xml:space="preserve">With regards to the parametric models: </w:t>
      </w:r>
      <w:r w:rsidR="009477C9" w:rsidRPr="009477C9">
        <w:rPr>
          <w:rFonts w:ascii="Times New Roman" w:hAnsi="Times New Roman" w:cs="Times New Roman"/>
          <w:sz w:val="24"/>
          <w:szCs w:val="24"/>
        </w:rPr>
        <w:t xml:space="preserve">Discriminant Analysis (DA), Logistic Regression (LR), </w:t>
      </w:r>
      <w:r w:rsidR="009477C9">
        <w:rPr>
          <w:rFonts w:ascii="Times New Roman" w:hAnsi="Times New Roman" w:cs="Times New Roman"/>
          <w:sz w:val="24"/>
          <w:szCs w:val="24"/>
        </w:rPr>
        <w:t xml:space="preserve">and </w:t>
      </w:r>
      <w:r w:rsidR="009477C9" w:rsidRPr="009477C9">
        <w:rPr>
          <w:rFonts w:ascii="Times New Roman" w:hAnsi="Times New Roman" w:cs="Times New Roman"/>
          <w:sz w:val="24"/>
          <w:szCs w:val="24"/>
        </w:rPr>
        <w:t>Hazard Analysis (HA</w:t>
      </w:r>
      <w:r w:rsidR="009477C9">
        <w:rPr>
          <w:rFonts w:ascii="Times New Roman" w:hAnsi="Times New Roman" w:cs="Times New Roman"/>
          <w:sz w:val="24"/>
          <w:szCs w:val="24"/>
        </w:rPr>
        <w:t>), the results suggest that regardless of the bankruptcy model selected, HA provides the best classification performance as well as the highest average of out-of-sample forecast accuracy</w:t>
      </w:r>
      <w:r w:rsidR="00605419">
        <w:rPr>
          <w:rFonts w:ascii="Times New Roman" w:hAnsi="Times New Roman" w:cs="Times New Roman"/>
          <w:sz w:val="24"/>
          <w:szCs w:val="24"/>
        </w:rPr>
        <w:t>, which confirms prior findings in the literature (</w:t>
      </w:r>
      <w:r w:rsidR="00605419" w:rsidRPr="00E6227E">
        <w:rPr>
          <w:rFonts w:ascii="Times New Roman" w:hAnsi="Times New Roman" w:cs="Times New Roman"/>
          <w:sz w:val="24"/>
          <w:szCs w:val="24"/>
        </w:rPr>
        <w:t>Shumway</w:t>
      </w:r>
      <w:r w:rsidR="00605419">
        <w:rPr>
          <w:rFonts w:ascii="Times New Roman" w:hAnsi="Times New Roman" w:cs="Times New Roman"/>
          <w:sz w:val="24"/>
          <w:szCs w:val="24"/>
        </w:rPr>
        <w:t xml:space="preserve">, </w:t>
      </w:r>
      <w:r w:rsidR="00605419" w:rsidRPr="00E6227E">
        <w:rPr>
          <w:rFonts w:ascii="Times New Roman" w:hAnsi="Times New Roman" w:cs="Times New Roman"/>
          <w:sz w:val="24"/>
          <w:szCs w:val="24"/>
        </w:rPr>
        <w:t>2001</w:t>
      </w:r>
      <w:r w:rsidR="00605419">
        <w:rPr>
          <w:rFonts w:ascii="Times New Roman" w:hAnsi="Times New Roman" w:cs="Times New Roman"/>
          <w:sz w:val="24"/>
          <w:szCs w:val="24"/>
        </w:rPr>
        <w:t>).</w:t>
      </w:r>
      <w:r w:rsidR="009477C9">
        <w:rPr>
          <w:rFonts w:ascii="Times New Roman" w:hAnsi="Times New Roman" w:cs="Times New Roman"/>
          <w:sz w:val="24"/>
          <w:szCs w:val="24"/>
        </w:rPr>
        <w:t xml:space="preserve"> Models estimated using HA are also able to more accurately identify bankrupt firms as </w:t>
      </w:r>
      <w:r w:rsidR="001C04F1">
        <w:rPr>
          <w:rFonts w:ascii="Times New Roman" w:hAnsi="Times New Roman" w:cs="Times New Roman"/>
          <w:sz w:val="24"/>
          <w:szCs w:val="24"/>
        </w:rPr>
        <w:t>shown by the lower Type I error (the proportion of bankrupt firms classified as non-bankrupt). The higher AUC values for HA estimates also indicate higher classification powers compared to DA or LR estimates</w:t>
      </w:r>
      <w:r w:rsidR="0014681E">
        <w:rPr>
          <w:rFonts w:ascii="Times New Roman" w:hAnsi="Times New Roman" w:cs="Times New Roman"/>
          <w:sz w:val="24"/>
          <w:szCs w:val="24"/>
        </w:rPr>
        <w:t xml:space="preserve">. This is further confirmed by the results of the </w:t>
      </w:r>
      <w:r w:rsidR="0014681E" w:rsidRPr="0014681E">
        <w:rPr>
          <w:rFonts w:ascii="Times New Roman" w:hAnsi="Times New Roman" w:cs="Times New Roman"/>
          <w:sz w:val="24"/>
          <w:szCs w:val="24"/>
        </w:rPr>
        <w:t xml:space="preserve">Hanley and McNeil (1983) </w:t>
      </w:r>
      <w:r w:rsidR="0014681E">
        <w:rPr>
          <w:rFonts w:ascii="Times New Roman" w:hAnsi="Times New Roman" w:cs="Times New Roman"/>
          <w:sz w:val="24"/>
          <w:szCs w:val="24"/>
        </w:rPr>
        <w:t>difference t</w:t>
      </w:r>
      <w:r w:rsidR="0014681E" w:rsidRPr="0014681E">
        <w:rPr>
          <w:rFonts w:ascii="Times New Roman" w:hAnsi="Times New Roman" w:cs="Times New Roman"/>
          <w:sz w:val="24"/>
          <w:szCs w:val="24"/>
        </w:rPr>
        <w:t>es</w:t>
      </w:r>
      <w:r w:rsidR="0014681E">
        <w:rPr>
          <w:rFonts w:ascii="Times New Roman" w:hAnsi="Times New Roman" w:cs="Times New Roman"/>
          <w:sz w:val="24"/>
          <w:szCs w:val="24"/>
        </w:rPr>
        <w:t>t (unreported).</w:t>
      </w:r>
    </w:p>
    <w:p w14:paraId="4D4E8D7E" w14:textId="77777777" w:rsidR="00E93057" w:rsidRDefault="00E93057" w:rsidP="00260D7D">
      <w:pPr>
        <w:tabs>
          <w:tab w:val="left" w:pos="567"/>
        </w:tabs>
        <w:spacing w:after="0" w:line="288" w:lineRule="auto"/>
        <w:jc w:val="both"/>
        <w:rPr>
          <w:rFonts w:ascii="Times New Roman" w:hAnsi="Times New Roman" w:cs="Times New Roman"/>
          <w:sz w:val="24"/>
          <w:szCs w:val="24"/>
        </w:rPr>
      </w:pPr>
    </w:p>
    <w:p w14:paraId="2AB23985" w14:textId="77777777" w:rsidR="00576122" w:rsidRDefault="006067A9" w:rsidP="00260D7D">
      <w:pPr>
        <w:tabs>
          <w:tab w:val="left" w:pos="567"/>
        </w:tabs>
        <w:spacing w:after="0" w:line="288" w:lineRule="auto"/>
        <w:jc w:val="both"/>
        <w:rPr>
          <w:rFonts w:asciiTheme="majorBidi" w:hAnsiTheme="majorBidi" w:cstheme="majorBidi"/>
          <w:color w:val="000000"/>
          <w:sz w:val="24"/>
          <w:szCs w:val="24"/>
        </w:rPr>
      </w:pPr>
      <w:r>
        <w:rPr>
          <w:rFonts w:ascii="Times New Roman" w:hAnsi="Times New Roman" w:cs="Times New Roman"/>
          <w:sz w:val="24"/>
          <w:szCs w:val="24"/>
        </w:rPr>
        <w:tab/>
      </w:r>
      <w:r w:rsidR="00800D02">
        <w:rPr>
          <w:rFonts w:ascii="Times New Roman" w:hAnsi="Times New Roman" w:cs="Times New Roman"/>
          <w:sz w:val="24"/>
          <w:szCs w:val="24"/>
        </w:rPr>
        <w:t>However, t</w:t>
      </w:r>
      <w:r w:rsidR="00D027C8">
        <w:rPr>
          <w:rFonts w:ascii="Times New Roman" w:hAnsi="Times New Roman" w:cs="Times New Roman"/>
          <w:sz w:val="24"/>
          <w:szCs w:val="24"/>
        </w:rPr>
        <w:t>he</w:t>
      </w:r>
      <w:r w:rsidR="00800D02">
        <w:rPr>
          <w:rFonts w:ascii="Times New Roman" w:hAnsi="Times New Roman" w:cs="Times New Roman"/>
          <w:sz w:val="24"/>
          <w:szCs w:val="24"/>
        </w:rPr>
        <w:t xml:space="preserve"> superior</w:t>
      </w:r>
      <w:r w:rsidR="00D027C8">
        <w:rPr>
          <w:rFonts w:ascii="Times New Roman" w:hAnsi="Times New Roman" w:cs="Times New Roman"/>
          <w:sz w:val="24"/>
          <w:szCs w:val="24"/>
        </w:rPr>
        <w:t xml:space="preserve"> results from the non-parametric methods</w:t>
      </w:r>
      <w:r w:rsidR="00800D02">
        <w:rPr>
          <w:rFonts w:ascii="Times New Roman" w:hAnsi="Times New Roman" w:cs="Times New Roman"/>
          <w:sz w:val="24"/>
          <w:szCs w:val="24"/>
        </w:rPr>
        <w:t xml:space="preserve">: </w:t>
      </w:r>
      <w:r w:rsidR="00800D02" w:rsidRPr="009058BC">
        <w:rPr>
          <w:rFonts w:asciiTheme="majorBidi" w:hAnsiTheme="majorBidi" w:cstheme="majorBidi"/>
          <w:color w:val="000000"/>
          <w:sz w:val="24"/>
          <w:szCs w:val="24"/>
        </w:rPr>
        <w:t>Data Envelopment Analysis (DE)-additive model and Neural Networks-Backpropagation Network (NN)</w:t>
      </w:r>
      <w:r w:rsidR="00800D02">
        <w:rPr>
          <w:rFonts w:asciiTheme="majorBidi" w:hAnsiTheme="majorBidi" w:cstheme="majorBidi"/>
          <w:color w:val="000000"/>
          <w:sz w:val="24"/>
          <w:szCs w:val="24"/>
        </w:rPr>
        <w:t>, suggest that such methods tend to provide more accurate classification</w:t>
      </w:r>
      <w:r w:rsidR="007A57CF">
        <w:rPr>
          <w:rFonts w:asciiTheme="majorBidi" w:hAnsiTheme="majorBidi" w:cstheme="majorBidi"/>
          <w:color w:val="000000"/>
          <w:sz w:val="24"/>
          <w:szCs w:val="24"/>
        </w:rPr>
        <w:t>s both overall and for bankrupt firms irrespective of the bankruptcy prediction model used.</w:t>
      </w:r>
      <w:r w:rsidR="004F015B">
        <w:rPr>
          <w:rFonts w:asciiTheme="majorBidi" w:hAnsiTheme="majorBidi" w:cstheme="majorBidi"/>
          <w:color w:val="000000"/>
          <w:sz w:val="24"/>
          <w:szCs w:val="24"/>
        </w:rPr>
        <w:t xml:space="preserve"> </w:t>
      </w:r>
      <w:r w:rsidR="004F015B">
        <w:rPr>
          <w:rFonts w:ascii="Times New Roman" w:hAnsi="Times New Roman" w:cs="Times New Roman"/>
          <w:sz w:val="24"/>
          <w:szCs w:val="24"/>
        </w:rPr>
        <w:t xml:space="preserve">The unreported results of the </w:t>
      </w:r>
      <w:r w:rsidR="004F015B" w:rsidRPr="0014681E">
        <w:rPr>
          <w:rFonts w:ascii="Times New Roman" w:hAnsi="Times New Roman" w:cs="Times New Roman"/>
          <w:sz w:val="24"/>
          <w:szCs w:val="24"/>
        </w:rPr>
        <w:t>Hanley and McNeil (1983)</w:t>
      </w:r>
      <w:r w:rsidR="004F015B">
        <w:rPr>
          <w:rFonts w:ascii="Times New Roman" w:hAnsi="Times New Roman" w:cs="Times New Roman"/>
          <w:sz w:val="24"/>
          <w:szCs w:val="24"/>
        </w:rPr>
        <w:t xml:space="preserve"> t</w:t>
      </w:r>
      <w:r w:rsidR="004F015B" w:rsidRPr="0014681E">
        <w:rPr>
          <w:rFonts w:ascii="Times New Roman" w:hAnsi="Times New Roman" w:cs="Times New Roman"/>
          <w:sz w:val="24"/>
          <w:szCs w:val="24"/>
        </w:rPr>
        <w:t>es</w:t>
      </w:r>
      <w:r w:rsidR="004F015B">
        <w:rPr>
          <w:rFonts w:ascii="Times New Roman" w:hAnsi="Times New Roman" w:cs="Times New Roman"/>
          <w:sz w:val="24"/>
          <w:szCs w:val="24"/>
        </w:rPr>
        <w:t>t confirm that DE and NN estimations provide significantly higher AUC results.</w:t>
      </w:r>
      <w:r w:rsidR="007A57CF">
        <w:rPr>
          <w:rFonts w:asciiTheme="majorBidi" w:hAnsiTheme="majorBidi" w:cstheme="majorBidi"/>
          <w:color w:val="000000"/>
          <w:sz w:val="24"/>
          <w:szCs w:val="24"/>
        </w:rPr>
        <w:t xml:space="preserve"> This is in line with prior findings in the literature which claim superiority of </w:t>
      </w:r>
      <w:r w:rsidR="007A57CF" w:rsidRPr="009058BC">
        <w:rPr>
          <w:rFonts w:asciiTheme="majorBidi" w:hAnsiTheme="majorBidi" w:cstheme="majorBidi"/>
          <w:color w:val="000000"/>
          <w:sz w:val="24"/>
          <w:szCs w:val="24"/>
        </w:rPr>
        <w:t>Neural Networks</w:t>
      </w:r>
      <w:r w:rsidR="007A57CF">
        <w:rPr>
          <w:rFonts w:asciiTheme="majorBidi" w:hAnsiTheme="majorBidi" w:cstheme="majorBidi"/>
          <w:color w:val="000000"/>
          <w:sz w:val="24"/>
          <w:szCs w:val="24"/>
        </w:rPr>
        <w:t xml:space="preserve"> </w:t>
      </w:r>
      <w:r w:rsidR="007A57CF" w:rsidRPr="007A57CF">
        <w:rPr>
          <w:rFonts w:asciiTheme="majorBidi" w:hAnsiTheme="majorBidi" w:cstheme="majorBidi"/>
          <w:color w:val="000000"/>
          <w:sz w:val="24"/>
          <w:szCs w:val="24"/>
        </w:rPr>
        <w:t xml:space="preserve">(Desai </w:t>
      </w:r>
      <w:r w:rsidR="00327178" w:rsidRPr="00327178">
        <w:rPr>
          <w:rFonts w:asciiTheme="majorBidi" w:hAnsiTheme="majorBidi" w:cstheme="majorBidi"/>
          <w:i/>
          <w:iCs/>
          <w:color w:val="000000"/>
          <w:sz w:val="24"/>
          <w:szCs w:val="24"/>
        </w:rPr>
        <w:t>et al.</w:t>
      </w:r>
      <w:r w:rsidR="007A57CF" w:rsidRPr="007A57CF">
        <w:rPr>
          <w:rFonts w:asciiTheme="majorBidi" w:hAnsiTheme="majorBidi" w:cstheme="majorBidi"/>
          <w:color w:val="000000"/>
          <w:sz w:val="24"/>
          <w:szCs w:val="24"/>
        </w:rPr>
        <w:t xml:space="preserve"> 1996</w:t>
      </w:r>
      <w:r w:rsidR="006D5DD3" w:rsidRPr="006D5DD3">
        <w:rPr>
          <w:rFonts w:asciiTheme="majorBidi" w:hAnsiTheme="majorBidi" w:cstheme="majorBidi"/>
          <w:color w:val="000000"/>
          <w:sz w:val="24"/>
          <w:szCs w:val="24"/>
        </w:rPr>
        <w:t>,</w:t>
      </w:r>
      <w:r w:rsidR="007A57CF" w:rsidRPr="007A57CF">
        <w:rPr>
          <w:rFonts w:asciiTheme="majorBidi" w:hAnsiTheme="majorBidi" w:cstheme="majorBidi"/>
          <w:color w:val="000000"/>
          <w:sz w:val="24"/>
          <w:szCs w:val="24"/>
        </w:rPr>
        <w:t xml:space="preserve"> Malhotra and Malhotra 2003</w:t>
      </w:r>
      <w:r w:rsidR="006D5DD3" w:rsidRPr="006D5DD3">
        <w:rPr>
          <w:rFonts w:asciiTheme="majorBidi" w:hAnsiTheme="majorBidi" w:cstheme="majorBidi"/>
          <w:color w:val="000000"/>
          <w:sz w:val="24"/>
          <w:szCs w:val="24"/>
        </w:rPr>
        <w:t>,</w:t>
      </w:r>
      <w:r w:rsidR="007A57CF" w:rsidRPr="007A57CF">
        <w:rPr>
          <w:rFonts w:asciiTheme="majorBidi" w:hAnsiTheme="majorBidi" w:cstheme="majorBidi"/>
          <w:color w:val="000000"/>
          <w:sz w:val="24"/>
          <w:szCs w:val="24"/>
        </w:rPr>
        <w:t xml:space="preserve"> Wilson and Sharda 1994</w:t>
      </w:r>
      <w:r w:rsidR="006D5DD3" w:rsidRPr="006D5DD3">
        <w:rPr>
          <w:rFonts w:asciiTheme="majorBidi" w:hAnsiTheme="majorBidi" w:cstheme="majorBidi"/>
          <w:color w:val="000000"/>
          <w:sz w:val="24"/>
          <w:szCs w:val="24"/>
        </w:rPr>
        <w:t>,</w:t>
      </w:r>
      <w:r w:rsidR="007A57CF" w:rsidRPr="007A57CF">
        <w:rPr>
          <w:rFonts w:asciiTheme="majorBidi" w:hAnsiTheme="majorBidi" w:cstheme="majorBidi"/>
          <w:color w:val="000000"/>
          <w:sz w:val="24"/>
          <w:szCs w:val="24"/>
        </w:rPr>
        <w:t xml:space="preserve"> Zhang </w:t>
      </w:r>
      <w:r w:rsidR="00327178" w:rsidRPr="00327178">
        <w:rPr>
          <w:rFonts w:asciiTheme="majorBidi" w:hAnsiTheme="majorBidi" w:cstheme="majorBidi"/>
          <w:i/>
          <w:iCs/>
          <w:color w:val="000000"/>
          <w:sz w:val="24"/>
          <w:szCs w:val="24"/>
        </w:rPr>
        <w:t>et al.</w:t>
      </w:r>
      <w:r w:rsidR="007A57CF" w:rsidRPr="007A57CF">
        <w:rPr>
          <w:rFonts w:asciiTheme="majorBidi" w:hAnsiTheme="majorBidi" w:cstheme="majorBidi"/>
          <w:color w:val="000000"/>
          <w:sz w:val="24"/>
          <w:szCs w:val="24"/>
        </w:rPr>
        <w:t xml:space="preserve"> 1999)</w:t>
      </w:r>
      <w:r w:rsidR="007A57CF">
        <w:rPr>
          <w:rFonts w:asciiTheme="majorBidi" w:hAnsiTheme="majorBidi" w:cstheme="majorBidi"/>
          <w:color w:val="000000"/>
          <w:sz w:val="24"/>
          <w:szCs w:val="24"/>
        </w:rPr>
        <w:t xml:space="preserve"> and Data Envelopment Analysis (</w:t>
      </w:r>
      <w:r w:rsidR="007A57CF" w:rsidRPr="007A57CF">
        <w:rPr>
          <w:rFonts w:asciiTheme="majorBidi" w:hAnsiTheme="majorBidi" w:cstheme="majorBidi"/>
          <w:color w:val="000000"/>
          <w:sz w:val="24"/>
          <w:szCs w:val="24"/>
        </w:rPr>
        <w:t xml:space="preserve">Cielen </w:t>
      </w:r>
      <w:r w:rsidR="00327178" w:rsidRPr="00327178">
        <w:rPr>
          <w:rFonts w:asciiTheme="majorBidi" w:hAnsiTheme="majorBidi" w:cstheme="majorBidi"/>
          <w:i/>
          <w:iCs/>
          <w:color w:val="000000"/>
          <w:sz w:val="24"/>
          <w:szCs w:val="24"/>
        </w:rPr>
        <w:t>et al.</w:t>
      </w:r>
      <w:r w:rsidR="007A57CF" w:rsidRPr="007A57CF">
        <w:rPr>
          <w:rFonts w:asciiTheme="majorBidi" w:hAnsiTheme="majorBidi" w:cstheme="majorBidi"/>
          <w:color w:val="000000"/>
          <w:sz w:val="24"/>
          <w:szCs w:val="24"/>
        </w:rPr>
        <w:t xml:space="preserve"> 2004</w:t>
      </w:r>
      <w:r w:rsidR="006D5DD3" w:rsidRPr="006D5DD3">
        <w:rPr>
          <w:rFonts w:asciiTheme="majorBidi" w:hAnsiTheme="majorBidi" w:cstheme="majorBidi"/>
          <w:color w:val="000000"/>
          <w:sz w:val="24"/>
          <w:szCs w:val="24"/>
        </w:rPr>
        <w:t>,</w:t>
      </w:r>
      <w:r w:rsidR="007A57CF">
        <w:rPr>
          <w:rFonts w:asciiTheme="majorBidi" w:hAnsiTheme="majorBidi" w:cstheme="majorBidi"/>
          <w:color w:val="000000"/>
          <w:sz w:val="24"/>
          <w:szCs w:val="24"/>
        </w:rPr>
        <w:t xml:space="preserve"> </w:t>
      </w:r>
      <w:r w:rsidR="007A57CF" w:rsidRPr="007A57CF">
        <w:rPr>
          <w:rFonts w:asciiTheme="majorBidi" w:hAnsiTheme="majorBidi" w:cstheme="majorBidi"/>
          <w:color w:val="000000"/>
          <w:sz w:val="24"/>
          <w:szCs w:val="24"/>
        </w:rPr>
        <w:t xml:space="preserve">Premachandra </w:t>
      </w:r>
      <w:r w:rsidR="00327178" w:rsidRPr="00327178">
        <w:rPr>
          <w:rFonts w:asciiTheme="majorBidi" w:hAnsiTheme="majorBidi" w:cstheme="majorBidi"/>
          <w:i/>
          <w:iCs/>
          <w:color w:val="000000"/>
          <w:sz w:val="24"/>
          <w:szCs w:val="24"/>
        </w:rPr>
        <w:t>et al.</w:t>
      </w:r>
      <w:r w:rsidR="007A57CF">
        <w:rPr>
          <w:rFonts w:asciiTheme="majorBidi" w:hAnsiTheme="majorBidi" w:cstheme="majorBidi"/>
          <w:color w:val="000000"/>
          <w:sz w:val="24"/>
          <w:szCs w:val="24"/>
        </w:rPr>
        <w:t xml:space="preserve"> </w:t>
      </w:r>
      <w:r w:rsidR="007A57CF" w:rsidRPr="007A57CF">
        <w:rPr>
          <w:rFonts w:asciiTheme="majorBidi" w:hAnsiTheme="majorBidi" w:cstheme="majorBidi"/>
          <w:color w:val="000000"/>
          <w:sz w:val="24"/>
          <w:szCs w:val="24"/>
        </w:rPr>
        <w:t>2009</w:t>
      </w:r>
      <w:r w:rsidR="007A57CF">
        <w:rPr>
          <w:rFonts w:asciiTheme="majorBidi" w:hAnsiTheme="majorBidi" w:cstheme="majorBidi"/>
          <w:color w:val="000000"/>
          <w:sz w:val="24"/>
          <w:szCs w:val="24"/>
        </w:rPr>
        <w:t>)</w:t>
      </w:r>
      <w:r w:rsidR="0081300E">
        <w:rPr>
          <w:rFonts w:asciiTheme="majorBidi" w:hAnsiTheme="majorBidi" w:cstheme="majorBidi"/>
          <w:color w:val="000000"/>
          <w:sz w:val="24"/>
          <w:szCs w:val="24"/>
        </w:rPr>
        <w:t xml:space="preserve"> over the standard methods</w:t>
      </w:r>
      <w:r w:rsidR="007A57CF">
        <w:rPr>
          <w:rFonts w:asciiTheme="majorBidi" w:hAnsiTheme="majorBidi" w:cstheme="majorBidi"/>
          <w:color w:val="000000"/>
          <w:sz w:val="24"/>
          <w:szCs w:val="24"/>
        </w:rPr>
        <w:t xml:space="preserve"> in classifying </w:t>
      </w:r>
      <w:r w:rsidR="0081300E">
        <w:rPr>
          <w:rFonts w:asciiTheme="majorBidi" w:hAnsiTheme="majorBidi" w:cstheme="majorBidi"/>
          <w:color w:val="000000"/>
          <w:sz w:val="24"/>
          <w:szCs w:val="24"/>
        </w:rPr>
        <w:t xml:space="preserve">different </w:t>
      </w:r>
      <w:r w:rsidR="007A57CF">
        <w:rPr>
          <w:rFonts w:asciiTheme="majorBidi" w:hAnsiTheme="majorBidi" w:cstheme="majorBidi"/>
          <w:color w:val="000000"/>
          <w:sz w:val="24"/>
          <w:szCs w:val="24"/>
        </w:rPr>
        <w:t xml:space="preserve">cases </w:t>
      </w:r>
      <w:r w:rsidR="0081300E">
        <w:rPr>
          <w:rFonts w:asciiTheme="majorBidi" w:hAnsiTheme="majorBidi" w:cstheme="majorBidi"/>
          <w:color w:val="000000"/>
          <w:sz w:val="24"/>
          <w:szCs w:val="24"/>
        </w:rPr>
        <w:t xml:space="preserve">and </w:t>
      </w:r>
      <w:r w:rsidR="0081300E" w:rsidRPr="0081300E">
        <w:rPr>
          <w:rFonts w:asciiTheme="majorBidi" w:hAnsiTheme="majorBidi" w:cstheme="majorBidi"/>
          <w:color w:val="000000"/>
          <w:sz w:val="24"/>
          <w:szCs w:val="24"/>
        </w:rPr>
        <w:t>identify</w:t>
      </w:r>
      <w:r w:rsidR="0081300E">
        <w:rPr>
          <w:rFonts w:asciiTheme="majorBidi" w:hAnsiTheme="majorBidi" w:cstheme="majorBidi"/>
          <w:color w:val="000000"/>
          <w:sz w:val="24"/>
          <w:szCs w:val="24"/>
        </w:rPr>
        <w:t>ing</w:t>
      </w:r>
      <w:r w:rsidR="0081300E" w:rsidRPr="0081300E">
        <w:rPr>
          <w:rFonts w:asciiTheme="majorBidi" w:hAnsiTheme="majorBidi" w:cstheme="majorBidi"/>
          <w:color w:val="000000"/>
          <w:sz w:val="24"/>
          <w:szCs w:val="24"/>
        </w:rPr>
        <w:t xml:space="preserve"> patterns in data</w:t>
      </w:r>
      <w:r w:rsidR="007A57CF">
        <w:rPr>
          <w:rFonts w:ascii="Times New Roman" w:hAnsi="Times New Roman" w:cs="Times New Roman"/>
          <w:sz w:val="24"/>
          <w:szCs w:val="24"/>
        </w:rPr>
        <w:t xml:space="preserve">. </w:t>
      </w:r>
      <w:r w:rsidR="00605419">
        <w:rPr>
          <w:rFonts w:ascii="Times New Roman" w:hAnsi="Times New Roman" w:cs="Times New Roman"/>
          <w:sz w:val="24"/>
          <w:szCs w:val="24"/>
        </w:rPr>
        <w:t>Though</w:t>
      </w:r>
      <w:r w:rsidR="0081300E">
        <w:rPr>
          <w:rFonts w:ascii="Times New Roman" w:hAnsi="Times New Roman" w:cs="Times New Roman"/>
          <w:sz w:val="24"/>
          <w:szCs w:val="24"/>
        </w:rPr>
        <w:t xml:space="preserve"> the computing power and resources needed to estimate bankruptcy prediction models using</w:t>
      </w:r>
      <w:r w:rsidR="0081300E" w:rsidRPr="0081300E">
        <w:rPr>
          <w:rFonts w:asciiTheme="majorBidi" w:hAnsiTheme="majorBidi" w:cstheme="majorBidi"/>
          <w:color w:val="000000"/>
          <w:sz w:val="24"/>
          <w:szCs w:val="24"/>
        </w:rPr>
        <w:t xml:space="preserve"> </w:t>
      </w:r>
      <w:r w:rsidR="0081300E" w:rsidRPr="009058BC">
        <w:rPr>
          <w:rFonts w:asciiTheme="majorBidi" w:hAnsiTheme="majorBidi" w:cstheme="majorBidi"/>
          <w:color w:val="000000"/>
          <w:sz w:val="24"/>
          <w:szCs w:val="24"/>
        </w:rPr>
        <w:t>Neural Networks</w:t>
      </w:r>
      <w:r w:rsidR="0081300E">
        <w:rPr>
          <w:rFonts w:asciiTheme="majorBidi" w:hAnsiTheme="majorBidi" w:cstheme="majorBidi"/>
          <w:color w:val="000000"/>
          <w:sz w:val="24"/>
          <w:szCs w:val="24"/>
        </w:rPr>
        <w:t xml:space="preserve"> or Data Envelopment Analysis restrict the wider application of such methods in the field, this is in addition to the challenges faced with </w:t>
      </w:r>
      <w:r w:rsidR="0081300E" w:rsidRPr="0081300E">
        <w:rPr>
          <w:rFonts w:asciiTheme="majorBidi" w:hAnsiTheme="majorBidi" w:cstheme="majorBidi"/>
          <w:color w:val="000000"/>
          <w:sz w:val="24"/>
          <w:szCs w:val="24"/>
        </w:rPr>
        <w:t xml:space="preserve">the selection of the different parameters involved in the estimation process </w:t>
      </w:r>
      <w:r w:rsidR="0081300E">
        <w:rPr>
          <w:rFonts w:asciiTheme="majorBidi" w:hAnsiTheme="majorBidi" w:cstheme="majorBidi"/>
          <w:color w:val="000000"/>
          <w:sz w:val="24"/>
          <w:szCs w:val="24"/>
        </w:rPr>
        <w:t>(</w:t>
      </w:r>
      <w:r w:rsidR="0081300E" w:rsidRPr="007A57CF">
        <w:rPr>
          <w:rFonts w:asciiTheme="majorBidi" w:hAnsiTheme="majorBidi" w:cstheme="majorBidi"/>
          <w:color w:val="000000"/>
          <w:sz w:val="24"/>
          <w:szCs w:val="24"/>
        </w:rPr>
        <w:t>Kumar and Ravi</w:t>
      </w:r>
      <w:r w:rsidR="0081300E">
        <w:rPr>
          <w:rFonts w:asciiTheme="majorBidi" w:hAnsiTheme="majorBidi" w:cstheme="majorBidi"/>
          <w:color w:val="000000"/>
          <w:sz w:val="24"/>
          <w:szCs w:val="24"/>
        </w:rPr>
        <w:t xml:space="preserve"> </w:t>
      </w:r>
      <w:r w:rsidR="0081300E" w:rsidRPr="007A57CF">
        <w:rPr>
          <w:rFonts w:asciiTheme="majorBidi" w:hAnsiTheme="majorBidi" w:cstheme="majorBidi"/>
          <w:color w:val="000000"/>
          <w:sz w:val="24"/>
          <w:szCs w:val="24"/>
        </w:rPr>
        <w:t>2007</w:t>
      </w:r>
      <w:r w:rsidR="006D5DD3" w:rsidRPr="006D5DD3">
        <w:rPr>
          <w:rFonts w:asciiTheme="majorBidi" w:hAnsiTheme="majorBidi" w:cstheme="majorBidi"/>
          <w:color w:val="000000"/>
          <w:sz w:val="24"/>
          <w:szCs w:val="24"/>
        </w:rPr>
        <w:t>,</w:t>
      </w:r>
      <w:r w:rsidR="0081300E">
        <w:rPr>
          <w:rFonts w:asciiTheme="majorBidi" w:hAnsiTheme="majorBidi" w:cstheme="majorBidi"/>
          <w:color w:val="000000"/>
          <w:sz w:val="24"/>
          <w:szCs w:val="24"/>
        </w:rPr>
        <w:t xml:space="preserve"> </w:t>
      </w:r>
      <w:r w:rsidR="0081300E" w:rsidRPr="007A57CF">
        <w:rPr>
          <w:rFonts w:asciiTheme="majorBidi" w:hAnsiTheme="majorBidi" w:cstheme="majorBidi"/>
          <w:color w:val="000000"/>
          <w:sz w:val="24"/>
          <w:szCs w:val="24"/>
        </w:rPr>
        <w:t xml:space="preserve">Premachandra </w:t>
      </w:r>
      <w:r w:rsidR="00327178" w:rsidRPr="00327178">
        <w:rPr>
          <w:rFonts w:asciiTheme="majorBidi" w:hAnsiTheme="majorBidi" w:cstheme="majorBidi"/>
          <w:i/>
          <w:iCs/>
          <w:color w:val="000000"/>
          <w:sz w:val="24"/>
          <w:szCs w:val="24"/>
        </w:rPr>
        <w:t>et al.</w:t>
      </w:r>
      <w:r w:rsidR="0081300E">
        <w:rPr>
          <w:rFonts w:asciiTheme="majorBidi" w:hAnsiTheme="majorBidi" w:cstheme="majorBidi"/>
          <w:color w:val="000000"/>
          <w:sz w:val="24"/>
          <w:szCs w:val="24"/>
        </w:rPr>
        <w:t xml:space="preserve"> </w:t>
      </w:r>
      <w:r w:rsidR="0081300E" w:rsidRPr="007A57CF">
        <w:rPr>
          <w:rFonts w:asciiTheme="majorBidi" w:hAnsiTheme="majorBidi" w:cstheme="majorBidi"/>
          <w:color w:val="000000"/>
          <w:sz w:val="24"/>
          <w:szCs w:val="24"/>
        </w:rPr>
        <w:t>2009)</w:t>
      </w:r>
      <w:r w:rsidR="0081300E" w:rsidRPr="0081300E">
        <w:rPr>
          <w:rFonts w:asciiTheme="majorBidi" w:hAnsiTheme="majorBidi" w:cstheme="majorBidi"/>
          <w:color w:val="000000"/>
          <w:sz w:val="24"/>
          <w:szCs w:val="24"/>
        </w:rPr>
        <w:t>.</w:t>
      </w:r>
      <w:r w:rsidR="00605419">
        <w:rPr>
          <w:rFonts w:asciiTheme="majorBidi" w:hAnsiTheme="majorBidi" w:cstheme="majorBidi"/>
          <w:color w:val="000000"/>
          <w:sz w:val="24"/>
          <w:szCs w:val="24"/>
        </w:rPr>
        <w:t xml:space="preserve"> </w:t>
      </w:r>
    </w:p>
    <w:p w14:paraId="717BFE0F" w14:textId="77777777" w:rsidR="00576122" w:rsidRDefault="00576122" w:rsidP="00260D7D">
      <w:pPr>
        <w:tabs>
          <w:tab w:val="left" w:pos="567"/>
        </w:tabs>
        <w:spacing w:after="0" w:line="288" w:lineRule="auto"/>
        <w:jc w:val="both"/>
        <w:rPr>
          <w:rFonts w:asciiTheme="majorBidi" w:hAnsiTheme="majorBidi" w:cstheme="majorBidi"/>
          <w:color w:val="000000"/>
          <w:sz w:val="24"/>
          <w:szCs w:val="24"/>
        </w:rPr>
      </w:pPr>
    </w:p>
    <w:p w14:paraId="2DAAF041" w14:textId="3CCE7671" w:rsidR="007A57CF" w:rsidRDefault="00576122" w:rsidP="00260D7D">
      <w:pPr>
        <w:tabs>
          <w:tab w:val="left" w:pos="567"/>
        </w:tabs>
        <w:spacing w:after="0" w:line="288"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r w:rsidR="00605419">
        <w:rPr>
          <w:rFonts w:asciiTheme="majorBidi" w:hAnsiTheme="majorBidi" w:cstheme="majorBidi"/>
          <w:color w:val="000000"/>
          <w:sz w:val="24"/>
          <w:szCs w:val="24"/>
        </w:rPr>
        <w:t xml:space="preserve">Overall, hazard analysis provides the best classification and out-of-sample forecast accuracy among the most widely used parametric methods in bankruptcy prediction. </w:t>
      </w:r>
      <w:r w:rsidR="00605419">
        <w:rPr>
          <w:rFonts w:asciiTheme="majorBidi" w:hAnsiTheme="majorBidi" w:cstheme="majorBidi"/>
          <w:color w:val="000000"/>
          <w:sz w:val="24"/>
          <w:szCs w:val="24"/>
        </w:rPr>
        <w:lastRenderedPageBreak/>
        <w:t xml:space="preserve">Nevertheless, non-parametric methods such as </w:t>
      </w:r>
      <w:r w:rsidR="00605419" w:rsidRPr="009058BC">
        <w:rPr>
          <w:rFonts w:asciiTheme="majorBidi" w:hAnsiTheme="majorBidi" w:cstheme="majorBidi"/>
          <w:color w:val="000000"/>
          <w:sz w:val="24"/>
          <w:szCs w:val="24"/>
        </w:rPr>
        <w:t>Neural Networks</w:t>
      </w:r>
      <w:r w:rsidR="00605419">
        <w:rPr>
          <w:rFonts w:asciiTheme="majorBidi" w:hAnsiTheme="majorBidi" w:cstheme="majorBidi"/>
          <w:color w:val="000000"/>
          <w:sz w:val="24"/>
          <w:szCs w:val="24"/>
        </w:rPr>
        <w:t xml:space="preserve"> or Data Envelopment Analysis appear to provide better classification accuracy regardless of the model selected.</w:t>
      </w:r>
      <w:r w:rsidR="008D47A3" w:rsidRPr="008D47A3">
        <w:t xml:space="preserve"> </w:t>
      </w:r>
      <w:r w:rsidR="008D47A3">
        <w:rPr>
          <w:rFonts w:asciiTheme="majorBidi" w:hAnsiTheme="majorBidi" w:cstheme="majorBidi"/>
          <w:color w:val="000000"/>
          <w:sz w:val="24"/>
          <w:szCs w:val="24"/>
        </w:rPr>
        <w:t>They also have lower</w:t>
      </w:r>
      <w:r w:rsidR="008D47A3" w:rsidRPr="008D47A3">
        <w:rPr>
          <w:rFonts w:asciiTheme="majorBidi" w:hAnsiTheme="majorBidi" w:cstheme="majorBidi"/>
          <w:color w:val="000000"/>
          <w:sz w:val="24"/>
          <w:szCs w:val="24"/>
        </w:rPr>
        <w:t xml:space="preserve"> </w:t>
      </w:r>
      <w:r w:rsidR="00E55338">
        <w:rPr>
          <w:rFonts w:asciiTheme="majorBidi" w:hAnsiTheme="majorBidi" w:cstheme="majorBidi"/>
          <w:color w:val="000000"/>
          <w:sz w:val="24"/>
          <w:szCs w:val="24"/>
        </w:rPr>
        <w:t>E</w:t>
      </w:r>
      <w:r w:rsidR="008D47A3" w:rsidRPr="008D47A3">
        <w:rPr>
          <w:rFonts w:asciiTheme="majorBidi" w:hAnsiTheme="majorBidi" w:cstheme="majorBidi"/>
          <w:color w:val="000000"/>
          <w:sz w:val="24"/>
          <w:szCs w:val="24"/>
        </w:rPr>
        <w:t>rror I</w:t>
      </w:r>
      <w:r w:rsidR="00E55338">
        <w:rPr>
          <w:rFonts w:asciiTheme="majorBidi" w:hAnsiTheme="majorBidi" w:cstheme="majorBidi"/>
          <w:color w:val="000000"/>
          <w:sz w:val="24"/>
          <w:szCs w:val="24"/>
        </w:rPr>
        <w:t xml:space="preserve"> rates</w:t>
      </w:r>
      <w:r w:rsidR="008D47A3" w:rsidRPr="008D47A3">
        <w:rPr>
          <w:rFonts w:asciiTheme="majorBidi" w:hAnsiTheme="majorBidi" w:cstheme="majorBidi"/>
          <w:color w:val="000000"/>
          <w:sz w:val="24"/>
          <w:szCs w:val="24"/>
        </w:rPr>
        <w:t xml:space="preserve"> (classifying a bad case as good)</w:t>
      </w:r>
      <w:r w:rsidR="00E55338">
        <w:rPr>
          <w:rFonts w:asciiTheme="majorBidi" w:hAnsiTheme="majorBidi" w:cstheme="majorBidi"/>
          <w:color w:val="000000"/>
          <w:sz w:val="24"/>
          <w:szCs w:val="24"/>
        </w:rPr>
        <w:t>,</w:t>
      </w:r>
      <w:r w:rsidR="008D47A3">
        <w:rPr>
          <w:rFonts w:asciiTheme="majorBidi" w:hAnsiTheme="majorBidi" w:cstheme="majorBidi"/>
          <w:color w:val="000000"/>
          <w:sz w:val="24"/>
          <w:szCs w:val="24"/>
        </w:rPr>
        <w:t xml:space="preserve"> which suggests that these estimation methods are better at</w:t>
      </w:r>
      <w:r w:rsidR="008D47A3" w:rsidRPr="008D47A3">
        <w:rPr>
          <w:rFonts w:asciiTheme="majorBidi" w:hAnsiTheme="majorBidi" w:cstheme="majorBidi"/>
          <w:color w:val="000000"/>
          <w:sz w:val="24"/>
          <w:szCs w:val="24"/>
        </w:rPr>
        <w:t xml:space="preserve"> reducing the potential economic impacts of bankruptcy.</w:t>
      </w:r>
    </w:p>
    <w:p w14:paraId="3F9DC6F1" w14:textId="77777777" w:rsidR="00E93057" w:rsidRPr="00956BED" w:rsidRDefault="00E93057" w:rsidP="00260D7D">
      <w:pPr>
        <w:tabs>
          <w:tab w:val="left" w:pos="567"/>
        </w:tabs>
        <w:spacing w:after="0" w:line="288" w:lineRule="auto"/>
        <w:jc w:val="both"/>
        <w:rPr>
          <w:rFonts w:ascii="Times New Roman" w:hAnsi="Times New Roman" w:cs="Times New Roman"/>
          <w:sz w:val="24"/>
          <w:szCs w:val="24"/>
        </w:rPr>
      </w:pPr>
    </w:p>
    <w:p w14:paraId="11CFA98F" w14:textId="2A96D89E" w:rsidR="00241658" w:rsidRPr="006C1288" w:rsidRDefault="00D33AB1" w:rsidP="006C1288">
      <w:pPr>
        <w:keepNext/>
        <w:tabs>
          <w:tab w:val="left" w:pos="426"/>
        </w:tabs>
        <w:spacing w:after="0" w:line="288"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6C1288">
        <w:rPr>
          <w:rFonts w:ascii="Times New Roman" w:hAnsi="Times New Roman" w:cs="Times New Roman"/>
          <w:b/>
          <w:bCs/>
          <w:sz w:val="24"/>
          <w:szCs w:val="24"/>
        </w:rPr>
        <w:t>.4</w:t>
      </w:r>
      <w:r>
        <w:rPr>
          <w:rFonts w:ascii="Times New Roman" w:hAnsi="Times New Roman" w:cs="Times New Roman"/>
          <w:b/>
          <w:bCs/>
          <w:sz w:val="24"/>
          <w:szCs w:val="24"/>
        </w:rPr>
        <w:t>.</w:t>
      </w:r>
      <w:r w:rsidR="006C1288">
        <w:rPr>
          <w:rFonts w:ascii="Times New Roman" w:hAnsi="Times New Roman" w:cs="Times New Roman"/>
          <w:b/>
          <w:bCs/>
          <w:sz w:val="24"/>
          <w:szCs w:val="24"/>
        </w:rPr>
        <w:t xml:space="preserve"> </w:t>
      </w:r>
      <w:r w:rsidR="00434272" w:rsidRPr="006C1288">
        <w:rPr>
          <w:rFonts w:ascii="Times New Roman" w:hAnsi="Times New Roman" w:cs="Times New Roman"/>
          <w:b/>
          <w:bCs/>
          <w:sz w:val="24"/>
          <w:szCs w:val="24"/>
        </w:rPr>
        <w:t xml:space="preserve">Corporate </w:t>
      </w:r>
      <w:r w:rsidR="006067A9" w:rsidRPr="006C1288">
        <w:rPr>
          <w:rFonts w:ascii="Times New Roman" w:hAnsi="Times New Roman" w:cs="Times New Roman"/>
          <w:b/>
          <w:bCs/>
          <w:sz w:val="24"/>
          <w:szCs w:val="24"/>
        </w:rPr>
        <w:t>Governance, Bankruptcy and Endogeneity Concerns</w:t>
      </w:r>
    </w:p>
    <w:p w14:paraId="23D4B897" w14:textId="77777777" w:rsidR="006067A9" w:rsidRPr="006067A9" w:rsidRDefault="006067A9" w:rsidP="00260D7D">
      <w:pPr>
        <w:keepNext/>
        <w:tabs>
          <w:tab w:val="left" w:pos="567"/>
        </w:tabs>
        <w:spacing w:after="0" w:line="288" w:lineRule="auto"/>
        <w:jc w:val="both"/>
        <w:rPr>
          <w:rFonts w:ascii="Times New Roman" w:hAnsi="Times New Roman" w:cs="Times New Roman"/>
          <w:sz w:val="6"/>
          <w:szCs w:val="6"/>
        </w:rPr>
      </w:pPr>
    </w:p>
    <w:p w14:paraId="29B25101" w14:textId="77777777" w:rsidR="00956BED" w:rsidRDefault="00662071" w:rsidP="00260D7D">
      <w:pPr>
        <w:keepNext/>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While the findings of some studies suggest that the relationship between corporate governance and the probability of default disappears after accounting for endogeneity (e.g.  </w:t>
      </w:r>
      <w:r w:rsidRPr="00A972A6">
        <w:rPr>
          <w:rFonts w:ascii="Times New Roman" w:hAnsi="Times New Roman" w:cs="Times New Roman"/>
          <w:sz w:val="24"/>
          <w:szCs w:val="24"/>
        </w:rPr>
        <w:t xml:space="preserve">Schultz </w:t>
      </w:r>
      <w:r w:rsidR="00327178" w:rsidRPr="00327178">
        <w:rPr>
          <w:rFonts w:ascii="Times New Roman" w:hAnsi="Times New Roman" w:cs="Times New Roman"/>
          <w:i/>
          <w:iCs/>
          <w:sz w:val="24"/>
          <w:szCs w:val="24"/>
        </w:rPr>
        <w:t>et al.</w:t>
      </w:r>
      <w:r>
        <w:rPr>
          <w:rFonts w:ascii="Times New Roman" w:hAnsi="Times New Roman" w:cs="Times New Roman"/>
          <w:sz w:val="24"/>
          <w:szCs w:val="24"/>
        </w:rPr>
        <w:t xml:space="preserve"> 2017), others have documented the persistence of such relationships after addressing the endogeneity concerns (</w:t>
      </w:r>
      <w:r w:rsidR="006067A9">
        <w:rPr>
          <w:rFonts w:ascii="Times New Roman" w:hAnsi="Times New Roman" w:cs="Times New Roman"/>
          <w:sz w:val="24"/>
          <w:szCs w:val="24"/>
        </w:rPr>
        <w:t xml:space="preserve">for example, </w:t>
      </w:r>
      <w:r>
        <w:rPr>
          <w:rFonts w:ascii="Times New Roman" w:hAnsi="Times New Roman" w:cs="Times New Roman"/>
          <w:sz w:val="24"/>
          <w:szCs w:val="24"/>
        </w:rPr>
        <w:t xml:space="preserve">Darrat </w:t>
      </w:r>
      <w:r w:rsidR="00327178" w:rsidRPr="00327178">
        <w:rPr>
          <w:rFonts w:ascii="Times New Roman" w:hAnsi="Times New Roman" w:cs="Times New Roman"/>
          <w:i/>
          <w:iCs/>
          <w:sz w:val="24"/>
          <w:szCs w:val="24"/>
        </w:rPr>
        <w:t>et al.</w:t>
      </w:r>
      <w:r>
        <w:rPr>
          <w:rFonts w:ascii="Times New Roman" w:hAnsi="Times New Roman" w:cs="Times New Roman"/>
          <w:sz w:val="24"/>
          <w:szCs w:val="24"/>
        </w:rPr>
        <w:t xml:space="preserve"> 2016). </w:t>
      </w:r>
      <w:r w:rsidR="006067A9">
        <w:rPr>
          <w:rFonts w:ascii="Times New Roman" w:hAnsi="Times New Roman" w:cs="Times New Roman"/>
          <w:sz w:val="24"/>
          <w:szCs w:val="24"/>
        </w:rPr>
        <w:t xml:space="preserve"> </w:t>
      </w:r>
      <w:r w:rsidRPr="00A972A6">
        <w:rPr>
          <w:rFonts w:ascii="Times New Roman" w:hAnsi="Times New Roman" w:cs="Times New Roman"/>
          <w:sz w:val="24"/>
          <w:szCs w:val="24"/>
        </w:rPr>
        <w:t>Following</w:t>
      </w:r>
      <w:r>
        <w:rPr>
          <w:rFonts w:ascii="Times New Roman" w:hAnsi="Times New Roman" w:cs="Times New Roman"/>
          <w:sz w:val="24"/>
          <w:szCs w:val="24"/>
        </w:rPr>
        <w:t xml:space="preserve"> Wintoki </w:t>
      </w:r>
      <w:r w:rsidR="00327178" w:rsidRPr="00327178">
        <w:rPr>
          <w:rFonts w:ascii="Times New Roman" w:hAnsi="Times New Roman" w:cs="Times New Roman"/>
          <w:i/>
          <w:iCs/>
          <w:sz w:val="24"/>
          <w:szCs w:val="24"/>
        </w:rPr>
        <w:t>et al.</w:t>
      </w:r>
      <w:r>
        <w:rPr>
          <w:rFonts w:ascii="Times New Roman" w:hAnsi="Times New Roman" w:cs="Times New Roman"/>
          <w:sz w:val="24"/>
          <w:szCs w:val="24"/>
        </w:rPr>
        <w:t xml:space="preserve"> (</w:t>
      </w:r>
      <w:r w:rsidRPr="0015537A">
        <w:rPr>
          <w:rFonts w:ascii="Times New Roman" w:hAnsi="Times New Roman" w:cs="Times New Roman"/>
          <w:sz w:val="24"/>
          <w:szCs w:val="24"/>
        </w:rPr>
        <w:t>2012</w:t>
      </w:r>
      <w:r>
        <w:rPr>
          <w:rFonts w:ascii="Times New Roman" w:hAnsi="Times New Roman" w:cs="Times New Roman"/>
          <w:sz w:val="24"/>
          <w:szCs w:val="24"/>
        </w:rPr>
        <w:t>)</w:t>
      </w:r>
      <w:r w:rsidRPr="00A972A6">
        <w:rPr>
          <w:rFonts w:ascii="Times New Roman" w:hAnsi="Times New Roman" w:cs="Times New Roman"/>
          <w:sz w:val="24"/>
          <w:szCs w:val="24"/>
        </w:rPr>
        <w:t xml:space="preserve"> and others, </w:t>
      </w:r>
      <w:r>
        <w:rPr>
          <w:rFonts w:ascii="Times New Roman" w:hAnsi="Times New Roman" w:cs="Times New Roman"/>
          <w:sz w:val="24"/>
          <w:szCs w:val="24"/>
        </w:rPr>
        <w:t xml:space="preserve">we </w:t>
      </w:r>
      <w:r w:rsidRPr="00A972A6">
        <w:rPr>
          <w:rFonts w:ascii="Times New Roman" w:hAnsi="Times New Roman" w:cs="Times New Roman"/>
          <w:sz w:val="24"/>
          <w:szCs w:val="24"/>
        </w:rPr>
        <w:t xml:space="preserve">use the dynamic-panel GMM </w:t>
      </w:r>
      <w:r>
        <w:rPr>
          <w:rFonts w:ascii="Times New Roman" w:hAnsi="Times New Roman" w:cs="Times New Roman"/>
          <w:sz w:val="24"/>
          <w:szCs w:val="24"/>
        </w:rPr>
        <w:t xml:space="preserve">(generalized methods of moments) </w:t>
      </w:r>
      <w:r w:rsidRPr="00A972A6">
        <w:rPr>
          <w:rFonts w:ascii="Times New Roman" w:hAnsi="Times New Roman" w:cs="Times New Roman"/>
          <w:sz w:val="24"/>
          <w:szCs w:val="24"/>
        </w:rPr>
        <w:t>estimator</w:t>
      </w:r>
      <w:r>
        <w:rPr>
          <w:rFonts w:ascii="Times New Roman" w:hAnsi="Times New Roman" w:cs="Times New Roman"/>
          <w:sz w:val="24"/>
          <w:szCs w:val="24"/>
        </w:rPr>
        <w:t xml:space="preserve"> </w:t>
      </w:r>
      <w:r w:rsidRPr="00A972A6">
        <w:rPr>
          <w:rFonts w:ascii="Times New Roman" w:hAnsi="Times New Roman" w:cs="Times New Roman"/>
          <w:sz w:val="24"/>
          <w:szCs w:val="24"/>
        </w:rPr>
        <w:t xml:space="preserve">introduced </w:t>
      </w:r>
      <w:r w:rsidRPr="00352420">
        <w:rPr>
          <w:rFonts w:ascii="Times New Roman" w:hAnsi="Times New Roman" w:cs="Times New Roman"/>
          <w:sz w:val="24"/>
          <w:szCs w:val="24"/>
        </w:rPr>
        <w:t>by Arellano and Bover (1995) and Blundell and Bond (1998)</w:t>
      </w:r>
      <w:r w:rsidRPr="00A972A6">
        <w:rPr>
          <w:rFonts w:ascii="Times New Roman" w:hAnsi="Times New Roman" w:cs="Times New Roman"/>
          <w:sz w:val="24"/>
          <w:szCs w:val="24"/>
        </w:rPr>
        <w:t xml:space="preserve"> and follow a three</w:t>
      </w:r>
      <w:r>
        <w:rPr>
          <w:rFonts w:ascii="Times New Roman" w:hAnsi="Times New Roman" w:cs="Times New Roman"/>
          <w:sz w:val="24"/>
          <w:szCs w:val="24"/>
        </w:rPr>
        <w:t xml:space="preserve"> steps </w:t>
      </w:r>
      <w:r w:rsidRPr="00A972A6">
        <w:rPr>
          <w:rFonts w:ascii="Times New Roman" w:hAnsi="Times New Roman" w:cs="Times New Roman"/>
          <w:sz w:val="24"/>
          <w:szCs w:val="24"/>
        </w:rPr>
        <w:t>estimation process</w:t>
      </w:r>
      <w:r>
        <w:rPr>
          <w:rFonts w:ascii="Times New Roman" w:hAnsi="Times New Roman" w:cs="Times New Roman"/>
          <w:sz w:val="24"/>
          <w:szCs w:val="24"/>
        </w:rPr>
        <w:t xml:space="preserve">. </w:t>
      </w:r>
      <w:r w:rsidRPr="00A972A6">
        <w:rPr>
          <w:rFonts w:ascii="Times New Roman" w:hAnsi="Times New Roman" w:cs="Times New Roman"/>
          <w:sz w:val="24"/>
          <w:szCs w:val="24"/>
        </w:rPr>
        <w:t>First</w:t>
      </w:r>
      <w:r>
        <w:rPr>
          <w:rFonts w:ascii="Times New Roman" w:hAnsi="Times New Roman" w:cs="Times New Roman"/>
          <w:sz w:val="24"/>
          <w:szCs w:val="24"/>
        </w:rPr>
        <w:t xml:space="preserve"> of all</w:t>
      </w:r>
      <w:r w:rsidRPr="00A972A6">
        <w:rPr>
          <w:rFonts w:ascii="Times New Roman" w:hAnsi="Times New Roman" w:cs="Times New Roman"/>
          <w:sz w:val="24"/>
          <w:szCs w:val="24"/>
        </w:rPr>
        <w:t xml:space="preserve">, the </w:t>
      </w:r>
      <w:r>
        <w:rPr>
          <w:rFonts w:ascii="Times New Roman" w:hAnsi="Times New Roman" w:cs="Times New Roman"/>
          <w:sz w:val="24"/>
          <w:szCs w:val="24"/>
        </w:rPr>
        <w:t>regression model</w:t>
      </w:r>
      <w:r w:rsidRPr="00A972A6">
        <w:rPr>
          <w:rFonts w:ascii="Times New Roman" w:hAnsi="Times New Roman" w:cs="Times New Roman"/>
          <w:sz w:val="24"/>
          <w:szCs w:val="24"/>
        </w:rPr>
        <w:t xml:space="preserve"> is modified to include the first lagged </w:t>
      </w:r>
      <w:r>
        <w:rPr>
          <w:rFonts w:ascii="Times New Roman" w:hAnsi="Times New Roman" w:cs="Times New Roman"/>
          <w:sz w:val="24"/>
          <w:szCs w:val="24"/>
        </w:rPr>
        <w:t>probability of default</w:t>
      </w:r>
      <w:r w:rsidRPr="00A972A6">
        <w:rPr>
          <w:rFonts w:ascii="Times New Roman" w:hAnsi="Times New Roman" w:cs="Times New Roman"/>
          <w:sz w:val="24"/>
          <w:szCs w:val="24"/>
        </w:rPr>
        <w:t xml:space="preserve"> in addition to</w:t>
      </w:r>
      <w:r>
        <w:rPr>
          <w:rFonts w:ascii="Times New Roman" w:hAnsi="Times New Roman" w:cs="Times New Roman"/>
          <w:sz w:val="24"/>
          <w:szCs w:val="24"/>
        </w:rPr>
        <w:t xml:space="preserve"> the other explanatory variables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14:paraId="2E1DBB41" w14:textId="77777777" w:rsidR="00956BED" w:rsidRDefault="00956BED" w:rsidP="00260D7D">
      <w:pPr>
        <w:keepNext/>
        <w:tabs>
          <w:tab w:val="left" w:pos="567"/>
        </w:tabs>
        <w:spacing w:after="0" w:line="288" w:lineRule="auto"/>
        <w:jc w:val="both"/>
        <w:rPr>
          <w:rFonts w:ascii="Times New Roman" w:hAnsi="Times New Roman" w:cs="Times New Roman"/>
          <w:sz w:val="24"/>
          <w:szCs w:val="24"/>
        </w:rPr>
      </w:pPr>
    </w:p>
    <w:p w14:paraId="66A89269" w14:textId="57A2A398" w:rsidR="00662071" w:rsidRDefault="00956BED" w:rsidP="00260D7D">
      <w:pPr>
        <w:keepNext/>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662071">
        <w:rPr>
          <w:rFonts w:ascii="Times New Roman" w:hAnsi="Times New Roman" w:cs="Times New Roman"/>
          <w:sz w:val="24"/>
          <w:szCs w:val="24"/>
        </w:rPr>
        <w:t>Second</w:t>
      </w:r>
      <w:r>
        <w:rPr>
          <w:rFonts w:ascii="Times New Roman" w:hAnsi="Times New Roman" w:cs="Times New Roman"/>
          <w:sz w:val="24"/>
          <w:szCs w:val="24"/>
        </w:rPr>
        <w:t>ly</w:t>
      </w:r>
      <w:r w:rsidR="00662071">
        <w:rPr>
          <w:rFonts w:ascii="Times New Roman" w:hAnsi="Times New Roman" w:cs="Times New Roman"/>
          <w:sz w:val="24"/>
          <w:szCs w:val="24"/>
        </w:rPr>
        <w:t>, we</w:t>
      </w:r>
      <w:r w:rsidR="00662071" w:rsidRPr="00A972A6">
        <w:rPr>
          <w:rFonts w:ascii="Times New Roman" w:hAnsi="Times New Roman" w:cs="Times New Roman"/>
          <w:sz w:val="24"/>
          <w:szCs w:val="24"/>
        </w:rPr>
        <w:t xml:space="preserve"> take the first-difference of</w:t>
      </w:r>
      <w:r w:rsidR="00662071">
        <w:rPr>
          <w:rFonts w:ascii="Times New Roman" w:hAnsi="Times New Roman" w:cs="Times New Roman"/>
          <w:sz w:val="24"/>
          <w:szCs w:val="24"/>
        </w:rPr>
        <w:t xml:space="preserve"> the variables</w:t>
      </w:r>
      <w:r w:rsidR="00662071" w:rsidRPr="00A972A6">
        <w:rPr>
          <w:rFonts w:ascii="Times New Roman" w:hAnsi="Times New Roman" w:cs="Times New Roman"/>
          <w:sz w:val="24"/>
          <w:szCs w:val="24"/>
        </w:rPr>
        <w:t xml:space="preserve"> to account for </w:t>
      </w:r>
      <w:r w:rsidR="00662071">
        <w:rPr>
          <w:rFonts w:ascii="Times New Roman" w:hAnsi="Times New Roman" w:cs="Times New Roman"/>
          <w:sz w:val="24"/>
          <w:szCs w:val="24"/>
        </w:rPr>
        <w:t xml:space="preserve">any </w:t>
      </w:r>
      <w:r w:rsidR="00662071" w:rsidRPr="00A972A6">
        <w:rPr>
          <w:rFonts w:ascii="Times New Roman" w:hAnsi="Times New Roman" w:cs="Times New Roman"/>
          <w:sz w:val="24"/>
          <w:szCs w:val="24"/>
        </w:rPr>
        <w:t>unob</w:t>
      </w:r>
      <w:r w:rsidR="00662071">
        <w:rPr>
          <w:rFonts w:ascii="Times New Roman" w:hAnsi="Times New Roman" w:cs="Times New Roman"/>
          <w:sz w:val="24"/>
          <w:szCs w:val="24"/>
        </w:rPr>
        <w:t>served heterogeneity. Lastly, we</w:t>
      </w:r>
      <w:r w:rsidR="00662071" w:rsidRPr="00A972A6">
        <w:rPr>
          <w:rFonts w:ascii="Times New Roman" w:hAnsi="Times New Roman" w:cs="Times New Roman"/>
          <w:sz w:val="24"/>
          <w:szCs w:val="24"/>
        </w:rPr>
        <w:t xml:space="preserve"> use the dynamic</w:t>
      </w:r>
      <w:r w:rsidR="00662071">
        <w:rPr>
          <w:rFonts w:ascii="Times New Roman" w:hAnsi="Times New Roman" w:cs="Times New Roman"/>
          <w:sz w:val="24"/>
          <w:szCs w:val="24"/>
        </w:rPr>
        <w:t xml:space="preserve"> </w:t>
      </w:r>
      <w:r w:rsidR="00662071" w:rsidRPr="00A972A6">
        <w:rPr>
          <w:rFonts w:ascii="Times New Roman" w:hAnsi="Times New Roman" w:cs="Times New Roman"/>
          <w:sz w:val="24"/>
          <w:szCs w:val="24"/>
        </w:rPr>
        <w:t>panel</w:t>
      </w:r>
      <w:r w:rsidR="00662071">
        <w:rPr>
          <w:rFonts w:ascii="Times New Roman" w:hAnsi="Times New Roman" w:cs="Times New Roman"/>
          <w:sz w:val="24"/>
          <w:szCs w:val="24"/>
        </w:rPr>
        <w:t xml:space="preserve"> </w:t>
      </w:r>
      <w:r w:rsidR="00662071" w:rsidRPr="00A972A6">
        <w:rPr>
          <w:rFonts w:ascii="Times New Roman" w:hAnsi="Times New Roman" w:cs="Times New Roman"/>
          <w:sz w:val="24"/>
          <w:szCs w:val="24"/>
        </w:rPr>
        <w:t xml:space="preserve">GMM estimator to estimate the final model while </w:t>
      </w:r>
      <w:r w:rsidR="00662071">
        <w:rPr>
          <w:rFonts w:ascii="Times New Roman" w:hAnsi="Times New Roman" w:cs="Times New Roman"/>
          <w:sz w:val="24"/>
          <w:szCs w:val="24"/>
        </w:rPr>
        <w:t>using</w:t>
      </w:r>
      <w:r w:rsidR="00662071" w:rsidRPr="00A972A6">
        <w:rPr>
          <w:rFonts w:ascii="Times New Roman" w:hAnsi="Times New Roman" w:cs="Times New Roman"/>
          <w:sz w:val="24"/>
          <w:szCs w:val="24"/>
        </w:rPr>
        <w:t xml:space="preserve"> the lagged values of </w:t>
      </w:r>
      <w:r w:rsidR="00662071">
        <w:rPr>
          <w:rFonts w:ascii="Times New Roman" w:hAnsi="Times New Roman" w:cs="Times New Roman"/>
          <w:sz w:val="24"/>
          <w:szCs w:val="24"/>
        </w:rPr>
        <w:t xml:space="preserve">the explanatory variables as instruments. </w:t>
      </w:r>
      <w:r w:rsidR="00662071" w:rsidRPr="00A972A6">
        <w:rPr>
          <w:rFonts w:ascii="Times New Roman" w:hAnsi="Times New Roman" w:cs="Times New Roman"/>
          <w:sz w:val="24"/>
          <w:szCs w:val="24"/>
        </w:rPr>
        <w:t xml:space="preserve">Hoechle </w:t>
      </w:r>
      <w:r w:rsidR="00327178" w:rsidRPr="00327178">
        <w:rPr>
          <w:rFonts w:ascii="Times New Roman" w:hAnsi="Times New Roman" w:cs="Times New Roman"/>
          <w:i/>
          <w:iCs/>
          <w:sz w:val="24"/>
          <w:szCs w:val="24"/>
        </w:rPr>
        <w:t>et al.</w:t>
      </w:r>
      <w:r w:rsidR="00662071" w:rsidRPr="00A972A6">
        <w:rPr>
          <w:rFonts w:ascii="Times New Roman" w:hAnsi="Times New Roman" w:cs="Times New Roman"/>
          <w:sz w:val="24"/>
          <w:szCs w:val="24"/>
        </w:rPr>
        <w:t xml:space="preserve"> (2012) </w:t>
      </w:r>
      <w:r w:rsidR="00662071">
        <w:rPr>
          <w:rFonts w:ascii="Times New Roman" w:hAnsi="Times New Roman" w:cs="Times New Roman"/>
          <w:sz w:val="24"/>
          <w:szCs w:val="24"/>
        </w:rPr>
        <w:t>point out</w:t>
      </w:r>
      <w:r w:rsidR="00662071" w:rsidRPr="00A972A6">
        <w:rPr>
          <w:rFonts w:ascii="Times New Roman" w:hAnsi="Times New Roman" w:cs="Times New Roman"/>
          <w:sz w:val="24"/>
          <w:szCs w:val="24"/>
        </w:rPr>
        <w:t xml:space="preserve"> that </w:t>
      </w:r>
      <w:r w:rsidR="00662071">
        <w:rPr>
          <w:rFonts w:ascii="Times New Roman" w:hAnsi="Times New Roman" w:cs="Times New Roman"/>
          <w:sz w:val="24"/>
          <w:szCs w:val="24"/>
        </w:rPr>
        <w:t>using</w:t>
      </w:r>
      <w:r w:rsidR="00662071" w:rsidRPr="00A972A6">
        <w:rPr>
          <w:rFonts w:ascii="Times New Roman" w:hAnsi="Times New Roman" w:cs="Times New Roman"/>
          <w:sz w:val="24"/>
          <w:szCs w:val="24"/>
        </w:rPr>
        <w:t xml:space="preserve"> the lagged variables as</w:t>
      </w:r>
      <w:r w:rsidR="00662071">
        <w:rPr>
          <w:rFonts w:ascii="Times New Roman" w:hAnsi="Times New Roman" w:cs="Times New Roman"/>
          <w:sz w:val="24"/>
          <w:szCs w:val="24"/>
        </w:rPr>
        <w:t xml:space="preserve"> </w:t>
      </w:r>
      <w:r w:rsidR="00662071" w:rsidRPr="00A972A6">
        <w:rPr>
          <w:rFonts w:ascii="Times New Roman" w:hAnsi="Times New Roman" w:cs="Times New Roman"/>
          <w:sz w:val="24"/>
          <w:szCs w:val="24"/>
        </w:rPr>
        <w:t xml:space="preserve">instruments for the current values of the same variables </w:t>
      </w:r>
      <w:r w:rsidR="00662071">
        <w:rPr>
          <w:rFonts w:ascii="Times New Roman" w:hAnsi="Times New Roman" w:cs="Times New Roman"/>
          <w:sz w:val="24"/>
          <w:szCs w:val="24"/>
        </w:rPr>
        <w:t>accounts</w:t>
      </w:r>
      <w:r w:rsidR="00662071" w:rsidRPr="00A972A6">
        <w:rPr>
          <w:rFonts w:ascii="Times New Roman" w:hAnsi="Times New Roman" w:cs="Times New Roman"/>
          <w:sz w:val="24"/>
          <w:szCs w:val="24"/>
        </w:rPr>
        <w:t xml:space="preserve"> for possible simultaneity</w:t>
      </w:r>
      <w:r w:rsidR="00662071">
        <w:rPr>
          <w:rFonts w:ascii="Times New Roman" w:hAnsi="Times New Roman" w:cs="Times New Roman"/>
          <w:sz w:val="24"/>
          <w:szCs w:val="24"/>
        </w:rPr>
        <w:t xml:space="preserve"> </w:t>
      </w:r>
      <w:r w:rsidR="00662071" w:rsidRPr="00A972A6">
        <w:rPr>
          <w:rFonts w:ascii="Times New Roman" w:hAnsi="Times New Roman" w:cs="Times New Roman"/>
          <w:sz w:val="24"/>
          <w:szCs w:val="24"/>
        </w:rPr>
        <w:t>and reverse causalit</w:t>
      </w:r>
      <w:r w:rsidR="00662071">
        <w:rPr>
          <w:rFonts w:ascii="Times New Roman" w:hAnsi="Times New Roman" w:cs="Times New Roman"/>
          <w:sz w:val="24"/>
          <w:szCs w:val="24"/>
        </w:rPr>
        <w:t>y. This setup allows us</w:t>
      </w:r>
      <w:r w:rsidR="00662071" w:rsidRPr="00A972A6">
        <w:rPr>
          <w:rFonts w:ascii="Times New Roman" w:hAnsi="Times New Roman" w:cs="Times New Roman"/>
          <w:sz w:val="24"/>
          <w:szCs w:val="24"/>
        </w:rPr>
        <w:t xml:space="preserve"> to treat all explanatory</w:t>
      </w:r>
      <w:r w:rsidR="00662071">
        <w:rPr>
          <w:rFonts w:ascii="Times New Roman" w:hAnsi="Times New Roman" w:cs="Times New Roman"/>
          <w:sz w:val="24"/>
          <w:szCs w:val="24"/>
        </w:rPr>
        <w:t xml:space="preserve"> variables</w:t>
      </w:r>
      <w:r w:rsidR="00662071" w:rsidRPr="00A972A6">
        <w:rPr>
          <w:rFonts w:ascii="Times New Roman" w:hAnsi="Times New Roman" w:cs="Times New Roman"/>
          <w:sz w:val="24"/>
          <w:szCs w:val="24"/>
        </w:rPr>
        <w:t xml:space="preserve"> </w:t>
      </w:r>
      <w:r w:rsidR="00662071">
        <w:rPr>
          <w:rFonts w:ascii="Times New Roman" w:hAnsi="Times New Roman" w:cs="Times New Roman"/>
          <w:sz w:val="24"/>
          <w:szCs w:val="24"/>
        </w:rPr>
        <w:t>as endogenous ones</w:t>
      </w:r>
      <w:r w:rsidR="00662071" w:rsidRPr="00A972A6">
        <w:rPr>
          <w:rFonts w:ascii="Times New Roman" w:hAnsi="Times New Roman" w:cs="Times New Roman"/>
          <w:sz w:val="24"/>
          <w:szCs w:val="24"/>
        </w:rPr>
        <w:t xml:space="preserve"> while </w:t>
      </w:r>
      <w:r w:rsidR="00662071">
        <w:rPr>
          <w:rFonts w:ascii="Times New Roman" w:hAnsi="Times New Roman" w:cs="Times New Roman"/>
          <w:sz w:val="24"/>
          <w:szCs w:val="24"/>
        </w:rPr>
        <w:t>adding</w:t>
      </w:r>
      <w:r w:rsidR="00662071" w:rsidRPr="00A972A6">
        <w:rPr>
          <w:rFonts w:ascii="Times New Roman" w:hAnsi="Times New Roman" w:cs="Times New Roman"/>
          <w:sz w:val="24"/>
          <w:szCs w:val="24"/>
        </w:rPr>
        <w:t xml:space="preserve"> the years’</w:t>
      </w:r>
      <w:r w:rsidR="00662071">
        <w:rPr>
          <w:rFonts w:ascii="Times New Roman" w:hAnsi="Times New Roman" w:cs="Times New Roman"/>
          <w:sz w:val="24"/>
          <w:szCs w:val="24"/>
        </w:rPr>
        <w:t xml:space="preserve"> </w:t>
      </w:r>
      <w:r w:rsidR="00662071" w:rsidRPr="00A972A6">
        <w:rPr>
          <w:rFonts w:ascii="Times New Roman" w:hAnsi="Times New Roman" w:cs="Times New Roman"/>
          <w:sz w:val="24"/>
          <w:szCs w:val="24"/>
        </w:rPr>
        <w:t xml:space="preserve">dummy variables as the only exogenous </w:t>
      </w:r>
      <w:r w:rsidR="00662071">
        <w:rPr>
          <w:rFonts w:ascii="Times New Roman" w:hAnsi="Times New Roman" w:cs="Times New Roman"/>
          <w:sz w:val="24"/>
          <w:szCs w:val="24"/>
        </w:rPr>
        <w:t>variables</w:t>
      </w:r>
      <w:r w:rsidR="00E614B1">
        <w:rPr>
          <w:rFonts w:ascii="Times New Roman" w:hAnsi="Times New Roman" w:cs="Times New Roman"/>
          <w:sz w:val="24"/>
          <w:szCs w:val="24"/>
        </w:rPr>
        <w:t>.</w:t>
      </w:r>
      <w:r w:rsidR="00576122">
        <w:rPr>
          <w:rFonts w:ascii="Times New Roman" w:hAnsi="Times New Roman" w:cs="Times New Roman"/>
          <w:sz w:val="24"/>
          <w:szCs w:val="24"/>
        </w:rPr>
        <w:t xml:space="preserve"> </w:t>
      </w:r>
      <w:r w:rsidR="00E614B1">
        <w:rPr>
          <w:rFonts w:ascii="Times New Roman" w:hAnsi="Times New Roman" w:cs="Times New Roman"/>
          <w:sz w:val="24"/>
          <w:szCs w:val="24"/>
        </w:rPr>
        <w:t xml:space="preserve"> F</w:t>
      </w:r>
      <w:r w:rsidR="00662071">
        <w:rPr>
          <w:rFonts w:ascii="Times New Roman" w:hAnsi="Times New Roman" w:cs="Times New Roman"/>
          <w:sz w:val="24"/>
          <w:szCs w:val="24"/>
        </w:rPr>
        <w:t xml:space="preserve">ollowing </w:t>
      </w:r>
      <w:r w:rsidR="00662071" w:rsidRPr="00004F3B">
        <w:rPr>
          <w:rFonts w:ascii="Times New Roman" w:hAnsi="Times New Roman" w:cs="Times New Roman"/>
          <w:sz w:val="24"/>
          <w:szCs w:val="24"/>
        </w:rPr>
        <w:t xml:space="preserve">Darrat </w:t>
      </w:r>
      <w:r w:rsidR="00327178" w:rsidRPr="00327178">
        <w:rPr>
          <w:rFonts w:ascii="Times New Roman" w:hAnsi="Times New Roman" w:cs="Times New Roman"/>
          <w:i/>
          <w:iCs/>
          <w:sz w:val="24"/>
          <w:szCs w:val="24"/>
        </w:rPr>
        <w:t>et al.</w:t>
      </w:r>
      <w:r w:rsidR="00662071" w:rsidRPr="00004F3B">
        <w:rPr>
          <w:rFonts w:ascii="Times New Roman" w:hAnsi="Times New Roman" w:cs="Times New Roman"/>
          <w:sz w:val="24"/>
          <w:szCs w:val="24"/>
        </w:rPr>
        <w:t xml:space="preserve"> </w:t>
      </w:r>
      <w:r w:rsidR="00662071">
        <w:rPr>
          <w:rFonts w:ascii="Times New Roman" w:hAnsi="Times New Roman" w:cs="Times New Roman"/>
          <w:sz w:val="24"/>
          <w:szCs w:val="24"/>
        </w:rPr>
        <w:t>(</w:t>
      </w:r>
      <w:r w:rsidR="00662071" w:rsidRPr="00004F3B">
        <w:rPr>
          <w:rFonts w:ascii="Times New Roman" w:hAnsi="Times New Roman" w:cs="Times New Roman"/>
          <w:sz w:val="24"/>
          <w:szCs w:val="24"/>
        </w:rPr>
        <w:t>2016</w:t>
      </w:r>
      <w:r w:rsidR="00662071">
        <w:rPr>
          <w:rFonts w:ascii="Times New Roman" w:hAnsi="Times New Roman" w:cs="Times New Roman"/>
          <w:sz w:val="24"/>
          <w:szCs w:val="24"/>
        </w:rPr>
        <w:t>) we also believe that the results from our lagged bankruptcy models (</w:t>
      </w:r>
      <w:r w:rsidR="006067A9">
        <w:rPr>
          <w:rFonts w:ascii="Times New Roman" w:hAnsi="Times New Roman" w:cs="Times New Roman"/>
          <w:sz w:val="24"/>
          <w:szCs w:val="24"/>
        </w:rPr>
        <w:t>two</w:t>
      </w:r>
      <w:r w:rsidR="00662071">
        <w:rPr>
          <w:rFonts w:ascii="Times New Roman" w:hAnsi="Times New Roman" w:cs="Times New Roman"/>
          <w:sz w:val="24"/>
          <w:szCs w:val="24"/>
        </w:rPr>
        <w:t xml:space="preserve"> and </w:t>
      </w:r>
      <w:r w:rsidR="006067A9">
        <w:rPr>
          <w:rFonts w:ascii="Times New Roman" w:hAnsi="Times New Roman" w:cs="Times New Roman"/>
          <w:sz w:val="24"/>
          <w:szCs w:val="24"/>
        </w:rPr>
        <w:t>three</w:t>
      </w:r>
      <w:r w:rsidR="00662071">
        <w:rPr>
          <w:rFonts w:ascii="Times New Roman" w:hAnsi="Times New Roman" w:cs="Times New Roman"/>
          <w:sz w:val="24"/>
          <w:szCs w:val="24"/>
        </w:rPr>
        <w:t xml:space="preserve"> years to bankruptcy) provide another test for endogeneity.</w:t>
      </w:r>
    </w:p>
    <w:p w14:paraId="695E9655" w14:textId="77777777" w:rsidR="00E93057" w:rsidRPr="00662071" w:rsidRDefault="00E93057" w:rsidP="00260D7D">
      <w:pPr>
        <w:keepNext/>
        <w:tabs>
          <w:tab w:val="left" w:pos="567"/>
        </w:tabs>
        <w:spacing w:after="0" w:line="288" w:lineRule="auto"/>
        <w:jc w:val="both"/>
        <w:rPr>
          <w:rFonts w:ascii="Times New Roman" w:hAnsi="Times New Roman" w:cs="Times New Roman"/>
          <w:sz w:val="24"/>
          <w:szCs w:val="24"/>
        </w:rPr>
      </w:pPr>
    </w:p>
    <w:p w14:paraId="33B9BFF7" w14:textId="0182A8FC" w:rsidR="00736BCB" w:rsidRDefault="006067A9"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i/>
          <w:iCs/>
          <w:sz w:val="24"/>
          <w:szCs w:val="24"/>
        </w:rPr>
        <w:tab/>
      </w:r>
      <w:r w:rsidR="00434272" w:rsidRPr="006067A9">
        <w:rPr>
          <w:rFonts w:ascii="Times New Roman" w:hAnsi="Times New Roman" w:cs="Times New Roman"/>
          <w:sz w:val="24"/>
          <w:szCs w:val="24"/>
        </w:rPr>
        <w:t>Table 7</w:t>
      </w:r>
      <w:r w:rsidR="00BD32E3" w:rsidRPr="006067A9">
        <w:rPr>
          <w:rFonts w:ascii="Times New Roman" w:hAnsi="Times New Roman" w:cs="Times New Roman"/>
          <w:sz w:val="24"/>
          <w:szCs w:val="24"/>
        </w:rPr>
        <w:t xml:space="preserve"> </w:t>
      </w:r>
      <w:r w:rsidR="00BD32E3" w:rsidRPr="00BD32E3">
        <w:rPr>
          <w:rFonts w:ascii="Times New Roman" w:hAnsi="Times New Roman" w:cs="Times New Roman"/>
          <w:sz w:val="24"/>
          <w:szCs w:val="24"/>
        </w:rPr>
        <w:t>presents the results of two different regressions with the probability of default estimated using discrete-time hazard rate</w:t>
      </w:r>
      <w:r w:rsidR="00BF7E05">
        <w:rPr>
          <w:rFonts w:ascii="Times New Roman" w:hAnsi="Times New Roman" w:cs="Times New Roman"/>
          <w:sz w:val="24"/>
          <w:szCs w:val="24"/>
        </w:rPr>
        <w:t xml:space="preserve"> (SHW model)</w:t>
      </w:r>
      <w:r w:rsidR="00BD32E3" w:rsidRPr="00BD32E3">
        <w:rPr>
          <w:rFonts w:ascii="Times New Roman" w:hAnsi="Times New Roman" w:cs="Times New Roman"/>
          <w:sz w:val="24"/>
          <w:szCs w:val="24"/>
        </w:rPr>
        <w:t xml:space="preserve"> and logistic regression</w:t>
      </w:r>
      <w:r w:rsidR="00BF7E05">
        <w:rPr>
          <w:rFonts w:ascii="Times New Roman" w:hAnsi="Times New Roman" w:cs="Times New Roman"/>
          <w:sz w:val="24"/>
          <w:szCs w:val="24"/>
        </w:rPr>
        <w:t xml:space="preserve"> (OHL model)</w:t>
      </w:r>
      <w:r w:rsidR="00BD32E3" w:rsidRPr="00BD32E3">
        <w:rPr>
          <w:rFonts w:ascii="Times New Roman" w:hAnsi="Times New Roman" w:cs="Times New Roman"/>
          <w:sz w:val="24"/>
          <w:szCs w:val="24"/>
        </w:rPr>
        <w:t>, respectively, as the dependent variable.</w:t>
      </w:r>
      <w:r w:rsidR="006F67D9">
        <w:rPr>
          <w:rFonts w:ascii="Times New Roman" w:hAnsi="Times New Roman" w:cs="Times New Roman"/>
          <w:sz w:val="24"/>
          <w:szCs w:val="24"/>
        </w:rPr>
        <w:t xml:space="preserve"> </w:t>
      </w:r>
      <w:r w:rsidR="0063303C">
        <w:rPr>
          <w:rFonts w:ascii="Times New Roman" w:hAnsi="Times New Roman" w:cs="Times New Roman"/>
          <w:sz w:val="24"/>
          <w:szCs w:val="24"/>
        </w:rPr>
        <w:t>In addition to including the different governance variables as independent variables, we also include control variables that were found in previous studies to be related to the probability of default (</w:t>
      </w:r>
      <w:r w:rsidR="00A91ECA" w:rsidRPr="00A91ECA">
        <w:rPr>
          <w:rFonts w:ascii="Times New Roman" w:hAnsi="Times New Roman" w:cs="Times New Roman"/>
          <w:sz w:val="24"/>
          <w:szCs w:val="24"/>
        </w:rPr>
        <w:t xml:space="preserve">Bhojraj and </w:t>
      </w:r>
      <w:r w:rsidR="00A91ECA" w:rsidRPr="000614DD">
        <w:rPr>
          <w:rFonts w:ascii="Times New Roman" w:hAnsi="Times New Roman" w:cs="Times New Roman"/>
          <w:sz w:val="24"/>
          <w:szCs w:val="24"/>
        </w:rPr>
        <w:t>Sengupta 2003</w:t>
      </w:r>
      <w:r w:rsidR="00327178" w:rsidRPr="00327178">
        <w:rPr>
          <w:rFonts w:ascii="Times New Roman" w:hAnsi="Times New Roman" w:cs="Times New Roman"/>
          <w:sz w:val="24"/>
          <w:szCs w:val="24"/>
        </w:rPr>
        <w:t>,</w:t>
      </w:r>
      <w:r w:rsidR="0063303C" w:rsidRPr="000614DD">
        <w:rPr>
          <w:rFonts w:ascii="Times New Roman" w:hAnsi="Times New Roman" w:cs="Times New Roman"/>
          <w:sz w:val="24"/>
          <w:szCs w:val="24"/>
        </w:rPr>
        <w:t xml:space="preserve"> Klock </w:t>
      </w:r>
      <w:r w:rsidR="00327178" w:rsidRPr="00327178">
        <w:rPr>
          <w:rFonts w:ascii="Times New Roman" w:hAnsi="Times New Roman" w:cs="Times New Roman"/>
          <w:i/>
          <w:iCs/>
          <w:sz w:val="24"/>
          <w:szCs w:val="24"/>
        </w:rPr>
        <w:t>et al.</w:t>
      </w:r>
      <w:r w:rsidR="0063303C" w:rsidRPr="000614DD">
        <w:rPr>
          <w:rFonts w:ascii="Times New Roman" w:hAnsi="Times New Roman" w:cs="Times New Roman"/>
          <w:sz w:val="24"/>
          <w:szCs w:val="24"/>
        </w:rPr>
        <w:t xml:space="preserve"> 2005</w:t>
      </w:r>
      <w:r w:rsidR="00327178" w:rsidRPr="00327178">
        <w:rPr>
          <w:rFonts w:ascii="Times New Roman" w:hAnsi="Times New Roman" w:cs="Times New Roman"/>
          <w:sz w:val="24"/>
          <w:szCs w:val="24"/>
        </w:rPr>
        <w:t>,</w:t>
      </w:r>
      <w:r w:rsidR="0063303C" w:rsidRPr="000614DD">
        <w:rPr>
          <w:rFonts w:ascii="Times New Roman" w:hAnsi="Times New Roman" w:cs="Times New Roman"/>
          <w:sz w:val="24"/>
          <w:szCs w:val="24"/>
        </w:rPr>
        <w:t xml:space="preserve"> Schultz</w:t>
      </w:r>
      <w:r w:rsidR="0063303C" w:rsidRPr="00A972A6">
        <w:rPr>
          <w:rFonts w:ascii="Times New Roman" w:hAnsi="Times New Roman" w:cs="Times New Roman"/>
          <w:sz w:val="24"/>
          <w:szCs w:val="24"/>
        </w:rPr>
        <w:t xml:space="preserve"> </w:t>
      </w:r>
      <w:r w:rsidR="00327178" w:rsidRPr="00327178">
        <w:rPr>
          <w:rFonts w:ascii="Times New Roman" w:hAnsi="Times New Roman" w:cs="Times New Roman"/>
          <w:i/>
          <w:iCs/>
          <w:sz w:val="24"/>
          <w:szCs w:val="24"/>
        </w:rPr>
        <w:t>et al.</w:t>
      </w:r>
      <w:r w:rsidR="0063303C">
        <w:rPr>
          <w:rFonts w:ascii="Times New Roman" w:hAnsi="Times New Roman" w:cs="Times New Roman"/>
          <w:sz w:val="24"/>
          <w:szCs w:val="24"/>
        </w:rPr>
        <w:t xml:space="preserve"> 2017). </w:t>
      </w:r>
      <w:r w:rsidR="00736BCB">
        <w:rPr>
          <w:rFonts w:ascii="Times New Roman" w:hAnsi="Times New Roman" w:cs="Times New Roman"/>
          <w:sz w:val="24"/>
          <w:szCs w:val="24"/>
        </w:rPr>
        <w:t xml:space="preserve">The results from both estimations </w:t>
      </w:r>
      <w:r w:rsidR="007D4A20">
        <w:rPr>
          <w:rFonts w:ascii="Times New Roman" w:hAnsi="Times New Roman" w:cs="Times New Roman"/>
          <w:sz w:val="24"/>
          <w:szCs w:val="24"/>
        </w:rPr>
        <w:t>show</w:t>
      </w:r>
      <w:r w:rsidR="00736BCB">
        <w:rPr>
          <w:rFonts w:ascii="Times New Roman" w:hAnsi="Times New Roman" w:cs="Times New Roman"/>
          <w:sz w:val="24"/>
          <w:szCs w:val="24"/>
        </w:rPr>
        <w:t xml:space="preserve"> that even after controlling for </w:t>
      </w:r>
      <w:r w:rsidR="00736BCB" w:rsidRPr="00736BCB">
        <w:rPr>
          <w:rFonts w:ascii="Times New Roman" w:hAnsi="Times New Roman" w:cs="Times New Roman"/>
          <w:sz w:val="24"/>
          <w:szCs w:val="24"/>
        </w:rPr>
        <w:t>unobserved heterogeneity</w:t>
      </w:r>
      <w:r w:rsidR="00736BCB">
        <w:rPr>
          <w:rFonts w:ascii="Times New Roman" w:hAnsi="Times New Roman" w:cs="Times New Roman"/>
          <w:sz w:val="24"/>
          <w:szCs w:val="24"/>
        </w:rPr>
        <w:t xml:space="preserve">, </w:t>
      </w:r>
      <w:r w:rsidR="00736BCB" w:rsidRPr="00736BCB">
        <w:rPr>
          <w:rFonts w:ascii="Times New Roman" w:hAnsi="Times New Roman" w:cs="Times New Roman"/>
          <w:sz w:val="24"/>
          <w:szCs w:val="24"/>
        </w:rPr>
        <w:t>possible simultaneity</w:t>
      </w:r>
      <w:r w:rsidR="00736BCB">
        <w:rPr>
          <w:rFonts w:ascii="Times New Roman" w:hAnsi="Times New Roman" w:cs="Times New Roman"/>
          <w:sz w:val="24"/>
          <w:szCs w:val="24"/>
        </w:rPr>
        <w:t>,</w:t>
      </w:r>
      <w:r w:rsidR="00736BCB" w:rsidRPr="00736BCB">
        <w:rPr>
          <w:rFonts w:ascii="Times New Roman" w:hAnsi="Times New Roman" w:cs="Times New Roman"/>
          <w:sz w:val="24"/>
          <w:szCs w:val="24"/>
        </w:rPr>
        <w:t xml:space="preserve"> and reverse causality</w:t>
      </w:r>
      <w:r w:rsidR="00736BCB">
        <w:rPr>
          <w:rFonts w:ascii="Times New Roman" w:hAnsi="Times New Roman" w:cs="Times New Roman"/>
          <w:sz w:val="24"/>
          <w:szCs w:val="24"/>
        </w:rPr>
        <w:t>,</w:t>
      </w:r>
      <w:r w:rsidR="007D4A20">
        <w:rPr>
          <w:rFonts w:ascii="Times New Roman" w:hAnsi="Times New Roman" w:cs="Times New Roman"/>
          <w:sz w:val="24"/>
          <w:szCs w:val="24"/>
        </w:rPr>
        <w:t xml:space="preserve"> corporate governance variables have a </w:t>
      </w:r>
      <w:r w:rsidR="00736BCB">
        <w:rPr>
          <w:rFonts w:ascii="Times New Roman" w:hAnsi="Times New Roman" w:cs="Times New Roman"/>
          <w:sz w:val="24"/>
          <w:szCs w:val="24"/>
        </w:rPr>
        <w:t xml:space="preserve">significant role in predicting bankruptcy. </w:t>
      </w:r>
      <w:r w:rsidR="00343342">
        <w:rPr>
          <w:rFonts w:ascii="Times New Roman" w:hAnsi="Times New Roman" w:cs="Times New Roman"/>
          <w:sz w:val="24"/>
          <w:szCs w:val="24"/>
        </w:rPr>
        <w:t>Specifically,</w:t>
      </w:r>
      <w:r w:rsidR="00FB7882">
        <w:rPr>
          <w:rFonts w:ascii="Times New Roman" w:hAnsi="Times New Roman" w:cs="Times New Roman"/>
          <w:sz w:val="24"/>
          <w:szCs w:val="24"/>
        </w:rPr>
        <w:t xml:space="preserve"> </w:t>
      </w:r>
      <w:r w:rsidR="005E1657">
        <w:rPr>
          <w:rFonts w:ascii="Times New Roman" w:hAnsi="Times New Roman" w:cs="Times New Roman"/>
          <w:sz w:val="24"/>
          <w:szCs w:val="24"/>
        </w:rPr>
        <w:t>five</w:t>
      </w:r>
      <w:r w:rsidR="00343342">
        <w:rPr>
          <w:rFonts w:ascii="Times New Roman" w:hAnsi="Times New Roman" w:cs="Times New Roman"/>
          <w:sz w:val="24"/>
          <w:szCs w:val="24"/>
        </w:rPr>
        <w:t xml:space="preserve"> of the </w:t>
      </w:r>
      <w:r w:rsidR="00857063">
        <w:rPr>
          <w:rFonts w:ascii="Times New Roman" w:hAnsi="Times New Roman" w:cs="Times New Roman"/>
          <w:sz w:val="24"/>
          <w:szCs w:val="24"/>
        </w:rPr>
        <w:t>eleven</w:t>
      </w:r>
      <w:r w:rsidR="00343342">
        <w:rPr>
          <w:rFonts w:ascii="Times New Roman" w:hAnsi="Times New Roman" w:cs="Times New Roman"/>
          <w:sz w:val="24"/>
          <w:szCs w:val="24"/>
        </w:rPr>
        <w:t xml:space="preserve"> governance variables included in the GMM estimations are significant. Furthermore,</w:t>
      </w:r>
      <w:r w:rsidR="00736BCB" w:rsidRPr="00736BCB">
        <w:rPr>
          <w:rFonts w:ascii="Times New Roman" w:hAnsi="Times New Roman" w:cs="Times New Roman"/>
          <w:sz w:val="24"/>
          <w:szCs w:val="24"/>
        </w:rPr>
        <w:t xml:space="preserve"> using the</w:t>
      </w:r>
      <w:r w:rsidR="00736BCB">
        <w:rPr>
          <w:rFonts w:ascii="Times New Roman" w:hAnsi="Times New Roman" w:cs="Times New Roman"/>
          <w:sz w:val="24"/>
          <w:szCs w:val="24"/>
        </w:rPr>
        <w:t xml:space="preserve"> </w:t>
      </w:r>
      <w:r w:rsidR="00736BCB" w:rsidRPr="00736BCB">
        <w:rPr>
          <w:rFonts w:ascii="Times New Roman" w:hAnsi="Times New Roman" w:cs="Times New Roman"/>
          <w:sz w:val="24"/>
          <w:szCs w:val="24"/>
        </w:rPr>
        <w:t xml:space="preserve">Hansen test of over-identification, </w:t>
      </w:r>
      <w:r w:rsidR="00736BCB">
        <w:rPr>
          <w:rFonts w:ascii="Times New Roman" w:hAnsi="Times New Roman" w:cs="Times New Roman"/>
          <w:sz w:val="24"/>
          <w:szCs w:val="24"/>
        </w:rPr>
        <w:t>we</w:t>
      </w:r>
      <w:r w:rsidR="00736BCB" w:rsidRPr="00736BCB">
        <w:rPr>
          <w:rFonts w:ascii="Times New Roman" w:hAnsi="Times New Roman" w:cs="Times New Roman"/>
          <w:sz w:val="24"/>
          <w:szCs w:val="24"/>
        </w:rPr>
        <w:t xml:space="preserve"> fail to reject the null hypothesis that the instruments</w:t>
      </w:r>
      <w:r w:rsidR="00736BCB">
        <w:rPr>
          <w:rFonts w:ascii="Times New Roman" w:hAnsi="Times New Roman" w:cs="Times New Roman"/>
          <w:sz w:val="24"/>
          <w:szCs w:val="24"/>
        </w:rPr>
        <w:t xml:space="preserve"> </w:t>
      </w:r>
      <w:r w:rsidR="00736BCB" w:rsidRPr="00736BCB">
        <w:rPr>
          <w:rFonts w:ascii="Times New Roman" w:hAnsi="Times New Roman" w:cs="Times New Roman"/>
          <w:sz w:val="24"/>
          <w:szCs w:val="24"/>
        </w:rPr>
        <w:t xml:space="preserve">employed in </w:t>
      </w:r>
      <w:r w:rsidR="00736BCB">
        <w:rPr>
          <w:rFonts w:ascii="Times New Roman" w:hAnsi="Times New Roman" w:cs="Times New Roman"/>
          <w:sz w:val="24"/>
          <w:szCs w:val="24"/>
        </w:rPr>
        <w:t>our</w:t>
      </w:r>
      <w:r w:rsidR="00736BCB" w:rsidRPr="00736BCB">
        <w:rPr>
          <w:rFonts w:ascii="Times New Roman" w:hAnsi="Times New Roman" w:cs="Times New Roman"/>
          <w:sz w:val="24"/>
          <w:szCs w:val="24"/>
        </w:rPr>
        <w:t xml:space="preserve"> models are valid confirming the validity of </w:t>
      </w:r>
      <w:r w:rsidR="00736BCB">
        <w:rPr>
          <w:rFonts w:ascii="Times New Roman" w:hAnsi="Times New Roman" w:cs="Times New Roman"/>
          <w:sz w:val="24"/>
          <w:szCs w:val="24"/>
        </w:rPr>
        <w:t>our</w:t>
      </w:r>
      <w:r w:rsidR="00736BCB" w:rsidRPr="00736BCB">
        <w:rPr>
          <w:rFonts w:ascii="Times New Roman" w:hAnsi="Times New Roman" w:cs="Times New Roman"/>
          <w:sz w:val="24"/>
          <w:szCs w:val="24"/>
        </w:rPr>
        <w:t xml:space="preserve"> results.</w:t>
      </w:r>
      <w:r w:rsidR="00343342">
        <w:rPr>
          <w:rFonts w:ascii="Times New Roman" w:hAnsi="Times New Roman" w:cs="Times New Roman"/>
          <w:sz w:val="24"/>
          <w:szCs w:val="24"/>
        </w:rPr>
        <w:t xml:space="preserve"> At large, this confirms the presence of a </w:t>
      </w:r>
      <w:r w:rsidR="00857063">
        <w:rPr>
          <w:rFonts w:ascii="Times New Roman" w:hAnsi="Times New Roman" w:cs="Times New Roman"/>
          <w:sz w:val="24"/>
          <w:szCs w:val="24"/>
        </w:rPr>
        <w:t xml:space="preserve">statistically </w:t>
      </w:r>
      <w:r w:rsidR="00343342">
        <w:rPr>
          <w:rFonts w:ascii="Times New Roman" w:hAnsi="Times New Roman" w:cs="Times New Roman"/>
          <w:sz w:val="24"/>
          <w:szCs w:val="24"/>
        </w:rPr>
        <w:t>significant relationship between corporate governance and the probability of default even after controlling for different f</w:t>
      </w:r>
      <w:r w:rsidR="00857063">
        <w:rPr>
          <w:rFonts w:ascii="Times New Roman" w:hAnsi="Times New Roman" w:cs="Times New Roman"/>
          <w:sz w:val="24"/>
          <w:szCs w:val="24"/>
        </w:rPr>
        <w:t>o</w:t>
      </w:r>
      <w:r w:rsidR="00343342">
        <w:rPr>
          <w:rFonts w:ascii="Times New Roman" w:hAnsi="Times New Roman" w:cs="Times New Roman"/>
          <w:sz w:val="24"/>
          <w:szCs w:val="24"/>
        </w:rPr>
        <w:t xml:space="preserve">rms of </w:t>
      </w:r>
      <w:r w:rsidR="00343342">
        <w:rPr>
          <w:rFonts w:ascii="Times New Roman" w:hAnsi="Times New Roman" w:cs="Times New Roman"/>
          <w:sz w:val="24"/>
          <w:szCs w:val="24"/>
        </w:rPr>
        <w:lastRenderedPageBreak/>
        <w:t xml:space="preserve">endogeneity concerns that have been highlighted in the literature (Wintoki </w:t>
      </w:r>
      <w:r w:rsidR="00327178" w:rsidRPr="00327178">
        <w:rPr>
          <w:rFonts w:ascii="Times New Roman" w:hAnsi="Times New Roman" w:cs="Times New Roman"/>
          <w:i/>
          <w:iCs/>
          <w:sz w:val="24"/>
          <w:szCs w:val="24"/>
        </w:rPr>
        <w:t>et al.</w:t>
      </w:r>
      <w:r w:rsidR="00343342">
        <w:rPr>
          <w:rFonts w:ascii="Times New Roman" w:hAnsi="Times New Roman" w:cs="Times New Roman"/>
          <w:sz w:val="24"/>
          <w:szCs w:val="24"/>
        </w:rPr>
        <w:t xml:space="preserve"> </w:t>
      </w:r>
      <w:r w:rsidR="00343342" w:rsidRPr="0015537A">
        <w:rPr>
          <w:rFonts w:ascii="Times New Roman" w:hAnsi="Times New Roman" w:cs="Times New Roman"/>
          <w:sz w:val="24"/>
          <w:szCs w:val="24"/>
        </w:rPr>
        <w:t>2012</w:t>
      </w:r>
      <w:r w:rsidR="00327178" w:rsidRPr="00327178">
        <w:rPr>
          <w:rFonts w:ascii="Times New Roman" w:hAnsi="Times New Roman" w:cs="Times New Roman"/>
          <w:sz w:val="24"/>
          <w:szCs w:val="24"/>
        </w:rPr>
        <w:t>,</w:t>
      </w:r>
      <w:r w:rsidR="00343342">
        <w:rPr>
          <w:rFonts w:ascii="Times New Roman" w:hAnsi="Times New Roman" w:cs="Times New Roman"/>
          <w:sz w:val="24"/>
          <w:szCs w:val="24"/>
        </w:rPr>
        <w:t xml:space="preserve"> </w:t>
      </w:r>
      <w:r w:rsidR="00343342" w:rsidRPr="00A972A6">
        <w:rPr>
          <w:rFonts w:ascii="Times New Roman" w:hAnsi="Times New Roman" w:cs="Times New Roman"/>
          <w:sz w:val="24"/>
          <w:szCs w:val="24"/>
        </w:rPr>
        <w:t xml:space="preserve">Schultz </w:t>
      </w:r>
      <w:r w:rsidR="00327178" w:rsidRPr="00327178">
        <w:rPr>
          <w:rFonts w:ascii="Times New Roman" w:hAnsi="Times New Roman" w:cs="Times New Roman"/>
          <w:i/>
          <w:iCs/>
          <w:sz w:val="24"/>
          <w:szCs w:val="24"/>
        </w:rPr>
        <w:t>et al.</w:t>
      </w:r>
      <w:r w:rsidR="00343342">
        <w:rPr>
          <w:rFonts w:ascii="Times New Roman" w:hAnsi="Times New Roman" w:cs="Times New Roman"/>
          <w:sz w:val="24"/>
          <w:szCs w:val="24"/>
        </w:rPr>
        <w:t xml:space="preserve"> 2017).</w:t>
      </w:r>
    </w:p>
    <w:p w14:paraId="0C998BEA" w14:textId="77777777" w:rsidR="0049324B" w:rsidRDefault="0049324B" w:rsidP="00260D7D">
      <w:pPr>
        <w:tabs>
          <w:tab w:val="left" w:pos="567"/>
        </w:tabs>
        <w:spacing w:after="0" w:line="288" w:lineRule="auto"/>
        <w:jc w:val="both"/>
        <w:rPr>
          <w:rFonts w:ascii="Times New Roman" w:hAnsi="Times New Roman" w:cs="Times New Roman"/>
          <w:sz w:val="24"/>
          <w:szCs w:val="24"/>
        </w:rPr>
      </w:pPr>
    </w:p>
    <w:p w14:paraId="7806243E" w14:textId="77777777" w:rsidR="00434272" w:rsidRPr="006C1288" w:rsidRDefault="00D33AB1" w:rsidP="006C1288">
      <w:pPr>
        <w:keepNext/>
        <w:tabs>
          <w:tab w:val="left" w:pos="567"/>
        </w:tabs>
        <w:spacing w:after="0" w:line="288" w:lineRule="auto"/>
        <w:jc w:val="both"/>
        <w:rPr>
          <w:rFonts w:asciiTheme="majorBidi" w:hAnsiTheme="majorBidi" w:cstheme="majorBidi"/>
          <w:b/>
          <w:bCs/>
          <w:sz w:val="24"/>
          <w:szCs w:val="24"/>
        </w:rPr>
      </w:pPr>
      <w:r>
        <w:rPr>
          <w:rFonts w:asciiTheme="majorBidi" w:hAnsiTheme="majorBidi" w:cstheme="majorBidi"/>
          <w:b/>
          <w:bCs/>
          <w:sz w:val="24"/>
          <w:szCs w:val="24"/>
        </w:rPr>
        <w:t>5</w:t>
      </w:r>
      <w:r w:rsidR="006C1288">
        <w:rPr>
          <w:rFonts w:asciiTheme="majorBidi" w:hAnsiTheme="majorBidi" w:cstheme="majorBidi"/>
          <w:b/>
          <w:bCs/>
          <w:sz w:val="24"/>
          <w:szCs w:val="24"/>
        </w:rPr>
        <w:t xml:space="preserve">.  </w:t>
      </w:r>
      <w:r w:rsidR="00434272" w:rsidRPr="006C1288">
        <w:rPr>
          <w:rFonts w:asciiTheme="majorBidi" w:hAnsiTheme="majorBidi" w:cstheme="majorBidi"/>
          <w:b/>
          <w:bCs/>
          <w:sz w:val="24"/>
          <w:szCs w:val="24"/>
        </w:rPr>
        <w:t>Conclu</w:t>
      </w:r>
      <w:r w:rsidR="00582569" w:rsidRPr="006C1288">
        <w:rPr>
          <w:rFonts w:asciiTheme="majorBidi" w:hAnsiTheme="majorBidi" w:cstheme="majorBidi"/>
          <w:b/>
          <w:bCs/>
          <w:sz w:val="24"/>
          <w:szCs w:val="24"/>
        </w:rPr>
        <w:t>di</w:t>
      </w:r>
      <w:r w:rsidR="006067A9" w:rsidRPr="006C1288">
        <w:rPr>
          <w:rFonts w:asciiTheme="majorBidi" w:hAnsiTheme="majorBidi" w:cstheme="majorBidi"/>
          <w:b/>
          <w:bCs/>
          <w:sz w:val="24"/>
          <w:szCs w:val="24"/>
        </w:rPr>
        <w:t>ng Remarks</w:t>
      </w:r>
    </w:p>
    <w:p w14:paraId="1DA7DF03" w14:textId="77777777" w:rsidR="006067A9" w:rsidRPr="006067A9" w:rsidRDefault="006067A9" w:rsidP="00260D7D">
      <w:pPr>
        <w:keepNext/>
        <w:tabs>
          <w:tab w:val="left" w:pos="567"/>
        </w:tabs>
        <w:spacing w:after="0" w:line="288" w:lineRule="auto"/>
        <w:jc w:val="both"/>
        <w:rPr>
          <w:rFonts w:ascii="Times New Roman" w:hAnsi="Times New Roman" w:cs="Times New Roman"/>
          <w:sz w:val="8"/>
          <w:szCs w:val="8"/>
        </w:rPr>
      </w:pPr>
    </w:p>
    <w:p w14:paraId="1EA96399" w14:textId="7BE5101B" w:rsidR="00434272" w:rsidRDefault="00735F94" w:rsidP="00260D7D">
      <w:pPr>
        <w:keepNext/>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This study re-examines the role of corporate governance variables in improving the predictability power of bankruptcy prediction models, while analyzing the classification powers yielded by the different estimation techniques. The study is among the first to comprehensively examine the nexus between bankruptcy, corporate governance, and estimation techniques. The study also addresses several limitations observed in previous studies, such as: focusing on a very limited set of </w:t>
      </w:r>
      <w:r w:rsidR="00F76E0B">
        <w:rPr>
          <w:rFonts w:ascii="Times New Roman" w:hAnsi="Times New Roman" w:cs="Times New Roman"/>
          <w:sz w:val="24"/>
          <w:szCs w:val="24"/>
        </w:rPr>
        <w:t xml:space="preserve">bankruptcy </w:t>
      </w:r>
      <w:r>
        <w:rPr>
          <w:rFonts w:ascii="Times New Roman" w:hAnsi="Times New Roman" w:cs="Times New Roman"/>
          <w:sz w:val="24"/>
          <w:szCs w:val="24"/>
        </w:rPr>
        <w:t>models and/or estimation methods, using a fairly limited dataset or governance variables, and overlooking potential statistical and endogeneity issues.</w:t>
      </w:r>
    </w:p>
    <w:p w14:paraId="47C75124" w14:textId="77777777" w:rsidR="00E93057" w:rsidRDefault="00E93057" w:rsidP="00260D7D">
      <w:pPr>
        <w:keepNext/>
        <w:tabs>
          <w:tab w:val="left" w:pos="567"/>
        </w:tabs>
        <w:spacing w:after="0" w:line="288" w:lineRule="auto"/>
        <w:jc w:val="both"/>
        <w:rPr>
          <w:rFonts w:ascii="Times New Roman" w:hAnsi="Times New Roman" w:cs="Times New Roman"/>
          <w:sz w:val="24"/>
          <w:szCs w:val="24"/>
        </w:rPr>
      </w:pPr>
    </w:p>
    <w:p w14:paraId="635EAED6" w14:textId="7955C568" w:rsidR="007522EE" w:rsidRDefault="00E93057"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DF1326">
        <w:rPr>
          <w:rFonts w:ascii="Times New Roman" w:hAnsi="Times New Roman" w:cs="Times New Roman"/>
          <w:sz w:val="24"/>
          <w:szCs w:val="24"/>
        </w:rPr>
        <w:t xml:space="preserve">We find that the addition of governance variables to </w:t>
      </w:r>
      <w:r w:rsidR="008764E1">
        <w:rPr>
          <w:rFonts w:ascii="Times New Roman" w:hAnsi="Times New Roman" w:cs="Times New Roman"/>
          <w:sz w:val="24"/>
          <w:szCs w:val="24"/>
        </w:rPr>
        <w:t>various</w:t>
      </w:r>
      <w:r w:rsidR="00DF1326">
        <w:rPr>
          <w:rFonts w:ascii="Times New Roman" w:hAnsi="Times New Roman" w:cs="Times New Roman"/>
          <w:sz w:val="24"/>
          <w:szCs w:val="24"/>
        </w:rPr>
        <w:t xml:space="preserve"> bankruptcy prediction models significantly improves the</w:t>
      </w:r>
      <w:r w:rsidR="008764E1">
        <w:rPr>
          <w:rFonts w:ascii="Times New Roman" w:hAnsi="Times New Roman" w:cs="Times New Roman"/>
          <w:sz w:val="24"/>
          <w:szCs w:val="24"/>
        </w:rPr>
        <w:t>ir</w:t>
      </w:r>
      <w:r w:rsidR="00DF1326">
        <w:rPr>
          <w:rFonts w:ascii="Times New Roman" w:hAnsi="Times New Roman" w:cs="Times New Roman"/>
          <w:sz w:val="24"/>
          <w:szCs w:val="24"/>
        </w:rPr>
        <w:t xml:space="preserve"> classification power and prediction accuracy. The most noticeable improvement is found in models utilizing hazard analysis, which might be related to the fact that hazard analysis takes account of changes in the firm’s performance or characteristics over time and thus is able to incorporate changes in the firm’s governance structure and as a result produce more consistent and efficient predictions (Shumway 2001). </w:t>
      </w:r>
    </w:p>
    <w:p w14:paraId="1E9634C7" w14:textId="77777777" w:rsidR="00E93057" w:rsidRDefault="00E93057" w:rsidP="00260D7D">
      <w:pPr>
        <w:tabs>
          <w:tab w:val="left" w:pos="567"/>
        </w:tabs>
        <w:spacing w:after="0" w:line="288" w:lineRule="auto"/>
        <w:jc w:val="both"/>
        <w:rPr>
          <w:rFonts w:ascii="Times New Roman" w:hAnsi="Times New Roman" w:cs="Times New Roman"/>
          <w:sz w:val="24"/>
          <w:szCs w:val="24"/>
        </w:rPr>
      </w:pPr>
    </w:p>
    <w:p w14:paraId="426621CE" w14:textId="37F97DA4" w:rsidR="001D2B72" w:rsidRDefault="00E93057" w:rsidP="00260D7D">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DF1326">
        <w:rPr>
          <w:rFonts w:ascii="Times New Roman" w:hAnsi="Times New Roman" w:cs="Times New Roman"/>
          <w:sz w:val="24"/>
          <w:szCs w:val="24"/>
        </w:rPr>
        <w:t xml:space="preserve">We also find that while adding governance variables improves the performance of bankruptcy prediction models, the </w:t>
      </w:r>
      <w:r w:rsidR="00DF1326" w:rsidRPr="004F2A14">
        <w:rPr>
          <w:rFonts w:ascii="Times New Roman" w:hAnsi="Times New Roman" w:cs="Times New Roman"/>
          <w:sz w:val="24"/>
          <w:szCs w:val="24"/>
        </w:rPr>
        <w:t>additional explanatory power provided by adding the governance measures</w:t>
      </w:r>
      <w:r w:rsidR="00DF1326">
        <w:rPr>
          <w:rFonts w:ascii="Times New Roman" w:hAnsi="Times New Roman" w:cs="Times New Roman"/>
          <w:sz w:val="24"/>
          <w:szCs w:val="24"/>
        </w:rPr>
        <w:t xml:space="preserve"> improves</w:t>
      </w:r>
      <w:r w:rsidR="00580EE1">
        <w:rPr>
          <w:rFonts w:ascii="Times New Roman" w:hAnsi="Times New Roman" w:cs="Times New Roman"/>
          <w:sz w:val="24"/>
          <w:szCs w:val="24"/>
        </w:rPr>
        <w:t xml:space="preserve"> the further we are from </w:t>
      </w:r>
      <w:r w:rsidR="00DF1326">
        <w:rPr>
          <w:rFonts w:ascii="Times New Roman" w:hAnsi="Times New Roman" w:cs="Times New Roman"/>
          <w:sz w:val="24"/>
          <w:szCs w:val="24"/>
        </w:rPr>
        <w:t>bankruptcy, which implies that governance variables tend to provide earlier and more accurate warnings of the firm’s bankruptcy potential (</w:t>
      </w:r>
      <w:r w:rsidR="00DF1326" w:rsidRPr="007135A4">
        <w:rPr>
          <w:rFonts w:ascii="Times New Roman" w:hAnsi="Times New Roman" w:cs="Times New Roman"/>
          <w:sz w:val="24"/>
          <w:szCs w:val="24"/>
        </w:rPr>
        <w:t>Daily and Dalton</w:t>
      </w:r>
      <w:r w:rsidR="00DF1326">
        <w:rPr>
          <w:rFonts w:ascii="Times New Roman" w:hAnsi="Times New Roman" w:cs="Times New Roman"/>
          <w:sz w:val="24"/>
          <w:szCs w:val="24"/>
        </w:rPr>
        <w:t xml:space="preserve"> </w:t>
      </w:r>
      <w:r w:rsidR="00DF1326" w:rsidRPr="007135A4">
        <w:rPr>
          <w:rFonts w:ascii="Times New Roman" w:hAnsi="Times New Roman" w:cs="Times New Roman"/>
          <w:sz w:val="24"/>
          <w:szCs w:val="24"/>
        </w:rPr>
        <w:t>1994</w:t>
      </w:r>
      <w:r w:rsidR="00DF1326">
        <w:rPr>
          <w:rFonts w:ascii="Times New Roman" w:hAnsi="Times New Roman" w:cs="Times New Roman"/>
          <w:sz w:val="24"/>
          <w:szCs w:val="24"/>
        </w:rPr>
        <w:t xml:space="preserve">, </w:t>
      </w:r>
      <w:r w:rsidR="00DF1326" w:rsidRPr="007135A4">
        <w:rPr>
          <w:rFonts w:ascii="Times New Roman" w:hAnsi="Times New Roman" w:cs="Times New Roman"/>
          <w:sz w:val="24"/>
          <w:szCs w:val="24"/>
        </w:rPr>
        <w:t xml:space="preserve">Darrat </w:t>
      </w:r>
      <w:r w:rsidR="00327178" w:rsidRPr="00327178">
        <w:rPr>
          <w:rFonts w:ascii="Times New Roman" w:hAnsi="Times New Roman" w:cs="Times New Roman"/>
          <w:i/>
          <w:iCs/>
          <w:sz w:val="24"/>
          <w:szCs w:val="24"/>
        </w:rPr>
        <w:t>et al.</w:t>
      </w:r>
      <w:r w:rsidR="00DF1326" w:rsidRPr="007135A4">
        <w:rPr>
          <w:rFonts w:ascii="Times New Roman" w:hAnsi="Times New Roman" w:cs="Times New Roman"/>
          <w:sz w:val="24"/>
          <w:szCs w:val="24"/>
        </w:rPr>
        <w:t xml:space="preserve"> 2016)</w:t>
      </w:r>
      <w:r w:rsidR="00DF1326">
        <w:rPr>
          <w:rFonts w:ascii="Times New Roman" w:hAnsi="Times New Roman" w:cs="Times New Roman"/>
          <w:sz w:val="24"/>
          <w:szCs w:val="24"/>
        </w:rPr>
        <w:t xml:space="preserve">. </w:t>
      </w:r>
      <w:r w:rsidR="007522EE">
        <w:rPr>
          <w:rFonts w:ascii="Times New Roman" w:hAnsi="Times New Roman" w:cs="Times New Roman"/>
          <w:sz w:val="24"/>
          <w:szCs w:val="24"/>
        </w:rPr>
        <w:t>Lastly,</w:t>
      </w:r>
      <w:r w:rsidR="00580EE1">
        <w:rPr>
          <w:rFonts w:ascii="Times New Roman" w:hAnsi="Times New Roman" w:cs="Times New Roman"/>
          <w:sz w:val="24"/>
          <w:szCs w:val="24"/>
        </w:rPr>
        <w:t xml:space="preserve"> our analysis of five of the most used estimation methods in the literature showed that</w:t>
      </w:r>
      <w:r w:rsidR="00DF1326">
        <w:rPr>
          <w:rFonts w:ascii="Times New Roman" w:hAnsi="Times New Roman" w:cs="Times New Roman"/>
          <w:sz w:val="24"/>
          <w:szCs w:val="24"/>
        </w:rPr>
        <w:t xml:space="preserve"> regardless of the bankruptcy model used,</w:t>
      </w:r>
      <w:r w:rsidR="00DF1326">
        <w:rPr>
          <w:rFonts w:asciiTheme="majorBidi" w:hAnsiTheme="majorBidi" w:cstheme="majorBidi"/>
          <w:color w:val="000000"/>
          <w:sz w:val="24"/>
          <w:szCs w:val="24"/>
        </w:rPr>
        <w:t xml:space="preserve"> hazard analysis provides the best classification and out-of-sample forecast accuracy among </w:t>
      </w:r>
      <w:r w:rsidR="00580EE1">
        <w:rPr>
          <w:rFonts w:asciiTheme="majorBidi" w:hAnsiTheme="majorBidi" w:cstheme="majorBidi"/>
          <w:color w:val="000000"/>
          <w:sz w:val="24"/>
          <w:szCs w:val="24"/>
        </w:rPr>
        <w:t>the</w:t>
      </w:r>
      <w:r w:rsidR="00DF1326">
        <w:rPr>
          <w:rFonts w:asciiTheme="majorBidi" w:hAnsiTheme="majorBidi" w:cstheme="majorBidi"/>
          <w:color w:val="000000"/>
          <w:sz w:val="24"/>
          <w:szCs w:val="24"/>
        </w:rPr>
        <w:t xml:space="preserve"> parametric methods</w:t>
      </w:r>
      <w:r w:rsidR="00580EE1">
        <w:rPr>
          <w:rFonts w:asciiTheme="majorBidi" w:hAnsiTheme="majorBidi" w:cstheme="majorBidi"/>
          <w:color w:val="000000"/>
          <w:sz w:val="24"/>
          <w:szCs w:val="24"/>
        </w:rPr>
        <w:t xml:space="preserve">. </w:t>
      </w:r>
      <w:r w:rsidR="00DF1326">
        <w:rPr>
          <w:rFonts w:asciiTheme="majorBidi" w:hAnsiTheme="majorBidi" w:cstheme="majorBidi"/>
          <w:color w:val="000000"/>
          <w:sz w:val="24"/>
          <w:szCs w:val="24"/>
        </w:rPr>
        <w:t xml:space="preserve">Nevertheless, non-parametric methods such as </w:t>
      </w:r>
      <w:r w:rsidR="00DF1326" w:rsidRPr="009058BC">
        <w:rPr>
          <w:rFonts w:asciiTheme="majorBidi" w:hAnsiTheme="majorBidi" w:cstheme="majorBidi"/>
          <w:color w:val="000000"/>
          <w:sz w:val="24"/>
          <w:szCs w:val="24"/>
        </w:rPr>
        <w:t>Neural Networks</w:t>
      </w:r>
      <w:r w:rsidR="00DF1326">
        <w:rPr>
          <w:rFonts w:asciiTheme="majorBidi" w:hAnsiTheme="majorBidi" w:cstheme="majorBidi"/>
          <w:color w:val="000000"/>
          <w:sz w:val="24"/>
          <w:szCs w:val="24"/>
        </w:rPr>
        <w:t xml:space="preserve"> or Data Envelopment Analysis appear to provide better classification accuracy regardless of the model selected</w:t>
      </w:r>
      <w:r w:rsidR="006444C6" w:rsidRPr="006444C6">
        <w:rPr>
          <w:rFonts w:asciiTheme="majorBidi" w:hAnsiTheme="majorBidi" w:cstheme="majorBidi"/>
          <w:color w:val="000000"/>
          <w:sz w:val="24"/>
          <w:szCs w:val="24"/>
        </w:rPr>
        <w:t xml:space="preserve"> </w:t>
      </w:r>
      <w:r w:rsidR="006444C6">
        <w:rPr>
          <w:rFonts w:asciiTheme="majorBidi" w:hAnsiTheme="majorBidi" w:cstheme="majorBidi"/>
          <w:color w:val="000000"/>
          <w:sz w:val="24"/>
          <w:szCs w:val="24"/>
        </w:rPr>
        <w:t>(</w:t>
      </w:r>
      <w:r w:rsidR="006444C6" w:rsidRPr="007A57CF">
        <w:rPr>
          <w:rFonts w:asciiTheme="majorBidi" w:hAnsiTheme="majorBidi" w:cstheme="majorBidi"/>
          <w:color w:val="000000"/>
          <w:sz w:val="24"/>
          <w:szCs w:val="24"/>
        </w:rPr>
        <w:t xml:space="preserve">Cielen </w:t>
      </w:r>
      <w:r w:rsidR="00327178" w:rsidRPr="00327178">
        <w:rPr>
          <w:rFonts w:asciiTheme="majorBidi" w:hAnsiTheme="majorBidi" w:cstheme="majorBidi"/>
          <w:i/>
          <w:iCs/>
          <w:color w:val="000000"/>
          <w:sz w:val="24"/>
          <w:szCs w:val="24"/>
        </w:rPr>
        <w:t>et al.</w:t>
      </w:r>
      <w:r w:rsidR="006444C6" w:rsidRPr="007A57CF">
        <w:rPr>
          <w:rFonts w:asciiTheme="majorBidi" w:hAnsiTheme="majorBidi" w:cstheme="majorBidi"/>
          <w:color w:val="000000"/>
          <w:sz w:val="24"/>
          <w:szCs w:val="24"/>
        </w:rPr>
        <w:t xml:space="preserve"> 2004</w:t>
      </w:r>
      <w:r w:rsidR="00327178" w:rsidRPr="00327178">
        <w:rPr>
          <w:rFonts w:asciiTheme="majorBidi" w:hAnsiTheme="majorBidi" w:cstheme="majorBidi"/>
          <w:color w:val="000000"/>
          <w:sz w:val="24"/>
          <w:szCs w:val="24"/>
        </w:rPr>
        <w:t>,</w:t>
      </w:r>
      <w:r w:rsidR="006444C6">
        <w:rPr>
          <w:rFonts w:asciiTheme="majorBidi" w:hAnsiTheme="majorBidi" w:cstheme="majorBidi"/>
          <w:color w:val="000000"/>
          <w:sz w:val="24"/>
          <w:szCs w:val="24"/>
        </w:rPr>
        <w:t xml:space="preserve"> </w:t>
      </w:r>
      <w:r w:rsidR="006444C6" w:rsidRPr="007A57CF">
        <w:rPr>
          <w:rFonts w:asciiTheme="majorBidi" w:hAnsiTheme="majorBidi" w:cstheme="majorBidi"/>
          <w:color w:val="000000"/>
          <w:sz w:val="24"/>
          <w:szCs w:val="24"/>
        </w:rPr>
        <w:t xml:space="preserve">Desai </w:t>
      </w:r>
      <w:r w:rsidR="00327178" w:rsidRPr="00327178">
        <w:rPr>
          <w:rFonts w:asciiTheme="majorBidi" w:hAnsiTheme="majorBidi" w:cstheme="majorBidi"/>
          <w:i/>
          <w:iCs/>
          <w:color w:val="000000"/>
          <w:sz w:val="24"/>
          <w:szCs w:val="24"/>
        </w:rPr>
        <w:t>et al.</w:t>
      </w:r>
      <w:r w:rsidR="006444C6" w:rsidRPr="007A57CF">
        <w:rPr>
          <w:rFonts w:asciiTheme="majorBidi" w:hAnsiTheme="majorBidi" w:cstheme="majorBidi"/>
          <w:color w:val="000000"/>
          <w:sz w:val="24"/>
          <w:szCs w:val="24"/>
        </w:rPr>
        <w:t xml:space="preserve"> 1996</w:t>
      </w:r>
      <w:r w:rsidR="00327178" w:rsidRPr="00327178">
        <w:rPr>
          <w:rFonts w:asciiTheme="majorBidi" w:hAnsiTheme="majorBidi" w:cstheme="majorBidi"/>
          <w:color w:val="000000"/>
          <w:sz w:val="24"/>
          <w:szCs w:val="24"/>
        </w:rPr>
        <w:t>,</w:t>
      </w:r>
      <w:r w:rsidR="006444C6" w:rsidRPr="007A57CF">
        <w:rPr>
          <w:rFonts w:asciiTheme="majorBidi" w:hAnsiTheme="majorBidi" w:cstheme="majorBidi"/>
          <w:color w:val="000000"/>
          <w:sz w:val="24"/>
          <w:szCs w:val="24"/>
        </w:rPr>
        <w:t xml:space="preserve"> Malhotra and Malhotra, 2003</w:t>
      </w:r>
      <w:r w:rsidR="00327178" w:rsidRPr="00327178">
        <w:rPr>
          <w:rFonts w:asciiTheme="majorBidi" w:hAnsiTheme="majorBidi" w:cstheme="majorBidi"/>
          <w:color w:val="000000"/>
          <w:sz w:val="24"/>
          <w:szCs w:val="24"/>
        </w:rPr>
        <w:t>,</w:t>
      </w:r>
      <w:r w:rsidR="006444C6" w:rsidRPr="007A57CF">
        <w:rPr>
          <w:rFonts w:asciiTheme="majorBidi" w:hAnsiTheme="majorBidi" w:cstheme="majorBidi"/>
          <w:color w:val="000000"/>
          <w:sz w:val="24"/>
          <w:szCs w:val="24"/>
        </w:rPr>
        <w:t xml:space="preserve"> Premachandra </w:t>
      </w:r>
      <w:r w:rsidR="00327178" w:rsidRPr="00327178">
        <w:rPr>
          <w:rFonts w:asciiTheme="majorBidi" w:hAnsiTheme="majorBidi" w:cstheme="majorBidi"/>
          <w:i/>
          <w:iCs/>
          <w:color w:val="000000"/>
          <w:sz w:val="24"/>
          <w:szCs w:val="24"/>
        </w:rPr>
        <w:t>et al.</w:t>
      </w:r>
      <w:r w:rsidR="006444C6">
        <w:rPr>
          <w:rFonts w:asciiTheme="majorBidi" w:hAnsiTheme="majorBidi" w:cstheme="majorBidi"/>
          <w:color w:val="000000"/>
          <w:sz w:val="24"/>
          <w:szCs w:val="24"/>
        </w:rPr>
        <w:t xml:space="preserve"> </w:t>
      </w:r>
      <w:r w:rsidR="006444C6" w:rsidRPr="007A57CF">
        <w:rPr>
          <w:rFonts w:asciiTheme="majorBidi" w:hAnsiTheme="majorBidi" w:cstheme="majorBidi"/>
          <w:color w:val="000000"/>
          <w:sz w:val="24"/>
          <w:szCs w:val="24"/>
        </w:rPr>
        <w:t>2009</w:t>
      </w:r>
      <w:r w:rsidR="00327178" w:rsidRPr="00327178">
        <w:rPr>
          <w:rFonts w:asciiTheme="majorBidi" w:hAnsiTheme="majorBidi" w:cstheme="majorBidi"/>
          <w:color w:val="000000"/>
          <w:sz w:val="24"/>
          <w:szCs w:val="24"/>
        </w:rPr>
        <w:t>,</w:t>
      </w:r>
      <w:r w:rsidR="006444C6">
        <w:rPr>
          <w:rFonts w:asciiTheme="majorBidi" w:hAnsiTheme="majorBidi" w:cstheme="majorBidi"/>
          <w:color w:val="000000"/>
          <w:sz w:val="24"/>
          <w:szCs w:val="24"/>
        </w:rPr>
        <w:t xml:space="preserve"> </w:t>
      </w:r>
      <w:r w:rsidR="006444C6" w:rsidRPr="007A57CF">
        <w:rPr>
          <w:rFonts w:asciiTheme="majorBidi" w:hAnsiTheme="majorBidi" w:cstheme="majorBidi"/>
          <w:color w:val="000000"/>
          <w:sz w:val="24"/>
          <w:szCs w:val="24"/>
        </w:rPr>
        <w:t>Wilson and Sharda 1994</w:t>
      </w:r>
      <w:r w:rsidR="00327178" w:rsidRPr="00327178">
        <w:rPr>
          <w:rFonts w:asciiTheme="majorBidi" w:hAnsiTheme="majorBidi" w:cstheme="majorBidi"/>
          <w:color w:val="000000"/>
          <w:sz w:val="24"/>
          <w:szCs w:val="24"/>
        </w:rPr>
        <w:t>,</w:t>
      </w:r>
      <w:r w:rsidR="006444C6" w:rsidRPr="007A57CF">
        <w:rPr>
          <w:rFonts w:asciiTheme="majorBidi" w:hAnsiTheme="majorBidi" w:cstheme="majorBidi"/>
          <w:color w:val="000000"/>
          <w:sz w:val="24"/>
          <w:szCs w:val="24"/>
        </w:rPr>
        <w:t xml:space="preserve"> Zhang </w:t>
      </w:r>
      <w:r w:rsidR="00327178" w:rsidRPr="00327178">
        <w:rPr>
          <w:rFonts w:asciiTheme="majorBidi" w:hAnsiTheme="majorBidi" w:cstheme="majorBidi"/>
          <w:i/>
          <w:iCs/>
          <w:color w:val="000000"/>
          <w:sz w:val="24"/>
          <w:szCs w:val="24"/>
        </w:rPr>
        <w:t>et al.</w:t>
      </w:r>
      <w:r w:rsidR="006444C6" w:rsidRPr="007A57CF">
        <w:rPr>
          <w:rFonts w:asciiTheme="majorBidi" w:hAnsiTheme="majorBidi" w:cstheme="majorBidi"/>
          <w:color w:val="000000"/>
          <w:sz w:val="24"/>
          <w:szCs w:val="24"/>
        </w:rPr>
        <w:t xml:space="preserve"> 1999)</w:t>
      </w:r>
      <w:r w:rsidR="006444C6">
        <w:rPr>
          <w:rFonts w:asciiTheme="majorBidi" w:hAnsiTheme="majorBidi" w:cstheme="majorBidi"/>
          <w:color w:val="000000"/>
          <w:sz w:val="24"/>
          <w:szCs w:val="24"/>
        </w:rPr>
        <w:t>. The study also</w:t>
      </w:r>
      <w:r w:rsidR="00730E52">
        <w:rPr>
          <w:rFonts w:asciiTheme="majorBidi" w:hAnsiTheme="majorBidi" w:cstheme="majorBidi"/>
          <w:color w:val="000000"/>
          <w:sz w:val="24"/>
          <w:szCs w:val="24"/>
        </w:rPr>
        <w:t xml:space="preserve"> employed</w:t>
      </w:r>
      <w:r w:rsidR="00580EE1" w:rsidRPr="00580EE1">
        <w:rPr>
          <w:rFonts w:ascii="Times New Roman" w:hAnsi="Times New Roman" w:cs="Times New Roman"/>
          <w:sz w:val="24"/>
          <w:szCs w:val="24"/>
        </w:rPr>
        <w:t xml:space="preserve"> </w:t>
      </w:r>
      <w:r w:rsidR="00580EE1" w:rsidRPr="00A972A6">
        <w:rPr>
          <w:rFonts w:ascii="Times New Roman" w:hAnsi="Times New Roman" w:cs="Times New Roman"/>
          <w:sz w:val="24"/>
          <w:szCs w:val="24"/>
        </w:rPr>
        <w:t>the dynamic</w:t>
      </w:r>
      <w:r w:rsidR="00580EE1">
        <w:rPr>
          <w:rFonts w:ascii="Times New Roman" w:hAnsi="Times New Roman" w:cs="Times New Roman"/>
          <w:sz w:val="24"/>
          <w:szCs w:val="24"/>
        </w:rPr>
        <w:t xml:space="preserve"> </w:t>
      </w:r>
      <w:r w:rsidR="00580EE1" w:rsidRPr="00A972A6">
        <w:rPr>
          <w:rFonts w:ascii="Times New Roman" w:hAnsi="Times New Roman" w:cs="Times New Roman"/>
          <w:sz w:val="24"/>
          <w:szCs w:val="24"/>
        </w:rPr>
        <w:t>panel</w:t>
      </w:r>
      <w:r w:rsidR="00580EE1">
        <w:rPr>
          <w:rFonts w:ascii="Times New Roman" w:hAnsi="Times New Roman" w:cs="Times New Roman"/>
          <w:sz w:val="24"/>
          <w:szCs w:val="24"/>
        </w:rPr>
        <w:t xml:space="preserve"> </w:t>
      </w:r>
      <w:r w:rsidR="00580EE1" w:rsidRPr="00A972A6">
        <w:rPr>
          <w:rFonts w:ascii="Times New Roman" w:hAnsi="Times New Roman" w:cs="Times New Roman"/>
          <w:sz w:val="24"/>
          <w:szCs w:val="24"/>
        </w:rPr>
        <w:t>GMM estimator</w:t>
      </w:r>
      <w:r w:rsidR="00580EE1">
        <w:rPr>
          <w:rFonts w:ascii="Times New Roman" w:hAnsi="Times New Roman" w:cs="Times New Roman"/>
          <w:sz w:val="24"/>
          <w:szCs w:val="24"/>
        </w:rPr>
        <w:t xml:space="preserve"> to address any endogeneity concerns with regards to the relationship between bankruptcy prediction and corporate governance </w:t>
      </w:r>
      <w:r w:rsidR="00730E52">
        <w:rPr>
          <w:rFonts w:ascii="Times New Roman" w:hAnsi="Times New Roman" w:cs="Times New Roman"/>
          <w:sz w:val="24"/>
          <w:szCs w:val="24"/>
        </w:rPr>
        <w:t>and found no support for such concerns.</w:t>
      </w:r>
      <w:r w:rsidR="006444C6">
        <w:rPr>
          <w:rFonts w:ascii="Times New Roman" w:hAnsi="Times New Roman" w:cs="Times New Roman"/>
          <w:sz w:val="24"/>
          <w:szCs w:val="24"/>
        </w:rPr>
        <w:t xml:space="preserve"> </w:t>
      </w:r>
    </w:p>
    <w:p w14:paraId="07139778" w14:textId="77777777" w:rsidR="00E93057" w:rsidRDefault="00E93057" w:rsidP="00260D7D">
      <w:pPr>
        <w:tabs>
          <w:tab w:val="left" w:pos="567"/>
        </w:tabs>
        <w:spacing w:after="0" w:line="288" w:lineRule="auto"/>
        <w:jc w:val="both"/>
        <w:rPr>
          <w:rFonts w:ascii="Times New Roman" w:hAnsi="Times New Roman" w:cs="Times New Roman"/>
          <w:sz w:val="24"/>
          <w:szCs w:val="24"/>
        </w:rPr>
      </w:pPr>
    </w:p>
    <w:p w14:paraId="7AB038D7" w14:textId="77777777" w:rsidR="006C1288" w:rsidRDefault="00E93057" w:rsidP="006C1288">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1D2B72">
        <w:rPr>
          <w:rFonts w:ascii="Times New Roman" w:hAnsi="Times New Roman" w:cs="Times New Roman"/>
          <w:sz w:val="24"/>
          <w:szCs w:val="24"/>
        </w:rPr>
        <w:t xml:space="preserve">While we do not attempt to examine the process through which corporate governance influences the probability of bankruptcy, prior evidence from the literature suggests that </w:t>
      </w:r>
      <w:r w:rsidR="00600828">
        <w:rPr>
          <w:rFonts w:ascii="Times New Roman" w:hAnsi="Times New Roman" w:cs="Times New Roman"/>
          <w:sz w:val="24"/>
          <w:szCs w:val="24"/>
        </w:rPr>
        <w:t>corporate governance impacts the firm’s operating performance and its risk-taking behavior</w:t>
      </w:r>
      <w:r w:rsidR="00265EDB">
        <w:rPr>
          <w:rFonts w:ascii="Times New Roman" w:hAnsi="Times New Roman" w:cs="Times New Roman"/>
          <w:sz w:val="24"/>
          <w:szCs w:val="24"/>
        </w:rPr>
        <w:t xml:space="preserve"> and hence its probability of default </w:t>
      </w:r>
      <w:r w:rsidR="00631A0D">
        <w:rPr>
          <w:rFonts w:ascii="Times New Roman" w:hAnsi="Times New Roman" w:cs="Times New Roman"/>
          <w:sz w:val="24"/>
          <w:szCs w:val="24"/>
        </w:rPr>
        <w:t>through mitigating and limiting agency issues (</w:t>
      </w:r>
      <w:r w:rsidR="00265EDB">
        <w:rPr>
          <w:rFonts w:ascii="Times New Roman" w:hAnsi="Times New Roman" w:cs="Times New Roman"/>
          <w:sz w:val="24"/>
          <w:szCs w:val="24"/>
        </w:rPr>
        <w:t>Bhagat and Bolton 2008</w:t>
      </w:r>
      <w:r w:rsidR="006D5DD3" w:rsidRPr="006D5DD3">
        <w:rPr>
          <w:rFonts w:ascii="Times New Roman" w:hAnsi="Times New Roman" w:cs="Times New Roman"/>
          <w:sz w:val="24"/>
          <w:szCs w:val="24"/>
        </w:rPr>
        <w:t>,</w:t>
      </w:r>
      <w:r w:rsidR="00265EDB">
        <w:rPr>
          <w:rFonts w:ascii="Times New Roman" w:hAnsi="Times New Roman" w:cs="Times New Roman"/>
          <w:sz w:val="24"/>
          <w:szCs w:val="24"/>
        </w:rPr>
        <w:t xml:space="preserve"> Bhojraj and Sengupta 2003). </w:t>
      </w:r>
      <w:r w:rsidR="00730E52" w:rsidRPr="005D4EEC">
        <w:rPr>
          <w:rFonts w:ascii="Times New Roman" w:hAnsi="Times New Roman" w:cs="Times New Roman"/>
          <w:sz w:val="24"/>
          <w:szCs w:val="24"/>
        </w:rPr>
        <w:t>The results of this study contr</w:t>
      </w:r>
      <w:r w:rsidR="00730E52">
        <w:rPr>
          <w:rFonts w:ascii="Times New Roman" w:hAnsi="Times New Roman" w:cs="Times New Roman"/>
          <w:sz w:val="24"/>
          <w:szCs w:val="24"/>
        </w:rPr>
        <w:t>ibute to the debate on</w:t>
      </w:r>
      <w:r w:rsidR="00730E52" w:rsidRPr="005D4EEC">
        <w:rPr>
          <w:rFonts w:ascii="Times New Roman" w:hAnsi="Times New Roman" w:cs="Times New Roman"/>
          <w:sz w:val="24"/>
          <w:szCs w:val="24"/>
        </w:rPr>
        <w:t xml:space="preserve"> the best </w:t>
      </w:r>
      <w:r w:rsidR="00730E52">
        <w:rPr>
          <w:rFonts w:ascii="Times New Roman" w:hAnsi="Times New Roman" w:cs="Times New Roman"/>
          <w:sz w:val="24"/>
          <w:szCs w:val="24"/>
        </w:rPr>
        <w:t>estimation methods</w:t>
      </w:r>
      <w:r w:rsidR="00730E52" w:rsidRPr="005D4EEC">
        <w:rPr>
          <w:rFonts w:ascii="Times New Roman" w:hAnsi="Times New Roman" w:cs="Times New Roman"/>
          <w:sz w:val="24"/>
          <w:szCs w:val="24"/>
        </w:rPr>
        <w:t xml:space="preserve"> and the role of</w:t>
      </w:r>
      <w:r w:rsidR="00730E52">
        <w:rPr>
          <w:rFonts w:ascii="Times New Roman" w:hAnsi="Times New Roman" w:cs="Times New Roman"/>
          <w:sz w:val="24"/>
          <w:szCs w:val="24"/>
        </w:rPr>
        <w:t xml:space="preserve"> governance </w:t>
      </w:r>
      <w:r w:rsidR="00730E52" w:rsidRPr="005D4EEC">
        <w:rPr>
          <w:rFonts w:ascii="Times New Roman" w:hAnsi="Times New Roman" w:cs="Times New Roman"/>
          <w:sz w:val="24"/>
          <w:szCs w:val="24"/>
        </w:rPr>
        <w:t xml:space="preserve">characteristics in </w:t>
      </w:r>
      <w:r w:rsidR="00730E52">
        <w:rPr>
          <w:rFonts w:ascii="Times New Roman" w:hAnsi="Times New Roman" w:cs="Times New Roman"/>
          <w:sz w:val="24"/>
          <w:szCs w:val="24"/>
        </w:rPr>
        <w:t xml:space="preserve">improving the </w:t>
      </w:r>
      <w:r w:rsidR="00730E52">
        <w:rPr>
          <w:rFonts w:ascii="Times New Roman" w:hAnsi="Times New Roman" w:cs="Times New Roman"/>
          <w:sz w:val="24"/>
          <w:szCs w:val="24"/>
        </w:rPr>
        <w:lastRenderedPageBreak/>
        <w:t>bankruptcy prediction process</w:t>
      </w:r>
      <w:r w:rsidR="00730E52" w:rsidRPr="005D4EEC">
        <w:rPr>
          <w:rFonts w:ascii="Times New Roman" w:hAnsi="Times New Roman" w:cs="Times New Roman"/>
          <w:sz w:val="24"/>
          <w:szCs w:val="24"/>
        </w:rPr>
        <w:t xml:space="preserve">. The results also inform future decision-making process with regards to improving corporate governance practices and increasing investor protection. </w:t>
      </w:r>
      <w:r w:rsidR="00730E52">
        <w:rPr>
          <w:rFonts w:ascii="Times New Roman" w:hAnsi="Times New Roman" w:cs="Times New Roman"/>
          <w:sz w:val="24"/>
          <w:szCs w:val="24"/>
        </w:rPr>
        <w:t>Future research can focus on examining a wider set of governance factors</w:t>
      </w:r>
      <w:r w:rsidR="006444C6">
        <w:rPr>
          <w:rFonts w:ascii="Times New Roman" w:hAnsi="Times New Roman" w:cs="Times New Roman"/>
          <w:sz w:val="24"/>
          <w:szCs w:val="24"/>
        </w:rPr>
        <w:t xml:space="preserve"> across different geographies which will improve our understanding of the contribution of the different governance factors in each geography. </w:t>
      </w:r>
    </w:p>
    <w:p w14:paraId="642B73A8" w14:textId="77777777" w:rsidR="006C1288" w:rsidRDefault="006C1288" w:rsidP="006C1288">
      <w:pPr>
        <w:tabs>
          <w:tab w:val="left" w:pos="567"/>
        </w:tabs>
        <w:spacing w:after="0" w:line="288" w:lineRule="auto"/>
        <w:jc w:val="both"/>
        <w:rPr>
          <w:rFonts w:ascii="Times New Roman" w:hAnsi="Times New Roman" w:cs="Times New Roman"/>
          <w:sz w:val="24"/>
          <w:szCs w:val="24"/>
        </w:rPr>
      </w:pPr>
    </w:p>
    <w:p w14:paraId="7617FEC5" w14:textId="77777777" w:rsidR="0049324B" w:rsidRDefault="0049324B" w:rsidP="006C1288">
      <w:pPr>
        <w:tabs>
          <w:tab w:val="left" w:pos="567"/>
        </w:tabs>
        <w:spacing w:after="0" w:line="288" w:lineRule="auto"/>
        <w:jc w:val="both"/>
        <w:rPr>
          <w:rFonts w:ascii="Times New Roman" w:hAnsi="Times New Roman" w:cs="Times New Roman"/>
          <w:b/>
          <w:bCs/>
          <w:sz w:val="24"/>
          <w:szCs w:val="24"/>
        </w:rPr>
      </w:pPr>
    </w:p>
    <w:p w14:paraId="201C3C1F" w14:textId="4A3533FB" w:rsidR="00FA44C4" w:rsidRPr="006C1288" w:rsidRDefault="00FA44C4" w:rsidP="006C1288">
      <w:pPr>
        <w:tabs>
          <w:tab w:val="left" w:pos="567"/>
        </w:tabs>
        <w:spacing w:after="0" w:line="288" w:lineRule="auto"/>
        <w:jc w:val="both"/>
        <w:rPr>
          <w:rFonts w:ascii="Times New Roman" w:hAnsi="Times New Roman" w:cs="Times New Roman"/>
          <w:sz w:val="24"/>
          <w:szCs w:val="24"/>
        </w:rPr>
      </w:pPr>
      <w:r w:rsidRPr="00FA44C4">
        <w:rPr>
          <w:rFonts w:ascii="Times New Roman" w:hAnsi="Times New Roman" w:cs="Times New Roman"/>
          <w:b/>
          <w:bCs/>
          <w:sz w:val="24"/>
          <w:szCs w:val="24"/>
        </w:rPr>
        <w:t>References</w:t>
      </w:r>
    </w:p>
    <w:p w14:paraId="763B3272"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Adams, R. B., &amp; Ferreira, D. (2009). Women in the boardroom and their impact on governance and performance. </w:t>
      </w:r>
      <w:r w:rsidRPr="008051DA">
        <w:rPr>
          <w:rFonts w:asciiTheme="majorBidi" w:hAnsiTheme="majorBidi" w:cstheme="majorBidi"/>
          <w:i/>
          <w:iCs/>
        </w:rPr>
        <w:t>Journal of Financial Economics, 94</w:t>
      </w:r>
      <w:r w:rsidRPr="008051DA">
        <w:rPr>
          <w:rFonts w:asciiTheme="majorBidi" w:hAnsiTheme="majorBidi" w:cstheme="majorBidi"/>
        </w:rPr>
        <w:t>(2), 291-309.</w:t>
      </w:r>
    </w:p>
    <w:p w14:paraId="580B40AA"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Agarwal, V., &amp; Taffler, R. (2008). Comparing the performance of market-based and accounting-based bankruptcy prediction models. </w:t>
      </w:r>
      <w:r w:rsidRPr="008051DA">
        <w:rPr>
          <w:rFonts w:asciiTheme="majorBidi" w:hAnsiTheme="majorBidi" w:cstheme="majorBidi"/>
          <w:i/>
          <w:iCs/>
        </w:rPr>
        <w:t>Journal of Banking &amp; Finance, 32</w:t>
      </w:r>
      <w:r w:rsidRPr="008051DA">
        <w:rPr>
          <w:rFonts w:asciiTheme="majorBidi" w:hAnsiTheme="majorBidi" w:cstheme="majorBidi"/>
        </w:rPr>
        <w:t>(8), 1541-1551.</w:t>
      </w:r>
    </w:p>
    <w:p w14:paraId="42BCA056"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Almamy, J., Aston, J., &amp; Ngwa, L. N. (2016). An evaluation of Altman's Z-score using cash flow ratio to predict corporate failure amid the recent financial crisis: Evidence from the UK. </w:t>
      </w:r>
      <w:r w:rsidRPr="008051DA">
        <w:rPr>
          <w:rFonts w:asciiTheme="majorBidi" w:hAnsiTheme="majorBidi" w:cstheme="majorBidi"/>
          <w:i/>
          <w:iCs/>
        </w:rPr>
        <w:t>Journal of Corporate Finance, 36</w:t>
      </w:r>
      <w:r w:rsidRPr="008051DA">
        <w:rPr>
          <w:rFonts w:asciiTheme="majorBidi" w:hAnsiTheme="majorBidi" w:cstheme="majorBidi"/>
        </w:rPr>
        <w:t>, 278-285.</w:t>
      </w:r>
    </w:p>
    <w:p w14:paraId="595FD044"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Altman, E. I. (1968). Financial Ratios, Discriminant Analysis and the Prediction of Corporate Bankruptcy. </w:t>
      </w:r>
      <w:r w:rsidRPr="008051DA">
        <w:rPr>
          <w:rFonts w:asciiTheme="majorBidi" w:hAnsiTheme="majorBidi" w:cstheme="majorBidi"/>
          <w:i/>
          <w:iCs/>
        </w:rPr>
        <w:t>The Journal of Finance, 23</w:t>
      </w:r>
      <w:r w:rsidRPr="008051DA">
        <w:rPr>
          <w:rFonts w:asciiTheme="majorBidi" w:hAnsiTheme="majorBidi" w:cstheme="majorBidi"/>
        </w:rPr>
        <w:t>(4), 589-609.</w:t>
      </w:r>
    </w:p>
    <w:p w14:paraId="4BC5B66A"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Altman, E. I., Haldeman, R. G., &amp; Narayanan, P. (1977). ZETATM analysis A new model to identify bankruptcy risk of corporations. </w:t>
      </w:r>
      <w:r w:rsidRPr="008051DA">
        <w:rPr>
          <w:rFonts w:asciiTheme="majorBidi" w:hAnsiTheme="majorBidi" w:cstheme="majorBidi"/>
          <w:i/>
          <w:iCs/>
        </w:rPr>
        <w:t>Journal of Banking &amp; Finance, 1</w:t>
      </w:r>
      <w:r w:rsidRPr="008051DA">
        <w:rPr>
          <w:rFonts w:asciiTheme="majorBidi" w:hAnsiTheme="majorBidi" w:cstheme="majorBidi"/>
        </w:rPr>
        <w:t>(1), 29-54.</w:t>
      </w:r>
    </w:p>
    <w:p w14:paraId="7AF3E80E"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Altman, E. I., Iwanicz-Drozdowska, M., Laitinen, E. K., &amp; Suvas, A. (2016). Financial Distress Prediction in an International Context: A Review and Empirical Analysis of Altman's Z-Score Model. </w:t>
      </w:r>
      <w:r w:rsidRPr="008051DA">
        <w:rPr>
          <w:rFonts w:asciiTheme="majorBidi" w:hAnsiTheme="majorBidi" w:cstheme="majorBidi"/>
          <w:i/>
          <w:iCs/>
        </w:rPr>
        <w:t>Journal of International Financial Management &amp; Accounting</w:t>
      </w:r>
      <w:r w:rsidRPr="008051DA">
        <w:rPr>
          <w:rFonts w:asciiTheme="majorBidi" w:hAnsiTheme="majorBidi" w:cstheme="majorBidi"/>
        </w:rPr>
        <w:t>, 0-0.</w:t>
      </w:r>
    </w:p>
    <w:p w14:paraId="7A1A6256"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Arellano, M., &amp; Bover, O. (1995). Another look at the instrumental variable estimation of error-components models. </w:t>
      </w:r>
      <w:r w:rsidRPr="008051DA">
        <w:rPr>
          <w:rFonts w:asciiTheme="majorBidi" w:hAnsiTheme="majorBidi" w:cstheme="majorBidi"/>
          <w:i/>
          <w:iCs/>
        </w:rPr>
        <w:t>Journal of Econometrics, 68</w:t>
      </w:r>
      <w:r w:rsidRPr="008051DA">
        <w:rPr>
          <w:rFonts w:asciiTheme="majorBidi" w:hAnsiTheme="majorBidi" w:cstheme="majorBidi"/>
        </w:rPr>
        <w:t>(1), 29-51.</w:t>
      </w:r>
    </w:p>
    <w:p w14:paraId="613B63D1"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Beaver, W. H. (1966). Financial Ratios As Predictors of Failure. </w:t>
      </w:r>
      <w:r w:rsidRPr="008051DA">
        <w:rPr>
          <w:rFonts w:asciiTheme="majorBidi" w:hAnsiTheme="majorBidi" w:cstheme="majorBidi"/>
          <w:i/>
          <w:iCs/>
        </w:rPr>
        <w:t>Journal of Accounting Research, 4</w:t>
      </w:r>
      <w:r w:rsidRPr="008051DA">
        <w:rPr>
          <w:rFonts w:asciiTheme="majorBidi" w:hAnsiTheme="majorBidi" w:cstheme="majorBidi"/>
        </w:rPr>
        <w:t>, 71-111.</w:t>
      </w:r>
    </w:p>
    <w:p w14:paraId="3E713C64"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Bharath, S. T., &amp; Shumway, T. (2008). Forecasting Default with the Merton Distance to Default Model. </w:t>
      </w:r>
      <w:r w:rsidRPr="008051DA">
        <w:rPr>
          <w:rFonts w:asciiTheme="majorBidi" w:hAnsiTheme="majorBidi" w:cstheme="majorBidi"/>
          <w:i/>
          <w:iCs/>
        </w:rPr>
        <w:t>The Review of Financial Studies, 21</w:t>
      </w:r>
      <w:r w:rsidRPr="008051DA">
        <w:rPr>
          <w:rFonts w:asciiTheme="majorBidi" w:hAnsiTheme="majorBidi" w:cstheme="majorBidi"/>
        </w:rPr>
        <w:t>(3), 1339-1369.</w:t>
      </w:r>
    </w:p>
    <w:p w14:paraId="19269EA6"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Bhojraj, S., &amp; Sengupta, P. (2003). Effect of Corporate Governance on Bond Ratings and Yields: The Role of Institutional Investors and Outside Directors. </w:t>
      </w:r>
      <w:r w:rsidRPr="008051DA">
        <w:rPr>
          <w:rFonts w:asciiTheme="majorBidi" w:hAnsiTheme="majorBidi" w:cstheme="majorBidi"/>
          <w:i/>
          <w:iCs/>
        </w:rPr>
        <w:t>The Journal of Business, 76</w:t>
      </w:r>
      <w:r w:rsidRPr="008051DA">
        <w:rPr>
          <w:rFonts w:asciiTheme="majorBidi" w:hAnsiTheme="majorBidi" w:cstheme="majorBidi"/>
        </w:rPr>
        <w:t>(3), 455-475.</w:t>
      </w:r>
    </w:p>
    <w:p w14:paraId="79A1035E"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Black, F., &amp; Scholes, M. (1973). The Pricing of Options and Corporate Liabilities. </w:t>
      </w:r>
      <w:r w:rsidRPr="008051DA">
        <w:rPr>
          <w:rFonts w:asciiTheme="majorBidi" w:hAnsiTheme="majorBidi" w:cstheme="majorBidi"/>
          <w:i/>
          <w:iCs/>
        </w:rPr>
        <w:t>Journal of Political Economy, 81</w:t>
      </w:r>
      <w:r w:rsidRPr="008051DA">
        <w:rPr>
          <w:rFonts w:asciiTheme="majorBidi" w:hAnsiTheme="majorBidi" w:cstheme="majorBidi"/>
        </w:rPr>
        <w:t>(3), 637-654.</w:t>
      </w:r>
    </w:p>
    <w:p w14:paraId="310B2EC7"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Blundell, R., &amp; Bond, S. (1998). Initial conditions and moment restrictions in dynamic panel data models. </w:t>
      </w:r>
      <w:r w:rsidRPr="008051DA">
        <w:rPr>
          <w:rFonts w:asciiTheme="majorBidi" w:hAnsiTheme="majorBidi" w:cstheme="majorBidi"/>
          <w:i/>
          <w:iCs/>
        </w:rPr>
        <w:t>Journal of Econometrics, 87</w:t>
      </w:r>
      <w:r w:rsidRPr="008051DA">
        <w:rPr>
          <w:rFonts w:asciiTheme="majorBidi" w:hAnsiTheme="majorBidi" w:cstheme="majorBidi"/>
        </w:rPr>
        <w:t>(1), 115-143.</w:t>
      </w:r>
    </w:p>
    <w:p w14:paraId="150E4510"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Chan, C.-Y., Chou, D.-W., Lin, J.-R., &amp; Liu, F.-Y. (2016). The role of corporate governance in forecasting bankruptcy: Pre- and post-SOX enactment. </w:t>
      </w:r>
      <w:r w:rsidRPr="008051DA">
        <w:rPr>
          <w:rFonts w:asciiTheme="majorBidi" w:hAnsiTheme="majorBidi" w:cstheme="majorBidi"/>
          <w:i/>
          <w:iCs/>
        </w:rPr>
        <w:t>The North American Journal of Economics and Finance, 35</w:t>
      </w:r>
      <w:r w:rsidRPr="008051DA">
        <w:rPr>
          <w:rFonts w:asciiTheme="majorBidi" w:hAnsiTheme="majorBidi" w:cstheme="majorBidi"/>
        </w:rPr>
        <w:t>, 166-188.</w:t>
      </w:r>
    </w:p>
    <w:p w14:paraId="5F7C3633"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Chava, S., &amp; Jarrow, R. A. (2004). Bankruptcy Prediction with Industry Effects. </w:t>
      </w:r>
      <w:r w:rsidRPr="008051DA">
        <w:rPr>
          <w:rFonts w:asciiTheme="majorBidi" w:hAnsiTheme="majorBidi" w:cstheme="majorBidi"/>
          <w:i/>
          <w:iCs/>
        </w:rPr>
        <w:t>Review of Finance, 8</w:t>
      </w:r>
      <w:r w:rsidRPr="008051DA">
        <w:rPr>
          <w:rFonts w:asciiTheme="majorBidi" w:hAnsiTheme="majorBidi" w:cstheme="majorBidi"/>
        </w:rPr>
        <w:t>(4), 537-569.</w:t>
      </w:r>
    </w:p>
    <w:p w14:paraId="3B3835FE"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Cielen, A., Peeters, L., &amp; Vanhoof, K. (2004). Bankruptcy prediction using a data envelopment analysis. </w:t>
      </w:r>
      <w:r w:rsidRPr="008051DA">
        <w:rPr>
          <w:rFonts w:asciiTheme="majorBidi" w:hAnsiTheme="majorBidi" w:cstheme="majorBidi"/>
          <w:i/>
          <w:iCs/>
        </w:rPr>
        <w:t>European Journal of Operational Research, 154</w:t>
      </w:r>
      <w:r w:rsidRPr="008051DA">
        <w:rPr>
          <w:rFonts w:asciiTheme="majorBidi" w:hAnsiTheme="majorBidi" w:cstheme="majorBidi"/>
        </w:rPr>
        <w:t>(2), 526-532.</w:t>
      </w:r>
    </w:p>
    <w:p w14:paraId="767C2796"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Daily, C. M., &amp; Dalton, D. R. (1994). Bankruptcy and Corporate Governance: The Impact of Board Composition and Structure. </w:t>
      </w:r>
      <w:r w:rsidRPr="008051DA">
        <w:rPr>
          <w:rFonts w:asciiTheme="majorBidi" w:hAnsiTheme="majorBidi" w:cstheme="majorBidi"/>
          <w:i/>
          <w:iCs/>
        </w:rPr>
        <w:t>The Academy of Management Journal, 37</w:t>
      </w:r>
      <w:r w:rsidRPr="008051DA">
        <w:rPr>
          <w:rFonts w:asciiTheme="majorBidi" w:hAnsiTheme="majorBidi" w:cstheme="majorBidi"/>
        </w:rPr>
        <w:t>(6), 1603-1617.</w:t>
      </w:r>
    </w:p>
    <w:p w14:paraId="1407AF4A"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Darrat, A. F., Gray, S., Park, J. C., &amp; Wu, Y. (2016). Corporate Governance and Bankruptcy Risk. </w:t>
      </w:r>
      <w:r w:rsidRPr="008051DA">
        <w:rPr>
          <w:rFonts w:asciiTheme="majorBidi" w:hAnsiTheme="majorBidi" w:cstheme="majorBidi"/>
          <w:i/>
          <w:iCs/>
        </w:rPr>
        <w:t>Journal of Accounting, Auditing &amp; Finance, 31</w:t>
      </w:r>
      <w:r w:rsidRPr="008051DA">
        <w:rPr>
          <w:rFonts w:asciiTheme="majorBidi" w:hAnsiTheme="majorBidi" w:cstheme="majorBidi"/>
        </w:rPr>
        <w:t>(2), 163-202.</w:t>
      </w:r>
    </w:p>
    <w:p w14:paraId="05DC5EDC"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Elloumi, F., &amp; Jean-Pierre, G. (2001). financial distress and corporate governance: an empirical analysis. </w:t>
      </w:r>
      <w:r w:rsidRPr="008051DA">
        <w:rPr>
          <w:rFonts w:asciiTheme="majorBidi" w:hAnsiTheme="majorBidi" w:cstheme="majorBidi"/>
          <w:i/>
          <w:iCs/>
        </w:rPr>
        <w:t>Corporate Governance, 1</w:t>
      </w:r>
      <w:r w:rsidRPr="008051DA">
        <w:rPr>
          <w:rFonts w:asciiTheme="majorBidi" w:hAnsiTheme="majorBidi" w:cstheme="majorBidi"/>
        </w:rPr>
        <w:t>(1), 15-23.</w:t>
      </w:r>
    </w:p>
    <w:p w14:paraId="722FE181"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Elshahat, I., Elshahat, A., &amp; Rao, A. (2015). Does corporate governance improve bankruptcy prediction? </w:t>
      </w:r>
      <w:r w:rsidRPr="008051DA">
        <w:rPr>
          <w:rFonts w:asciiTheme="majorBidi" w:hAnsiTheme="majorBidi" w:cstheme="majorBidi"/>
          <w:i/>
          <w:iCs/>
        </w:rPr>
        <w:t>Academy of Accounting and Financial Studies Journal, 19</w:t>
      </w:r>
      <w:r w:rsidRPr="008051DA">
        <w:rPr>
          <w:rFonts w:asciiTheme="majorBidi" w:hAnsiTheme="majorBidi" w:cstheme="majorBidi"/>
        </w:rPr>
        <w:t>(1), 107-119.</w:t>
      </w:r>
    </w:p>
    <w:p w14:paraId="31EB0BEC"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Fich, E. M., &amp; Slezak, S. L. (2008). Can corporate governance save distressed firms from bankruptcy? An empirical analysis. </w:t>
      </w:r>
      <w:r w:rsidRPr="008051DA">
        <w:rPr>
          <w:rFonts w:asciiTheme="majorBidi" w:hAnsiTheme="majorBidi" w:cstheme="majorBidi"/>
          <w:i/>
          <w:iCs/>
        </w:rPr>
        <w:t>Review of Quantitative Finance and Accounting, 30</w:t>
      </w:r>
      <w:r w:rsidRPr="008051DA">
        <w:rPr>
          <w:rFonts w:asciiTheme="majorBidi" w:hAnsiTheme="majorBidi" w:cstheme="majorBidi"/>
        </w:rPr>
        <w:t>(2), 225-251.</w:t>
      </w:r>
    </w:p>
    <w:p w14:paraId="21353288"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lastRenderedPageBreak/>
        <w:t xml:space="preserve">Grice, J. S., &amp; Ingram, R. W. (2001). Tests of the generalizability of Altman's bankruptcy prediction model. </w:t>
      </w:r>
      <w:r w:rsidRPr="008051DA">
        <w:rPr>
          <w:rFonts w:asciiTheme="majorBidi" w:hAnsiTheme="majorBidi" w:cstheme="majorBidi"/>
          <w:i/>
          <w:iCs/>
        </w:rPr>
        <w:t>Journal of Business Research, 54</w:t>
      </w:r>
      <w:r w:rsidRPr="008051DA">
        <w:rPr>
          <w:rFonts w:asciiTheme="majorBidi" w:hAnsiTheme="majorBidi" w:cstheme="majorBidi"/>
        </w:rPr>
        <w:t>(1), 53-61.</w:t>
      </w:r>
    </w:p>
    <w:p w14:paraId="10E03E10"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Hanley, J. A., &amp; McNeil, B. J. (1983). A method of comparing the areas under receiver operating characteristic curves derived from the same cases. </w:t>
      </w:r>
      <w:r w:rsidRPr="008051DA">
        <w:rPr>
          <w:rFonts w:asciiTheme="majorBidi" w:hAnsiTheme="majorBidi" w:cstheme="majorBidi"/>
          <w:i/>
          <w:iCs/>
        </w:rPr>
        <w:t>Radiology, 148</w:t>
      </w:r>
      <w:r w:rsidRPr="008051DA">
        <w:rPr>
          <w:rFonts w:asciiTheme="majorBidi" w:hAnsiTheme="majorBidi" w:cstheme="majorBidi"/>
        </w:rPr>
        <w:t>(3), 839-843.</w:t>
      </w:r>
    </w:p>
    <w:p w14:paraId="05B99733"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Hillegeist, S. A., Keating, E. K., Cram, D. P., &amp; Lundstedt, K. G. (2004). Assessing the Probability of Bankruptcy. </w:t>
      </w:r>
      <w:r w:rsidRPr="008051DA">
        <w:rPr>
          <w:rFonts w:asciiTheme="majorBidi" w:hAnsiTheme="majorBidi" w:cstheme="majorBidi"/>
          <w:i/>
          <w:iCs/>
        </w:rPr>
        <w:t>Review of Accounting Studies, 9</w:t>
      </w:r>
      <w:r w:rsidRPr="008051DA">
        <w:rPr>
          <w:rFonts w:asciiTheme="majorBidi" w:hAnsiTheme="majorBidi" w:cstheme="majorBidi"/>
        </w:rPr>
        <w:t>(1), 5-34.</w:t>
      </w:r>
    </w:p>
    <w:p w14:paraId="3BEA3986"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Hoechle, D., Schmid, M., Walter, I., &amp; Yermack, D. (2012). How much of the diversification discount can be explained by poor corporate governance? </w:t>
      </w:r>
      <w:r w:rsidRPr="008051DA">
        <w:rPr>
          <w:rFonts w:asciiTheme="majorBidi" w:hAnsiTheme="majorBidi" w:cstheme="majorBidi"/>
          <w:i/>
          <w:iCs/>
        </w:rPr>
        <w:t>Journal of Financial Economics, 103</w:t>
      </w:r>
      <w:r w:rsidRPr="008051DA">
        <w:rPr>
          <w:rFonts w:asciiTheme="majorBidi" w:hAnsiTheme="majorBidi" w:cstheme="majorBidi"/>
        </w:rPr>
        <w:t>(1), 41-60.</w:t>
      </w:r>
    </w:p>
    <w:p w14:paraId="23AD93C9"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Hui, H., &amp; Jing-Jing, Z. (2008). Relationship between corporate governance and financial distress: An empirical study of distressed companies in China. </w:t>
      </w:r>
      <w:r w:rsidRPr="008051DA">
        <w:rPr>
          <w:rFonts w:asciiTheme="majorBidi" w:hAnsiTheme="majorBidi" w:cstheme="majorBidi"/>
          <w:i/>
          <w:iCs/>
        </w:rPr>
        <w:t>International Journal of Management, 25</w:t>
      </w:r>
      <w:r w:rsidRPr="008051DA">
        <w:rPr>
          <w:rFonts w:asciiTheme="majorBidi" w:hAnsiTheme="majorBidi" w:cstheme="majorBidi"/>
        </w:rPr>
        <w:t>(4), 654.</w:t>
      </w:r>
    </w:p>
    <w:p w14:paraId="550B5225"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Klock, M. S., Mansi, S. A., &amp; Maxwell, W. F. (2005). Does Corporate Governance Matter to Bondholders? </w:t>
      </w:r>
      <w:r w:rsidRPr="008051DA">
        <w:rPr>
          <w:rFonts w:asciiTheme="majorBidi" w:hAnsiTheme="majorBidi" w:cstheme="majorBidi"/>
          <w:i/>
          <w:iCs/>
        </w:rPr>
        <w:t>The Journal of Financial and Quantitative Analysis, 40</w:t>
      </w:r>
      <w:r w:rsidRPr="008051DA">
        <w:rPr>
          <w:rFonts w:asciiTheme="majorBidi" w:hAnsiTheme="majorBidi" w:cstheme="majorBidi"/>
        </w:rPr>
        <w:t>(4), 693-719.</w:t>
      </w:r>
    </w:p>
    <w:p w14:paraId="2E5B4443"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Liang, D., Lu, C.-C., Tsai, C.-F., &amp; Shih, G.-A. (2016). Financial ratios and corporate governance indicators in bankruptcy prediction: A comprehensive study. </w:t>
      </w:r>
      <w:r w:rsidRPr="008051DA">
        <w:rPr>
          <w:rFonts w:asciiTheme="majorBidi" w:hAnsiTheme="majorBidi" w:cstheme="majorBidi"/>
          <w:i/>
          <w:iCs/>
        </w:rPr>
        <w:t>European Journal of Operational Research, 252</w:t>
      </w:r>
      <w:r w:rsidRPr="008051DA">
        <w:rPr>
          <w:rFonts w:asciiTheme="majorBidi" w:hAnsiTheme="majorBidi" w:cstheme="majorBidi"/>
        </w:rPr>
        <w:t>(2), 561-572.</w:t>
      </w:r>
    </w:p>
    <w:p w14:paraId="7E568A9D"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Malhotra, R., &amp; Malhotra, D. K. (2003). Evaluating consumer loans using neural networks. </w:t>
      </w:r>
      <w:r w:rsidRPr="008051DA">
        <w:rPr>
          <w:rFonts w:asciiTheme="majorBidi" w:hAnsiTheme="majorBidi" w:cstheme="majorBidi"/>
          <w:i/>
          <w:iCs/>
        </w:rPr>
        <w:t>Omega, 31</w:t>
      </w:r>
      <w:r w:rsidRPr="008051DA">
        <w:rPr>
          <w:rFonts w:asciiTheme="majorBidi" w:hAnsiTheme="majorBidi" w:cstheme="majorBidi"/>
        </w:rPr>
        <w:t>(2), 83-96.</w:t>
      </w:r>
    </w:p>
    <w:p w14:paraId="5910A5CA"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Manzaneque, M., Priego, A. M., &amp; Merino, E. (2016). Corporate governance effect on financial distress likelihood: Evidence from Spain. </w:t>
      </w:r>
      <w:r w:rsidRPr="008051DA">
        <w:rPr>
          <w:rFonts w:asciiTheme="majorBidi" w:hAnsiTheme="majorBidi" w:cstheme="majorBidi"/>
          <w:i/>
          <w:iCs/>
        </w:rPr>
        <w:t>Revista de Contabilidad, 19</w:t>
      </w:r>
      <w:r w:rsidRPr="008051DA">
        <w:rPr>
          <w:rFonts w:asciiTheme="majorBidi" w:hAnsiTheme="majorBidi" w:cstheme="majorBidi"/>
        </w:rPr>
        <w:t>(1), 111-121.</w:t>
      </w:r>
    </w:p>
    <w:p w14:paraId="6EB520DA"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McFadden, D. (1976). A comment on discriminant analysis" versus" logit analysis </w:t>
      </w:r>
      <w:r w:rsidRPr="008051DA">
        <w:rPr>
          <w:rFonts w:asciiTheme="majorBidi" w:hAnsiTheme="majorBidi" w:cstheme="majorBidi"/>
          <w:i/>
          <w:iCs/>
        </w:rPr>
        <w:t>Annals of Economic and Social Measurement, Volume 5, number 4</w:t>
      </w:r>
      <w:r w:rsidRPr="008051DA">
        <w:rPr>
          <w:rFonts w:asciiTheme="majorBidi" w:hAnsiTheme="majorBidi" w:cstheme="majorBidi"/>
        </w:rPr>
        <w:t xml:space="preserve"> (pp. 511-523): NBER.</w:t>
      </w:r>
    </w:p>
    <w:p w14:paraId="35BA4FAB"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Merton, R. C. (1974). On the Pricing of Corporate Debt: The Risk Structure of Interest Rates. </w:t>
      </w:r>
      <w:r w:rsidRPr="008051DA">
        <w:rPr>
          <w:rFonts w:asciiTheme="majorBidi" w:hAnsiTheme="majorBidi" w:cstheme="majorBidi"/>
          <w:i/>
          <w:iCs/>
        </w:rPr>
        <w:t>The Journal of Finance, 29</w:t>
      </w:r>
      <w:r w:rsidRPr="008051DA">
        <w:rPr>
          <w:rFonts w:asciiTheme="majorBidi" w:hAnsiTheme="majorBidi" w:cstheme="majorBidi"/>
        </w:rPr>
        <w:t>(2), 449-470.</w:t>
      </w:r>
    </w:p>
    <w:p w14:paraId="478F325B"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Mousavi, M. M., Ouenniche, J., &amp; Xu, B. (2015). Performance evaluation of bankruptcy prediction models: An orientation-free super-efficiency DEA-based framework. </w:t>
      </w:r>
      <w:r w:rsidRPr="008051DA">
        <w:rPr>
          <w:rFonts w:asciiTheme="majorBidi" w:hAnsiTheme="majorBidi" w:cstheme="majorBidi"/>
          <w:i/>
          <w:iCs/>
        </w:rPr>
        <w:t>International Review of Financial Analysis, 42</w:t>
      </w:r>
      <w:r w:rsidRPr="008051DA">
        <w:rPr>
          <w:rFonts w:asciiTheme="majorBidi" w:hAnsiTheme="majorBidi" w:cstheme="majorBidi"/>
        </w:rPr>
        <w:t>, 64-75.</w:t>
      </w:r>
    </w:p>
    <w:p w14:paraId="5B8BA1BA"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Ohlson, J. A. (1980). Financial Ratios and the Probabilistic Prediction of Bankruptcy. </w:t>
      </w:r>
      <w:r w:rsidRPr="008051DA">
        <w:rPr>
          <w:rFonts w:asciiTheme="majorBidi" w:hAnsiTheme="majorBidi" w:cstheme="majorBidi"/>
          <w:i/>
          <w:iCs/>
        </w:rPr>
        <w:t>Journal of Accounting Research, 18</w:t>
      </w:r>
      <w:r w:rsidRPr="008051DA">
        <w:rPr>
          <w:rFonts w:asciiTheme="majorBidi" w:hAnsiTheme="majorBidi" w:cstheme="majorBidi"/>
        </w:rPr>
        <w:t>(1), 109-131.</w:t>
      </w:r>
    </w:p>
    <w:p w14:paraId="16C84027"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Parker, S., Peters, G. F., &amp; Turetsky, H. F. (2002). Corporate governance and corporate failure: A survival analysis. </w:t>
      </w:r>
      <w:r w:rsidRPr="008051DA">
        <w:rPr>
          <w:rFonts w:asciiTheme="majorBidi" w:hAnsiTheme="majorBidi" w:cstheme="majorBidi"/>
          <w:i/>
          <w:iCs/>
        </w:rPr>
        <w:t>Corporate Governance, 2</w:t>
      </w:r>
      <w:r w:rsidRPr="008051DA">
        <w:rPr>
          <w:rFonts w:asciiTheme="majorBidi" w:hAnsiTheme="majorBidi" w:cstheme="majorBidi"/>
        </w:rPr>
        <w:t>(2), 4-12.</w:t>
      </w:r>
    </w:p>
    <w:p w14:paraId="1B51DB02"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Piramuthu, S. (1999). Financial credit-risk evaluation with neural and neurofuzzy systems. </w:t>
      </w:r>
      <w:r w:rsidRPr="008051DA">
        <w:rPr>
          <w:rFonts w:asciiTheme="majorBidi" w:hAnsiTheme="majorBidi" w:cstheme="majorBidi"/>
          <w:i/>
          <w:iCs/>
        </w:rPr>
        <w:t>European Journal of Operational Research, 112</w:t>
      </w:r>
      <w:r w:rsidRPr="008051DA">
        <w:rPr>
          <w:rFonts w:asciiTheme="majorBidi" w:hAnsiTheme="majorBidi" w:cstheme="majorBidi"/>
        </w:rPr>
        <w:t>(2), 310-321.</w:t>
      </w:r>
    </w:p>
    <w:p w14:paraId="2E4B901A"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Premachandra, I. M., Bhabra, G. S., &amp; Sueyoshi, T. (2009). DEA as a tool for bankruptcy assessment: A comparative study with logistic regression technique. </w:t>
      </w:r>
      <w:r w:rsidRPr="008051DA">
        <w:rPr>
          <w:rFonts w:asciiTheme="majorBidi" w:hAnsiTheme="majorBidi" w:cstheme="majorBidi"/>
          <w:i/>
          <w:iCs/>
        </w:rPr>
        <w:t>European Journal of Operational Research, 193</w:t>
      </w:r>
      <w:r w:rsidRPr="008051DA">
        <w:rPr>
          <w:rFonts w:asciiTheme="majorBidi" w:hAnsiTheme="majorBidi" w:cstheme="majorBidi"/>
        </w:rPr>
        <w:t>(2), 412-424.</w:t>
      </w:r>
    </w:p>
    <w:p w14:paraId="23E40E03"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Ravi Kumar, P., &amp; Ravi, V. (2007). Bankruptcy prediction in banks and firms via statistical and intelligent techniques – A review. </w:t>
      </w:r>
      <w:r w:rsidRPr="008051DA">
        <w:rPr>
          <w:rFonts w:asciiTheme="majorBidi" w:hAnsiTheme="majorBidi" w:cstheme="majorBidi"/>
          <w:i/>
          <w:iCs/>
        </w:rPr>
        <w:t>European Journal of Operational Research, 180</w:t>
      </w:r>
      <w:r w:rsidRPr="008051DA">
        <w:rPr>
          <w:rFonts w:asciiTheme="majorBidi" w:hAnsiTheme="majorBidi" w:cstheme="majorBidi"/>
        </w:rPr>
        <w:t>(1), 1-28.</w:t>
      </w:r>
    </w:p>
    <w:p w14:paraId="7EFA5763" w14:textId="65B6C12D"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Schultz, E. L., Tan, D. T., &amp; Walsh, K. D. (2015). Corporate governance and the probability of default. </w:t>
      </w:r>
      <w:r w:rsidRPr="008051DA">
        <w:rPr>
          <w:rFonts w:asciiTheme="majorBidi" w:hAnsiTheme="majorBidi" w:cstheme="majorBidi"/>
          <w:i/>
          <w:iCs/>
        </w:rPr>
        <w:t>Accounting &amp;amp</w:t>
      </w:r>
      <w:r w:rsidR="006D5DD3" w:rsidRPr="006D5DD3">
        <w:rPr>
          <w:rFonts w:asciiTheme="majorBidi" w:hAnsiTheme="majorBidi" w:cstheme="majorBidi"/>
        </w:rPr>
        <w:t>,</w:t>
      </w:r>
      <w:r w:rsidRPr="008051DA">
        <w:rPr>
          <w:rFonts w:asciiTheme="majorBidi" w:hAnsiTheme="majorBidi" w:cstheme="majorBidi"/>
          <w:i/>
          <w:iCs/>
        </w:rPr>
        <w:t xml:space="preserve"> Finance, 57</w:t>
      </w:r>
      <w:r w:rsidRPr="008051DA">
        <w:rPr>
          <w:rFonts w:asciiTheme="majorBidi" w:hAnsiTheme="majorBidi" w:cstheme="majorBidi"/>
        </w:rPr>
        <w:t>(S1), 235-253.</w:t>
      </w:r>
    </w:p>
    <w:p w14:paraId="64F76A0C"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Shumway, T. (2001). Forecasting Bankruptcy More Accurately: A Simple Hazard Model. </w:t>
      </w:r>
      <w:r w:rsidRPr="008051DA">
        <w:rPr>
          <w:rFonts w:asciiTheme="majorBidi" w:hAnsiTheme="majorBidi" w:cstheme="majorBidi"/>
          <w:i/>
          <w:iCs/>
        </w:rPr>
        <w:t>The Journal of Business, 74</w:t>
      </w:r>
      <w:r w:rsidRPr="008051DA">
        <w:rPr>
          <w:rFonts w:asciiTheme="majorBidi" w:hAnsiTheme="majorBidi" w:cstheme="majorBidi"/>
        </w:rPr>
        <w:t>(1), 101-124.</w:t>
      </w:r>
    </w:p>
    <w:p w14:paraId="02AC3C95"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Sueyoshi, T., &amp; Goto, M. (2009). Methodological comparison between DEA (data envelopment analysis) and DEA–DA (discriminant analysis) from the perspective of bankruptcy assessment. </w:t>
      </w:r>
      <w:r w:rsidRPr="008051DA">
        <w:rPr>
          <w:rFonts w:asciiTheme="majorBidi" w:hAnsiTheme="majorBidi" w:cstheme="majorBidi"/>
          <w:i/>
          <w:iCs/>
        </w:rPr>
        <w:t>European Journal of Operational Research, 199</w:t>
      </w:r>
      <w:r w:rsidRPr="008051DA">
        <w:rPr>
          <w:rFonts w:asciiTheme="majorBidi" w:hAnsiTheme="majorBidi" w:cstheme="majorBidi"/>
        </w:rPr>
        <w:t>(2), 561-575.</w:t>
      </w:r>
    </w:p>
    <w:p w14:paraId="249CDB06"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Taffler, R. J. (1984). Empirical models for the monitoring of UK corporations. </w:t>
      </w:r>
      <w:r w:rsidRPr="008051DA">
        <w:rPr>
          <w:rFonts w:asciiTheme="majorBidi" w:hAnsiTheme="majorBidi" w:cstheme="majorBidi"/>
          <w:i/>
          <w:iCs/>
        </w:rPr>
        <w:t>Journal of Banking &amp; Finance, 8</w:t>
      </w:r>
      <w:r w:rsidRPr="008051DA">
        <w:rPr>
          <w:rFonts w:asciiTheme="majorBidi" w:hAnsiTheme="majorBidi" w:cstheme="majorBidi"/>
        </w:rPr>
        <w:t>(2), 199-227.</w:t>
      </w:r>
    </w:p>
    <w:p w14:paraId="308B462E"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Tsai, B.-H. (2013). An Early Warning System of Financial Distress Using Multinomial Logit Models and a Bootstrapping Approach. </w:t>
      </w:r>
      <w:r w:rsidRPr="008051DA">
        <w:rPr>
          <w:rFonts w:asciiTheme="majorBidi" w:hAnsiTheme="majorBidi" w:cstheme="majorBidi"/>
          <w:i/>
          <w:iCs/>
        </w:rPr>
        <w:t>Emerging Markets Finance and Trade, 49</w:t>
      </w:r>
      <w:r w:rsidRPr="008051DA">
        <w:rPr>
          <w:rFonts w:asciiTheme="majorBidi" w:hAnsiTheme="majorBidi" w:cstheme="majorBidi"/>
        </w:rPr>
        <w:t>(sup2), 43-69.</w:t>
      </w:r>
    </w:p>
    <w:p w14:paraId="6A102AC0"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West, D. (2000). Neural network credit scoring models. </w:t>
      </w:r>
      <w:r w:rsidRPr="008051DA">
        <w:rPr>
          <w:rFonts w:asciiTheme="majorBidi" w:hAnsiTheme="majorBidi" w:cstheme="majorBidi"/>
          <w:i/>
          <w:iCs/>
        </w:rPr>
        <w:t>Computers &amp; Operations Research, 27</w:t>
      </w:r>
      <w:r w:rsidRPr="008051DA">
        <w:rPr>
          <w:rFonts w:asciiTheme="majorBidi" w:hAnsiTheme="majorBidi" w:cstheme="majorBidi"/>
        </w:rPr>
        <w:t>(11–12), 1131-1152.</w:t>
      </w:r>
    </w:p>
    <w:p w14:paraId="0944F201"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Wilson, R. L., &amp; Sharda, R. (1994). Bankruptcy prediction using neural networks. </w:t>
      </w:r>
      <w:r w:rsidRPr="008051DA">
        <w:rPr>
          <w:rFonts w:asciiTheme="majorBidi" w:hAnsiTheme="majorBidi" w:cstheme="majorBidi"/>
          <w:i/>
          <w:iCs/>
        </w:rPr>
        <w:t>Decision Support Systems, 11</w:t>
      </w:r>
      <w:r w:rsidRPr="008051DA">
        <w:rPr>
          <w:rFonts w:asciiTheme="majorBidi" w:hAnsiTheme="majorBidi" w:cstheme="majorBidi"/>
        </w:rPr>
        <w:t>(5), 545-557.</w:t>
      </w:r>
    </w:p>
    <w:p w14:paraId="3504B335"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Wintoki, M. B., Linck, J. S., &amp; Netter, J. M. (2012). Endogeneity and the dynamics of internal corporate governance. </w:t>
      </w:r>
      <w:r w:rsidRPr="008051DA">
        <w:rPr>
          <w:rFonts w:asciiTheme="majorBidi" w:hAnsiTheme="majorBidi" w:cstheme="majorBidi"/>
          <w:i/>
          <w:iCs/>
        </w:rPr>
        <w:t>Journal of Financial Economics, 105</w:t>
      </w:r>
      <w:r w:rsidRPr="008051DA">
        <w:rPr>
          <w:rFonts w:asciiTheme="majorBidi" w:hAnsiTheme="majorBidi" w:cstheme="majorBidi"/>
        </w:rPr>
        <w:t>(3), 581-606.</w:t>
      </w:r>
    </w:p>
    <w:p w14:paraId="105BBD7E"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lastRenderedPageBreak/>
        <w:t xml:space="preserve">Wu, Y., Gaunt, C., &amp; Gray, S. (2010). A comparison of alternative bankruptcy prediction models. </w:t>
      </w:r>
      <w:r w:rsidRPr="008051DA">
        <w:rPr>
          <w:rFonts w:asciiTheme="majorBidi" w:hAnsiTheme="majorBidi" w:cstheme="majorBidi"/>
          <w:i/>
          <w:iCs/>
        </w:rPr>
        <w:t>Journal of Contemporary Accounting &amp; Economics, 6</w:t>
      </w:r>
      <w:r w:rsidRPr="008051DA">
        <w:rPr>
          <w:rFonts w:asciiTheme="majorBidi" w:hAnsiTheme="majorBidi" w:cstheme="majorBidi"/>
        </w:rPr>
        <w:t>(1), 34-45.</w:t>
      </w:r>
    </w:p>
    <w:p w14:paraId="2A8137F5"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Yermack, D. (2004). Remuneration, Retention, and Reputation Incentives for outside Directors. </w:t>
      </w:r>
      <w:r w:rsidRPr="008051DA">
        <w:rPr>
          <w:rFonts w:asciiTheme="majorBidi" w:hAnsiTheme="majorBidi" w:cstheme="majorBidi"/>
          <w:i/>
          <w:iCs/>
        </w:rPr>
        <w:t>The Journal of Finance, 59</w:t>
      </w:r>
      <w:r w:rsidRPr="008051DA">
        <w:rPr>
          <w:rFonts w:asciiTheme="majorBidi" w:hAnsiTheme="majorBidi" w:cstheme="majorBidi"/>
        </w:rPr>
        <w:t>(5), 2281-2308.</w:t>
      </w:r>
    </w:p>
    <w:p w14:paraId="3A4C79C9"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Zhang, G., Y. Hu, M., Eddy Patuwo, B., &amp; C. Indro, D. (1999). Artificial neural networks in bankruptcy prediction: General framework and cross-validation analysis. </w:t>
      </w:r>
      <w:r w:rsidRPr="008051DA">
        <w:rPr>
          <w:rFonts w:asciiTheme="majorBidi" w:hAnsiTheme="majorBidi" w:cstheme="majorBidi"/>
          <w:i/>
          <w:iCs/>
        </w:rPr>
        <w:t>European Journal of Operational Research, 116</w:t>
      </w:r>
      <w:r w:rsidRPr="008051DA">
        <w:rPr>
          <w:rFonts w:asciiTheme="majorBidi" w:hAnsiTheme="majorBidi" w:cstheme="majorBidi"/>
        </w:rPr>
        <w:t>(1), 16-32.</w:t>
      </w:r>
    </w:p>
    <w:p w14:paraId="22E8EE4F"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Zmijewski, M. E. (1984). Methodological Issues Related to the Estimation of Financial Distress Prediction Models. </w:t>
      </w:r>
      <w:r w:rsidRPr="008051DA">
        <w:rPr>
          <w:rFonts w:asciiTheme="majorBidi" w:hAnsiTheme="majorBidi" w:cstheme="majorBidi"/>
          <w:i/>
          <w:iCs/>
        </w:rPr>
        <w:t>Journal of Accounting Research, 22</w:t>
      </w:r>
      <w:r w:rsidRPr="008051DA">
        <w:rPr>
          <w:rFonts w:asciiTheme="majorBidi" w:hAnsiTheme="majorBidi" w:cstheme="majorBidi"/>
        </w:rPr>
        <w:t>, 59-82.</w:t>
      </w:r>
    </w:p>
    <w:p w14:paraId="5D0B21D1" w14:textId="77777777" w:rsidR="008051DA" w:rsidRPr="008051DA" w:rsidRDefault="008051DA" w:rsidP="00E93057">
      <w:pPr>
        <w:tabs>
          <w:tab w:val="left" w:pos="567"/>
        </w:tabs>
        <w:autoSpaceDE w:val="0"/>
        <w:autoSpaceDN w:val="0"/>
        <w:adjustRightInd w:val="0"/>
        <w:spacing w:after="0" w:line="240" w:lineRule="auto"/>
        <w:ind w:left="567" w:hanging="567"/>
        <w:jc w:val="both"/>
        <w:rPr>
          <w:rFonts w:asciiTheme="majorBidi" w:hAnsiTheme="majorBidi" w:cstheme="majorBidi"/>
        </w:rPr>
      </w:pPr>
      <w:r w:rsidRPr="008051DA">
        <w:rPr>
          <w:rFonts w:asciiTheme="majorBidi" w:hAnsiTheme="majorBidi" w:cstheme="majorBidi"/>
        </w:rPr>
        <w:t xml:space="preserve">Zong-Jun, W., &amp; Xiao-Lan, D. (2006). Corporate Governance and Financial Distress. </w:t>
      </w:r>
      <w:r w:rsidRPr="008051DA">
        <w:rPr>
          <w:rFonts w:asciiTheme="majorBidi" w:hAnsiTheme="majorBidi" w:cstheme="majorBidi"/>
          <w:i/>
          <w:iCs/>
        </w:rPr>
        <w:t>Chinese Economy, 39</w:t>
      </w:r>
      <w:r w:rsidRPr="008051DA">
        <w:rPr>
          <w:rFonts w:asciiTheme="majorBidi" w:hAnsiTheme="majorBidi" w:cstheme="majorBidi"/>
        </w:rPr>
        <w:t>(5), 5-27.</w:t>
      </w:r>
    </w:p>
    <w:p w14:paraId="0F1D35F5" w14:textId="77777777" w:rsidR="00FA44C4" w:rsidRPr="00265EDB" w:rsidRDefault="00FA44C4" w:rsidP="00E93057">
      <w:pPr>
        <w:tabs>
          <w:tab w:val="left" w:pos="567"/>
        </w:tabs>
        <w:spacing w:line="360" w:lineRule="auto"/>
        <w:ind w:left="567" w:hanging="567"/>
        <w:jc w:val="both"/>
        <w:rPr>
          <w:rFonts w:ascii="Times New Roman" w:hAnsi="Times New Roman" w:cs="Times New Roman"/>
          <w:sz w:val="24"/>
          <w:szCs w:val="24"/>
        </w:rPr>
      </w:pPr>
    </w:p>
    <w:p w14:paraId="6EABA21C" w14:textId="77777777" w:rsidR="003243FD" w:rsidRPr="00434272" w:rsidRDefault="003243FD" w:rsidP="00260D7D">
      <w:pPr>
        <w:tabs>
          <w:tab w:val="left" w:pos="567"/>
        </w:tabs>
        <w:spacing w:line="360" w:lineRule="auto"/>
        <w:jc w:val="both"/>
        <w:rPr>
          <w:rFonts w:asciiTheme="majorBidi" w:hAnsiTheme="majorBidi" w:cstheme="majorBidi"/>
          <w:b/>
          <w:bCs/>
          <w:sz w:val="24"/>
          <w:szCs w:val="24"/>
        </w:rPr>
        <w:sectPr w:rsidR="003243FD" w:rsidRPr="00434272" w:rsidSect="0049324B">
          <w:pgSz w:w="11907" w:h="16840" w:code="9"/>
          <w:pgMar w:top="1440" w:right="1440" w:bottom="1440" w:left="1440" w:header="720" w:footer="720" w:gutter="0"/>
          <w:cols w:space="720"/>
          <w:docGrid w:linePitch="360"/>
        </w:sectPr>
      </w:pPr>
    </w:p>
    <w:tbl>
      <w:tblPr>
        <w:tblStyle w:val="TableGrid"/>
        <w:tblW w:w="14168" w:type="dxa"/>
        <w:jc w:val="center"/>
        <w:tblLook w:val="04A0" w:firstRow="1" w:lastRow="0" w:firstColumn="1" w:lastColumn="0" w:noHBand="0" w:noVBand="1"/>
      </w:tblPr>
      <w:tblGrid>
        <w:gridCol w:w="1838"/>
        <w:gridCol w:w="1559"/>
        <w:gridCol w:w="1134"/>
        <w:gridCol w:w="1985"/>
        <w:gridCol w:w="7652"/>
      </w:tblGrid>
      <w:tr w:rsidR="00A74ED4" w:rsidRPr="00C57F00" w14:paraId="73170BE1" w14:textId="77777777" w:rsidTr="00071E42">
        <w:trPr>
          <w:jc w:val="center"/>
        </w:trPr>
        <w:tc>
          <w:tcPr>
            <w:tcW w:w="1416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9B4B30" w14:textId="5404DE37" w:rsidR="00A74ED4" w:rsidRPr="00C57F00" w:rsidRDefault="00A74ED4" w:rsidP="00260D7D">
            <w:pPr>
              <w:tabs>
                <w:tab w:val="left" w:pos="567"/>
              </w:tabs>
              <w:jc w:val="center"/>
              <w:rPr>
                <w:rFonts w:ascii="Times New Roman" w:hAnsi="Times New Roman" w:cs="Times New Roman"/>
                <w:b/>
                <w:bCs/>
              </w:rPr>
            </w:pPr>
            <w:r w:rsidRPr="00C57F00">
              <w:rPr>
                <w:rFonts w:ascii="Times New Roman" w:hAnsi="Times New Roman" w:cs="Times New Roman"/>
                <w:b/>
                <w:bCs/>
              </w:rPr>
              <w:lastRenderedPageBreak/>
              <w:t>Table 1</w:t>
            </w:r>
            <w:r w:rsidR="00C57F00">
              <w:rPr>
                <w:rFonts w:ascii="Times New Roman" w:hAnsi="Times New Roman" w:cs="Times New Roman"/>
                <w:b/>
                <w:bCs/>
              </w:rPr>
              <w:t xml:space="preserve">: </w:t>
            </w:r>
            <w:r w:rsidRPr="00C57F00">
              <w:rPr>
                <w:rFonts w:ascii="Times New Roman" w:hAnsi="Times New Roman" w:cs="Times New Roman"/>
                <w:b/>
                <w:bCs/>
              </w:rPr>
              <w:t>Description of Previous Models in the Literature</w:t>
            </w:r>
          </w:p>
          <w:p w14:paraId="1BA06388" w14:textId="77777777" w:rsidR="00A74ED4" w:rsidRPr="00C57F00" w:rsidRDefault="00A74ED4" w:rsidP="00260D7D">
            <w:pPr>
              <w:tabs>
                <w:tab w:val="left" w:pos="567"/>
              </w:tabs>
              <w:jc w:val="center"/>
              <w:rPr>
                <w:rFonts w:ascii="Times New Roman" w:hAnsi="Times New Roman" w:cs="Times New Roman"/>
                <w:b/>
                <w:bCs/>
                <w:sz w:val="6"/>
                <w:szCs w:val="6"/>
              </w:rPr>
            </w:pPr>
          </w:p>
        </w:tc>
      </w:tr>
      <w:tr w:rsidR="00A74ED4" w:rsidRPr="00C57F00" w14:paraId="102A750F" w14:textId="77777777" w:rsidTr="00071E42">
        <w:trPr>
          <w:trHeight w:val="872"/>
          <w:jc w:val="center"/>
        </w:trPr>
        <w:tc>
          <w:tcPr>
            <w:tcW w:w="1838" w:type="dxa"/>
            <w:tcBorders>
              <w:left w:val="nil"/>
              <w:right w:val="nil"/>
            </w:tcBorders>
            <w:vAlign w:val="center"/>
          </w:tcPr>
          <w:p w14:paraId="562FAEC6" w14:textId="77777777" w:rsidR="00A74ED4" w:rsidRPr="00C57F00" w:rsidRDefault="00A74ED4" w:rsidP="00260D7D">
            <w:pPr>
              <w:tabs>
                <w:tab w:val="left" w:pos="567"/>
              </w:tabs>
              <w:jc w:val="center"/>
              <w:rPr>
                <w:rFonts w:ascii="Times New Roman" w:hAnsi="Times New Roman" w:cs="Times New Roman"/>
              </w:rPr>
            </w:pPr>
            <w:r w:rsidRPr="00C57F00">
              <w:rPr>
                <w:rFonts w:ascii="Times New Roman" w:hAnsi="Times New Roman" w:cs="Times New Roman"/>
              </w:rPr>
              <w:t>Study</w:t>
            </w:r>
          </w:p>
          <w:p w14:paraId="7E50BB77" w14:textId="77777777" w:rsidR="00A74ED4" w:rsidRPr="00C57F00" w:rsidRDefault="00A74ED4" w:rsidP="00260D7D">
            <w:pPr>
              <w:tabs>
                <w:tab w:val="left" w:pos="567"/>
              </w:tabs>
              <w:jc w:val="center"/>
              <w:rPr>
                <w:rFonts w:ascii="Times New Roman" w:hAnsi="Times New Roman" w:cs="Times New Roman"/>
              </w:rPr>
            </w:pPr>
            <w:r w:rsidRPr="00C57F00">
              <w:rPr>
                <w:rFonts w:ascii="Times New Roman" w:hAnsi="Times New Roman" w:cs="Times New Roman"/>
              </w:rPr>
              <w:t>(in chronological order)</w:t>
            </w:r>
          </w:p>
        </w:tc>
        <w:tc>
          <w:tcPr>
            <w:tcW w:w="1559" w:type="dxa"/>
            <w:tcBorders>
              <w:left w:val="nil"/>
              <w:right w:val="nil"/>
            </w:tcBorders>
            <w:vAlign w:val="center"/>
          </w:tcPr>
          <w:p w14:paraId="7A34C6C1" w14:textId="7E269198" w:rsidR="00A74ED4" w:rsidRPr="00C57F00" w:rsidRDefault="00A74ED4" w:rsidP="00260D7D">
            <w:pPr>
              <w:tabs>
                <w:tab w:val="left" w:pos="567"/>
              </w:tabs>
              <w:jc w:val="center"/>
              <w:rPr>
                <w:rFonts w:ascii="Times New Roman" w:hAnsi="Times New Roman" w:cs="Times New Roman"/>
              </w:rPr>
            </w:pPr>
            <w:r w:rsidRPr="00C57F00">
              <w:rPr>
                <w:rFonts w:ascii="Times New Roman" w:hAnsi="Times New Roman" w:cs="Times New Roman"/>
              </w:rPr>
              <w:t xml:space="preserve">Accounting or </w:t>
            </w:r>
            <w:r w:rsidR="000847B4">
              <w:rPr>
                <w:rFonts w:ascii="Times New Roman" w:hAnsi="Times New Roman" w:cs="Times New Roman"/>
              </w:rPr>
              <w:t>M</w:t>
            </w:r>
            <w:r w:rsidRPr="00C57F00">
              <w:rPr>
                <w:rFonts w:ascii="Times New Roman" w:hAnsi="Times New Roman" w:cs="Times New Roman"/>
              </w:rPr>
              <w:t xml:space="preserve">arket </w:t>
            </w:r>
            <w:r w:rsidR="000847B4">
              <w:rPr>
                <w:rFonts w:ascii="Times New Roman" w:hAnsi="Times New Roman" w:cs="Times New Roman"/>
              </w:rPr>
              <w:t>B</w:t>
            </w:r>
            <w:r w:rsidRPr="00C57F00">
              <w:rPr>
                <w:rFonts w:ascii="Times New Roman" w:hAnsi="Times New Roman" w:cs="Times New Roman"/>
              </w:rPr>
              <w:t>ased?</w:t>
            </w:r>
          </w:p>
        </w:tc>
        <w:tc>
          <w:tcPr>
            <w:tcW w:w="1134" w:type="dxa"/>
            <w:tcBorders>
              <w:left w:val="nil"/>
              <w:right w:val="nil"/>
            </w:tcBorders>
            <w:vAlign w:val="center"/>
          </w:tcPr>
          <w:p w14:paraId="55B9C423" w14:textId="786EA243" w:rsidR="00A74ED4" w:rsidRPr="00C57F00" w:rsidRDefault="00A74ED4" w:rsidP="00260D7D">
            <w:pPr>
              <w:tabs>
                <w:tab w:val="left" w:pos="567"/>
              </w:tabs>
              <w:jc w:val="center"/>
              <w:rPr>
                <w:rFonts w:ascii="Times New Roman" w:hAnsi="Times New Roman" w:cs="Times New Roman"/>
              </w:rPr>
            </w:pPr>
            <w:r w:rsidRPr="00C57F00">
              <w:rPr>
                <w:rFonts w:ascii="Times New Roman" w:hAnsi="Times New Roman" w:cs="Times New Roman"/>
              </w:rPr>
              <w:t xml:space="preserve">Shorthand </w:t>
            </w:r>
            <w:r w:rsidR="000847B4">
              <w:rPr>
                <w:rFonts w:ascii="Times New Roman" w:hAnsi="Times New Roman" w:cs="Times New Roman"/>
              </w:rPr>
              <w:t>R</w:t>
            </w:r>
            <w:r w:rsidRPr="00C57F00">
              <w:rPr>
                <w:rFonts w:ascii="Times New Roman" w:hAnsi="Times New Roman" w:cs="Times New Roman"/>
              </w:rPr>
              <w:t>eference</w:t>
            </w:r>
          </w:p>
        </w:tc>
        <w:tc>
          <w:tcPr>
            <w:tcW w:w="1985" w:type="dxa"/>
            <w:tcBorders>
              <w:left w:val="nil"/>
              <w:right w:val="nil"/>
            </w:tcBorders>
            <w:vAlign w:val="center"/>
          </w:tcPr>
          <w:p w14:paraId="33FAC0DD" w14:textId="77777777" w:rsidR="00071E42" w:rsidRDefault="00A74ED4" w:rsidP="00260D7D">
            <w:pPr>
              <w:tabs>
                <w:tab w:val="left" w:pos="567"/>
              </w:tabs>
              <w:jc w:val="center"/>
              <w:rPr>
                <w:rFonts w:ascii="Times New Roman" w:hAnsi="Times New Roman" w:cs="Times New Roman"/>
              </w:rPr>
            </w:pPr>
            <w:r w:rsidRPr="00C57F00">
              <w:rPr>
                <w:rFonts w:ascii="Times New Roman" w:hAnsi="Times New Roman" w:cs="Times New Roman"/>
              </w:rPr>
              <w:t xml:space="preserve">Estimation </w:t>
            </w:r>
          </w:p>
          <w:p w14:paraId="52A64D74" w14:textId="5DB997A0" w:rsidR="00A74ED4" w:rsidRPr="00C57F00" w:rsidRDefault="000847B4" w:rsidP="00260D7D">
            <w:pPr>
              <w:tabs>
                <w:tab w:val="left" w:pos="567"/>
              </w:tabs>
              <w:jc w:val="center"/>
              <w:rPr>
                <w:rFonts w:ascii="Times New Roman" w:hAnsi="Times New Roman" w:cs="Times New Roman"/>
              </w:rPr>
            </w:pPr>
            <w:r>
              <w:rPr>
                <w:rFonts w:ascii="Times New Roman" w:hAnsi="Times New Roman" w:cs="Times New Roman"/>
              </w:rPr>
              <w:t>T</w:t>
            </w:r>
            <w:r w:rsidR="00A74ED4" w:rsidRPr="00C57F00">
              <w:rPr>
                <w:rFonts w:ascii="Times New Roman" w:hAnsi="Times New Roman" w:cs="Times New Roman"/>
              </w:rPr>
              <w:t>echnique</w:t>
            </w:r>
          </w:p>
        </w:tc>
        <w:tc>
          <w:tcPr>
            <w:tcW w:w="7652" w:type="dxa"/>
            <w:tcBorders>
              <w:left w:val="nil"/>
              <w:right w:val="nil"/>
            </w:tcBorders>
            <w:vAlign w:val="center"/>
          </w:tcPr>
          <w:p w14:paraId="50F633B5" w14:textId="77777777" w:rsidR="00A74ED4" w:rsidRPr="00C57F00" w:rsidRDefault="00A74ED4" w:rsidP="00260D7D">
            <w:pPr>
              <w:tabs>
                <w:tab w:val="left" w:pos="567"/>
              </w:tabs>
              <w:jc w:val="center"/>
              <w:rPr>
                <w:rFonts w:ascii="Times New Roman" w:hAnsi="Times New Roman" w:cs="Times New Roman"/>
              </w:rPr>
            </w:pPr>
            <w:r w:rsidRPr="00C57F00">
              <w:rPr>
                <w:rFonts w:ascii="Times New Roman" w:hAnsi="Times New Roman" w:cs="Times New Roman"/>
              </w:rPr>
              <w:t>Variables</w:t>
            </w:r>
          </w:p>
        </w:tc>
      </w:tr>
      <w:tr w:rsidR="00A74ED4" w:rsidRPr="00C57F00" w14:paraId="08A729EF" w14:textId="77777777" w:rsidTr="00071E42">
        <w:trPr>
          <w:jc w:val="center"/>
        </w:trPr>
        <w:tc>
          <w:tcPr>
            <w:tcW w:w="1838" w:type="dxa"/>
            <w:tcBorders>
              <w:left w:val="nil"/>
              <w:right w:val="nil"/>
            </w:tcBorders>
            <w:vAlign w:val="center"/>
          </w:tcPr>
          <w:p w14:paraId="47D96CCE" w14:textId="77777777"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Altman (1968)</w:t>
            </w:r>
          </w:p>
        </w:tc>
        <w:tc>
          <w:tcPr>
            <w:tcW w:w="1559" w:type="dxa"/>
            <w:tcBorders>
              <w:left w:val="nil"/>
              <w:right w:val="nil"/>
            </w:tcBorders>
            <w:vAlign w:val="center"/>
          </w:tcPr>
          <w:p w14:paraId="7B30090D" w14:textId="77777777"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Accounting</w:t>
            </w:r>
          </w:p>
        </w:tc>
        <w:tc>
          <w:tcPr>
            <w:tcW w:w="1134" w:type="dxa"/>
            <w:tcBorders>
              <w:left w:val="nil"/>
              <w:right w:val="nil"/>
            </w:tcBorders>
            <w:vAlign w:val="center"/>
          </w:tcPr>
          <w:p w14:paraId="7CD83F57" w14:textId="77777777"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ALT</w:t>
            </w:r>
          </w:p>
        </w:tc>
        <w:tc>
          <w:tcPr>
            <w:tcW w:w="1985" w:type="dxa"/>
            <w:tcBorders>
              <w:left w:val="nil"/>
              <w:right w:val="nil"/>
            </w:tcBorders>
            <w:vAlign w:val="center"/>
          </w:tcPr>
          <w:p w14:paraId="7C10427C" w14:textId="77777777" w:rsidR="00071E42"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 xml:space="preserve">Discriminant </w:t>
            </w:r>
          </w:p>
          <w:p w14:paraId="0F02E41F" w14:textId="35C5B07C" w:rsidR="00A74ED4" w:rsidRPr="00C57F00" w:rsidRDefault="00071E42" w:rsidP="00C11F67">
            <w:pPr>
              <w:tabs>
                <w:tab w:val="left" w:pos="567"/>
                <w:tab w:val="left" w:pos="6946"/>
                <w:tab w:val="left" w:pos="7230"/>
              </w:tabs>
              <w:jc w:val="center"/>
              <w:rPr>
                <w:rFonts w:ascii="Times New Roman" w:hAnsi="Times New Roman" w:cs="Times New Roman"/>
              </w:rPr>
            </w:pPr>
            <w:r>
              <w:rPr>
                <w:rFonts w:ascii="Times New Roman" w:hAnsi="Times New Roman" w:cs="Times New Roman"/>
              </w:rPr>
              <w:t>A</w:t>
            </w:r>
            <w:r w:rsidR="00A74ED4" w:rsidRPr="00C57F00">
              <w:rPr>
                <w:rFonts w:ascii="Times New Roman" w:hAnsi="Times New Roman" w:cs="Times New Roman"/>
              </w:rPr>
              <w:t>nalysis</w:t>
            </w:r>
          </w:p>
        </w:tc>
        <w:tc>
          <w:tcPr>
            <w:tcW w:w="7652" w:type="dxa"/>
            <w:tcBorders>
              <w:left w:val="nil"/>
              <w:right w:val="nil"/>
            </w:tcBorders>
            <w:vAlign w:val="center"/>
          </w:tcPr>
          <w:p w14:paraId="1C666A40" w14:textId="77777777" w:rsidR="00071E42" w:rsidRPr="00071E42" w:rsidRDefault="00071E42" w:rsidP="00C11F67">
            <w:pPr>
              <w:tabs>
                <w:tab w:val="left" w:pos="643"/>
                <w:tab w:val="left" w:pos="1350"/>
                <w:tab w:val="left" w:pos="6946"/>
                <w:tab w:val="left" w:pos="7230"/>
              </w:tabs>
              <w:rPr>
                <w:rFonts w:ascii="Times New Roman" w:hAnsi="Times New Roman" w:cs="Times New Roman"/>
                <w:b/>
                <w:bCs/>
                <w:i/>
                <w:iCs/>
                <w:sz w:val="16"/>
                <w:szCs w:val="16"/>
              </w:rPr>
            </w:pPr>
          </w:p>
          <w:p w14:paraId="7CF621F2" w14:textId="65D7A1C8" w:rsidR="00A74ED4" w:rsidRPr="00C57F00" w:rsidRDefault="00A74ED4" w:rsidP="00C11F67">
            <w:pPr>
              <w:tabs>
                <w:tab w:val="left" w:pos="643"/>
                <w:tab w:val="left" w:pos="1350"/>
                <w:tab w:val="left" w:pos="6946"/>
                <w:tab w:val="left" w:pos="7230"/>
              </w:tabs>
              <w:rPr>
                <w:rFonts w:ascii="Times New Roman" w:hAnsi="Times New Roman" w:cs="Times New Roman"/>
              </w:rPr>
            </w:pPr>
            <w:r w:rsidRPr="00C57F00">
              <w:rPr>
                <w:rFonts w:ascii="Times New Roman" w:hAnsi="Times New Roman" w:cs="Times New Roman"/>
                <w:b/>
                <w:bCs/>
                <w:i/>
                <w:iCs/>
              </w:rPr>
              <w:t>WCTA</w:t>
            </w:r>
            <w:r w:rsidRPr="00C57F00">
              <w:rPr>
                <w:rFonts w:ascii="Times New Roman" w:hAnsi="Times New Roman" w:cs="Times New Roman"/>
              </w:rPr>
              <w:t xml:space="preserve"> = Working capital / total assets</w:t>
            </w:r>
            <w:r w:rsidR="00327178">
              <w:rPr>
                <w:rFonts w:ascii="Times New Roman" w:hAnsi="Times New Roman" w:cs="Times New Roman"/>
              </w:rPr>
              <w:t>.</w:t>
            </w:r>
            <w:r w:rsidRPr="00C57F00">
              <w:rPr>
                <w:rFonts w:ascii="Times New Roman" w:hAnsi="Times New Roman" w:cs="Times New Roman"/>
              </w:rPr>
              <w:t xml:space="preserve"> </w:t>
            </w:r>
          </w:p>
          <w:p w14:paraId="098132F5" w14:textId="4F9E256D"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RETA</w:t>
            </w:r>
            <w:r w:rsidRPr="00C57F00">
              <w:rPr>
                <w:rFonts w:ascii="Times New Roman" w:hAnsi="Times New Roman" w:cs="Times New Roman"/>
              </w:rPr>
              <w:t xml:space="preserve"> = Retained earnings / total assets</w:t>
            </w:r>
            <w:r w:rsidR="00327178" w:rsidRPr="00327178">
              <w:rPr>
                <w:rFonts w:ascii="Times New Roman" w:hAnsi="Times New Roman" w:cs="Times New Roman"/>
              </w:rPr>
              <w:t>.</w:t>
            </w:r>
            <w:r w:rsidRPr="00C57F00">
              <w:rPr>
                <w:rFonts w:ascii="Times New Roman" w:hAnsi="Times New Roman" w:cs="Times New Roman"/>
              </w:rPr>
              <w:t xml:space="preserve"> </w:t>
            </w:r>
          </w:p>
          <w:p w14:paraId="3C8CA62A" w14:textId="2AB1C8E7"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EBITTA</w:t>
            </w:r>
            <w:r w:rsidRPr="00C57F00">
              <w:rPr>
                <w:rFonts w:ascii="Times New Roman" w:hAnsi="Times New Roman" w:cs="Times New Roman"/>
              </w:rPr>
              <w:t xml:space="preserve"> = Earnings before interest and taxes / total assets</w:t>
            </w:r>
            <w:r w:rsidR="00327178" w:rsidRPr="00327178">
              <w:rPr>
                <w:rFonts w:ascii="Times New Roman" w:hAnsi="Times New Roman" w:cs="Times New Roman"/>
              </w:rPr>
              <w:t>.</w:t>
            </w:r>
            <w:r w:rsidRPr="00C57F00">
              <w:rPr>
                <w:rFonts w:ascii="Times New Roman" w:hAnsi="Times New Roman" w:cs="Times New Roman"/>
              </w:rPr>
              <w:t xml:space="preserve"> </w:t>
            </w:r>
          </w:p>
          <w:p w14:paraId="7ACF65D5" w14:textId="025C34AB" w:rsidR="00A74ED4" w:rsidRPr="00C57F00" w:rsidRDefault="00A74ED4" w:rsidP="00C11F67">
            <w:pPr>
              <w:tabs>
                <w:tab w:val="left" w:pos="567"/>
                <w:tab w:val="left" w:pos="6946"/>
                <w:tab w:val="left" w:pos="7230"/>
              </w:tabs>
              <w:rPr>
                <w:rFonts w:ascii="Times New Roman" w:hAnsi="Times New Roman" w:cs="Times New Roman"/>
              </w:rPr>
            </w:pPr>
            <w:bookmarkStart w:id="10" w:name="_Hlk65376"/>
            <w:r w:rsidRPr="00C57F00">
              <w:rPr>
                <w:rFonts w:ascii="Times New Roman" w:hAnsi="Times New Roman" w:cs="Times New Roman"/>
                <w:b/>
                <w:bCs/>
                <w:i/>
                <w:iCs/>
              </w:rPr>
              <w:t xml:space="preserve">METD </w:t>
            </w:r>
            <w:r w:rsidRPr="00C57F00">
              <w:rPr>
                <w:rFonts w:ascii="Times New Roman" w:hAnsi="Times New Roman" w:cs="Times New Roman"/>
              </w:rPr>
              <w:t>= Market value of equity / total debt</w:t>
            </w:r>
            <w:r w:rsidR="00327178" w:rsidRPr="00327178">
              <w:rPr>
                <w:rFonts w:ascii="Times New Roman" w:hAnsi="Times New Roman" w:cs="Times New Roman"/>
              </w:rPr>
              <w:t>.</w:t>
            </w:r>
            <w:r w:rsidRPr="00C57F00">
              <w:rPr>
                <w:rFonts w:ascii="Times New Roman" w:hAnsi="Times New Roman" w:cs="Times New Roman"/>
              </w:rPr>
              <w:t xml:space="preserve"> </w:t>
            </w:r>
          </w:p>
          <w:bookmarkEnd w:id="10"/>
          <w:p w14:paraId="114C1A9D" w14:textId="77777777" w:rsidR="00A74ED4"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 xml:space="preserve">STA </w:t>
            </w:r>
            <w:r w:rsidRPr="00C57F00">
              <w:rPr>
                <w:rFonts w:ascii="Times New Roman" w:hAnsi="Times New Roman" w:cs="Times New Roman"/>
              </w:rPr>
              <w:t>= Sales / total assets.</w:t>
            </w:r>
          </w:p>
          <w:p w14:paraId="01828EA6" w14:textId="5A8A9391" w:rsidR="00805868" w:rsidRPr="00071E42" w:rsidRDefault="00805868" w:rsidP="00C11F67">
            <w:pPr>
              <w:tabs>
                <w:tab w:val="left" w:pos="567"/>
                <w:tab w:val="left" w:pos="6946"/>
                <w:tab w:val="left" w:pos="7230"/>
              </w:tabs>
              <w:rPr>
                <w:rFonts w:ascii="Times New Roman" w:hAnsi="Times New Roman" w:cs="Times New Roman"/>
                <w:sz w:val="16"/>
                <w:szCs w:val="16"/>
              </w:rPr>
            </w:pPr>
          </w:p>
        </w:tc>
      </w:tr>
      <w:tr w:rsidR="00A74ED4" w:rsidRPr="00C57F00" w14:paraId="56F094E9" w14:textId="77777777" w:rsidTr="00071E42">
        <w:trPr>
          <w:jc w:val="center"/>
        </w:trPr>
        <w:tc>
          <w:tcPr>
            <w:tcW w:w="1838" w:type="dxa"/>
            <w:tcBorders>
              <w:left w:val="nil"/>
              <w:right w:val="nil"/>
            </w:tcBorders>
            <w:vAlign w:val="center"/>
          </w:tcPr>
          <w:p w14:paraId="10006F13" w14:textId="77777777"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Ohlson (1980)</w:t>
            </w:r>
          </w:p>
        </w:tc>
        <w:tc>
          <w:tcPr>
            <w:tcW w:w="1559" w:type="dxa"/>
            <w:tcBorders>
              <w:left w:val="nil"/>
              <w:right w:val="nil"/>
            </w:tcBorders>
            <w:vAlign w:val="center"/>
          </w:tcPr>
          <w:p w14:paraId="7BB1E22F" w14:textId="77777777"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Accounting</w:t>
            </w:r>
          </w:p>
        </w:tc>
        <w:tc>
          <w:tcPr>
            <w:tcW w:w="1134" w:type="dxa"/>
            <w:tcBorders>
              <w:left w:val="nil"/>
              <w:right w:val="nil"/>
            </w:tcBorders>
            <w:vAlign w:val="center"/>
          </w:tcPr>
          <w:p w14:paraId="723F290F" w14:textId="77777777"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OHL</w:t>
            </w:r>
          </w:p>
        </w:tc>
        <w:tc>
          <w:tcPr>
            <w:tcW w:w="1985" w:type="dxa"/>
            <w:tcBorders>
              <w:left w:val="nil"/>
              <w:right w:val="nil"/>
            </w:tcBorders>
            <w:vAlign w:val="center"/>
          </w:tcPr>
          <w:p w14:paraId="4CDADF9E" w14:textId="77777777" w:rsidR="00071E42"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 xml:space="preserve">Regression </w:t>
            </w:r>
          </w:p>
          <w:p w14:paraId="2EEB3A4C" w14:textId="16D38D27" w:rsidR="00071E42" w:rsidRDefault="00071E42" w:rsidP="00C11F67">
            <w:pPr>
              <w:tabs>
                <w:tab w:val="left" w:pos="567"/>
                <w:tab w:val="left" w:pos="6946"/>
                <w:tab w:val="left" w:pos="7230"/>
              </w:tabs>
              <w:jc w:val="center"/>
              <w:rPr>
                <w:rFonts w:ascii="Times New Roman" w:hAnsi="Times New Roman" w:cs="Times New Roman"/>
              </w:rPr>
            </w:pPr>
            <w:r>
              <w:rPr>
                <w:rFonts w:ascii="Times New Roman" w:hAnsi="Times New Roman" w:cs="Times New Roman"/>
              </w:rPr>
              <w:t>A</w:t>
            </w:r>
            <w:r w:rsidR="00A74ED4" w:rsidRPr="00C57F00">
              <w:rPr>
                <w:rFonts w:ascii="Times New Roman" w:hAnsi="Times New Roman" w:cs="Times New Roman"/>
              </w:rPr>
              <w:t xml:space="preserve">nalysis </w:t>
            </w:r>
          </w:p>
          <w:p w14:paraId="7C170FF8" w14:textId="69A1F33B"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w:t>
            </w:r>
            <w:r w:rsidR="00071E42">
              <w:rPr>
                <w:rFonts w:ascii="Times New Roman" w:hAnsi="Times New Roman" w:cs="Times New Roman"/>
              </w:rPr>
              <w:t>L</w:t>
            </w:r>
            <w:r w:rsidRPr="00C57F00">
              <w:rPr>
                <w:rFonts w:ascii="Times New Roman" w:hAnsi="Times New Roman" w:cs="Times New Roman"/>
              </w:rPr>
              <w:t>ogit)</w:t>
            </w:r>
          </w:p>
        </w:tc>
        <w:tc>
          <w:tcPr>
            <w:tcW w:w="7652" w:type="dxa"/>
            <w:tcBorders>
              <w:left w:val="nil"/>
              <w:right w:val="nil"/>
            </w:tcBorders>
            <w:vAlign w:val="center"/>
          </w:tcPr>
          <w:p w14:paraId="413EDDDA" w14:textId="77777777" w:rsidR="00071E42" w:rsidRPr="00071E42" w:rsidRDefault="00071E42" w:rsidP="00C11F67">
            <w:pPr>
              <w:tabs>
                <w:tab w:val="left" w:pos="567"/>
                <w:tab w:val="left" w:pos="6946"/>
                <w:tab w:val="left" w:pos="7230"/>
              </w:tabs>
              <w:rPr>
                <w:rFonts w:ascii="Times New Roman" w:hAnsi="Times New Roman" w:cs="Times New Roman"/>
                <w:b/>
                <w:bCs/>
                <w:i/>
                <w:iCs/>
                <w:sz w:val="16"/>
                <w:szCs w:val="16"/>
              </w:rPr>
            </w:pPr>
          </w:p>
          <w:p w14:paraId="1BCC901C" w14:textId="2006D5A5"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TLTA</w:t>
            </w:r>
            <w:r w:rsidRPr="00C57F00">
              <w:rPr>
                <w:rFonts w:ascii="Times New Roman" w:hAnsi="Times New Roman" w:cs="Times New Roman"/>
              </w:rPr>
              <w:t xml:space="preserve"> = Total liabilities / total assets</w:t>
            </w:r>
            <w:r w:rsidR="00327178" w:rsidRPr="00327178">
              <w:rPr>
                <w:rFonts w:ascii="Times New Roman" w:hAnsi="Times New Roman" w:cs="Times New Roman"/>
              </w:rPr>
              <w:t>.</w:t>
            </w:r>
            <w:r w:rsidRPr="00C57F00">
              <w:rPr>
                <w:rFonts w:ascii="Times New Roman" w:hAnsi="Times New Roman" w:cs="Times New Roman"/>
              </w:rPr>
              <w:t xml:space="preserve"> </w:t>
            </w:r>
          </w:p>
          <w:p w14:paraId="11C1551F" w14:textId="46214046"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WCTA</w:t>
            </w:r>
            <w:r w:rsidRPr="00C57F00">
              <w:rPr>
                <w:rFonts w:ascii="Times New Roman" w:hAnsi="Times New Roman" w:cs="Times New Roman"/>
              </w:rPr>
              <w:t xml:space="preserve"> = Working capital / total assets</w:t>
            </w:r>
            <w:r w:rsidR="00327178" w:rsidRPr="00327178">
              <w:rPr>
                <w:rFonts w:ascii="Times New Roman" w:hAnsi="Times New Roman" w:cs="Times New Roman"/>
              </w:rPr>
              <w:t>.</w:t>
            </w:r>
            <w:r w:rsidRPr="00C57F00">
              <w:rPr>
                <w:rFonts w:ascii="Times New Roman" w:hAnsi="Times New Roman" w:cs="Times New Roman"/>
              </w:rPr>
              <w:t xml:space="preserve"> </w:t>
            </w:r>
          </w:p>
          <w:p w14:paraId="40EB3CA9" w14:textId="451C2C25" w:rsidR="00A74ED4" w:rsidRPr="00C57F00" w:rsidRDefault="00A74ED4" w:rsidP="00C11F67">
            <w:pPr>
              <w:tabs>
                <w:tab w:val="left" w:pos="567"/>
                <w:tab w:val="left" w:pos="6946"/>
                <w:tab w:val="left" w:pos="7230"/>
              </w:tabs>
              <w:rPr>
                <w:rFonts w:ascii="Times New Roman" w:hAnsi="Times New Roman" w:cs="Times New Roman"/>
                <w:lang w:val="fr-FR"/>
              </w:rPr>
            </w:pPr>
            <w:r w:rsidRPr="00C57F00">
              <w:rPr>
                <w:rFonts w:ascii="Times New Roman" w:hAnsi="Times New Roman" w:cs="Times New Roman"/>
                <w:b/>
                <w:bCs/>
                <w:i/>
                <w:iCs/>
                <w:lang w:val="fr-FR"/>
              </w:rPr>
              <w:t>CLCA</w:t>
            </w:r>
            <w:r w:rsidRPr="00C57F00">
              <w:rPr>
                <w:rFonts w:ascii="Times New Roman" w:hAnsi="Times New Roman" w:cs="Times New Roman"/>
                <w:lang w:val="fr-FR"/>
              </w:rPr>
              <w:t xml:space="preserve"> = Current liabilities / current assets</w:t>
            </w:r>
            <w:r w:rsidR="00327178" w:rsidRPr="00327178">
              <w:rPr>
                <w:rFonts w:ascii="Times New Roman" w:hAnsi="Times New Roman" w:cs="Times New Roman"/>
                <w:lang w:val="fr-FR"/>
              </w:rPr>
              <w:t>.</w:t>
            </w:r>
            <w:r w:rsidRPr="00C57F00">
              <w:rPr>
                <w:rFonts w:ascii="Times New Roman" w:hAnsi="Times New Roman" w:cs="Times New Roman"/>
                <w:lang w:val="fr-FR"/>
              </w:rPr>
              <w:t xml:space="preserve"> </w:t>
            </w:r>
          </w:p>
          <w:p w14:paraId="1B82F44A" w14:textId="273CAEF7"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OENEG</w:t>
            </w:r>
            <w:r w:rsidRPr="00C57F00">
              <w:rPr>
                <w:rFonts w:ascii="Times New Roman" w:hAnsi="Times New Roman" w:cs="Times New Roman"/>
              </w:rPr>
              <w:t xml:space="preserve"> =1 if total liabilities exceed total assets, 0 otherwise</w:t>
            </w:r>
            <w:r w:rsidR="00327178" w:rsidRPr="00327178">
              <w:rPr>
                <w:rFonts w:ascii="Times New Roman" w:hAnsi="Times New Roman" w:cs="Times New Roman"/>
              </w:rPr>
              <w:t>.</w:t>
            </w:r>
            <w:r w:rsidRPr="00C57F00">
              <w:rPr>
                <w:rFonts w:ascii="Times New Roman" w:hAnsi="Times New Roman" w:cs="Times New Roman"/>
              </w:rPr>
              <w:t xml:space="preserve"> </w:t>
            </w:r>
          </w:p>
          <w:p w14:paraId="09E28D02" w14:textId="5036F910"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NITA</w:t>
            </w:r>
            <w:r w:rsidRPr="00C57F00">
              <w:rPr>
                <w:rFonts w:ascii="Times New Roman" w:hAnsi="Times New Roman" w:cs="Times New Roman"/>
              </w:rPr>
              <w:t xml:space="preserve"> = Net income/total assets</w:t>
            </w:r>
            <w:r w:rsidR="00327178" w:rsidRPr="00327178">
              <w:rPr>
                <w:rFonts w:ascii="Times New Roman" w:hAnsi="Times New Roman" w:cs="Times New Roman"/>
              </w:rPr>
              <w:t>.</w:t>
            </w:r>
            <w:r w:rsidRPr="00C57F00">
              <w:rPr>
                <w:rFonts w:ascii="Times New Roman" w:hAnsi="Times New Roman" w:cs="Times New Roman"/>
              </w:rPr>
              <w:t xml:space="preserve"> </w:t>
            </w:r>
          </w:p>
          <w:p w14:paraId="53483C33" w14:textId="0DA03E78"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FUTL</w:t>
            </w:r>
            <w:r w:rsidRPr="00C57F00">
              <w:rPr>
                <w:rFonts w:ascii="Times New Roman" w:hAnsi="Times New Roman" w:cs="Times New Roman"/>
              </w:rPr>
              <w:t xml:space="preserve"> = Funds from operations (operating income minus depreciation) / total liabilities</w:t>
            </w:r>
            <w:r w:rsidR="00327178" w:rsidRPr="00327178">
              <w:rPr>
                <w:rFonts w:ascii="Times New Roman" w:hAnsi="Times New Roman" w:cs="Times New Roman"/>
              </w:rPr>
              <w:t>.</w:t>
            </w:r>
            <w:r w:rsidRPr="00C57F00">
              <w:rPr>
                <w:rFonts w:ascii="Times New Roman" w:hAnsi="Times New Roman" w:cs="Times New Roman"/>
              </w:rPr>
              <w:t xml:space="preserve"> </w:t>
            </w:r>
          </w:p>
          <w:p w14:paraId="153A4C64" w14:textId="46C599B3"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INTWO</w:t>
            </w:r>
            <w:r w:rsidRPr="00C57F00">
              <w:rPr>
                <w:rFonts w:ascii="Times New Roman" w:hAnsi="Times New Roman" w:cs="Times New Roman"/>
              </w:rPr>
              <w:t xml:space="preserve"> =1 if net income has been negative for the last 2 years, 0 otherwise</w:t>
            </w:r>
            <w:r w:rsidR="00327178" w:rsidRPr="00327178">
              <w:rPr>
                <w:rFonts w:ascii="Times New Roman" w:hAnsi="Times New Roman" w:cs="Times New Roman"/>
              </w:rPr>
              <w:t>.</w:t>
            </w:r>
            <w:r w:rsidRPr="00C57F00">
              <w:rPr>
                <w:rFonts w:ascii="Times New Roman" w:hAnsi="Times New Roman" w:cs="Times New Roman"/>
              </w:rPr>
              <w:t xml:space="preserve"> </w:t>
            </w:r>
          </w:p>
          <w:p w14:paraId="78916653" w14:textId="78AF36FF"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CHIN</w:t>
            </w:r>
            <w:r w:rsidRPr="00C57F00">
              <w:rPr>
                <w:rFonts w:ascii="Times New Roman" w:hAnsi="Times New Roman" w:cs="Times New Roman"/>
              </w:rPr>
              <w:t xml:space="preserve"> = (NI</w:t>
            </w:r>
            <w:r w:rsidRPr="00C57F00">
              <w:rPr>
                <w:rFonts w:ascii="Times New Roman" w:hAnsi="Times New Roman" w:cs="Times New Roman"/>
                <w:vertAlign w:val="subscript"/>
              </w:rPr>
              <w:t>t</w:t>
            </w:r>
            <w:r w:rsidRPr="00C57F00">
              <w:rPr>
                <w:rFonts w:ascii="Times New Roman" w:hAnsi="Times New Roman" w:cs="Times New Roman"/>
              </w:rPr>
              <w:t xml:space="preserve"> − NI</w:t>
            </w:r>
            <w:r w:rsidRPr="00C57F00">
              <w:rPr>
                <w:rFonts w:ascii="Times New Roman" w:hAnsi="Times New Roman" w:cs="Times New Roman"/>
                <w:vertAlign w:val="subscript"/>
              </w:rPr>
              <w:t>t – 1</w:t>
            </w:r>
            <w:r w:rsidRPr="00C57F00">
              <w:rPr>
                <w:rFonts w:ascii="Times New Roman" w:hAnsi="Times New Roman" w:cs="Times New Roman"/>
              </w:rPr>
              <w:t>)/(|NI</w:t>
            </w:r>
            <w:r w:rsidRPr="00C57F00">
              <w:rPr>
                <w:rFonts w:ascii="Times New Roman" w:hAnsi="Times New Roman" w:cs="Times New Roman"/>
                <w:vertAlign w:val="subscript"/>
              </w:rPr>
              <w:t>t</w:t>
            </w:r>
            <w:r w:rsidRPr="00C57F00">
              <w:rPr>
                <w:rFonts w:ascii="Times New Roman" w:hAnsi="Times New Roman" w:cs="Times New Roman"/>
              </w:rPr>
              <w:t>| + |NI</w:t>
            </w:r>
            <w:r w:rsidRPr="00C57F00">
              <w:rPr>
                <w:rFonts w:ascii="Times New Roman" w:hAnsi="Times New Roman" w:cs="Times New Roman"/>
                <w:vertAlign w:val="subscript"/>
              </w:rPr>
              <w:t>t − 1</w:t>
            </w:r>
            <w:r w:rsidRPr="00C57F00">
              <w:rPr>
                <w:rFonts w:ascii="Times New Roman" w:hAnsi="Times New Roman" w:cs="Times New Roman"/>
              </w:rPr>
              <w:t>|), NI</w:t>
            </w:r>
            <w:r w:rsidRPr="00C57F00">
              <w:rPr>
                <w:rFonts w:ascii="Times New Roman" w:hAnsi="Times New Roman" w:cs="Times New Roman"/>
                <w:vertAlign w:val="subscript"/>
              </w:rPr>
              <w:t>t</w:t>
            </w:r>
            <w:r w:rsidRPr="00C57F00">
              <w:rPr>
                <w:rFonts w:ascii="Times New Roman" w:hAnsi="Times New Roman" w:cs="Times New Roman"/>
              </w:rPr>
              <w:t xml:space="preserve"> is the net income for the latest period</w:t>
            </w:r>
            <w:r w:rsidR="00327178" w:rsidRPr="00327178">
              <w:rPr>
                <w:rFonts w:ascii="Times New Roman" w:hAnsi="Times New Roman" w:cs="Times New Roman"/>
              </w:rPr>
              <w:t>.</w:t>
            </w:r>
            <w:r w:rsidRPr="00C57F00">
              <w:rPr>
                <w:rFonts w:ascii="Times New Roman" w:hAnsi="Times New Roman" w:cs="Times New Roman"/>
              </w:rPr>
              <w:t xml:space="preserve"> </w:t>
            </w:r>
          </w:p>
          <w:p w14:paraId="7E43D088" w14:textId="77777777" w:rsidR="00A74ED4"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Ohlsonsize</w:t>
            </w:r>
            <w:r w:rsidRPr="00C57F00">
              <w:rPr>
                <w:rFonts w:ascii="Times New Roman" w:hAnsi="Times New Roman" w:cs="Times New Roman"/>
              </w:rPr>
              <w:t xml:space="preserve"> = log (Total assets / GNP price-level index)</w:t>
            </w:r>
          </w:p>
          <w:p w14:paraId="7D0F81B9" w14:textId="02E74B63" w:rsidR="00805868" w:rsidRPr="00071E42" w:rsidRDefault="00805868" w:rsidP="00C11F67">
            <w:pPr>
              <w:tabs>
                <w:tab w:val="left" w:pos="567"/>
                <w:tab w:val="left" w:pos="6946"/>
                <w:tab w:val="left" w:pos="7230"/>
              </w:tabs>
              <w:rPr>
                <w:rFonts w:ascii="Times New Roman" w:hAnsi="Times New Roman" w:cs="Times New Roman"/>
                <w:sz w:val="16"/>
                <w:szCs w:val="16"/>
              </w:rPr>
            </w:pPr>
          </w:p>
        </w:tc>
      </w:tr>
      <w:tr w:rsidR="00A74ED4" w:rsidRPr="00C57F00" w14:paraId="7F90AD6C" w14:textId="77777777" w:rsidTr="00071E42">
        <w:trPr>
          <w:jc w:val="center"/>
        </w:trPr>
        <w:tc>
          <w:tcPr>
            <w:tcW w:w="1838" w:type="dxa"/>
            <w:tcBorders>
              <w:left w:val="nil"/>
              <w:right w:val="nil"/>
            </w:tcBorders>
            <w:vAlign w:val="center"/>
          </w:tcPr>
          <w:p w14:paraId="668D8E7A" w14:textId="77777777"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Zmijewski (1984)</w:t>
            </w:r>
          </w:p>
        </w:tc>
        <w:tc>
          <w:tcPr>
            <w:tcW w:w="1559" w:type="dxa"/>
            <w:tcBorders>
              <w:left w:val="nil"/>
              <w:right w:val="nil"/>
            </w:tcBorders>
            <w:vAlign w:val="center"/>
          </w:tcPr>
          <w:p w14:paraId="5F9FC45F" w14:textId="77777777"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Accounting</w:t>
            </w:r>
          </w:p>
        </w:tc>
        <w:tc>
          <w:tcPr>
            <w:tcW w:w="1134" w:type="dxa"/>
            <w:tcBorders>
              <w:left w:val="nil"/>
              <w:right w:val="nil"/>
            </w:tcBorders>
            <w:vAlign w:val="center"/>
          </w:tcPr>
          <w:p w14:paraId="0F3D597D" w14:textId="77777777"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ZMJ</w:t>
            </w:r>
          </w:p>
        </w:tc>
        <w:tc>
          <w:tcPr>
            <w:tcW w:w="1985" w:type="dxa"/>
            <w:tcBorders>
              <w:left w:val="nil"/>
              <w:right w:val="nil"/>
            </w:tcBorders>
            <w:vAlign w:val="center"/>
          </w:tcPr>
          <w:p w14:paraId="33E6AC10" w14:textId="77777777" w:rsidR="00071E42"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 xml:space="preserve">Regression </w:t>
            </w:r>
          </w:p>
          <w:p w14:paraId="43D732AE" w14:textId="03C1910F" w:rsidR="00071E42" w:rsidRDefault="00071E42" w:rsidP="00C11F67">
            <w:pPr>
              <w:tabs>
                <w:tab w:val="left" w:pos="567"/>
                <w:tab w:val="left" w:pos="6946"/>
                <w:tab w:val="left" w:pos="7230"/>
              </w:tabs>
              <w:jc w:val="center"/>
              <w:rPr>
                <w:rFonts w:ascii="Times New Roman" w:hAnsi="Times New Roman" w:cs="Times New Roman"/>
              </w:rPr>
            </w:pPr>
            <w:r>
              <w:rPr>
                <w:rFonts w:ascii="Times New Roman" w:hAnsi="Times New Roman" w:cs="Times New Roman"/>
              </w:rPr>
              <w:t>A</w:t>
            </w:r>
            <w:r w:rsidR="00A74ED4" w:rsidRPr="00C57F00">
              <w:rPr>
                <w:rFonts w:ascii="Times New Roman" w:hAnsi="Times New Roman" w:cs="Times New Roman"/>
              </w:rPr>
              <w:t xml:space="preserve">nalysis </w:t>
            </w:r>
          </w:p>
          <w:p w14:paraId="3F9ED63E" w14:textId="13B659CF"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w:t>
            </w:r>
            <w:r w:rsidR="00071E42">
              <w:rPr>
                <w:rFonts w:ascii="Times New Roman" w:hAnsi="Times New Roman" w:cs="Times New Roman"/>
              </w:rPr>
              <w:t>P</w:t>
            </w:r>
            <w:r w:rsidRPr="00C57F00">
              <w:rPr>
                <w:rFonts w:ascii="Times New Roman" w:hAnsi="Times New Roman" w:cs="Times New Roman"/>
              </w:rPr>
              <w:t>robit)</w:t>
            </w:r>
          </w:p>
        </w:tc>
        <w:tc>
          <w:tcPr>
            <w:tcW w:w="7652" w:type="dxa"/>
            <w:tcBorders>
              <w:left w:val="nil"/>
              <w:right w:val="nil"/>
            </w:tcBorders>
            <w:vAlign w:val="center"/>
          </w:tcPr>
          <w:p w14:paraId="4407D35D" w14:textId="77777777" w:rsidR="00071E42" w:rsidRPr="00071E42" w:rsidRDefault="00071E42" w:rsidP="00C11F67">
            <w:pPr>
              <w:tabs>
                <w:tab w:val="left" w:pos="567"/>
                <w:tab w:val="left" w:pos="6946"/>
                <w:tab w:val="left" w:pos="7230"/>
              </w:tabs>
              <w:rPr>
                <w:rFonts w:ascii="Times New Roman" w:hAnsi="Times New Roman" w:cs="Times New Roman"/>
                <w:b/>
                <w:bCs/>
                <w:i/>
                <w:iCs/>
                <w:sz w:val="16"/>
                <w:szCs w:val="16"/>
              </w:rPr>
            </w:pPr>
          </w:p>
          <w:p w14:paraId="4B8DED74" w14:textId="23D1D5E7"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NITA</w:t>
            </w:r>
            <w:r w:rsidRPr="00C57F00">
              <w:rPr>
                <w:rFonts w:ascii="Times New Roman" w:hAnsi="Times New Roman" w:cs="Times New Roman"/>
              </w:rPr>
              <w:t xml:space="preserve"> = Net income / total assets</w:t>
            </w:r>
            <w:r w:rsidR="00327178" w:rsidRPr="00327178">
              <w:rPr>
                <w:rFonts w:ascii="Times New Roman" w:hAnsi="Times New Roman" w:cs="Times New Roman"/>
              </w:rPr>
              <w:t>.</w:t>
            </w:r>
            <w:r w:rsidRPr="00C57F00">
              <w:rPr>
                <w:rFonts w:ascii="Times New Roman" w:hAnsi="Times New Roman" w:cs="Times New Roman"/>
              </w:rPr>
              <w:t xml:space="preserve"> </w:t>
            </w:r>
          </w:p>
          <w:p w14:paraId="1EDB4852" w14:textId="630813FB" w:rsidR="00A74ED4" w:rsidRPr="00C57F00" w:rsidRDefault="00A74ED4" w:rsidP="00C11F67">
            <w:pPr>
              <w:tabs>
                <w:tab w:val="left" w:pos="567"/>
                <w:tab w:val="left" w:pos="6946"/>
                <w:tab w:val="left" w:pos="7230"/>
              </w:tabs>
              <w:rPr>
                <w:rFonts w:ascii="Times New Roman" w:hAnsi="Times New Roman" w:cs="Times New Roman"/>
              </w:rPr>
            </w:pPr>
            <w:bookmarkStart w:id="11" w:name="_Hlk65405"/>
            <w:r w:rsidRPr="00C57F00">
              <w:rPr>
                <w:rFonts w:ascii="Times New Roman" w:hAnsi="Times New Roman" w:cs="Times New Roman"/>
                <w:b/>
                <w:bCs/>
                <w:i/>
                <w:iCs/>
              </w:rPr>
              <w:t>TLTA</w:t>
            </w:r>
            <w:r w:rsidRPr="00C57F00">
              <w:rPr>
                <w:rFonts w:ascii="Times New Roman" w:hAnsi="Times New Roman" w:cs="Times New Roman"/>
              </w:rPr>
              <w:t xml:space="preserve"> = Total liabilities / total assets</w:t>
            </w:r>
            <w:r w:rsidR="00327178" w:rsidRPr="00327178">
              <w:rPr>
                <w:rFonts w:ascii="Times New Roman" w:hAnsi="Times New Roman" w:cs="Times New Roman"/>
              </w:rPr>
              <w:t>.</w:t>
            </w:r>
            <w:r w:rsidRPr="00C57F00">
              <w:rPr>
                <w:rFonts w:ascii="Times New Roman" w:hAnsi="Times New Roman" w:cs="Times New Roman"/>
              </w:rPr>
              <w:t xml:space="preserve"> </w:t>
            </w:r>
          </w:p>
          <w:p w14:paraId="4B0C1DDE" w14:textId="77777777" w:rsidR="00A74ED4"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CACL</w:t>
            </w:r>
            <w:r w:rsidRPr="00C57F00">
              <w:rPr>
                <w:rFonts w:ascii="Times New Roman" w:hAnsi="Times New Roman" w:cs="Times New Roman"/>
              </w:rPr>
              <w:t xml:space="preserve"> = Current assets / current liabilities</w:t>
            </w:r>
            <w:bookmarkEnd w:id="11"/>
          </w:p>
          <w:p w14:paraId="5D7228B6" w14:textId="0AA3DAC3" w:rsidR="00805868" w:rsidRPr="00071E42" w:rsidRDefault="00805868" w:rsidP="00C11F67">
            <w:pPr>
              <w:tabs>
                <w:tab w:val="left" w:pos="567"/>
                <w:tab w:val="left" w:pos="6946"/>
                <w:tab w:val="left" w:pos="7230"/>
              </w:tabs>
              <w:rPr>
                <w:rFonts w:ascii="Times New Roman" w:hAnsi="Times New Roman" w:cs="Times New Roman"/>
                <w:sz w:val="16"/>
                <w:szCs w:val="16"/>
              </w:rPr>
            </w:pPr>
          </w:p>
        </w:tc>
      </w:tr>
      <w:tr w:rsidR="00A74ED4" w:rsidRPr="00C57F00" w14:paraId="6BEEB191" w14:textId="77777777" w:rsidTr="00071E42">
        <w:trPr>
          <w:jc w:val="center"/>
        </w:trPr>
        <w:tc>
          <w:tcPr>
            <w:tcW w:w="1838" w:type="dxa"/>
            <w:tcBorders>
              <w:left w:val="nil"/>
              <w:right w:val="nil"/>
            </w:tcBorders>
            <w:vAlign w:val="center"/>
          </w:tcPr>
          <w:p w14:paraId="6C5A0A3C" w14:textId="77777777"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Shumway (2001)</w:t>
            </w:r>
          </w:p>
        </w:tc>
        <w:tc>
          <w:tcPr>
            <w:tcW w:w="1559" w:type="dxa"/>
            <w:tcBorders>
              <w:left w:val="nil"/>
              <w:right w:val="nil"/>
            </w:tcBorders>
            <w:vAlign w:val="center"/>
          </w:tcPr>
          <w:p w14:paraId="55477F54" w14:textId="77777777"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Mix</w:t>
            </w:r>
          </w:p>
        </w:tc>
        <w:tc>
          <w:tcPr>
            <w:tcW w:w="1134" w:type="dxa"/>
            <w:tcBorders>
              <w:left w:val="nil"/>
              <w:right w:val="nil"/>
            </w:tcBorders>
            <w:vAlign w:val="center"/>
          </w:tcPr>
          <w:p w14:paraId="32ECAA22" w14:textId="77777777"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SHW</w:t>
            </w:r>
          </w:p>
        </w:tc>
        <w:tc>
          <w:tcPr>
            <w:tcW w:w="1985" w:type="dxa"/>
            <w:tcBorders>
              <w:left w:val="nil"/>
              <w:right w:val="nil"/>
            </w:tcBorders>
            <w:vAlign w:val="center"/>
          </w:tcPr>
          <w:p w14:paraId="5C69FCE3" w14:textId="77777777" w:rsidR="00071E42"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 xml:space="preserve">Hazard </w:t>
            </w:r>
          </w:p>
          <w:p w14:paraId="3C47B46A" w14:textId="708B171C" w:rsidR="00A74ED4" w:rsidRPr="00C57F00" w:rsidRDefault="00071E42" w:rsidP="00C11F67">
            <w:pPr>
              <w:tabs>
                <w:tab w:val="left" w:pos="567"/>
                <w:tab w:val="left" w:pos="6946"/>
                <w:tab w:val="left" w:pos="7230"/>
              </w:tabs>
              <w:jc w:val="center"/>
              <w:rPr>
                <w:rFonts w:ascii="Times New Roman" w:hAnsi="Times New Roman" w:cs="Times New Roman"/>
              </w:rPr>
            </w:pPr>
            <w:r>
              <w:rPr>
                <w:rFonts w:ascii="Times New Roman" w:hAnsi="Times New Roman" w:cs="Times New Roman"/>
              </w:rPr>
              <w:t>A</w:t>
            </w:r>
            <w:r w:rsidR="00A74ED4" w:rsidRPr="00C57F00">
              <w:rPr>
                <w:rFonts w:ascii="Times New Roman" w:hAnsi="Times New Roman" w:cs="Times New Roman"/>
              </w:rPr>
              <w:t>nalysis</w:t>
            </w:r>
          </w:p>
        </w:tc>
        <w:tc>
          <w:tcPr>
            <w:tcW w:w="7652" w:type="dxa"/>
            <w:tcBorders>
              <w:left w:val="nil"/>
              <w:right w:val="nil"/>
            </w:tcBorders>
            <w:vAlign w:val="center"/>
          </w:tcPr>
          <w:p w14:paraId="630777FF" w14:textId="77777777" w:rsidR="00071E42" w:rsidRPr="00071E42" w:rsidRDefault="00071E42" w:rsidP="00C11F67">
            <w:pPr>
              <w:tabs>
                <w:tab w:val="left" w:pos="567"/>
                <w:tab w:val="left" w:pos="6946"/>
                <w:tab w:val="left" w:pos="7230"/>
              </w:tabs>
              <w:rPr>
                <w:rFonts w:ascii="Times New Roman" w:hAnsi="Times New Roman" w:cs="Times New Roman"/>
                <w:b/>
                <w:bCs/>
                <w:i/>
                <w:iCs/>
                <w:sz w:val="16"/>
                <w:szCs w:val="16"/>
              </w:rPr>
            </w:pPr>
            <w:bookmarkStart w:id="12" w:name="_Hlk65346"/>
          </w:p>
          <w:p w14:paraId="25E12D16" w14:textId="1770F22D" w:rsidR="00CC4BEB" w:rsidRPr="00C57F00" w:rsidRDefault="00CC4BEB"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NITA</w:t>
            </w:r>
            <w:r w:rsidRPr="00C57F00">
              <w:rPr>
                <w:rFonts w:ascii="Times New Roman" w:hAnsi="Times New Roman" w:cs="Times New Roman"/>
              </w:rPr>
              <w:t xml:space="preserve"> = Net income / total assets</w:t>
            </w:r>
            <w:r w:rsidR="00327178" w:rsidRPr="00327178">
              <w:rPr>
                <w:rFonts w:ascii="Times New Roman" w:hAnsi="Times New Roman" w:cs="Times New Roman"/>
              </w:rPr>
              <w:t>.</w:t>
            </w:r>
            <w:r w:rsidRPr="00C57F00">
              <w:rPr>
                <w:rFonts w:ascii="Times New Roman" w:hAnsi="Times New Roman" w:cs="Times New Roman"/>
              </w:rPr>
              <w:t xml:space="preserve"> </w:t>
            </w:r>
          </w:p>
          <w:p w14:paraId="4A8B7205" w14:textId="6C815476"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TLTA</w:t>
            </w:r>
            <w:r w:rsidRPr="00C57F00">
              <w:rPr>
                <w:rFonts w:ascii="Times New Roman" w:hAnsi="Times New Roman" w:cs="Times New Roman"/>
              </w:rPr>
              <w:t xml:space="preserve"> = Total liabilities / total assets</w:t>
            </w:r>
            <w:r w:rsidR="00327178" w:rsidRPr="00327178">
              <w:rPr>
                <w:rFonts w:ascii="Times New Roman" w:hAnsi="Times New Roman" w:cs="Times New Roman"/>
              </w:rPr>
              <w:t>.</w:t>
            </w:r>
            <w:r w:rsidRPr="00C57F00">
              <w:rPr>
                <w:rFonts w:ascii="Times New Roman" w:hAnsi="Times New Roman" w:cs="Times New Roman"/>
              </w:rPr>
              <w:t xml:space="preserve"> </w:t>
            </w:r>
          </w:p>
          <w:bookmarkEnd w:id="12"/>
          <w:p w14:paraId="62A1F92A" w14:textId="5B53B025"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RelativeSize</w:t>
            </w:r>
            <w:r w:rsidRPr="00C57F00">
              <w:rPr>
                <w:rFonts w:ascii="Times New Roman" w:hAnsi="Times New Roman" w:cs="Times New Roman"/>
              </w:rPr>
              <w:t xml:space="preserve"> = Log (the number of outstanding shares multiplied by year-end share price divided by total market value)</w:t>
            </w:r>
            <w:r w:rsidR="00327178" w:rsidRPr="00327178">
              <w:rPr>
                <w:rFonts w:ascii="Times New Roman" w:hAnsi="Times New Roman" w:cs="Times New Roman"/>
              </w:rPr>
              <w:t>.</w:t>
            </w:r>
            <w:r w:rsidRPr="00C57F00">
              <w:rPr>
                <w:rFonts w:ascii="Times New Roman" w:hAnsi="Times New Roman" w:cs="Times New Roman"/>
              </w:rPr>
              <w:t xml:space="preserve"> </w:t>
            </w:r>
          </w:p>
          <w:p w14:paraId="7AE0A7CE" w14:textId="1E1B78DE" w:rsidR="00A74ED4"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LagExReturn</w:t>
            </w:r>
            <w:r w:rsidRPr="00C57F00">
              <w:rPr>
                <w:rFonts w:ascii="Times New Roman" w:hAnsi="Times New Roman" w:cs="Times New Roman"/>
              </w:rPr>
              <w:t xml:space="preserve"> = Cumulative annual return in year t − 1 minus the value-weighted index return in year t – 1</w:t>
            </w:r>
            <w:r w:rsidR="00327178" w:rsidRPr="00327178">
              <w:rPr>
                <w:rFonts w:ascii="Times New Roman" w:hAnsi="Times New Roman" w:cs="Times New Roman"/>
              </w:rPr>
              <w:t>.</w:t>
            </w:r>
            <w:r w:rsidRPr="00C57F00">
              <w:rPr>
                <w:rFonts w:ascii="Times New Roman" w:hAnsi="Times New Roman" w:cs="Times New Roman"/>
              </w:rPr>
              <w:t xml:space="preserve"> </w:t>
            </w:r>
          </w:p>
          <w:p w14:paraId="17928B17" w14:textId="6F34B863" w:rsidR="00805868" w:rsidRPr="00C57F00" w:rsidRDefault="00A74ED4" w:rsidP="00071E42">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LagSigma</w:t>
            </w:r>
            <w:r w:rsidRPr="00C57F00">
              <w:rPr>
                <w:rFonts w:ascii="Times New Roman" w:hAnsi="Times New Roman" w:cs="Times New Roman"/>
              </w:rPr>
              <w:t xml:space="preserve"> =Standard deviation of residuals derived from regressing monthly stock return on market return in year t−1.</w:t>
            </w:r>
          </w:p>
        </w:tc>
      </w:tr>
      <w:tr w:rsidR="00A74ED4" w:rsidRPr="00C57F00" w14:paraId="4DD69F6E" w14:textId="77777777" w:rsidTr="00071E42">
        <w:trPr>
          <w:jc w:val="center"/>
        </w:trPr>
        <w:tc>
          <w:tcPr>
            <w:tcW w:w="1838" w:type="dxa"/>
            <w:tcBorders>
              <w:left w:val="nil"/>
              <w:right w:val="nil"/>
            </w:tcBorders>
            <w:vAlign w:val="center"/>
          </w:tcPr>
          <w:p w14:paraId="3F1EFB11" w14:textId="77777777"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lastRenderedPageBreak/>
              <w:t>Bharath and Shumway (2008)</w:t>
            </w:r>
          </w:p>
        </w:tc>
        <w:tc>
          <w:tcPr>
            <w:tcW w:w="1559" w:type="dxa"/>
            <w:tcBorders>
              <w:left w:val="nil"/>
              <w:right w:val="nil"/>
            </w:tcBorders>
            <w:vAlign w:val="center"/>
          </w:tcPr>
          <w:p w14:paraId="22928A87" w14:textId="77777777"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Market</w:t>
            </w:r>
          </w:p>
        </w:tc>
        <w:tc>
          <w:tcPr>
            <w:tcW w:w="1134" w:type="dxa"/>
            <w:tcBorders>
              <w:left w:val="nil"/>
              <w:right w:val="nil"/>
            </w:tcBorders>
            <w:vAlign w:val="center"/>
          </w:tcPr>
          <w:p w14:paraId="6AD91E3A" w14:textId="77777777"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BSH</w:t>
            </w:r>
          </w:p>
        </w:tc>
        <w:tc>
          <w:tcPr>
            <w:tcW w:w="1985" w:type="dxa"/>
            <w:tcBorders>
              <w:left w:val="nil"/>
              <w:right w:val="nil"/>
            </w:tcBorders>
            <w:vAlign w:val="center"/>
          </w:tcPr>
          <w:p w14:paraId="4F2D27C3" w14:textId="77777777" w:rsidR="00071E42"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 xml:space="preserve">Hazard </w:t>
            </w:r>
          </w:p>
          <w:p w14:paraId="26699853" w14:textId="52A1BF24" w:rsidR="00A74ED4" w:rsidRPr="00C57F00" w:rsidRDefault="00071E42" w:rsidP="00C11F67">
            <w:pPr>
              <w:tabs>
                <w:tab w:val="left" w:pos="567"/>
                <w:tab w:val="left" w:pos="6946"/>
                <w:tab w:val="left" w:pos="7230"/>
              </w:tabs>
              <w:jc w:val="center"/>
              <w:rPr>
                <w:rFonts w:ascii="Times New Roman" w:hAnsi="Times New Roman" w:cs="Times New Roman"/>
              </w:rPr>
            </w:pPr>
            <w:r>
              <w:rPr>
                <w:rFonts w:ascii="Times New Roman" w:hAnsi="Times New Roman" w:cs="Times New Roman"/>
              </w:rPr>
              <w:t>A</w:t>
            </w:r>
            <w:r w:rsidR="00A74ED4" w:rsidRPr="00C57F00">
              <w:rPr>
                <w:rFonts w:ascii="Times New Roman" w:hAnsi="Times New Roman" w:cs="Times New Roman"/>
              </w:rPr>
              <w:t>nalysis</w:t>
            </w:r>
          </w:p>
        </w:tc>
        <w:tc>
          <w:tcPr>
            <w:tcW w:w="7652" w:type="dxa"/>
            <w:tcBorders>
              <w:left w:val="nil"/>
              <w:right w:val="nil"/>
            </w:tcBorders>
            <w:vAlign w:val="center"/>
          </w:tcPr>
          <w:p w14:paraId="1E3EF36F" w14:textId="77777777" w:rsidR="00071E42" w:rsidRDefault="00071E42" w:rsidP="00C11F67">
            <w:pPr>
              <w:tabs>
                <w:tab w:val="left" w:pos="567"/>
                <w:tab w:val="left" w:pos="6946"/>
                <w:tab w:val="left" w:pos="7230"/>
              </w:tabs>
              <w:rPr>
                <w:rFonts w:ascii="Times New Roman" w:hAnsi="Times New Roman" w:cs="Times New Roman"/>
                <w:b/>
                <w:bCs/>
                <w:i/>
                <w:iCs/>
              </w:rPr>
            </w:pPr>
          </w:p>
          <w:p w14:paraId="3C05685E" w14:textId="30934EB3"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V</w:t>
            </w:r>
            <w:r w:rsidRPr="00C57F00">
              <w:rPr>
                <w:rFonts w:ascii="Times New Roman" w:hAnsi="Times New Roman" w:cs="Times New Roman"/>
                <w:b/>
                <w:bCs/>
                <w:i/>
                <w:iCs/>
                <w:vertAlign w:val="subscript"/>
              </w:rPr>
              <w:t>A</w:t>
            </w:r>
            <w:r w:rsidRPr="00C57F00">
              <w:rPr>
                <w:rFonts w:ascii="Times New Roman" w:hAnsi="Times New Roman" w:cs="Times New Roman"/>
              </w:rPr>
              <w:t xml:space="preserve"> = Market value of assets, estimated as F + V</w:t>
            </w:r>
            <w:r w:rsidRPr="00C57F00">
              <w:rPr>
                <w:rFonts w:ascii="Times New Roman" w:hAnsi="Times New Roman" w:cs="Times New Roman"/>
                <w:vertAlign w:val="subscript"/>
              </w:rPr>
              <w:t>E</w:t>
            </w:r>
            <w:r w:rsidR="00327178" w:rsidRPr="00327178">
              <w:rPr>
                <w:rFonts w:ascii="Times New Roman" w:hAnsi="Times New Roman" w:cs="Times New Roman"/>
              </w:rPr>
              <w:t>.</w:t>
            </w:r>
          </w:p>
          <w:p w14:paraId="3681AB2D" w14:textId="23966E30"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V</w:t>
            </w:r>
            <w:r w:rsidRPr="00C57F00">
              <w:rPr>
                <w:rFonts w:ascii="Times New Roman" w:hAnsi="Times New Roman" w:cs="Times New Roman"/>
                <w:b/>
                <w:bCs/>
                <w:i/>
                <w:iCs/>
                <w:vertAlign w:val="subscript"/>
              </w:rPr>
              <w:t>E</w:t>
            </w:r>
            <w:r w:rsidRPr="00C57F00">
              <w:rPr>
                <w:rFonts w:ascii="Times New Roman" w:hAnsi="Times New Roman" w:cs="Times New Roman"/>
              </w:rPr>
              <w:t xml:space="preserve"> = Market value of equity</w:t>
            </w:r>
            <w:r w:rsidR="00327178" w:rsidRPr="00327178">
              <w:rPr>
                <w:rFonts w:ascii="Times New Roman" w:hAnsi="Times New Roman" w:cs="Times New Roman"/>
              </w:rPr>
              <w:t>.</w:t>
            </w:r>
          </w:p>
          <w:p w14:paraId="2790ACB3" w14:textId="7B9C0640"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μ</w:t>
            </w:r>
            <w:r w:rsidRPr="00C57F00">
              <w:rPr>
                <w:rFonts w:ascii="Times New Roman" w:hAnsi="Times New Roman" w:cs="Times New Roman"/>
              </w:rPr>
              <w:t xml:space="preserve"> = Continuously compounded expected return on assets Estimated</w:t>
            </w:r>
            <w:r w:rsidRPr="00C57F00">
              <w:t xml:space="preserve"> </w:t>
            </w:r>
            <w:r w:rsidRPr="00C57F00">
              <w:rPr>
                <w:rFonts w:ascii="Times New Roman" w:hAnsi="Times New Roman" w:cs="Times New Roman"/>
              </w:rPr>
              <w:t>using the 1- year Treasury constant maturity rate</w:t>
            </w:r>
            <w:r w:rsidR="00327178" w:rsidRPr="00327178">
              <w:rPr>
                <w:rFonts w:ascii="Times New Roman" w:hAnsi="Times New Roman" w:cs="Times New Roman"/>
              </w:rPr>
              <w:t>.</w:t>
            </w:r>
          </w:p>
          <w:p w14:paraId="743E1036" w14:textId="015BCAF8"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δ</w:t>
            </w:r>
            <w:r w:rsidRPr="00C57F00">
              <w:rPr>
                <w:rFonts w:ascii="Times New Roman" w:hAnsi="Times New Roman" w:cs="Times New Roman"/>
              </w:rPr>
              <w:t xml:space="preserve"> = Continuous dividend rate estimated as total dividends / V</w:t>
            </w:r>
            <w:r w:rsidRPr="00C57F00">
              <w:rPr>
                <w:rFonts w:ascii="Times New Roman" w:hAnsi="Times New Roman" w:cs="Times New Roman"/>
                <w:vertAlign w:val="subscript"/>
              </w:rPr>
              <w:t>A</w:t>
            </w:r>
            <w:r w:rsidR="00327178" w:rsidRPr="00327178">
              <w:rPr>
                <w:rFonts w:ascii="Times New Roman" w:hAnsi="Times New Roman" w:cs="Times New Roman"/>
              </w:rPr>
              <w:t>.</w:t>
            </w:r>
          </w:p>
          <w:p w14:paraId="0C00E8DF" w14:textId="6C674B0C"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F</w:t>
            </w:r>
            <w:r w:rsidRPr="00C57F00">
              <w:rPr>
                <w:rFonts w:ascii="Times New Roman" w:hAnsi="Times New Roman" w:cs="Times New Roman"/>
              </w:rPr>
              <w:t xml:space="preserve"> = Face value of debt maturing at time T, proxied by total liabilities</w:t>
            </w:r>
            <w:r w:rsidR="00327178" w:rsidRPr="00327178">
              <w:rPr>
                <w:rFonts w:ascii="Times New Roman" w:hAnsi="Times New Roman" w:cs="Times New Roman"/>
              </w:rPr>
              <w:t>.</w:t>
            </w:r>
          </w:p>
          <w:p w14:paraId="19F2733A" w14:textId="7654A448"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σ</w:t>
            </w:r>
            <w:r w:rsidRPr="00C57F00">
              <w:rPr>
                <w:rFonts w:ascii="Times New Roman" w:hAnsi="Times New Roman" w:cs="Times New Roman"/>
              </w:rPr>
              <w:t xml:space="preserve"> = Volatility of stock returns. Annualized percent standard deviation of returns and is estimated from the prior year stock return data for each month</w:t>
            </w:r>
            <w:r w:rsidR="00327178" w:rsidRPr="00327178">
              <w:rPr>
                <w:rFonts w:ascii="Times New Roman" w:hAnsi="Times New Roman" w:cs="Times New Roman"/>
              </w:rPr>
              <w:t>.</w:t>
            </w:r>
          </w:p>
          <w:p w14:paraId="2846999D" w14:textId="77777777" w:rsidR="00A74ED4"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T</w:t>
            </w:r>
            <w:r w:rsidRPr="00C57F00">
              <w:rPr>
                <w:rFonts w:ascii="Times New Roman" w:hAnsi="Times New Roman" w:cs="Times New Roman"/>
              </w:rPr>
              <w:t xml:space="preserve"> = Time to debt maturity, considered as 1 year</w:t>
            </w:r>
          </w:p>
          <w:p w14:paraId="053B451A" w14:textId="7A1239F6" w:rsidR="00805868" w:rsidRPr="00C57F00" w:rsidRDefault="00805868" w:rsidP="00C11F67">
            <w:pPr>
              <w:tabs>
                <w:tab w:val="left" w:pos="567"/>
                <w:tab w:val="left" w:pos="6946"/>
                <w:tab w:val="left" w:pos="7230"/>
              </w:tabs>
              <w:rPr>
                <w:rFonts w:ascii="Times New Roman" w:hAnsi="Times New Roman" w:cs="Times New Roman"/>
              </w:rPr>
            </w:pPr>
          </w:p>
        </w:tc>
      </w:tr>
      <w:tr w:rsidR="00A74ED4" w:rsidRPr="00C57F00" w14:paraId="568DEBCD" w14:textId="77777777" w:rsidTr="00071E42">
        <w:trPr>
          <w:jc w:val="center"/>
        </w:trPr>
        <w:tc>
          <w:tcPr>
            <w:tcW w:w="1838" w:type="dxa"/>
            <w:tcBorders>
              <w:left w:val="nil"/>
              <w:right w:val="nil"/>
            </w:tcBorders>
            <w:vAlign w:val="center"/>
          </w:tcPr>
          <w:p w14:paraId="02D5F9AA" w14:textId="77777777" w:rsidR="00071E42"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 xml:space="preserve">Premachandra </w:t>
            </w:r>
          </w:p>
          <w:p w14:paraId="3DAF2683" w14:textId="2765AE21" w:rsidR="00A74ED4" w:rsidRPr="00C57F00" w:rsidRDefault="00327178" w:rsidP="00C11F67">
            <w:pPr>
              <w:tabs>
                <w:tab w:val="left" w:pos="567"/>
                <w:tab w:val="left" w:pos="6946"/>
                <w:tab w:val="left" w:pos="7230"/>
              </w:tabs>
              <w:jc w:val="center"/>
              <w:rPr>
                <w:rFonts w:ascii="Times New Roman" w:hAnsi="Times New Roman" w:cs="Times New Roman"/>
              </w:rPr>
            </w:pPr>
            <w:r w:rsidRPr="00327178">
              <w:rPr>
                <w:rFonts w:ascii="Times New Roman" w:hAnsi="Times New Roman" w:cs="Times New Roman"/>
                <w:i/>
                <w:iCs/>
              </w:rPr>
              <w:t>et al.</w:t>
            </w:r>
            <w:r w:rsidR="00A74ED4" w:rsidRPr="00C57F00">
              <w:rPr>
                <w:rFonts w:ascii="Times New Roman" w:hAnsi="Times New Roman" w:cs="Times New Roman"/>
              </w:rPr>
              <w:t xml:space="preserve"> (2009)</w:t>
            </w:r>
          </w:p>
        </w:tc>
        <w:tc>
          <w:tcPr>
            <w:tcW w:w="1559" w:type="dxa"/>
            <w:tcBorders>
              <w:left w:val="nil"/>
              <w:right w:val="nil"/>
            </w:tcBorders>
            <w:vAlign w:val="center"/>
          </w:tcPr>
          <w:p w14:paraId="03654A7B" w14:textId="77777777"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Mostly</w:t>
            </w:r>
          </w:p>
          <w:p w14:paraId="5FE710D2" w14:textId="77777777"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Accounting</w:t>
            </w:r>
          </w:p>
        </w:tc>
        <w:tc>
          <w:tcPr>
            <w:tcW w:w="1134" w:type="dxa"/>
            <w:tcBorders>
              <w:left w:val="nil"/>
              <w:right w:val="nil"/>
            </w:tcBorders>
            <w:vAlign w:val="center"/>
          </w:tcPr>
          <w:p w14:paraId="3E7D34B6" w14:textId="77777777"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PRM</w:t>
            </w:r>
          </w:p>
        </w:tc>
        <w:tc>
          <w:tcPr>
            <w:tcW w:w="1985" w:type="dxa"/>
            <w:tcBorders>
              <w:left w:val="nil"/>
              <w:right w:val="nil"/>
            </w:tcBorders>
            <w:vAlign w:val="center"/>
          </w:tcPr>
          <w:p w14:paraId="5BC89B02" w14:textId="77777777" w:rsidR="00071E42"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 xml:space="preserve">Data </w:t>
            </w:r>
          </w:p>
          <w:p w14:paraId="645BFD96" w14:textId="3026CE64"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 xml:space="preserve">Envelopment </w:t>
            </w:r>
            <w:r w:rsidR="00071E42">
              <w:rPr>
                <w:rFonts w:ascii="Times New Roman" w:hAnsi="Times New Roman" w:cs="Times New Roman"/>
              </w:rPr>
              <w:t>A</w:t>
            </w:r>
            <w:r w:rsidRPr="00C57F00">
              <w:rPr>
                <w:rFonts w:ascii="Times New Roman" w:hAnsi="Times New Roman" w:cs="Times New Roman"/>
              </w:rPr>
              <w:t>nalysis (additive)</w:t>
            </w:r>
          </w:p>
        </w:tc>
        <w:tc>
          <w:tcPr>
            <w:tcW w:w="7652" w:type="dxa"/>
            <w:tcBorders>
              <w:left w:val="nil"/>
              <w:right w:val="nil"/>
            </w:tcBorders>
            <w:vAlign w:val="center"/>
          </w:tcPr>
          <w:p w14:paraId="3423117F" w14:textId="77777777" w:rsidR="00071E42" w:rsidRDefault="00071E42" w:rsidP="00C11F67">
            <w:pPr>
              <w:tabs>
                <w:tab w:val="left" w:pos="567"/>
                <w:tab w:val="left" w:pos="6946"/>
                <w:tab w:val="left" w:pos="7230"/>
              </w:tabs>
              <w:rPr>
                <w:rFonts w:ascii="Times New Roman" w:hAnsi="Times New Roman" w:cs="Times New Roman"/>
                <w:u w:val="single"/>
              </w:rPr>
            </w:pPr>
          </w:p>
          <w:p w14:paraId="381C4AAB" w14:textId="1B30A47D"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u w:val="single"/>
              </w:rPr>
              <w:t>Outputs:</w:t>
            </w:r>
            <w:r w:rsidRPr="00C57F00">
              <w:rPr>
                <w:rFonts w:ascii="Times New Roman" w:hAnsi="Times New Roman" w:cs="Times New Roman"/>
              </w:rPr>
              <w:t xml:space="preserve"> </w:t>
            </w:r>
            <w:r w:rsidRPr="00C57F00">
              <w:rPr>
                <w:rFonts w:ascii="Times New Roman" w:hAnsi="Times New Roman" w:cs="Times New Roman"/>
                <w:b/>
                <w:bCs/>
                <w:i/>
                <w:iCs/>
              </w:rPr>
              <w:t>TDTA</w:t>
            </w:r>
            <w:r w:rsidRPr="00C57F00">
              <w:rPr>
                <w:rFonts w:ascii="Times New Roman" w:hAnsi="Times New Roman" w:cs="Times New Roman"/>
              </w:rPr>
              <w:t xml:space="preserve"> = Total debt / total assets</w:t>
            </w:r>
            <w:r w:rsidR="00327178" w:rsidRPr="00327178">
              <w:rPr>
                <w:rFonts w:ascii="Times New Roman" w:hAnsi="Times New Roman" w:cs="Times New Roman"/>
              </w:rPr>
              <w:t>.</w:t>
            </w:r>
            <w:r w:rsidRPr="00C57F00">
              <w:rPr>
                <w:rFonts w:ascii="Times New Roman" w:hAnsi="Times New Roman" w:cs="Times New Roman"/>
              </w:rPr>
              <w:t xml:space="preserve"> </w:t>
            </w:r>
          </w:p>
          <w:p w14:paraId="30696088" w14:textId="77777777"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CLTA</w:t>
            </w:r>
            <w:r w:rsidRPr="00C57F00">
              <w:rPr>
                <w:rFonts w:ascii="Times New Roman" w:hAnsi="Times New Roman" w:cs="Times New Roman"/>
              </w:rPr>
              <w:t xml:space="preserve"> = Current liabilities / total assets</w:t>
            </w:r>
          </w:p>
          <w:p w14:paraId="55A91626" w14:textId="1535D221"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u w:val="single"/>
              </w:rPr>
              <w:t>Inputs:</w:t>
            </w:r>
            <w:r w:rsidRPr="00C57F00">
              <w:rPr>
                <w:rFonts w:ascii="Times New Roman" w:hAnsi="Times New Roman" w:cs="Times New Roman"/>
              </w:rPr>
              <w:t xml:space="preserve"> </w:t>
            </w:r>
            <w:r w:rsidRPr="00C57F00">
              <w:rPr>
                <w:rFonts w:ascii="Times New Roman" w:hAnsi="Times New Roman" w:cs="Times New Roman"/>
                <w:b/>
                <w:bCs/>
                <w:i/>
                <w:iCs/>
              </w:rPr>
              <w:t>CFTA</w:t>
            </w:r>
            <w:r w:rsidRPr="00C57F00">
              <w:rPr>
                <w:rFonts w:ascii="Times New Roman" w:hAnsi="Times New Roman" w:cs="Times New Roman"/>
              </w:rPr>
              <w:t xml:space="preserve"> = cash flow / total assets</w:t>
            </w:r>
            <w:r w:rsidR="00327178" w:rsidRPr="00327178">
              <w:rPr>
                <w:rFonts w:ascii="Times New Roman" w:hAnsi="Times New Roman" w:cs="Times New Roman"/>
              </w:rPr>
              <w:t>.</w:t>
            </w:r>
            <w:r w:rsidRPr="00C57F00">
              <w:rPr>
                <w:rFonts w:ascii="Times New Roman" w:hAnsi="Times New Roman" w:cs="Times New Roman"/>
              </w:rPr>
              <w:t xml:space="preserve"> </w:t>
            </w:r>
          </w:p>
          <w:p w14:paraId="52C39A5A" w14:textId="1FF85DEA"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NITA</w:t>
            </w:r>
            <w:r w:rsidRPr="00C57F00">
              <w:rPr>
                <w:rFonts w:ascii="Times New Roman" w:hAnsi="Times New Roman" w:cs="Times New Roman"/>
              </w:rPr>
              <w:t xml:space="preserve"> = net income / total assets</w:t>
            </w:r>
            <w:r w:rsidR="00327178" w:rsidRPr="00327178">
              <w:rPr>
                <w:rFonts w:ascii="Times New Roman" w:hAnsi="Times New Roman" w:cs="Times New Roman"/>
              </w:rPr>
              <w:t>.</w:t>
            </w:r>
            <w:r w:rsidRPr="00C57F00">
              <w:rPr>
                <w:rFonts w:ascii="Times New Roman" w:hAnsi="Times New Roman" w:cs="Times New Roman"/>
              </w:rPr>
              <w:t xml:space="preserve"> </w:t>
            </w:r>
          </w:p>
          <w:p w14:paraId="350553C6" w14:textId="6E102AA3"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WCTA</w:t>
            </w:r>
            <w:r w:rsidRPr="00C57F00">
              <w:rPr>
                <w:rFonts w:ascii="Times New Roman" w:hAnsi="Times New Roman" w:cs="Times New Roman"/>
              </w:rPr>
              <w:t xml:space="preserve"> = working capital / total assets</w:t>
            </w:r>
            <w:r w:rsidR="00327178" w:rsidRPr="00327178">
              <w:rPr>
                <w:rFonts w:ascii="Times New Roman" w:hAnsi="Times New Roman" w:cs="Times New Roman"/>
              </w:rPr>
              <w:t>.</w:t>
            </w:r>
            <w:r w:rsidRPr="00C57F00">
              <w:rPr>
                <w:rFonts w:ascii="Times New Roman" w:hAnsi="Times New Roman" w:cs="Times New Roman"/>
              </w:rPr>
              <w:t xml:space="preserve"> </w:t>
            </w:r>
          </w:p>
          <w:p w14:paraId="286BAE0B" w14:textId="2715068D" w:rsidR="00A74ED4" w:rsidRPr="00C57F00" w:rsidRDefault="00A74ED4" w:rsidP="00C11F67">
            <w:pPr>
              <w:tabs>
                <w:tab w:val="left" w:pos="567"/>
                <w:tab w:val="left" w:pos="6946"/>
                <w:tab w:val="left" w:pos="7230"/>
              </w:tabs>
              <w:rPr>
                <w:rFonts w:ascii="Times New Roman" w:hAnsi="Times New Roman" w:cs="Times New Roman"/>
                <w:lang w:val="fr-FR"/>
              </w:rPr>
            </w:pPr>
            <w:r w:rsidRPr="00C57F00">
              <w:rPr>
                <w:rFonts w:ascii="Times New Roman" w:hAnsi="Times New Roman" w:cs="Times New Roman"/>
                <w:b/>
                <w:bCs/>
                <w:i/>
                <w:iCs/>
                <w:lang w:val="fr-FR"/>
              </w:rPr>
              <w:t>CATA</w:t>
            </w:r>
            <w:r w:rsidRPr="00C57F00">
              <w:rPr>
                <w:rFonts w:ascii="Times New Roman" w:hAnsi="Times New Roman" w:cs="Times New Roman"/>
                <w:lang w:val="fr-FR"/>
              </w:rPr>
              <w:t xml:space="preserve"> = current assets / total assets</w:t>
            </w:r>
            <w:r w:rsidR="006D5DD3" w:rsidRPr="006D5DD3">
              <w:rPr>
                <w:rFonts w:ascii="Times New Roman" w:hAnsi="Times New Roman" w:cs="Times New Roman"/>
                <w:lang w:val="fr-FR"/>
              </w:rPr>
              <w:t>,</w:t>
            </w:r>
            <w:r w:rsidRPr="00C57F00">
              <w:rPr>
                <w:rFonts w:ascii="Times New Roman" w:hAnsi="Times New Roman" w:cs="Times New Roman"/>
                <w:lang w:val="fr-FR"/>
              </w:rPr>
              <w:t xml:space="preserve"> </w:t>
            </w:r>
          </w:p>
          <w:p w14:paraId="4600B10A" w14:textId="3296F013"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EB</w:t>
            </w:r>
            <w:r w:rsidR="003D5A61" w:rsidRPr="00C57F00">
              <w:rPr>
                <w:rFonts w:ascii="Times New Roman" w:hAnsi="Times New Roman" w:cs="Times New Roman"/>
                <w:b/>
                <w:bCs/>
                <w:i/>
                <w:iCs/>
              </w:rPr>
              <w:t>I</w:t>
            </w:r>
            <w:r w:rsidRPr="00C57F00">
              <w:rPr>
                <w:rFonts w:ascii="Times New Roman" w:hAnsi="Times New Roman" w:cs="Times New Roman"/>
                <w:b/>
                <w:bCs/>
                <w:i/>
                <w:iCs/>
              </w:rPr>
              <w:t>T</w:t>
            </w:r>
            <w:r w:rsidR="003D5A61" w:rsidRPr="00C57F00">
              <w:rPr>
                <w:rFonts w:ascii="Times New Roman" w:hAnsi="Times New Roman" w:cs="Times New Roman"/>
                <w:b/>
                <w:bCs/>
                <w:i/>
                <w:iCs/>
              </w:rPr>
              <w:t>T</w:t>
            </w:r>
            <w:r w:rsidRPr="00C57F00">
              <w:rPr>
                <w:rFonts w:ascii="Times New Roman" w:hAnsi="Times New Roman" w:cs="Times New Roman"/>
                <w:b/>
                <w:bCs/>
                <w:i/>
                <w:iCs/>
              </w:rPr>
              <w:t>A</w:t>
            </w:r>
            <w:r w:rsidRPr="00C57F00">
              <w:rPr>
                <w:rFonts w:ascii="Times New Roman" w:hAnsi="Times New Roman" w:cs="Times New Roman"/>
              </w:rPr>
              <w:t xml:space="preserve"> = earnings before interest and taxes / total assets</w:t>
            </w:r>
            <w:r w:rsidR="00327178" w:rsidRPr="00327178">
              <w:rPr>
                <w:rFonts w:ascii="Times New Roman" w:hAnsi="Times New Roman" w:cs="Times New Roman"/>
              </w:rPr>
              <w:t>.</w:t>
            </w:r>
            <w:r w:rsidRPr="00C57F00">
              <w:rPr>
                <w:rFonts w:ascii="Times New Roman" w:hAnsi="Times New Roman" w:cs="Times New Roman"/>
              </w:rPr>
              <w:t xml:space="preserve"> </w:t>
            </w:r>
          </w:p>
          <w:p w14:paraId="2394ACB1" w14:textId="7A187A6B"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EBIE</w:t>
            </w:r>
            <w:r w:rsidRPr="00C57F00">
              <w:rPr>
                <w:rFonts w:ascii="Times New Roman" w:hAnsi="Times New Roman" w:cs="Times New Roman"/>
              </w:rPr>
              <w:t xml:space="preserve"> = earnings before interest and taxes / interest</w:t>
            </w:r>
            <w:r w:rsidR="00327178" w:rsidRPr="00327178">
              <w:rPr>
                <w:rFonts w:ascii="Times New Roman" w:hAnsi="Times New Roman" w:cs="Times New Roman"/>
              </w:rPr>
              <w:t>.</w:t>
            </w:r>
            <w:r w:rsidRPr="00C57F00">
              <w:rPr>
                <w:rFonts w:ascii="Times New Roman" w:hAnsi="Times New Roman" w:cs="Times New Roman"/>
              </w:rPr>
              <w:t xml:space="preserve"> </w:t>
            </w:r>
          </w:p>
          <w:p w14:paraId="423F2D1A" w14:textId="77777777" w:rsidR="00A74ED4"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MVCE</w:t>
            </w:r>
            <w:r w:rsidRPr="00C57F00">
              <w:rPr>
                <w:rFonts w:ascii="Times New Roman" w:hAnsi="Times New Roman" w:cs="Times New Roman"/>
              </w:rPr>
              <w:t xml:space="preserve"> = market value of equity / book value of common equity</w:t>
            </w:r>
          </w:p>
          <w:p w14:paraId="19B1D6E6" w14:textId="377FF0A1" w:rsidR="00805868" w:rsidRPr="00C57F00" w:rsidRDefault="00805868" w:rsidP="00C11F67">
            <w:pPr>
              <w:tabs>
                <w:tab w:val="left" w:pos="567"/>
                <w:tab w:val="left" w:pos="6946"/>
                <w:tab w:val="left" w:pos="7230"/>
              </w:tabs>
              <w:rPr>
                <w:rFonts w:ascii="Times New Roman" w:hAnsi="Times New Roman" w:cs="Times New Roman"/>
              </w:rPr>
            </w:pPr>
          </w:p>
        </w:tc>
      </w:tr>
      <w:tr w:rsidR="00A74ED4" w:rsidRPr="00C57F00" w14:paraId="1585FA26" w14:textId="77777777" w:rsidTr="00071E42">
        <w:trPr>
          <w:jc w:val="center"/>
        </w:trPr>
        <w:tc>
          <w:tcPr>
            <w:tcW w:w="1838" w:type="dxa"/>
            <w:tcBorders>
              <w:left w:val="nil"/>
              <w:right w:val="nil"/>
            </w:tcBorders>
            <w:vAlign w:val="center"/>
          </w:tcPr>
          <w:p w14:paraId="1D9C04CC" w14:textId="7C167414" w:rsidR="00A74ED4" w:rsidRPr="00C57F00" w:rsidRDefault="00A74ED4" w:rsidP="00071E42">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 xml:space="preserve">Almamy </w:t>
            </w:r>
            <w:r w:rsidR="00327178" w:rsidRPr="00327178">
              <w:rPr>
                <w:rFonts w:ascii="Times New Roman" w:hAnsi="Times New Roman" w:cs="Times New Roman"/>
                <w:i/>
                <w:iCs/>
              </w:rPr>
              <w:t>et al.</w:t>
            </w:r>
            <w:r w:rsidRPr="00C57F00">
              <w:rPr>
                <w:rFonts w:ascii="Times New Roman" w:hAnsi="Times New Roman" w:cs="Times New Roman"/>
              </w:rPr>
              <w:t xml:space="preserve"> (2016)</w:t>
            </w:r>
          </w:p>
          <w:p w14:paraId="0570BA1D" w14:textId="77777777" w:rsidR="00A74ED4" w:rsidRPr="00C57F00" w:rsidRDefault="00A74ED4" w:rsidP="00071E42">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ALM</w:t>
            </w:r>
          </w:p>
        </w:tc>
        <w:tc>
          <w:tcPr>
            <w:tcW w:w="1559" w:type="dxa"/>
            <w:tcBorders>
              <w:left w:val="nil"/>
              <w:right w:val="nil"/>
            </w:tcBorders>
            <w:vAlign w:val="center"/>
          </w:tcPr>
          <w:p w14:paraId="50A0A042" w14:textId="77777777"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Accounting</w:t>
            </w:r>
          </w:p>
        </w:tc>
        <w:tc>
          <w:tcPr>
            <w:tcW w:w="1134" w:type="dxa"/>
            <w:tcBorders>
              <w:left w:val="nil"/>
              <w:right w:val="nil"/>
            </w:tcBorders>
            <w:vAlign w:val="center"/>
          </w:tcPr>
          <w:p w14:paraId="3D30E6E2" w14:textId="77777777"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ALM</w:t>
            </w:r>
          </w:p>
        </w:tc>
        <w:tc>
          <w:tcPr>
            <w:tcW w:w="1985" w:type="dxa"/>
            <w:tcBorders>
              <w:left w:val="nil"/>
              <w:right w:val="nil"/>
            </w:tcBorders>
            <w:vAlign w:val="center"/>
          </w:tcPr>
          <w:p w14:paraId="18163CF4" w14:textId="5A541E88" w:rsidR="00A74ED4" w:rsidRPr="00C57F00" w:rsidRDefault="00A74ED4" w:rsidP="00C11F67">
            <w:pPr>
              <w:tabs>
                <w:tab w:val="left" w:pos="567"/>
                <w:tab w:val="left" w:pos="6946"/>
                <w:tab w:val="left" w:pos="7230"/>
              </w:tabs>
              <w:jc w:val="center"/>
              <w:rPr>
                <w:rFonts w:ascii="Times New Roman" w:hAnsi="Times New Roman" w:cs="Times New Roman"/>
              </w:rPr>
            </w:pPr>
            <w:r w:rsidRPr="00C57F00">
              <w:rPr>
                <w:rFonts w:ascii="Times New Roman" w:hAnsi="Times New Roman" w:cs="Times New Roman"/>
              </w:rPr>
              <w:t xml:space="preserve">Discriminant </w:t>
            </w:r>
            <w:r w:rsidR="00071E42">
              <w:rPr>
                <w:rFonts w:ascii="Times New Roman" w:hAnsi="Times New Roman" w:cs="Times New Roman"/>
              </w:rPr>
              <w:t>A</w:t>
            </w:r>
            <w:r w:rsidRPr="00C57F00">
              <w:rPr>
                <w:rFonts w:ascii="Times New Roman" w:hAnsi="Times New Roman" w:cs="Times New Roman"/>
              </w:rPr>
              <w:t>nalysis</w:t>
            </w:r>
          </w:p>
        </w:tc>
        <w:tc>
          <w:tcPr>
            <w:tcW w:w="7652" w:type="dxa"/>
            <w:tcBorders>
              <w:left w:val="nil"/>
              <w:right w:val="nil"/>
            </w:tcBorders>
            <w:vAlign w:val="center"/>
          </w:tcPr>
          <w:p w14:paraId="347310C9" w14:textId="77777777" w:rsidR="00071E42" w:rsidRDefault="00071E42" w:rsidP="00C11F67">
            <w:pPr>
              <w:tabs>
                <w:tab w:val="left" w:pos="567"/>
                <w:tab w:val="left" w:pos="6946"/>
                <w:tab w:val="left" w:pos="7230"/>
              </w:tabs>
              <w:rPr>
                <w:rFonts w:ascii="Times New Roman" w:hAnsi="Times New Roman" w:cs="Times New Roman"/>
                <w:b/>
                <w:bCs/>
                <w:i/>
                <w:iCs/>
              </w:rPr>
            </w:pPr>
            <w:bookmarkStart w:id="13" w:name="_Hlk65307"/>
          </w:p>
          <w:p w14:paraId="282D0FBE" w14:textId="406316EB"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WCTA</w:t>
            </w:r>
            <w:r w:rsidRPr="00C57F00">
              <w:rPr>
                <w:rFonts w:ascii="Times New Roman" w:hAnsi="Times New Roman" w:cs="Times New Roman"/>
              </w:rPr>
              <w:t xml:space="preserve"> = Working capital / total assets</w:t>
            </w:r>
            <w:r w:rsidR="00327178" w:rsidRPr="00327178">
              <w:rPr>
                <w:rFonts w:ascii="Times New Roman" w:hAnsi="Times New Roman" w:cs="Times New Roman"/>
              </w:rPr>
              <w:t>.</w:t>
            </w:r>
            <w:r w:rsidRPr="00C57F00">
              <w:rPr>
                <w:rFonts w:ascii="Times New Roman" w:hAnsi="Times New Roman" w:cs="Times New Roman"/>
              </w:rPr>
              <w:t xml:space="preserve"> </w:t>
            </w:r>
          </w:p>
          <w:p w14:paraId="63C1C137" w14:textId="5C33E883" w:rsidR="00A74ED4" w:rsidRPr="00C57F00" w:rsidRDefault="00A74ED4" w:rsidP="00C11F67">
            <w:pPr>
              <w:tabs>
                <w:tab w:val="left" w:pos="567"/>
                <w:tab w:val="left" w:pos="6946"/>
                <w:tab w:val="left" w:pos="7230"/>
              </w:tabs>
              <w:rPr>
                <w:rFonts w:ascii="Times New Roman" w:hAnsi="Times New Roman" w:cs="Times New Roman"/>
              </w:rPr>
            </w:pPr>
            <w:bookmarkStart w:id="14" w:name="_Hlk65317"/>
            <w:bookmarkEnd w:id="13"/>
            <w:r w:rsidRPr="00C57F00">
              <w:rPr>
                <w:rFonts w:ascii="Times New Roman" w:hAnsi="Times New Roman" w:cs="Times New Roman"/>
                <w:b/>
                <w:bCs/>
                <w:i/>
                <w:iCs/>
              </w:rPr>
              <w:t>RETA</w:t>
            </w:r>
            <w:r w:rsidRPr="00C57F00">
              <w:rPr>
                <w:rFonts w:ascii="Times New Roman" w:hAnsi="Times New Roman" w:cs="Times New Roman"/>
              </w:rPr>
              <w:t xml:space="preserve"> = Retained earnings / total assets</w:t>
            </w:r>
            <w:r w:rsidR="00327178" w:rsidRPr="00327178">
              <w:rPr>
                <w:rFonts w:ascii="Times New Roman" w:hAnsi="Times New Roman" w:cs="Times New Roman"/>
              </w:rPr>
              <w:t>.</w:t>
            </w:r>
            <w:r w:rsidRPr="00C57F00">
              <w:rPr>
                <w:rFonts w:ascii="Times New Roman" w:hAnsi="Times New Roman" w:cs="Times New Roman"/>
              </w:rPr>
              <w:t xml:space="preserve"> </w:t>
            </w:r>
          </w:p>
          <w:p w14:paraId="1B1E48FA" w14:textId="1726C548" w:rsidR="00A74ED4" w:rsidRPr="00C57F00" w:rsidRDefault="00A74ED4" w:rsidP="00C11F67">
            <w:pPr>
              <w:tabs>
                <w:tab w:val="left" w:pos="567"/>
                <w:tab w:val="left" w:pos="6946"/>
                <w:tab w:val="left" w:pos="7230"/>
              </w:tabs>
              <w:rPr>
                <w:rFonts w:ascii="Times New Roman" w:hAnsi="Times New Roman" w:cs="Times New Roman"/>
              </w:rPr>
            </w:pPr>
            <w:bookmarkStart w:id="15" w:name="_Hlk65292"/>
            <w:bookmarkEnd w:id="14"/>
            <w:r w:rsidRPr="00C57F00">
              <w:rPr>
                <w:rFonts w:ascii="Times New Roman" w:hAnsi="Times New Roman" w:cs="Times New Roman"/>
                <w:b/>
                <w:bCs/>
                <w:i/>
                <w:iCs/>
              </w:rPr>
              <w:t>EBITTA</w:t>
            </w:r>
            <w:r w:rsidRPr="00C57F00">
              <w:rPr>
                <w:rFonts w:ascii="Times New Roman" w:hAnsi="Times New Roman" w:cs="Times New Roman"/>
              </w:rPr>
              <w:t xml:space="preserve"> = Earnings before interest and taxes / total assets</w:t>
            </w:r>
            <w:r w:rsidR="00327178" w:rsidRPr="00327178">
              <w:rPr>
                <w:rFonts w:ascii="Times New Roman" w:hAnsi="Times New Roman" w:cs="Times New Roman"/>
              </w:rPr>
              <w:t>.</w:t>
            </w:r>
            <w:r w:rsidRPr="00C57F00">
              <w:rPr>
                <w:rFonts w:ascii="Times New Roman" w:hAnsi="Times New Roman" w:cs="Times New Roman"/>
              </w:rPr>
              <w:t xml:space="preserve"> </w:t>
            </w:r>
          </w:p>
          <w:bookmarkEnd w:id="15"/>
          <w:p w14:paraId="73E26B2B" w14:textId="3A226BBC"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 xml:space="preserve">METD </w:t>
            </w:r>
            <w:r w:rsidRPr="00C57F00">
              <w:rPr>
                <w:rFonts w:ascii="Times New Roman" w:hAnsi="Times New Roman" w:cs="Times New Roman"/>
              </w:rPr>
              <w:t>= Market value of equity / total debt</w:t>
            </w:r>
            <w:r w:rsidR="00327178" w:rsidRPr="00327178">
              <w:rPr>
                <w:rFonts w:ascii="Times New Roman" w:hAnsi="Times New Roman" w:cs="Times New Roman"/>
              </w:rPr>
              <w:t>.</w:t>
            </w:r>
            <w:r w:rsidRPr="00C57F00">
              <w:rPr>
                <w:rFonts w:ascii="Times New Roman" w:hAnsi="Times New Roman" w:cs="Times New Roman"/>
              </w:rPr>
              <w:t xml:space="preserve"> </w:t>
            </w:r>
          </w:p>
          <w:p w14:paraId="50365458" w14:textId="73695B4E" w:rsidR="00A74ED4" w:rsidRPr="00C57F00"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 xml:space="preserve">STA </w:t>
            </w:r>
            <w:r w:rsidRPr="00C57F00">
              <w:rPr>
                <w:rFonts w:ascii="Times New Roman" w:hAnsi="Times New Roman" w:cs="Times New Roman"/>
              </w:rPr>
              <w:t>= Sales / total assets</w:t>
            </w:r>
            <w:r w:rsidR="00327178" w:rsidRPr="00327178">
              <w:rPr>
                <w:rFonts w:ascii="Times New Roman" w:hAnsi="Times New Roman" w:cs="Times New Roman"/>
              </w:rPr>
              <w:t>.</w:t>
            </w:r>
          </w:p>
          <w:p w14:paraId="24861AC9" w14:textId="77777777" w:rsidR="00A74ED4" w:rsidRDefault="00A74ED4" w:rsidP="00C11F67">
            <w:pPr>
              <w:tabs>
                <w:tab w:val="left" w:pos="567"/>
                <w:tab w:val="left" w:pos="6946"/>
                <w:tab w:val="left" w:pos="7230"/>
              </w:tabs>
              <w:rPr>
                <w:rFonts w:ascii="Times New Roman" w:hAnsi="Times New Roman" w:cs="Times New Roman"/>
              </w:rPr>
            </w:pPr>
            <w:r w:rsidRPr="00C57F00">
              <w:rPr>
                <w:rFonts w:ascii="Times New Roman" w:hAnsi="Times New Roman" w:cs="Times New Roman"/>
                <w:b/>
                <w:bCs/>
                <w:i/>
                <w:iCs/>
              </w:rPr>
              <w:t>CFOTL</w:t>
            </w:r>
            <w:r w:rsidRPr="00C57F00">
              <w:rPr>
                <w:rFonts w:ascii="Times New Roman" w:hAnsi="Times New Roman" w:cs="Times New Roman"/>
              </w:rPr>
              <w:t xml:space="preserve"> = Cash flow from operations / total liabilities</w:t>
            </w:r>
          </w:p>
          <w:p w14:paraId="4F4E9A65" w14:textId="0CB20568" w:rsidR="00805868" w:rsidRPr="00C57F00" w:rsidRDefault="00805868" w:rsidP="00C11F67">
            <w:pPr>
              <w:tabs>
                <w:tab w:val="left" w:pos="567"/>
                <w:tab w:val="left" w:pos="6946"/>
                <w:tab w:val="left" w:pos="7230"/>
              </w:tabs>
              <w:rPr>
                <w:rFonts w:ascii="Times New Roman" w:hAnsi="Times New Roman" w:cs="Times New Roman"/>
              </w:rPr>
            </w:pPr>
          </w:p>
        </w:tc>
      </w:tr>
    </w:tbl>
    <w:p w14:paraId="4FDA3508" w14:textId="77777777" w:rsidR="0094575E" w:rsidRPr="00C57F00" w:rsidRDefault="0094575E" w:rsidP="00C11F67">
      <w:pPr>
        <w:tabs>
          <w:tab w:val="left" w:pos="567"/>
          <w:tab w:val="left" w:pos="6946"/>
          <w:tab w:val="left" w:pos="7230"/>
        </w:tabs>
        <w:spacing w:after="0" w:line="240" w:lineRule="auto"/>
        <w:jc w:val="both"/>
        <w:rPr>
          <w:rFonts w:ascii="Times New Roman" w:hAnsi="Times New Roman" w:cs="Times New Roman"/>
        </w:rPr>
      </w:pPr>
    </w:p>
    <w:p w14:paraId="01315AB6" w14:textId="77777777" w:rsidR="00765E31" w:rsidRDefault="00002EAB" w:rsidP="00260D7D">
      <w:pPr>
        <w:tabs>
          <w:tab w:val="left" w:pos="567"/>
        </w:tabs>
        <w:spacing w:line="360" w:lineRule="auto"/>
        <w:jc w:val="both"/>
        <w:rPr>
          <w:rFonts w:ascii="Times New Roman" w:hAnsi="Times New Roman" w:cs="Times New Roman"/>
          <w:sz w:val="24"/>
          <w:szCs w:val="24"/>
        </w:rPr>
        <w:sectPr w:rsidR="00765E31" w:rsidSect="0094575E">
          <w:pgSz w:w="15840" w:h="12240" w:orient="landscape"/>
          <w:pgMar w:top="1440" w:right="1440" w:bottom="1440" w:left="1440" w:header="720" w:footer="720" w:gutter="0"/>
          <w:cols w:space="720"/>
          <w:docGrid w:linePitch="360"/>
        </w:sectPr>
      </w:pPr>
      <w:r>
        <w:rPr>
          <w:rFonts w:ascii="Times New Roman" w:hAnsi="Times New Roman" w:cs="Times New Roman"/>
          <w:sz w:val="24"/>
          <w:szCs w:val="24"/>
        </w:rPr>
        <w:t xml:space="preserve"> </w:t>
      </w:r>
    </w:p>
    <w:tbl>
      <w:tblPr>
        <w:tblStyle w:val="TableGrid"/>
        <w:tblW w:w="10075" w:type="dxa"/>
        <w:jc w:val="center"/>
        <w:tblLook w:val="06A0" w:firstRow="1" w:lastRow="0" w:firstColumn="1" w:lastColumn="0" w:noHBand="1" w:noVBand="1"/>
      </w:tblPr>
      <w:tblGrid>
        <w:gridCol w:w="2515"/>
        <w:gridCol w:w="4860"/>
        <w:gridCol w:w="1440"/>
        <w:gridCol w:w="1260"/>
      </w:tblGrid>
      <w:tr w:rsidR="00765E31" w:rsidRPr="00C57F00" w14:paraId="6BA5F7D4" w14:textId="77777777" w:rsidTr="00C57F00">
        <w:trPr>
          <w:jc w:val="center"/>
        </w:trPr>
        <w:tc>
          <w:tcPr>
            <w:tcW w:w="10075"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E0729EC" w14:textId="69423155" w:rsidR="00765E31" w:rsidRPr="00C57F00" w:rsidRDefault="00170587" w:rsidP="00260D7D">
            <w:pPr>
              <w:tabs>
                <w:tab w:val="left" w:pos="567"/>
              </w:tabs>
              <w:jc w:val="center"/>
              <w:rPr>
                <w:rFonts w:ascii="Times New Roman" w:hAnsi="Times New Roman" w:cs="Times New Roman"/>
                <w:b/>
                <w:bCs/>
              </w:rPr>
            </w:pPr>
            <w:r w:rsidRPr="00C57F00">
              <w:rPr>
                <w:rFonts w:ascii="Times New Roman" w:hAnsi="Times New Roman" w:cs="Times New Roman"/>
                <w:b/>
                <w:bCs/>
              </w:rPr>
              <w:lastRenderedPageBreak/>
              <w:t>Table 2</w:t>
            </w:r>
            <w:r w:rsidR="00C57F00">
              <w:rPr>
                <w:rFonts w:ascii="Times New Roman" w:hAnsi="Times New Roman" w:cs="Times New Roman"/>
                <w:b/>
                <w:bCs/>
              </w:rPr>
              <w:t xml:space="preserve">: </w:t>
            </w:r>
            <w:r w:rsidR="00765E31" w:rsidRPr="00C57F00">
              <w:rPr>
                <w:rFonts w:ascii="Times New Roman" w:hAnsi="Times New Roman" w:cs="Times New Roman"/>
                <w:b/>
                <w:bCs/>
              </w:rPr>
              <w:t xml:space="preserve">Description of the Corporate Governance Variables </w:t>
            </w:r>
          </w:p>
          <w:p w14:paraId="23E036E0" w14:textId="77777777" w:rsidR="00765E31" w:rsidRPr="00C57F00" w:rsidRDefault="00765E31" w:rsidP="00260D7D">
            <w:pPr>
              <w:tabs>
                <w:tab w:val="left" w:pos="567"/>
              </w:tabs>
              <w:jc w:val="center"/>
              <w:rPr>
                <w:rFonts w:ascii="Times New Roman" w:hAnsi="Times New Roman" w:cs="Times New Roman"/>
                <w:b/>
                <w:bCs/>
                <w:sz w:val="6"/>
                <w:szCs w:val="6"/>
              </w:rPr>
            </w:pPr>
          </w:p>
        </w:tc>
      </w:tr>
      <w:tr w:rsidR="00765E31" w:rsidRPr="00C57F00" w14:paraId="192A9EC7" w14:textId="77777777" w:rsidTr="00C57F00">
        <w:trPr>
          <w:jc w:val="center"/>
        </w:trPr>
        <w:tc>
          <w:tcPr>
            <w:tcW w:w="2515" w:type="dxa"/>
            <w:tcBorders>
              <w:left w:val="nil"/>
              <w:bottom w:val="single" w:sz="4" w:space="0" w:color="auto"/>
              <w:right w:val="nil"/>
            </w:tcBorders>
            <w:vAlign w:val="center"/>
          </w:tcPr>
          <w:p w14:paraId="592172A8" w14:textId="77777777" w:rsidR="00765E31" w:rsidRPr="00C57F00" w:rsidRDefault="00765E31" w:rsidP="00260D7D">
            <w:pPr>
              <w:tabs>
                <w:tab w:val="left" w:pos="567"/>
              </w:tabs>
              <w:jc w:val="center"/>
              <w:rPr>
                <w:rFonts w:ascii="Times New Roman" w:hAnsi="Times New Roman" w:cs="Times New Roman"/>
              </w:rPr>
            </w:pPr>
            <w:r w:rsidRPr="00C57F00">
              <w:rPr>
                <w:rFonts w:ascii="Times New Roman" w:hAnsi="Times New Roman" w:cs="Times New Roman"/>
              </w:rPr>
              <w:t>Variable</w:t>
            </w:r>
          </w:p>
        </w:tc>
        <w:tc>
          <w:tcPr>
            <w:tcW w:w="4860" w:type="dxa"/>
            <w:tcBorders>
              <w:left w:val="nil"/>
              <w:bottom w:val="single" w:sz="4" w:space="0" w:color="auto"/>
              <w:right w:val="nil"/>
            </w:tcBorders>
            <w:vAlign w:val="center"/>
          </w:tcPr>
          <w:p w14:paraId="73386D92" w14:textId="77777777" w:rsidR="00765E31" w:rsidRPr="00C57F00" w:rsidRDefault="00765E31" w:rsidP="00260D7D">
            <w:pPr>
              <w:tabs>
                <w:tab w:val="left" w:pos="567"/>
              </w:tabs>
              <w:jc w:val="center"/>
              <w:rPr>
                <w:rFonts w:ascii="Times New Roman" w:hAnsi="Times New Roman" w:cs="Times New Roman"/>
              </w:rPr>
            </w:pPr>
            <w:r w:rsidRPr="00C57F00">
              <w:rPr>
                <w:rFonts w:ascii="Times New Roman" w:hAnsi="Times New Roman" w:cs="Times New Roman"/>
              </w:rPr>
              <w:t>Definition</w:t>
            </w:r>
          </w:p>
        </w:tc>
        <w:tc>
          <w:tcPr>
            <w:tcW w:w="1440" w:type="dxa"/>
            <w:tcBorders>
              <w:left w:val="nil"/>
              <w:bottom w:val="single" w:sz="4" w:space="0" w:color="auto"/>
              <w:right w:val="nil"/>
            </w:tcBorders>
          </w:tcPr>
          <w:p w14:paraId="56D0725F" w14:textId="77777777" w:rsidR="00765E31" w:rsidRPr="00C57F00" w:rsidRDefault="00765E31" w:rsidP="00805868">
            <w:pPr>
              <w:tabs>
                <w:tab w:val="left" w:pos="567"/>
              </w:tabs>
              <w:spacing w:before="100"/>
              <w:jc w:val="center"/>
              <w:rPr>
                <w:rFonts w:ascii="Times New Roman" w:hAnsi="Times New Roman" w:cs="Times New Roman"/>
              </w:rPr>
            </w:pPr>
            <w:r w:rsidRPr="00C57F00">
              <w:rPr>
                <w:rFonts w:ascii="Times New Roman" w:hAnsi="Times New Roman" w:cs="Times New Roman"/>
              </w:rPr>
              <w:t>Type</w:t>
            </w:r>
          </w:p>
        </w:tc>
        <w:tc>
          <w:tcPr>
            <w:tcW w:w="1260" w:type="dxa"/>
            <w:tcBorders>
              <w:left w:val="nil"/>
              <w:right w:val="nil"/>
            </w:tcBorders>
            <w:vAlign w:val="center"/>
          </w:tcPr>
          <w:p w14:paraId="15C09BED" w14:textId="77777777" w:rsidR="00765E31" w:rsidRPr="00C57F00" w:rsidRDefault="00765E31" w:rsidP="00260D7D">
            <w:pPr>
              <w:tabs>
                <w:tab w:val="left" w:pos="567"/>
              </w:tabs>
              <w:jc w:val="center"/>
              <w:rPr>
                <w:rFonts w:ascii="Times New Roman" w:hAnsi="Times New Roman" w:cs="Times New Roman"/>
              </w:rPr>
            </w:pPr>
            <w:r w:rsidRPr="00C57F00">
              <w:rPr>
                <w:rFonts w:ascii="Times New Roman" w:hAnsi="Times New Roman" w:cs="Times New Roman"/>
              </w:rPr>
              <w:t>Expected sign</w:t>
            </w:r>
            <w:r w:rsidRPr="00C57F00">
              <w:rPr>
                <w:rFonts w:ascii="Times New Roman" w:hAnsi="Times New Roman" w:cs="Times New Roman"/>
                <w:vertAlign w:val="superscript"/>
              </w:rPr>
              <w:t>*</w:t>
            </w:r>
          </w:p>
        </w:tc>
      </w:tr>
      <w:tr w:rsidR="00765E31" w:rsidRPr="00C57F00" w14:paraId="087EE9E1" w14:textId="77777777" w:rsidTr="00C57F00">
        <w:trPr>
          <w:jc w:val="center"/>
        </w:trPr>
        <w:tc>
          <w:tcPr>
            <w:tcW w:w="2515" w:type="dxa"/>
            <w:tcBorders>
              <w:left w:val="nil"/>
              <w:bottom w:val="nil"/>
              <w:right w:val="nil"/>
            </w:tcBorders>
            <w:vAlign w:val="center"/>
          </w:tcPr>
          <w:p w14:paraId="1319FD4E" w14:textId="77777777" w:rsidR="00765E31" w:rsidRPr="00C57F00" w:rsidRDefault="005A4EE1" w:rsidP="00260D7D">
            <w:pPr>
              <w:tabs>
                <w:tab w:val="left" w:pos="567"/>
              </w:tabs>
              <w:rPr>
                <w:rFonts w:ascii="Times New Roman" w:hAnsi="Times New Roman" w:cs="Times New Roman"/>
              </w:rPr>
            </w:pPr>
            <w:r w:rsidRPr="00C57F00">
              <w:rPr>
                <w:rFonts w:ascii="Times New Roman" w:hAnsi="Times New Roman" w:cs="Times New Roman"/>
              </w:rPr>
              <w:t>Attrition</w:t>
            </w:r>
            <w:r w:rsidR="00727553" w:rsidRPr="00C57F00">
              <w:rPr>
                <w:rFonts w:ascii="Times New Roman" w:hAnsi="Times New Roman" w:cs="Times New Roman"/>
              </w:rPr>
              <w:t xml:space="preserve"> Ratio</w:t>
            </w:r>
            <w:r w:rsidR="00765E31" w:rsidRPr="00C57F00">
              <w:rPr>
                <w:rFonts w:ascii="Times New Roman" w:hAnsi="Times New Roman" w:cs="Times New Roman"/>
              </w:rPr>
              <w:t xml:space="preserve"> (</w:t>
            </w:r>
            <w:r w:rsidRPr="00C57F00">
              <w:rPr>
                <w:rFonts w:ascii="Times New Roman" w:hAnsi="Times New Roman" w:cs="Times New Roman"/>
              </w:rPr>
              <w:t>ATTR</w:t>
            </w:r>
            <w:r w:rsidR="00765E31" w:rsidRPr="00C57F00">
              <w:rPr>
                <w:rFonts w:ascii="Times New Roman" w:hAnsi="Times New Roman" w:cs="Times New Roman"/>
              </w:rPr>
              <w:t>)</w:t>
            </w:r>
          </w:p>
        </w:tc>
        <w:tc>
          <w:tcPr>
            <w:tcW w:w="4860" w:type="dxa"/>
            <w:tcBorders>
              <w:left w:val="nil"/>
              <w:bottom w:val="nil"/>
              <w:right w:val="nil"/>
            </w:tcBorders>
            <w:vAlign w:val="center"/>
          </w:tcPr>
          <w:p w14:paraId="28B3F13C" w14:textId="77777777" w:rsidR="00765E31" w:rsidRDefault="00361B8F" w:rsidP="00C11F67">
            <w:pPr>
              <w:tabs>
                <w:tab w:val="left" w:pos="567"/>
              </w:tabs>
              <w:rPr>
                <w:rFonts w:ascii="Times New Roman" w:hAnsi="Times New Roman" w:cs="Times New Roman"/>
              </w:rPr>
            </w:pPr>
            <w:r w:rsidRPr="00C57F00">
              <w:rPr>
                <w:rFonts w:ascii="Times New Roman" w:hAnsi="Times New Roman" w:cs="Times New Roman"/>
              </w:rPr>
              <w:t>The n</w:t>
            </w:r>
            <w:r w:rsidR="00727553" w:rsidRPr="00C57F00">
              <w:rPr>
                <w:rFonts w:ascii="Times New Roman" w:hAnsi="Times New Roman" w:cs="Times New Roman"/>
              </w:rPr>
              <w:t xml:space="preserve">umber of </w:t>
            </w:r>
            <w:r w:rsidRPr="00C57F00">
              <w:rPr>
                <w:rFonts w:ascii="Times New Roman" w:hAnsi="Times New Roman" w:cs="Times New Roman"/>
              </w:rPr>
              <w:t>d</w:t>
            </w:r>
            <w:r w:rsidR="00727553" w:rsidRPr="00C57F00">
              <w:rPr>
                <w:rFonts w:ascii="Times New Roman" w:hAnsi="Times New Roman" w:cs="Times New Roman"/>
              </w:rPr>
              <w:t xml:space="preserve">irectors that have left a role as a proportion of average number of </w:t>
            </w:r>
            <w:r w:rsidRPr="00C57F00">
              <w:rPr>
                <w:rFonts w:ascii="Times New Roman" w:hAnsi="Times New Roman" w:cs="Times New Roman"/>
              </w:rPr>
              <w:t>d</w:t>
            </w:r>
            <w:r w:rsidR="00727553" w:rsidRPr="00C57F00">
              <w:rPr>
                <w:rFonts w:ascii="Times New Roman" w:hAnsi="Times New Roman" w:cs="Times New Roman"/>
              </w:rPr>
              <w:t>irectors</w:t>
            </w:r>
          </w:p>
          <w:p w14:paraId="671757F9" w14:textId="6F263B0A" w:rsidR="00C57F00" w:rsidRPr="00C57F00" w:rsidRDefault="00C57F00" w:rsidP="00C11F67">
            <w:pPr>
              <w:tabs>
                <w:tab w:val="left" w:pos="567"/>
              </w:tabs>
              <w:rPr>
                <w:rFonts w:ascii="Times New Roman" w:hAnsi="Times New Roman" w:cs="Times New Roman"/>
              </w:rPr>
            </w:pPr>
          </w:p>
        </w:tc>
        <w:tc>
          <w:tcPr>
            <w:tcW w:w="1440" w:type="dxa"/>
            <w:tcBorders>
              <w:left w:val="nil"/>
              <w:bottom w:val="nil"/>
              <w:right w:val="nil"/>
            </w:tcBorders>
            <w:vAlign w:val="center"/>
          </w:tcPr>
          <w:p w14:paraId="0596E5F8" w14:textId="77777777" w:rsidR="00765E31" w:rsidRPr="00C57F00" w:rsidRDefault="00765E31" w:rsidP="00C11F67">
            <w:pPr>
              <w:tabs>
                <w:tab w:val="left" w:pos="567"/>
              </w:tabs>
              <w:rPr>
                <w:rFonts w:ascii="Times New Roman" w:hAnsi="Times New Roman" w:cs="Times New Roman"/>
              </w:rPr>
            </w:pPr>
            <w:r w:rsidRPr="00C57F00">
              <w:rPr>
                <w:rFonts w:ascii="Times New Roman" w:hAnsi="Times New Roman" w:cs="Times New Roman"/>
              </w:rPr>
              <w:t>Fraction</w:t>
            </w:r>
          </w:p>
        </w:tc>
        <w:tc>
          <w:tcPr>
            <w:tcW w:w="1260" w:type="dxa"/>
            <w:tcBorders>
              <w:left w:val="nil"/>
              <w:right w:val="nil"/>
            </w:tcBorders>
            <w:vAlign w:val="center"/>
          </w:tcPr>
          <w:p w14:paraId="09010DE6" w14:textId="77777777" w:rsidR="00765E31" w:rsidRPr="00C57F00" w:rsidRDefault="000314C8" w:rsidP="00805868">
            <w:pPr>
              <w:tabs>
                <w:tab w:val="left" w:pos="567"/>
              </w:tabs>
              <w:jc w:val="center"/>
              <w:rPr>
                <w:rFonts w:ascii="Times New Roman" w:hAnsi="Times New Roman" w:cs="Times New Roman"/>
              </w:rPr>
            </w:pPr>
            <w:r w:rsidRPr="00C57F00">
              <w:rPr>
                <w:rFonts w:ascii="Times New Roman" w:hAnsi="Times New Roman" w:cs="Times New Roman"/>
              </w:rPr>
              <w:t>+</w:t>
            </w:r>
          </w:p>
        </w:tc>
      </w:tr>
      <w:tr w:rsidR="00765E31" w:rsidRPr="00C57F00" w14:paraId="7EE3532F" w14:textId="77777777" w:rsidTr="00C57F00">
        <w:trPr>
          <w:jc w:val="center"/>
        </w:trPr>
        <w:tc>
          <w:tcPr>
            <w:tcW w:w="2515" w:type="dxa"/>
            <w:tcBorders>
              <w:top w:val="nil"/>
              <w:left w:val="nil"/>
              <w:bottom w:val="nil"/>
              <w:right w:val="nil"/>
            </w:tcBorders>
            <w:vAlign w:val="center"/>
          </w:tcPr>
          <w:p w14:paraId="07DF0E7F" w14:textId="77777777" w:rsidR="00765E31" w:rsidRPr="00C57F00" w:rsidRDefault="00727553" w:rsidP="00260D7D">
            <w:pPr>
              <w:tabs>
                <w:tab w:val="left" w:pos="567"/>
              </w:tabs>
              <w:rPr>
                <w:rFonts w:ascii="Times New Roman" w:hAnsi="Times New Roman" w:cs="Times New Roman"/>
              </w:rPr>
            </w:pPr>
            <w:r w:rsidRPr="00C57F00">
              <w:rPr>
                <w:rFonts w:ascii="Times New Roman" w:hAnsi="Times New Roman" w:cs="Times New Roman"/>
              </w:rPr>
              <w:t>Gender</w:t>
            </w:r>
            <w:r w:rsidR="00765E31" w:rsidRPr="00C57F00">
              <w:rPr>
                <w:rFonts w:ascii="Times New Roman" w:hAnsi="Times New Roman" w:cs="Times New Roman"/>
              </w:rPr>
              <w:t xml:space="preserve"> (</w:t>
            </w:r>
            <w:r w:rsidRPr="00C57F00">
              <w:rPr>
                <w:rFonts w:ascii="Times New Roman" w:hAnsi="Times New Roman" w:cs="Times New Roman"/>
              </w:rPr>
              <w:t>GEND</w:t>
            </w:r>
            <w:r w:rsidR="00765E31" w:rsidRPr="00C57F00">
              <w:rPr>
                <w:rFonts w:ascii="Times New Roman" w:hAnsi="Times New Roman" w:cs="Times New Roman"/>
              </w:rPr>
              <w:t>)</w:t>
            </w:r>
          </w:p>
        </w:tc>
        <w:tc>
          <w:tcPr>
            <w:tcW w:w="4860" w:type="dxa"/>
            <w:tcBorders>
              <w:top w:val="nil"/>
              <w:left w:val="nil"/>
              <w:bottom w:val="nil"/>
              <w:right w:val="nil"/>
            </w:tcBorders>
            <w:vAlign w:val="center"/>
          </w:tcPr>
          <w:p w14:paraId="4AE92D45" w14:textId="77777777" w:rsidR="00765E31" w:rsidRDefault="00361B8F" w:rsidP="00C11F67">
            <w:pPr>
              <w:tabs>
                <w:tab w:val="left" w:pos="567"/>
              </w:tabs>
              <w:rPr>
                <w:rFonts w:ascii="Times New Roman" w:hAnsi="Times New Roman" w:cs="Times New Roman"/>
              </w:rPr>
            </w:pPr>
            <w:r w:rsidRPr="00C57F00">
              <w:rPr>
                <w:rFonts w:ascii="Times New Roman" w:hAnsi="Times New Roman" w:cs="Times New Roman"/>
              </w:rPr>
              <w:t>The p</w:t>
            </w:r>
            <w:r w:rsidR="00727553" w:rsidRPr="00C57F00">
              <w:rPr>
                <w:rFonts w:ascii="Times New Roman" w:hAnsi="Times New Roman" w:cs="Times New Roman"/>
              </w:rPr>
              <w:t>roportion of male directors</w:t>
            </w:r>
            <w:r w:rsidRPr="00C57F00">
              <w:rPr>
                <w:rFonts w:ascii="Times New Roman" w:hAnsi="Times New Roman" w:cs="Times New Roman"/>
              </w:rPr>
              <w:t xml:space="preserve"> on the board</w:t>
            </w:r>
          </w:p>
          <w:p w14:paraId="133BC2A1" w14:textId="1A3A555A" w:rsidR="00C57F00" w:rsidRPr="00C57F00" w:rsidRDefault="00C57F00" w:rsidP="00C11F67">
            <w:pPr>
              <w:tabs>
                <w:tab w:val="left" w:pos="567"/>
              </w:tabs>
              <w:rPr>
                <w:rFonts w:ascii="Times New Roman" w:hAnsi="Times New Roman" w:cs="Times New Roman"/>
              </w:rPr>
            </w:pPr>
          </w:p>
        </w:tc>
        <w:tc>
          <w:tcPr>
            <w:tcW w:w="1440" w:type="dxa"/>
            <w:tcBorders>
              <w:top w:val="nil"/>
              <w:left w:val="nil"/>
              <w:bottom w:val="nil"/>
              <w:right w:val="nil"/>
            </w:tcBorders>
            <w:vAlign w:val="center"/>
          </w:tcPr>
          <w:p w14:paraId="76A65F92" w14:textId="77777777" w:rsidR="00765E31" w:rsidRPr="00C57F00" w:rsidRDefault="00765E31" w:rsidP="00C11F67">
            <w:pPr>
              <w:tabs>
                <w:tab w:val="left" w:pos="567"/>
              </w:tabs>
              <w:rPr>
                <w:rFonts w:ascii="Times New Roman" w:hAnsi="Times New Roman" w:cs="Times New Roman"/>
              </w:rPr>
            </w:pPr>
            <w:r w:rsidRPr="00C57F00">
              <w:rPr>
                <w:rFonts w:ascii="Times New Roman" w:hAnsi="Times New Roman" w:cs="Times New Roman"/>
              </w:rPr>
              <w:t>Fraction</w:t>
            </w:r>
          </w:p>
        </w:tc>
        <w:tc>
          <w:tcPr>
            <w:tcW w:w="1260" w:type="dxa"/>
            <w:tcBorders>
              <w:left w:val="nil"/>
              <w:right w:val="nil"/>
            </w:tcBorders>
            <w:vAlign w:val="center"/>
          </w:tcPr>
          <w:p w14:paraId="67AD5002" w14:textId="77777777" w:rsidR="00765E31" w:rsidRPr="00C57F00" w:rsidRDefault="00727553" w:rsidP="00805868">
            <w:pPr>
              <w:tabs>
                <w:tab w:val="left" w:pos="567"/>
              </w:tabs>
              <w:jc w:val="center"/>
              <w:rPr>
                <w:rFonts w:ascii="Times New Roman" w:hAnsi="Times New Roman" w:cs="Times New Roman"/>
              </w:rPr>
            </w:pPr>
            <w:r w:rsidRPr="00C57F00">
              <w:rPr>
                <w:rFonts w:ascii="Times New Roman" w:hAnsi="Times New Roman" w:cs="Times New Roman"/>
              </w:rPr>
              <w:t>+</w:t>
            </w:r>
          </w:p>
        </w:tc>
      </w:tr>
      <w:tr w:rsidR="00765E31" w:rsidRPr="00C57F00" w14:paraId="10343566" w14:textId="77777777" w:rsidTr="00C57F00">
        <w:trPr>
          <w:jc w:val="center"/>
        </w:trPr>
        <w:tc>
          <w:tcPr>
            <w:tcW w:w="2515" w:type="dxa"/>
            <w:tcBorders>
              <w:top w:val="nil"/>
              <w:left w:val="nil"/>
              <w:bottom w:val="nil"/>
              <w:right w:val="nil"/>
            </w:tcBorders>
            <w:vAlign w:val="center"/>
          </w:tcPr>
          <w:p w14:paraId="71FB38F1" w14:textId="77777777" w:rsidR="00765E31" w:rsidRPr="00C57F00" w:rsidRDefault="00765E31" w:rsidP="00260D7D">
            <w:pPr>
              <w:tabs>
                <w:tab w:val="left" w:pos="567"/>
              </w:tabs>
              <w:rPr>
                <w:rFonts w:ascii="Times New Roman" w:hAnsi="Times New Roman" w:cs="Times New Roman"/>
              </w:rPr>
            </w:pPr>
            <w:r w:rsidRPr="00C57F00">
              <w:rPr>
                <w:rFonts w:ascii="Times New Roman" w:hAnsi="Times New Roman" w:cs="Times New Roman"/>
              </w:rPr>
              <w:t>Board Independence (INDP)</w:t>
            </w:r>
          </w:p>
        </w:tc>
        <w:tc>
          <w:tcPr>
            <w:tcW w:w="4860" w:type="dxa"/>
            <w:tcBorders>
              <w:top w:val="nil"/>
              <w:left w:val="nil"/>
              <w:bottom w:val="nil"/>
              <w:right w:val="nil"/>
            </w:tcBorders>
            <w:vAlign w:val="center"/>
          </w:tcPr>
          <w:p w14:paraId="6D79A16B" w14:textId="77777777" w:rsidR="00765E31" w:rsidRDefault="00361B8F" w:rsidP="00C11F67">
            <w:pPr>
              <w:tabs>
                <w:tab w:val="left" w:pos="567"/>
              </w:tabs>
              <w:rPr>
                <w:rFonts w:ascii="Times New Roman" w:hAnsi="Times New Roman" w:cs="Times New Roman"/>
              </w:rPr>
            </w:pPr>
            <w:r w:rsidRPr="00C57F00">
              <w:rPr>
                <w:rFonts w:ascii="Times New Roman" w:hAnsi="Times New Roman" w:cs="Times New Roman"/>
              </w:rPr>
              <w:t>The p</w:t>
            </w:r>
            <w:r w:rsidR="00765E31" w:rsidRPr="00C57F00">
              <w:rPr>
                <w:rFonts w:ascii="Times New Roman" w:hAnsi="Times New Roman" w:cs="Times New Roman"/>
              </w:rPr>
              <w:t>roportion of total board members who are considered independent</w:t>
            </w:r>
          </w:p>
          <w:p w14:paraId="4DC473F4" w14:textId="6E7A8628" w:rsidR="00C57F00" w:rsidRPr="00C57F00" w:rsidRDefault="00C57F00" w:rsidP="00C11F67">
            <w:pPr>
              <w:tabs>
                <w:tab w:val="left" w:pos="567"/>
              </w:tabs>
              <w:rPr>
                <w:rFonts w:ascii="Times New Roman" w:hAnsi="Times New Roman" w:cs="Times New Roman"/>
              </w:rPr>
            </w:pPr>
          </w:p>
        </w:tc>
        <w:tc>
          <w:tcPr>
            <w:tcW w:w="1440" w:type="dxa"/>
            <w:tcBorders>
              <w:top w:val="nil"/>
              <w:left w:val="nil"/>
              <w:bottom w:val="nil"/>
              <w:right w:val="nil"/>
            </w:tcBorders>
            <w:vAlign w:val="center"/>
          </w:tcPr>
          <w:p w14:paraId="04A141F8" w14:textId="77777777" w:rsidR="00765E31" w:rsidRPr="00C57F00" w:rsidRDefault="00765E31" w:rsidP="00C11F67">
            <w:pPr>
              <w:tabs>
                <w:tab w:val="left" w:pos="567"/>
              </w:tabs>
              <w:rPr>
                <w:rFonts w:ascii="Times New Roman" w:hAnsi="Times New Roman" w:cs="Times New Roman"/>
              </w:rPr>
            </w:pPr>
            <w:r w:rsidRPr="00C57F00">
              <w:rPr>
                <w:rFonts w:ascii="Times New Roman" w:hAnsi="Times New Roman" w:cs="Times New Roman"/>
              </w:rPr>
              <w:t>Fraction</w:t>
            </w:r>
          </w:p>
        </w:tc>
        <w:tc>
          <w:tcPr>
            <w:tcW w:w="1260" w:type="dxa"/>
            <w:tcBorders>
              <w:left w:val="nil"/>
              <w:right w:val="nil"/>
            </w:tcBorders>
            <w:vAlign w:val="center"/>
          </w:tcPr>
          <w:p w14:paraId="396C70E8" w14:textId="77777777" w:rsidR="00765E31" w:rsidRPr="00C57F00" w:rsidRDefault="00765E31" w:rsidP="00805868">
            <w:pPr>
              <w:tabs>
                <w:tab w:val="left" w:pos="567"/>
              </w:tabs>
              <w:jc w:val="center"/>
              <w:rPr>
                <w:rFonts w:ascii="Times New Roman" w:hAnsi="Times New Roman" w:cs="Times New Roman"/>
              </w:rPr>
            </w:pPr>
            <w:r w:rsidRPr="00C57F00">
              <w:rPr>
                <w:rFonts w:ascii="Times New Roman" w:hAnsi="Times New Roman" w:cs="Times New Roman"/>
              </w:rPr>
              <w:t>-</w:t>
            </w:r>
          </w:p>
        </w:tc>
      </w:tr>
      <w:tr w:rsidR="00765E31" w:rsidRPr="00C57F00" w14:paraId="6B66CC93" w14:textId="77777777" w:rsidTr="00C57F00">
        <w:trPr>
          <w:jc w:val="center"/>
        </w:trPr>
        <w:tc>
          <w:tcPr>
            <w:tcW w:w="2515" w:type="dxa"/>
            <w:tcBorders>
              <w:top w:val="nil"/>
              <w:left w:val="nil"/>
              <w:bottom w:val="nil"/>
              <w:right w:val="nil"/>
            </w:tcBorders>
            <w:vAlign w:val="center"/>
          </w:tcPr>
          <w:p w14:paraId="3DF1379D" w14:textId="77777777" w:rsidR="00765E31" w:rsidRPr="00C57F00" w:rsidRDefault="00765E31" w:rsidP="00260D7D">
            <w:pPr>
              <w:tabs>
                <w:tab w:val="left" w:pos="567"/>
              </w:tabs>
              <w:rPr>
                <w:rFonts w:ascii="Times New Roman" w:hAnsi="Times New Roman" w:cs="Times New Roman"/>
              </w:rPr>
            </w:pPr>
            <w:r w:rsidRPr="00C57F00">
              <w:rPr>
                <w:rFonts w:ascii="Times New Roman" w:hAnsi="Times New Roman" w:cs="Times New Roman"/>
              </w:rPr>
              <w:t>CEO-</w:t>
            </w:r>
            <w:r w:rsidR="00361B8F" w:rsidRPr="00C57F00">
              <w:rPr>
                <w:rFonts w:ascii="Times New Roman" w:hAnsi="Times New Roman" w:cs="Times New Roman"/>
              </w:rPr>
              <w:t>C</w:t>
            </w:r>
            <w:r w:rsidRPr="00C57F00">
              <w:rPr>
                <w:rFonts w:ascii="Times New Roman" w:hAnsi="Times New Roman" w:cs="Times New Roman"/>
              </w:rPr>
              <w:t xml:space="preserve">hairman </w:t>
            </w:r>
            <w:r w:rsidR="00361B8F" w:rsidRPr="00C57F00">
              <w:rPr>
                <w:rFonts w:ascii="Times New Roman" w:hAnsi="Times New Roman" w:cs="Times New Roman"/>
              </w:rPr>
              <w:t>D</w:t>
            </w:r>
            <w:r w:rsidRPr="00C57F00">
              <w:rPr>
                <w:rFonts w:ascii="Times New Roman" w:hAnsi="Times New Roman" w:cs="Times New Roman"/>
              </w:rPr>
              <w:t>uality (DUAL)</w:t>
            </w:r>
          </w:p>
        </w:tc>
        <w:tc>
          <w:tcPr>
            <w:tcW w:w="4860" w:type="dxa"/>
            <w:tcBorders>
              <w:top w:val="nil"/>
              <w:left w:val="nil"/>
              <w:bottom w:val="nil"/>
              <w:right w:val="nil"/>
            </w:tcBorders>
            <w:vAlign w:val="center"/>
          </w:tcPr>
          <w:p w14:paraId="69EF464B" w14:textId="77777777" w:rsidR="00765E31" w:rsidRPr="00C57F00" w:rsidRDefault="00765E31" w:rsidP="00C11F67">
            <w:pPr>
              <w:tabs>
                <w:tab w:val="left" w:pos="567"/>
              </w:tabs>
              <w:rPr>
                <w:rFonts w:ascii="Times New Roman" w:hAnsi="Times New Roman" w:cs="Times New Roman"/>
              </w:rPr>
            </w:pPr>
            <w:r w:rsidRPr="00C57F00">
              <w:rPr>
                <w:rFonts w:ascii="Times New Roman" w:hAnsi="Times New Roman" w:cs="Times New Roman"/>
              </w:rPr>
              <w:t>1 if the chairman is a current or ex-CEO, 0 otherwise</w:t>
            </w:r>
          </w:p>
        </w:tc>
        <w:tc>
          <w:tcPr>
            <w:tcW w:w="1440" w:type="dxa"/>
            <w:tcBorders>
              <w:top w:val="nil"/>
              <w:left w:val="nil"/>
              <w:bottom w:val="nil"/>
              <w:right w:val="nil"/>
            </w:tcBorders>
            <w:vAlign w:val="center"/>
          </w:tcPr>
          <w:p w14:paraId="1B68974C" w14:textId="77777777" w:rsidR="00765E31" w:rsidRPr="00C57F00" w:rsidRDefault="00765E31" w:rsidP="00C11F67">
            <w:pPr>
              <w:tabs>
                <w:tab w:val="left" w:pos="567"/>
              </w:tabs>
              <w:rPr>
                <w:rFonts w:ascii="Times New Roman" w:hAnsi="Times New Roman" w:cs="Times New Roman"/>
              </w:rPr>
            </w:pPr>
            <w:r w:rsidRPr="00C57F00">
              <w:rPr>
                <w:rFonts w:ascii="Times New Roman" w:hAnsi="Times New Roman" w:cs="Times New Roman"/>
              </w:rPr>
              <w:t>Indicator</w:t>
            </w:r>
          </w:p>
        </w:tc>
        <w:tc>
          <w:tcPr>
            <w:tcW w:w="1260" w:type="dxa"/>
            <w:tcBorders>
              <w:left w:val="nil"/>
              <w:right w:val="nil"/>
            </w:tcBorders>
            <w:vAlign w:val="center"/>
          </w:tcPr>
          <w:p w14:paraId="1680EF3E" w14:textId="77777777" w:rsidR="00765E31" w:rsidRPr="00C57F00" w:rsidRDefault="0063046A" w:rsidP="00805868">
            <w:pPr>
              <w:tabs>
                <w:tab w:val="left" w:pos="567"/>
              </w:tabs>
              <w:jc w:val="center"/>
              <w:rPr>
                <w:rFonts w:ascii="Times New Roman" w:hAnsi="Times New Roman" w:cs="Times New Roman"/>
              </w:rPr>
            </w:pPr>
            <w:r w:rsidRPr="00C57F00">
              <w:rPr>
                <w:rFonts w:ascii="Times New Roman" w:hAnsi="Times New Roman" w:cs="Times New Roman"/>
              </w:rPr>
              <w:t>-</w:t>
            </w:r>
          </w:p>
        </w:tc>
      </w:tr>
      <w:tr w:rsidR="00765E31" w:rsidRPr="00C57F00" w14:paraId="2EC256BB" w14:textId="77777777" w:rsidTr="00C57F00">
        <w:trPr>
          <w:jc w:val="center"/>
        </w:trPr>
        <w:tc>
          <w:tcPr>
            <w:tcW w:w="2515" w:type="dxa"/>
            <w:tcBorders>
              <w:top w:val="nil"/>
              <w:left w:val="nil"/>
              <w:bottom w:val="nil"/>
              <w:right w:val="nil"/>
            </w:tcBorders>
            <w:vAlign w:val="center"/>
          </w:tcPr>
          <w:p w14:paraId="61C3264D" w14:textId="77777777" w:rsidR="00765E31" w:rsidRPr="00C57F00" w:rsidRDefault="00765E31" w:rsidP="00260D7D">
            <w:pPr>
              <w:tabs>
                <w:tab w:val="left" w:pos="567"/>
              </w:tabs>
              <w:rPr>
                <w:rFonts w:ascii="Times New Roman" w:hAnsi="Times New Roman" w:cs="Times New Roman"/>
              </w:rPr>
            </w:pPr>
            <w:r w:rsidRPr="00C57F00">
              <w:rPr>
                <w:rFonts w:ascii="Times New Roman" w:hAnsi="Times New Roman" w:cs="Times New Roman"/>
              </w:rPr>
              <w:t xml:space="preserve">Board </w:t>
            </w:r>
            <w:r w:rsidR="00361B8F" w:rsidRPr="00C57F00">
              <w:rPr>
                <w:rFonts w:ascii="Times New Roman" w:hAnsi="Times New Roman" w:cs="Times New Roman"/>
              </w:rPr>
              <w:t>S</w:t>
            </w:r>
            <w:r w:rsidRPr="00C57F00">
              <w:rPr>
                <w:rFonts w:ascii="Times New Roman" w:hAnsi="Times New Roman" w:cs="Times New Roman"/>
              </w:rPr>
              <w:t>ize (BSIZ)</w:t>
            </w:r>
          </w:p>
        </w:tc>
        <w:tc>
          <w:tcPr>
            <w:tcW w:w="4860" w:type="dxa"/>
            <w:tcBorders>
              <w:top w:val="nil"/>
              <w:left w:val="nil"/>
              <w:bottom w:val="nil"/>
              <w:right w:val="nil"/>
            </w:tcBorders>
            <w:vAlign w:val="center"/>
          </w:tcPr>
          <w:p w14:paraId="1F9F8312" w14:textId="77777777" w:rsidR="00765E31" w:rsidRDefault="00765E31" w:rsidP="00C11F67">
            <w:pPr>
              <w:tabs>
                <w:tab w:val="left" w:pos="567"/>
              </w:tabs>
              <w:rPr>
                <w:rFonts w:ascii="Times New Roman" w:hAnsi="Times New Roman" w:cs="Times New Roman"/>
              </w:rPr>
            </w:pPr>
            <w:r w:rsidRPr="00C57F00">
              <w:rPr>
                <w:rFonts w:ascii="Times New Roman" w:hAnsi="Times New Roman" w:cs="Times New Roman"/>
              </w:rPr>
              <w:t>Natural log of the number of board members in a year</w:t>
            </w:r>
          </w:p>
          <w:p w14:paraId="16A13E67" w14:textId="6E326D7F" w:rsidR="00C57F00" w:rsidRPr="00C57F00" w:rsidRDefault="00C57F00" w:rsidP="00C11F67">
            <w:pPr>
              <w:tabs>
                <w:tab w:val="left" w:pos="567"/>
              </w:tabs>
              <w:rPr>
                <w:rFonts w:ascii="Times New Roman" w:hAnsi="Times New Roman" w:cs="Times New Roman"/>
              </w:rPr>
            </w:pPr>
          </w:p>
        </w:tc>
        <w:tc>
          <w:tcPr>
            <w:tcW w:w="1440" w:type="dxa"/>
            <w:tcBorders>
              <w:top w:val="nil"/>
              <w:left w:val="nil"/>
              <w:bottom w:val="nil"/>
              <w:right w:val="nil"/>
            </w:tcBorders>
            <w:vAlign w:val="center"/>
          </w:tcPr>
          <w:p w14:paraId="42E3B482" w14:textId="77777777" w:rsidR="00765E31" w:rsidRPr="00C57F00" w:rsidRDefault="00765E31" w:rsidP="00C11F67">
            <w:pPr>
              <w:tabs>
                <w:tab w:val="left" w:pos="567"/>
              </w:tabs>
              <w:rPr>
                <w:rFonts w:ascii="Times New Roman" w:hAnsi="Times New Roman" w:cs="Times New Roman"/>
              </w:rPr>
            </w:pPr>
            <w:r w:rsidRPr="00C57F00">
              <w:rPr>
                <w:rFonts w:ascii="Times New Roman" w:hAnsi="Times New Roman" w:cs="Times New Roman"/>
              </w:rPr>
              <w:t>Number</w:t>
            </w:r>
          </w:p>
        </w:tc>
        <w:tc>
          <w:tcPr>
            <w:tcW w:w="1260" w:type="dxa"/>
            <w:tcBorders>
              <w:left w:val="nil"/>
              <w:right w:val="nil"/>
            </w:tcBorders>
            <w:vAlign w:val="center"/>
          </w:tcPr>
          <w:p w14:paraId="3490B6D2" w14:textId="77777777" w:rsidR="00765E31" w:rsidRPr="00C57F00" w:rsidRDefault="00F64921" w:rsidP="00805868">
            <w:pPr>
              <w:tabs>
                <w:tab w:val="left" w:pos="567"/>
              </w:tabs>
              <w:jc w:val="center"/>
              <w:rPr>
                <w:rFonts w:ascii="Times New Roman" w:hAnsi="Times New Roman" w:cs="Times New Roman"/>
              </w:rPr>
            </w:pPr>
            <w:r w:rsidRPr="00C57F00">
              <w:rPr>
                <w:rFonts w:ascii="Times New Roman" w:hAnsi="Times New Roman" w:cs="Times New Roman"/>
              </w:rPr>
              <w:t>-</w:t>
            </w:r>
          </w:p>
        </w:tc>
      </w:tr>
      <w:tr w:rsidR="009F69D7" w:rsidRPr="00C57F00" w14:paraId="06463A0F" w14:textId="77777777" w:rsidTr="00C57F00">
        <w:trPr>
          <w:jc w:val="center"/>
        </w:trPr>
        <w:tc>
          <w:tcPr>
            <w:tcW w:w="2515" w:type="dxa"/>
            <w:tcBorders>
              <w:top w:val="nil"/>
              <w:left w:val="nil"/>
              <w:bottom w:val="nil"/>
              <w:right w:val="nil"/>
            </w:tcBorders>
            <w:vAlign w:val="center"/>
          </w:tcPr>
          <w:p w14:paraId="7085FF80" w14:textId="77777777" w:rsidR="009F69D7" w:rsidRPr="00C57F00" w:rsidRDefault="009F69D7" w:rsidP="00260D7D">
            <w:pPr>
              <w:tabs>
                <w:tab w:val="left" w:pos="567"/>
              </w:tabs>
              <w:rPr>
                <w:rFonts w:ascii="Times New Roman" w:hAnsi="Times New Roman" w:cs="Times New Roman"/>
              </w:rPr>
            </w:pPr>
            <w:r w:rsidRPr="00C57F00">
              <w:rPr>
                <w:rFonts w:ascii="Times New Roman" w:hAnsi="Times New Roman" w:cs="Times New Roman"/>
              </w:rPr>
              <w:t>Directors Predating CEO (DCEO)</w:t>
            </w:r>
          </w:p>
        </w:tc>
        <w:tc>
          <w:tcPr>
            <w:tcW w:w="4860" w:type="dxa"/>
            <w:tcBorders>
              <w:top w:val="nil"/>
              <w:left w:val="nil"/>
              <w:bottom w:val="nil"/>
              <w:right w:val="nil"/>
            </w:tcBorders>
            <w:vAlign w:val="center"/>
          </w:tcPr>
          <w:p w14:paraId="1014393A" w14:textId="77777777" w:rsidR="009F69D7" w:rsidRDefault="00361B8F" w:rsidP="00C11F67">
            <w:pPr>
              <w:tabs>
                <w:tab w:val="left" w:pos="567"/>
              </w:tabs>
              <w:rPr>
                <w:rFonts w:ascii="Times New Roman" w:hAnsi="Times New Roman" w:cs="Times New Roman"/>
              </w:rPr>
            </w:pPr>
            <w:r w:rsidRPr="00C57F00">
              <w:rPr>
                <w:rFonts w:ascii="Times New Roman" w:hAnsi="Times New Roman" w:cs="Times New Roman"/>
              </w:rPr>
              <w:t>T</w:t>
            </w:r>
            <w:r w:rsidR="009F69D7" w:rsidRPr="00C57F00">
              <w:rPr>
                <w:rFonts w:ascii="Times New Roman" w:hAnsi="Times New Roman" w:cs="Times New Roman"/>
              </w:rPr>
              <w:t>he proportion of board members whose tenure predates the CEO’s appointment</w:t>
            </w:r>
          </w:p>
          <w:p w14:paraId="5FA7BAD9" w14:textId="45740C9A" w:rsidR="00C57F00" w:rsidRPr="00C57F00" w:rsidRDefault="00C57F00" w:rsidP="00C11F67">
            <w:pPr>
              <w:tabs>
                <w:tab w:val="left" w:pos="567"/>
              </w:tabs>
              <w:rPr>
                <w:rFonts w:ascii="Times New Roman" w:hAnsi="Times New Roman" w:cs="Times New Roman"/>
              </w:rPr>
            </w:pPr>
          </w:p>
        </w:tc>
        <w:tc>
          <w:tcPr>
            <w:tcW w:w="1440" w:type="dxa"/>
            <w:tcBorders>
              <w:top w:val="nil"/>
              <w:left w:val="nil"/>
              <w:bottom w:val="nil"/>
              <w:right w:val="nil"/>
            </w:tcBorders>
            <w:vAlign w:val="center"/>
          </w:tcPr>
          <w:p w14:paraId="40B7FFA8" w14:textId="77777777" w:rsidR="009F69D7" w:rsidRPr="00C57F00" w:rsidRDefault="009F69D7" w:rsidP="00C11F67">
            <w:pPr>
              <w:tabs>
                <w:tab w:val="left" w:pos="567"/>
              </w:tabs>
              <w:rPr>
                <w:rFonts w:ascii="Times New Roman" w:hAnsi="Times New Roman" w:cs="Times New Roman"/>
              </w:rPr>
            </w:pPr>
            <w:r w:rsidRPr="00C57F00">
              <w:rPr>
                <w:rFonts w:ascii="Times New Roman" w:hAnsi="Times New Roman" w:cs="Times New Roman"/>
              </w:rPr>
              <w:t>Fraction</w:t>
            </w:r>
          </w:p>
        </w:tc>
        <w:tc>
          <w:tcPr>
            <w:tcW w:w="1260" w:type="dxa"/>
            <w:tcBorders>
              <w:left w:val="nil"/>
              <w:right w:val="nil"/>
            </w:tcBorders>
            <w:vAlign w:val="center"/>
          </w:tcPr>
          <w:p w14:paraId="6DD7AE4A" w14:textId="77777777" w:rsidR="009F69D7" w:rsidRPr="00C57F00" w:rsidRDefault="009F69D7" w:rsidP="00805868">
            <w:pPr>
              <w:tabs>
                <w:tab w:val="left" w:pos="567"/>
              </w:tabs>
              <w:jc w:val="center"/>
              <w:rPr>
                <w:rFonts w:ascii="Times New Roman" w:hAnsi="Times New Roman" w:cs="Times New Roman"/>
              </w:rPr>
            </w:pPr>
            <w:r w:rsidRPr="00C57F00">
              <w:rPr>
                <w:rFonts w:ascii="Times New Roman" w:hAnsi="Times New Roman" w:cs="Times New Roman"/>
              </w:rPr>
              <w:t>-</w:t>
            </w:r>
          </w:p>
        </w:tc>
      </w:tr>
      <w:tr w:rsidR="009F69D7" w:rsidRPr="00C57F00" w14:paraId="792BEF80" w14:textId="77777777" w:rsidTr="00C57F00">
        <w:trPr>
          <w:jc w:val="center"/>
        </w:trPr>
        <w:tc>
          <w:tcPr>
            <w:tcW w:w="2515" w:type="dxa"/>
            <w:tcBorders>
              <w:top w:val="nil"/>
              <w:left w:val="nil"/>
              <w:bottom w:val="nil"/>
              <w:right w:val="nil"/>
            </w:tcBorders>
            <w:vAlign w:val="center"/>
          </w:tcPr>
          <w:p w14:paraId="4F2DF796" w14:textId="77777777" w:rsidR="009F69D7" w:rsidRPr="00C57F00" w:rsidRDefault="009F69D7" w:rsidP="00260D7D">
            <w:pPr>
              <w:tabs>
                <w:tab w:val="left" w:pos="567"/>
              </w:tabs>
              <w:rPr>
                <w:rFonts w:ascii="Times New Roman" w:hAnsi="Times New Roman" w:cs="Times New Roman"/>
              </w:rPr>
            </w:pPr>
            <w:r w:rsidRPr="00C57F00">
              <w:rPr>
                <w:rFonts w:ascii="Times New Roman" w:hAnsi="Times New Roman" w:cs="Times New Roman"/>
              </w:rPr>
              <w:t xml:space="preserve">Director </w:t>
            </w:r>
            <w:r w:rsidR="00361B8F" w:rsidRPr="00C57F00">
              <w:rPr>
                <w:rFonts w:ascii="Times New Roman" w:hAnsi="Times New Roman" w:cs="Times New Roman"/>
              </w:rPr>
              <w:t>External Experience</w:t>
            </w:r>
            <w:r w:rsidRPr="00C57F00">
              <w:rPr>
                <w:rFonts w:ascii="Times New Roman" w:hAnsi="Times New Roman" w:cs="Times New Roman"/>
              </w:rPr>
              <w:t xml:space="preserve"> (DE</w:t>
            </w:r>
            <w:r w:rsidR="00361B8F" w:rsidRPr="00C57F00">
              <w:rPr>
                <w:rFonts w:ascii="Times New Roman" w:hAnsi="Times New Roman" w:cs="Times New Roman"/>
              </w:rPr>
              <w:t>E</w:t>
            </w:r>
            <w:r w:rsidRPr="00C57F00">
              <w:rPr>
                <w:rFonts w:ascii="Times New Roman" w:hAnsi="Times New Roman" w:cs="Times New Roman"/>
              </w:rPr>
              <w:t>P)</w:t>
            </w:r>
          </w:p>
        </w:tc>
        <w:tc>
          <w:tcPr>
            <w:tcW w:w="4860" w:type="dxa"/>
            <w:tcBorders>
              <w:top w:val="nil"/>
              <w:left w:val="nil"/>
              <w:bottom w:val="nil"/>
              <w:right w:val="nil"/>
            </w:tcBorders>
            <w:vAlign w:val="center"/>
          </w:tcPr>
          <w:p w14:paraId="376976DB" w14:textId="77777777" w:rsidR="009F69D7" w:rsidRDefault="00361B8F" w:rsidP="00C11F67">
            <w:pPr>
              <w:tabs>
                <w:tab w:val="left" w:pos="567"/>
              </w:tabs>
              <w:rPr>
                <w:rFonts w:ascii="Times New Roman" w:hAnsi="Times New Roman" w:cs="Times New Roman"/>
              </w:rPr>
            </w:pPr>
            <w:r w:rsidRPr="00C57F00">
              <w:rPr>
                <w:rFonts w:ascii="Times New Roman" w:hAnsi="Times New Roman" w:cs="Times New Roman"/>
              </w:rPr>
              <w:t>The average number of years that a director sits on the boards of other companies</w:t>
            </w:r>
          </w:p>
          <w:p w14:paraId="318020CA" w14:textId="72E43245" w:rsidR="00C57F00" w:rsidRPr="00C57F00" w:rsidRDefault="00C57F00" w:rsidP="00C11F67">
            <w:pPr>
              <w:tabs>
                <w:tab w:val="left" w:pos="567"/>
              </w:tabs>
              <w:rPr>
                <w:rFonts w:ascii="Times New Roman" w:hAnsi="Times New Roman" w:cs="Times New Roman"/>
              </w:rPr>
            </w:pPr>
          </w:p>
        </w:tc>
        <w:tc>
          <w:tcPr>
            <w:tcW w:w="1440" w:type="dxa"/>
            <w:tcBorders>
              <w:top w:val="nil"/>
              <w:left w:val="nil"/>
              <w:bottom w:val="nil"/>
              <w:right w:val="nil"/>
            </w:tcBorders>
            <w:vAlign w:val="center"/>
          </w:tcPr>
          <w:p w14:paraId="1B76C36C" w14:textId="77777777" w:rsidR="009F69D7" w:rsidRPr="00C57F00" w:rsidRDefault="00361B8F" w:rsidP="00C11F67">
            <w:pPr>
              <w:tabs>
                <w:tab w:val="left" w:pos="567"/>
              </w:tabs>
              <w:rPr>
                <w:rFonts w:ascii="Times New Roman" w:hAnsi="Times New Roman" w:cs="Times New Roman"/>
              </w:rPr>
            </w:pPr>
            <w:r w:rsidRPr="00C57F00">
              <w:rPr>
                <w:rFonts w:ascii="Times New Roman" w:hAnsi="Times New Roman" w:cs="Times New Roman"/>
              </w:rPr>
              <w:t>Number</w:t>
            </w:r>
          </w:p>
        </w:tc>
        <w:tc>
          <w:tcPr>
            <w:tcW w:w="1260" w:type="dxa"/>
            <w:tcBorders>
              <w:left w:val="nil"/>
              <w:right w:val="nil"/>
            </w:tcBorders>
            <w:vAlign w:val="center"/>
          </w:tcPr>
          <w:p w14:paraId="3633B823" w14:textId="77777777" w:rsidR="009F69D7" w:rsidRPr="00C57F00" w:rsidRDefault="00361B8F" w:rsidP="00805868">
            <w:pPr>
              <w:tabs>
                <w:tab w:val="left" w:pos="567"/>
              </w:tabs>
              <w:jc w:val="center"/>
              <w:rPr>
                <w:rFonts w:ascii="Times New Roman" w:hAnsi="Times New Roman" w:cs="Times New Roman"/>
              </w:rPr>
            </w:pPr>
            <w:r w:rsidRPr="00C57F00">
              <w:rPr>
                <w:rFonts w:ascii="Times New Roman" w:hAnsi="Times New Roman" w:cs="Times New Roman"/>
              </w:rPr>
              <w:t>-</w:t>
            </w:r>
          </w:p>
        </w:tc>
      </w:tr>
      <w:tr w:rsidR="00361B8F" w:rsidRPr="00C57F00" w14:paraId="689E47C6" w14:textId="77777777" w:rsidTr="00C57F00">
        <w:trPr>
          <w:jc w:val="center"/>
        </w:trPr>
        <w:tc>
          <w:tcPr>
            <w:tcW w:w="2515" w:type="dxa"/>
            <w:tcBorders>
              <w:top w:val="nil"/>
              <w:left w:val="nil"/>
              <w:bottom w:val="nil"/>
              <w:right w:val="nil"/>
            </w:tcBorders>
            <w:vAlign w:val="center"/>
          </w:tcPr>
          <w:p w14:paraId="25900B12" w14:textId="77777777" w:rsidR="00361B8F" w:rsidRPr="00C57F00" w:rsidRDefault="00361B8F" w:rsidP="00260D7D">
            <w:pPr>
              <w:tabs>
                <w:tab w:val="left" w:pos="567"/>
              </w:tabs>
              <w:rPr>
                <w:rFonts w:ascii="Times New Roman" w:hAnsi="Times New Roman" w:cs="Times New Roman"/>
              </w:rPr>
            </w:pPr>
            <w:r w:rsidRPr="00C57F00">
              <w:rPr>
                <w:rFonts w:ascii="Times New Roman" w:hAnsi="Times New Roman" w:cs="Times New Roman"/>
              </w:rPr>
              <w:t>Director Internal Experience (DIEP)</w:t>
            </w:r>
          </w:p>
        </w:tc>
        <w:tc>
          <w:tcPr>
            <w:tcW w:w="4860" w:type="dxa"/>
            <w:tcBorders>
              <w:top w:val="nil"/>
              <w:left w:val="nil"/>
              <w:bottom w:val="nil"/>
              <w:right w:val="nil"/>
            </w:tcBorders>
            <w:vAlign w:val="center"/>
          </w:tcPr>
          <w:p w14:paraId="275A7E40" w14:textId="77777777" w:rsidR="00361B8F" w:rsidRDefault="00361B8F" w:rsidP="00C11F67">
            <w:pPr>
              <w:tabs>
                <w:tab w:val="left" w:pos="567"/>
              </w:tabs>
              <w:rPr>
                <w:rFonts w:ascii="Times New Roman" w:hAnsi="Times New Roman" w:cs="Times New Roman"/>
              </w:rPr>
            </w:pPr>
            <w:r w:rsidRPr="00C57F00">
              <w:rPr>
                <w:rFonts w:ascii="Times New Roman" w:hAnsi="Times New Roman" w:cs="Times New Roman"/>
              </w:rPr>
              <w:t>The average number of years that a director sits on the board of the company</w:t>
            </w:r>
          </w:p>
          <w:p w14:paraId="220577E6" w14:textId="640177B6" w:rsidR="00C57F00" w:rsidRPr="00C57F00" w:rsidRDefault="00C57F00" w:rsidP="00C11F67">
            <w:pPr>
              <w:tabs>
                <w:tab w:val="left" w:pos="567"/>
              </w:tabs>
              <w:rPr>
                <w:rFonts w:ascii="Times New Roman" w:hAnsi="Times New Roman" w:cs="Times New Roman"/>
              </w:rPr>
            </w:pPr>
          </w:p>
        </w:tc>
        <w:tc>
          <w:tcPr>
            <w:tcW w:w="1440" w:type="dxa"/>
            <w:tcBorders>
              <w:top w:val="nil"/>
              <w:left w:val="nil"/>
              <w:bottom w:val="nil"/>
              <w:right w:val="nil"/>
            </w:tcBorders>
            <w:vAlign w:val="center"/>
          </w:tcPr>
          <w:p w14:paraId="46D57B89" w14:textId="77777777" w:rsidR="00361B8F" w:rsidRPr="00C57F00" w:rsidRDefault="00361B8F" w:rsidP="00C11F67">
            <w:pPr>
              <w:tabs>
                <w:tab w:val="left" w:pos="567"/>
              </w:tabs>
              <w:rPr>
                <w:rFonts w:ascii="Times New Roman" w:hAnsi="Times New Roman" w:cs="Times New Roman"/>
              </w:rPr>
            </w:pPr>
            <w:r w:rsidRPr="00C57F00">
              <w:rPr>
                <w:rFonts w:ascii="Times New Roman" w:hAnsi="Times New Roman" w:cs="Times New Roman"/>
              </w:rPr>
              <w:t>Number</w:t>
            </w:r>
          </w:p>
        </w:tc>
        <w:tc>
          <w:tcPr>
            <w:tcW w:w="1260" w:type="dxa"/>
            <w:tcBorders>
              <w:left w:val="nil"/>
              <w:right w:val="nil"/>
            </w:tcBorders>
            <w:vAlign w:val="center"/>
          </w:tcPr>
          <w:p w14:paraId="06F10D77" w14:textId="77777777" w:rsidR="00361B8F" w:rsidRPr="00C57F00" w:rsidRDefault="0063046A" w:rsidP="00805868">
            <w:pPr>
              <w:tabs>
                <w:tab w:val="left" w:pos="567"/>
              </w:tabs>
              <w:jc w:val="center"/>
              <w:rPr>
                <w:rFonts w:ascii="Times New Roman" w:hAnsi="Times New Roman" w:cs="Times New Roman"/>
              </w:rPr>
            </w:pPr>
            <w:r w:rsidRPr="00C57F00">
              <w:rPr>
                <w:rFonts w:ascii="Times New Roman" w:hAnsi="Times New Roman" w:cs="Times New Roman"/>
              </w:rPr>
              <w:t>-</w:t>
            </w:r>
          </w:p>
        </w:tc>
      </w:tr>
      <w:tr w:rsidR="00361B8F" w:rsidRPr="00C57F00" w14:paraId="7680E0FD" w14:textId="77777777" w:rsidTr="00C57F00">
        <w:trPr>
          <w:jc w:val="center"/>
        </w:trPr>
        <w:tc>
          <w:tcPr>
            <w:tcW w:w="2515" w:type="dxa"/>
            <w:tcBorders>
              <w:top w:val="nil"/>
              <w:left w:val="nil"/>
              <w:bottom w:val="nil"/>
              <w:right w:val="nil"/>
            </w:tcBorders>
            <w:vAlign w:val="center"/>
          </w:tcPr>
          <w:p w14:paraId="1B3463F4" w14:textId="77777777" w:rsidR="00361B8F" w:rsidRPr="00C57F00" w:rsidRDefault="00361B8F" w:rsidP="00260D7D">
            <w:pPr>
              <w:tabs>
                <w:tab w:val="left" w:pos="567"/>
              </w:tabs>
              <w:rPr>
                <w:rFonts w:ascii="Times New Roman" w:hAnsi="Times New Roman" w:cs="Times New Roman"/>
              </w:rPr>
            </w:pPr>
            <w:r w:rsidRPr="00C57F00">
              <w:rPr>
                <w:rFonts w:ascii="Times New Roman" w:hAnsi="Times New Roman" w:cs="Times New Roman"/>
              </w:rPr>
              <w:t>Director Company Experience (DCEP)</w:t>
            </w:r>
          </w:p>
        </w:tc>
        <w:tc>
          <w:tcPr>
            <w:tcW w:w="4860" w:type="dxa"/>
            <w:tcBorders>
              <w:top w:val="nil"/>
              <w:left w:val="nil"/>
              <w:bottom w:val="nil"/>
              <w:right w:val="nil"/>
            </w:tcBorders>
            <w:vAlign w:val="center"/>
          </w:tcPr>
          <w:p w14:paraId="7A44AABC" w14:textId="77777777" w:rsidR="00361B8F" w:rsidRDefault="00361B8F" w:rsidP="00C11F67">
            <w:pPr>
              <w:tabs>
                <w:tab w:val="left" w:pos="567"/>
              </w:tabs>
              <w:rPr>
                <w:rFonts w:ascii="Times New Roman" w:hAnsi="Times New Roman" w:cs="Times New Roman"/>
              </w:rPr>
            </w:pPr>
            <w:r w:rsidRPr="00C57F00">
              <w:rPr>
                <w:rFonts w:ascii="Times New Roman" w:hAnsi="Times New Roman" w:cs="Times New Roman"/>
              </w:rPr>
              <w:t>The average number of years that a director works in the company</w:t>
            </w:r>
          </w:p>
          <w:p w14:paraId="43EB4622" w14:textId="55AA1DC3" w:rsidR="00C57F00" w:rsidRPr="00C57F00" w:rsidRDefault="00C57F00" w:rsidP="00C11F67">
            <w:pPr>
              <w:tabs>
                <w:tab w:val="left" w:pos="567"/>
              </w:tabs>
              <w:rPr>
                <w:rFonts w:ascii="Times New Roman" w:hAnsi="Times New Roman" w:cs="Times New Roman"/>
              </w:rPr>
            </w:pPr>
          </w:p>
        </w:tc>
        <w:tc>
          <w:tcPr>
            <w:tcW w:w="1440" w:type="dxa"/>
            <w:tcBorders>
              <w:top w:val="nil"/>
              <w:left w:val="nil"/>
              <w:bottom w:val="nil"/>
              <w:right w:val="nil"/>
            </w:tcBorders>
            <w:vAlign w:val="center"/>
          </w:tcPr>
          <w:p w14:paraId="33EE4C8F" w14:textId="77777777" w:rsidR="00361B8F" w:rsidRPr="00C57F00" w:rsidRDefault="00361B8F" w:rsidP="00C11F67">
            <w:pPr>
              <w:tabs>
                <w:tab w:val="left" w:pos="567"/>
              </w:tabs>
              <w:rPr>
                <w:rFonts w:ascii="Times New Roman" w:hAnsi="Times New Roman" w:cs="Times New Roman"/>
              </w:rPr>
            </w:pPr>
            <w:r w:rsidRPr="00C57F00">
              <w:rPr>
                <w:rFonts w:ascii="Times New Roman" w:hAnsi="Times New Roman" w:cs="Times New Roman"/>
              </w:rPr>
              <w:t>Number</w:t>
            </w:r>
          </w:p>
        </w:tc>
        <w:tc>
          <w:tcPr>
            <w:tcW w:w="1260" w:type="dxa"/>
            <w:tcBorders>
              <w:left w:val="nil"/>
              <w:right w:val="nil"/>
            </w:tcBorders>
            <w:vAlign w:val="center"/>
          </w:tcPr>
          <w:p w14:paraId="57FBEB5B" w14:textId="77777777" w:rsidR="00361B8F" w:rsidRPr="00C57F00" w:rsidRDefault="00361B8F" w:rsidP="00805868">
            <w:pPr>
              <w:tabs>
                <w:tab w:val="left" w:pos="567"/>
              </w:tabs>
              <w:jc w:val="center"/>
              <w:rPr>
                <w:rFonts w:ascii="Times New Roman" w:hAnsi="Times New Roman" w:cs="Times New Roman"/>
              </w:rPr>
            </w:pPr>
            <w:r w:rsidRPr="00C57F00">
              <w:rPr>
                <w:rFonts w:ascii="Times New Roman" w:hAnsi="Times New Roman" w:cs="Times New Roman"/>
              </w:rPr>
              <w:t>-</w:t>
            </w:r>
          </w:p>
        </w:tc>
      </w:tr>
      <w:tr w:rsidR="00361B8F" w:rsidRPr="00C57F00" w14:paraId="523AD6FA" w14:textId="77777777" w:rsidTr="00C57F00">
        <w:trPr>
          <w:jc w:val="center"/>
        </w:trPr>
        <w:tc>
          <w:tcPr>
            <w:tcW w:w="2515" w:type="dxa"/>
            <w:tcBorders>
              <w:top w:val="nil"/>
              <w:left w:val="nil"/>
              <w:bottom w:val="nil"/>
              <w:right w:val="nil"/>
            </w:tcBorders>
            <w:vAlign w:val="center"/>
          </w:tcPr>
          <w:p w14:paraId="49444F6F" w14:textId="77777777" w:rsidR="00361B8F" w:rsidRPr="00C57F00" w:rsidRDefault="00361B8F" w:rsidP="00260D7D">
            <w:pPr>
              <w:tabs>
                <w:tab w:val="left" w:pos="567"/>
              </w:tabs>
              <w:rPr>
                <w:rFonts w:ascii="Times New Roman" w:hAnsi="Times New Roman" w:cs="Times New Roman"/>
              </w:rPr>
            </w:pPr>
            <w:r w:rsidRPr="00C57F00">
              <w:rPr>
                <w:rFonts w:ascii="Times New Roman" w:hAnsi="Times New Roman" w:cs="Times New Roman"/>
              </w:rPr>
              <w:t>Director busyness (BUSY)</w:t>
            </w:r>
          </w:p>
        </w:tc>
        <w:tc>
          <w:tcPr>
            <w:tcW w:w="4860" w:type="dxa"/>
            <w:tcBorders>
              <w:top w:val="nil"/>
              <w:left w:val="nil"/>
              <w:bottom w:val="nil"/>
              <w:right w:val="nil"/>
            </w:tcBorders>
            <w:vAlign w:val="center"/>
          </w:tcPr>
          <w:p w14:paraId="1EBD6297" w14:textId="77777777" w:rsidR="00361B8F" w:rsidRDefault="00361B8F" w:rsidP="00C11F67">
            <w:pPr>
              <w:tabs>
                <w:tab w:val="left" w:pos="567"/>
              </w:tabs>
              <w:rPr>
                <w:rFonts w:ascii="Times New Roman" w:hAnsi="Times New Roman" w:cs="Times New Roman"/>
              </w:rPr>
            </w:pPr>
            <w:r w:rsidRPr="00C57F00">
              <w:rPr>
                <w:rFonts w:ascii="Times New Roman" w:hAnsi="Times New Roman" w:cs="Times New Roman"/>
              </w:rPr>
              <w:t>1 if the majority of outside directors hold three directorships or more, 0 otherwise</w:t>
            </w:r>
          </w:p>
          <w:p w14:paraId="5CA8232C" w14:textId="3756F9E4" w:rsidR="00C57F00" w:rsidRPr="00C57F00" w:rsidRDefault="00C57F00" w:rsidP="00C11F67">
            <w:pPr>
              <w:tabs>
                <w:tab w:val="left" w:pos="567"/>
              </w:tabs>
              <w:rPr>
                <w:rFonts w:ascii="Times New Roman" w:hAnsi="Times New Roman" w:cs="Times New Roman"/>
              </w:rPr>
            </w:pPr>
          </w:p>
        </w:tc>
        <w:tc>
          <w:tcPr>
            <w:tcW w:w="1440" w:type="dxa"/>
            <w:tcBorders>
              <w:top w:val="nil"/>
              <w:left w:val="nil"/>
              <w:bottom w:val="nil"/>
              <w:right w:val="nil"/>
            </w:tcBorders>
            <w:vAlign w:val="center"/>
          </w:tcPr>
          <w:p w14:paraId="395A449F" w14:textId="77777777" w:rsidR="00361B8F" w:rsidRPr="00C57F00" w:rsidRDefault="00361B8F" w:rsidP="00C11F67">
            <w:pPr>
              <w:tabs>
                <w:tab w:val="left" w:pos="567"/>
              </w:tabs>
              <w:rPr>
                <w:rFonts w:ascii="Times New Roman" w:hAnsi="Times New Roman" w:cs="Times New Roman"/>
              </w:rPr>
            </w:pPr>
            <w:r w:rsidRPr="00C57F00">
              <w:rPr>
                <w:rFonts w:ascii="Times New Roman" w:hAnsi="Times New Roman" w:cs="Times New Roman"/>
              </w:rPr>
              <w:t>Indicator</w:t>
            </w:r>
          </w:p>
        </w:tc>
        <w:tc>
          <w:tcPr>
            <w:tcW w:w="1260" w:type="dxa"/>
            <w:tcBorders>
              <w:left w:val="nil"/>
              <w:right w:val="nil"/>
            </w:tcBorders>
            <w:vAlign w:val="center"/>
          </w:tcPr>
          <w:p w14:paraId="57076858" w14:textId="77777777" w:rsidR="00361B8F" w:rsidRPr="00C57F00" w:rsidRDefault="00361B8F" w:rsidP="00805868">
            <w:pPr>
              <w:tabs>
                <w:tab w:val="left" w:pos="567"/>
              </w:tabs>
              <w:jc w:val="center"/>
              <w:rPr>
                <w:rFonts w:ascii="Times New Roman" w:hAnsi="Times New Roman" w:cs="Times New Roman"/>
              </w:rPr>
            </w:pPr>
            <w:r w:rsidRPr="00C57F00">
              <w:rPr>
                <w:rFonts w:ascii="Times New Roman" w:hAnsi="Times New Roman" w:cs="Times New Roman"/>
              </w:rPr>
              <w:t>+</w:t>
            </w:r>
          </w:p>
        </w:tc>
      </w:tr>
      <w:tr w:rsidR="00361B8F" w:rsidRPr="00C57F00" w14:paraId="5D263E2F" w14:textId="77777777" w:rsidTr="00C57F00">
        <w:trPr>
          <w:jc w:val="center"/>
        </w:trPr>
        <w:tc>
          <w:tcPr>
            <w:tcW w:w="2515" w:type="dxa"/>
            <w:tcBorders>
              <w:top w:val="nil"/>
              <w:left w:val="nil"/>
              <w:right w:val="nil"/>
            </w:tcBorders>
            <w:vAlign w:val="center"/>
          </w:tcPr>
          <w:p w14:paraId="36561AF3" w14:textId="77777777" w:rsidR="00361B8F" w:rsidRPr="00C57F00" w:rsidRDefault="00361B8F" w:rsidP="00260D7D">
            <w:pPr>
              <w:tabs>
                <w:tab w:val="left" w:pos="567"/>
              </w:tabs>
              <w:rPr>
                <w:rFonts w:ascii="Times New Roman" w:hAnsi="Times New Roman" w:cs="Times New Roman"/>
              </w:rPr>
            </w:pPr>
            <w:r w:rsidRPr="00C57F00">
              <w:rPr>
                <w:rFonts w:ascii="Times New Roman" w:hAnsi="Times New Roman" w:cs="Times New Roman"/>
              </w:rPr>
              <w:t>Directors compensation (DCOM)</w:t>
            </w:r>
          </w:p>
        </w:tc>
        <w:tc>
          <w:tcPr>
            <w:tcW w:w="4860" w:type="dxa"/>
            <w:tcBorders>
              <w:top w:val="nil"/>
              <w:left w:val="nil"/>
              <w:right w:val="nil"/>
            </w:tcBorders>
            <w:vAlign w:val="center"/>
          </w:tcPr>
          <w:p w14:paraId="4C49ECD0" w14:textId="77777777" w:rsidR="00361B8F" w:rsidRDefault="00361B8F" w:rsidP="00C11F67">
            <w:pPr>
              <w:tabs>
                <w:tab w:val="left" w:pos="567"/>
              </w:tabs>
              <w:rPr>
                <w:rFonts w:ascii="Times New Roman" w:hAnsi="Times New Roman" w:cs="Times New Roman"/>
              </w:rPr>
            </w:pPr>
            <w:r w:rsidRPr="00C57F00">
              <w:rPr>
                <w:rFonts w:ascii="Times New Roman" w:hAnsi="Times New Roman" w:cs="Times New Roman"/>
              </w:rPr>
              <w:t>1 if the compensation of directors includes equity-based component, 0 otherwise</w:t>
            </w:r>
          </w:p>
          <w:p w14:paraId="2054A5DC" w14:textId="627C0EA0" w:rsidR="00C57F00" w:rsidRPr="00C57F00" w:rsidRDefault="00C57F00" w:rsidP="00C11F67">
            <w:pPr>
              <w:tabs>
                <w:tab w:val="left" w:pos="567"/>
              </w:tabs>
              <w:rPr>
                <w:rFonts w:ascii="Times New Roman" w:hAnsi="Times New Roman" w:cs="Times New Roman"/>
              </w:rPr>
            </w:pPr>
          </w:p>
        </w:tc>
        <w:tc>
          <w:tcPr>
            <w:tcW w:w="1440" w:type="dxa"/>
            <w:tcBorders>
              <w:top w:val="nil"/>
              <w:left w:val="nil"/>
              <w:right w:val="nil"/>
            </w:tcBorders>
            <w:vAlign w:val="center"/>
          </w:tcPr>
          <w:p w14:paraId="6A6BAAA2" w14:textId="77777777" w:rsidR="00361B8F" w:rsidRPr="00C57F00" w:rsidRDefault="00361B8F" w:rsidP="00C11F67">
            <w:pPr>
              <w:tabs>
                <w:tab w:val="left" w:pos="567"/>
              </w:tabs>
              <w:rPr>
                <w:rFonts w:ascii="Times New Roman" w:hAnsi="Times New Roman" w:cs="Times New Roman"/>
              </w:rPr>
            </w:pPr>
            <w:r w:rsidRPr="00C57F00">
              <w:rPr>
                <w:rFonts w:ascii="Times New Roman" w:hAnsi="Times New Roman" w:cs="Times New Roman"/>
              </w:rPr>
              <w:t>Indicator</w:t>
            </w:r>
          </w:p>
        </w:tc>
        <w:tc>
          <w:tcPr>
            <w:tcW w:w="1260" w:type="dxa"/>
            <w:tcBorders>
              <w:left w:val="nil"/>
              <w:right w:val="nil"/>
            </w:tcBorders>
            <w:vAlign w:val="center"/>
          </w:tcPr>
          <w:p w14:paraId="3F7DEE28" w14:textId="77777777" w:rsidR="00361B8F" w:rsidRPr="00C57F00" w:rsidRDefault="00361B8F" w:rsidP="00805868">
            <w:pPr>
              <w:tabs>
                <w:tab w:val="left" w:pos="567"/>
              </w:tabs>
              <w:jc w:val="center"/>
              <w:rPr>
                <w:rFonts w:ascii="Times New Roman" w:hAnsi="Times New Roman" w:cs="Times New Roman"/>
              </w:rPr>
            </w:pPr>
            <w:r w:rsidRPr="00C57F00">
              <w:rPr>
                <w:rFonts w:ascii="Times New Roman" w:hAnsi="Times New Roman" w:cs="Times New Roman"/>
              </w:rPr>
              <w:t>-</w:t>
            </w:r>
          </w:p>
        </w:tc>
      </w:tr>
      <w:tr w:rsidR="00361B8F" w:rsidRPr="00C57F00" w14:paraId="093BE016" w14:textId="77777777" w:rsidTr="009C55FE">
        <w:trPr>
          <w:jc w:val="center"/>
        </w:trPr>
        <w:tc>
          <w:tcPr>
            <w:tcW w:w="10075" w:type="dxa"/>
            <w:gridSpan w:val="4"/>
            <w:tcBorders>
              <w:left w:val="single" w:sz="4" w:space="0" w:color="FFFFFF"/>
              <w:bottom w:val="single" w:sz="4" w:space="0" w:color="FFFFFF"/>
              <w:right w:val="single" w:sz="4" w:space="0" w:color="FFFFFF" w:themeColor="background1"/>
            </w:tcBorders>
            <w:vAlign w:val="center"/>
          </w:tcPr>
          <w:p w14:paraId="1F2C801F" w14:textId="77777777" w:rsidR="00361B8F" w:rsidRPr="00C57F00" w:rsidRDefault="00361B8F" w:rsidP="00260D7D">
            <w:pPr>
              <w:tabs>
                <w:tab w:val="left" w:pos="567"/>
              </w:tabs>
              <w:ind w:left="174" w:hanging="142"/>
              <w:rPr>
                <w:rFonts w:ascii="Times New Roman" w:hAnsi="Times New Roman" w:cs="Times New Roman"/>
                <w:sz w:val="20"/>
                <w:szCs w:val="20"/>
              </w:rPr>
            </w:pPr>
            <w:r w:rsidRPr="00C57F00">
              <w:rPr>
                <w:rFonts w:ascii="Times New Roman" w:hAnsi="Times New Roman" w:cs="Times New Roman"/>
                <w:sz w:val="20"/>
                <w:szCs w:val="20"/>
              </w:rPr>
              <w:t>* A positive (negative) sign means that higher values of this variable are expected to increase (decrease) the probability of bankruptcy.</w:t>
            </w:r>
          </w:p>
        </w:tc>
      </w:tr>
    </w:tbl>
    <w:p w14:paraId="59104FA8" w14:textId="77777777" w:rsidR="00C752D5" w:rsidRDefault="00C752D5" w:rsidP="00260D7D">
      <w:pPr>
        <w:tabs>
          <w:tab w:val="left" w:pos="567"/>
        </w:tabs>
        <w:spacing w:line="360" w:lineRule="auto"/>
        <w:jc w:val="both"/>
        <w:rPr>
          <w:rFonts w:ascii="Times New Roman" w:hAnsi="Times New Roman" w:cs="Times New Roman"/>
          <w:sz w:val="24"/>
          <w:szCs w:val="24"/>
        </w:rPr>
      </w:pPr>
    </w:p>
    <w:p w14:paraId="61CCCB8D" w14:textId="77777777" w:rsidR="00170587" w:rsidRDefault="00170587" w:rsidP="00260D7D">
      <w:pPr>
        <w:tabs>
          <w:tab w:val="left" w:pos="567"/>
        </w:tabs>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0717" w:type="dxa"/>
        <w:jc w:val="center"/>
        <w:tblLayout w:type="fixed"/>
        <w:tblLook w:val="04A0" w:firstRow="1" w:lastRow="0" w:firstColumn="1" w:lastColumn="0" w:noHBand="0" w:noVBand="1"/>
      </w:tblPr>
      <w:tblGrid>
        <w:gridCol w:w="3960"/>
        <w:gridCol w:w="990"/>
        <w:gridCol w:w="990"/>
        <w:gridCol w:w="360"/>
        <w:gridCol w:w="990"/>
        <w:gridCol w:w="990"/>
        <w:gridCol w:w="270"/>
        <w:gridCol w:w="1083"/>
        <w:gridCol w:w="1052"/>
        <w:gridCol w:w="32"/>
      </w:tblGrid>
      <w:tr w:rsidR="00170587" w:rsidRPr="002E1EC0" w14:paraId="733B7A5F" w14:textId="77777777" w:rsidTr="006469DC">
        <w:trPr>
          <w:gridAfter w:val="1"/>
          <w:wAfter w:w="32" w:type="dxa"/>
          <w:jc w:val="center"/>
        </w:trPr>
        <w:tc>
          <w:tcPr>
            <w:tcW w:w="10685" w:type="dxa"/>
            <w:gridSpan w:val="9"/>
            <w:tcBorders>
              <w:top w:val="nil"/>
              <w:left w:val="nil"/>
              <w:bottom w:val="single" w:sz="8" w:space="0" w:color="auto"/>
              <w:right w:val="nil"/>
            </w:tcBorders>
            <w:vAlign w:val="center"/>
          </w:tcPr>
          <w:p w14:paraId="7616BE28" w14:textId="20D70E55" w:rsidR="00170587" w:rsidRDefault="00170587" w:rsidP="00260D7D">
            <w:pPr>
              <w:tabs>
                <w:tab w:val="left" w:pos="567"/>
              </w:tabs>
              <w:jc w:val="center"/>
              <w:rPr>
                <w:rFonts w:asciiTheme="majorBidi" w:hAnsiTheme="majorBidi" w:cstheme="majorBidi"/>
                <w:b/>
                <w:bCs/>
                <w:color w:val="000000"/>
              </w:rPr>
            </w:pPr>
            <w:r w:rsidRPr="00A66F9A">
              <w:rPr>
                <w:rFonts w:asciiTheme="majorBidi" w:hAnsiTheme="majorBidi" w:cstheme="majorBidi"/>
                <w:b/>
                <w:bCs/>
                <w:color w:val="000000"/>
              </w:rPr>
              <w:lastRenderedPageBreak/>
              <w:t>Table 3</w:t>
            </w:r>
            <w:r w:rsidR="00C57F00" w:rsidRPr="00A66F9A">
              <w:rPr>
                <w:rFonts w:asciiTheme="majorBidi" w:hAnsiTheme="majorBidi" w:cstheme="majorBidi"/>
                <w:b/>
                <w:bCs/>
                <w:color w:val="000000"/>
              </w:rPr>
              <w:t xml:space="preserve">: </w:t>
            </w:r>
            <w:r w:rsidRPr="00A66F9A">
              <w:rPr>
                <w:rFonts w:asciiTheme="majorBidi" w:hAnsiTheme="majorBidi" w:cstheme="majorBidi"/>
                <w:b/>
                <w:bCs/>
                <w:color w:val="000000"/>
              </w:rPr>
              <w:t>Descriptive Statistics</w:t>
            </w:r>
            <w:r w:rsidR="00186016" w:rsidRPr="00A66F9A">
              <w:rPr>
                <w:rFonts w:asciiTheme="majorBidi" w:hAnsiTheme="majorBidi" w:cstheme="majorBidi"/>
                <w:b/>
                <w:bCs/>
                <w:color w:val="000000"/>
              </w:rPr>
              <w:t xml:space="preserve"> of the Governance Variables</w:t>
            </w:r>
          </w:p>
          <w:p w14:paraId="754DA034" w14:textId="77777777" w:rsidR="00A66F9A" w:rsidRPr="00A66F9A" w:rsidRDefault="00A66F9A" w:rsidP="00260D7D">
            <w:pPr>
              <w:tabs>
                <w:tab w:val="left" w:pos="567"/>
              </w:tabs>
              <w:jc w:val="center"/>
              <w:rPr>
                <w:rFonts w:asciiTheme="majorBidi" w:hAnsiTheme="majorBidi" w:cstheme="majorBidi"/>
                <w:b/>
                <w:bCs/>
                <w:color w:val="000000"/>
                <w:sz w:val="8"/>
                <w:szCs w:val="8"/>
              </w:rPr>
            </w:pPr>
          </w:p>
          <w:p w14:paraId="7D56A0F7" w14:textId="77777777" w:rsidR="00805868" w:rsidRDefault="00186016" w:rsidP="00260D7D">
            <w:pPr>
              <w:tabs>
                <w:tab w:val="left" w:pos="567"/>
              </w:tabs>
              <w:jc w:val="both"/>
              <w:rPr>
                <w:rFonts w:asciiTheme="majorBidi" w:hAnsiTheme="majorBidi" w:cstheme="majorBidi"/>
                <w:color w:val="000000"/>
              </w:rPr>
            </w:pPr>
            <w:r w:rsidRPr="00A66F9A">
              <w:rPr>
                <w:rFonts w:asciiTheme="majorBidi" w:hAnsiTheme="majorBidi" w:cstheme="majorBidi"/>
                <w:color w:val="000000"/>
              </w:rPr>
              <w:t>Th</w:t>
            </w:r>
            <w:r w:rsidR="00C11F67" w:rsidRPr="00A66F9A">
              <w:rPr>
                <w:rFonts w:asciiTheme="majorBidi" w:hAnsiTheme="majorBidi" w:cstheme="majorBidi"/>
                <w:color w:val="000000"/>
              </w:rPr>
              <w:t>is</w:t>
            </w:r>
            <w:r w:rsidRPr="00A66F9A">
              <w:rPr>
                <w:rFonts w:asciiTheme="majorBidi" w:hAnsiTheme="majorBidi" w:cstheme="majorBidi"/>
                <w:color w:val="000000"/>
              </w:rPr>
              <w:t xml:space="preserve"> table</w:t>
            </w:r>
            <w:r w:rsidR="00170587" w:rsidRPr="00A66F9A">
              <w:rPr>
                <w:rFonts w:asciiTheme="majorBidi" w:hAnsiTheme="majorBidi" w:cstheme="majorBidi"/>
                <w:color w:val="000000"/>
              </w:rPr>
              <w:t xml:space="preserve"> present</w:t>
            </w:r>
            <w:r w:rsidRPr="00A66F9A">
              <w:rPr>
                <w:rFonts w:asciiTheme="majorBidi" w:hAnsiTheme="majorBidi" w:cstheme="majorBidi"/>
                <w:color w:val="000000"/>
              </w:rPr>
              <w:t>s</w:t>
            </w:r>
            <w:r w:rsidR="00170587" w:rsidRPr="00A66F9A">
              <w:rPr>
                <w:rFonts w:asciiTheme="majorBidi" w:hAnsiTheme="majorBidi" w:cstheme="majorBidi"/>
                <w:color w:val="000000"/>
              </w:rPr>
              <w:t xml:space="preserve"> the mean and median </w:t>
            </w:r>
            <w:r w:rsidR="00E74F74" w:rsidRPr="00A66F9A">
              <w:rPr>
                <w:rFonts w:asciiTheme="majorBidi" w:hAnsiTheme="majorBidi" w:cstheme="majorBidi"/>
                <w:color w:val="000000"/>
              </w:rPr>
              <w:t>values</w:t>
            </w:r>
            <w:r w:rsidR="00170587" w:rsidRPr="00A66F9A">
              <w:rPr>
                <w:rFonts w:asciiTheme="majorBidi" w:hAnsiTheme="majorBidi" w:cstheme="majorBidi"/>
                <w:color w:val="000000"/>
              </w:rPr>
              <w:t xml:space="preserve"> </w:t>
            </w:r>
            <w:r w:rsidR="00E74F74" w:rsidRPr="00A66F9A">
              <w:rPr>
                <w:rFonts w:asciiTheme="majorBidi" w:hAnsiTheme="majorBidi" w:cstheme="majorBidi"/>
                <w:color w:val="000000"/>
              </w:rPr>
              <w:t>of the</w:t>
            </w:r>
            <w:r w:rsidR="00170587" w:rsidRPr="00A66F9A">
              <w:rPr>
                <w:rFonts w:asciiTheme="majorBidi" w:hAnsiTheme="majorBidi" w:cstheme="majorBidi"/>
                <w:color w:val="000000"/>
              </w:rPr>
              <w:t xml:space="preserve"> </w:t>
            </w:r>
            <w:r w:rsidR="00E77F07" w:rsidRPr="00A66F9A">
              <w:rPr>
                <w:rFonts w:asciiTheme="majorBidi" w:hAnsiTheme="majorBidi" w:cstheme="majorBidi"/>
                <w:color w:val="000000"/>
              </w:rPr>
              <w:t>governance</w:t>
            </w:r>
            <w:r w:rsidR="00170587" w:rsidRPr="00A66F9A">
              <w:rPr>
                <w:rFonts w:asciiTheme="majorBidi" w:hAnsiTheme="majorBidi" w:cstheme="majorBidi"/>
                <w:color w:val="000000"/>
              </w:rPr>
              <w:t xml:space="preserve"> variables </w:t>
            </w:r>
            <w:r w:rsidRPr="00A66F9A">
              <w:rPr>
                <w:rFonts w:asciiTheme="majorBidi" w:hAnsiTheme="majorBidi" w:cstheme="majorBidi"/>
                <w:color w:val="000000"/>
              </w:rPr>
              <w:t xml:space="preserve">(refer to </w:t>
            </w:r>
            <w:r w:rsidRPr="00A66F9A">
              <w:rPr>
                <w:rFonts w:asciiTheme="majorBidi" w:hAnsiTheme="majorBidi" w:cstheme="majorBidi"/>
                <w:i/>
                <w:iCs/>
                <w:color w:val="000000"/>
              </w:rPr>
              <w:t>Table 2</w:t>
            </w:r>
            <w:r w:rsidRPr="00A66F9A">
              <w:rPr>
                <w:rFonts w:asciiTheme="majorBidi" w:hAnsiTheme="majorBidi" w:cstheme="majorBidi"/>
                <w:color w:val="000000"/>
              </w:rPr>
              <w:t xml:space="preserve"> for details) </w:t>
            </w:r>
            <w:r w:rsidR="0007793F" w:rsidRPr="00A66F9A">
              <w:rPr>
                <w:rFonts w:asciiTheme="majorBidi" w:hAnsiTheme="majorBidi" w:cstheme="majorBidi"/>
                <w:color w:val="000000"/>
              </w:rPr>
              <w:t xml:space="preserve">and some of the main financial variables </w:t>
            </w:r>
            <w:r w:rsidR="00E74F74" w:rsidRPr="00A66F9A">
              <w:rPr>
                <w:rFonts w:asciiTheme="majorBidi" w:hAnsiTheme="majorBidi" w:cstheme="majorBidi"/>
                <w:color w:val="000000"/>
              </w:rPr>
              <w:t xml:space="preserve">of </w:t>
            </w:r>
            <w:r w:rsidR="00E77F07" w:rsidRPr="00A66F9A">
              <w:rPr>
                <w:rFonts w:asciiTheme="majorBidi" w:hAnsiTheme="majorBidi" w:cstheme="majorBidi"/>
                <w:color w:val="000000"/>
              </w:rPr>
              <w:t>non-bankrupt and bankrupt firms one-year before bankruptcy</w:t>
            </w:r>
            <w:r w:rsidRPr="00A66F9A">
              <w:rPr>
                <w:rFonts w:asciiTheme="majorBidi" w:hAnsiTheme="majorBidi" w:cstheme="majorBidi"/>
                <w:color w:val="000000"/>
              </w:rPr>
              <w:t xml:space="preserve">. </w:t>
            </w:r>
            <w:r w:rsidR="00170587" w:rsidRPr="00A66F9A">
              <w:rPr>
                <w:rFonts w:asciiTheme="majorBidi" w:hAnsiTheme="majorBidi" w:cstheme="majorBidi"/>
                <w:color w:val="000000"/>
              </w:rPr>
              <w:t xml:space="preserve">The test for the equality of means uses Welch’s t-test, while the test for the equality of medians uses Wilcoxon’s rank-sum test. The p-values are reported in the parentheses. </w:t>
            </w:r>
          </w:p>
          <w:p w14:paraId="25C63B70" w14:textId="77777777" w:rsidR="00805868" w:rsidRPr="00805868" w:rsidRDefault="00805868" w:rsidP="00260D7D">
            <w:pPr>
              <w:tabs>
                <w:tab w:val="left" w:pos="567"/>
              </w:tabs>
              <w:jc w:val="both"/>
              <w:rPr>
                <w:rFonts w:asciiTheme="majorBidi" w:hAnsiTheme="majorBidi" w:cstheme="majorBidi"/>
                <w:color w:val="000000"/>
                <w:sz w:val="10"/>
                <w:szCs w:val="10"/>
              </w:rPr>
            </w:pPr>
          </w:p>
          <w:p w14:paraId="618A04CF" w14:textId="7F6A22CE" w:rsidR="00170587" w:rsidRPr="00A66F9A" w:rsidRDefault="00170587" w:rsidP="00260D7D">
            <w:pPr>
              <w:tabs>
                <w:tab w:val="left" w:pos="567"/>
              </w:tabs>
              <w:jc w:val="both"/>
              <w:rPr>
                <w:rFonts w:asciiTheme="majorBidi" w:hAnsiTheme="majorBidi" w:cstheme="majorBidi"/>
                <w:color w:val="000000"/>
              </w:rPr>
            </w:pPr>
            <w:r w:rsidRPr="00A66F9A">
              <w:rPr>
                <w:rFonts w:asciiTheme="majorBidi" w:hAnsiTheme="majorBidi" w:cstheme="majorBidi"/>
                <w:color w:val="000000"/>
              </w:rPr>
              <w:t>*Significant at the 10% level. **Significant at the 5% level. ***Significant at the 1% level.</w:t>
            </w:r>
          </w:p>
          <w:p w14:paraId="06E751D8" w14:textId="77777777" w:rsidR="00170587" w:rsidRPr="009159CB" w:rsidRDefault="00170587" w:rsidP="00260D7D">
            <w:pPr>
              <w:tabs>
                <w:tab w:val="left" w:pos="567"/>
              </w:tabs>
              <w:jc w:val="center"/>
              <w:rPr>
                <w:rFonts w:asciiTheme="majorBidi" w:hAnsiTheme="majorBidi" w:cstheme="majorBidi"/>
                <w:b/>
                <w:bCs/>
                <w:color w:val="000000"/>
                <w:sz w:val="16"/>
                <w:szCs w:val="16"/>
              </w:rPr>
            </w:pPr>
          </w:p>
        </w:tc>
      </w:tr>
      <w:tr w:rsidR="00E77F07" w:rsidRPr="002E1EC0" w14:paraId="4AA853DB" w14:textId="77777777" w:rsidTr="006469DC">
        <w:trPr>
          <w:trHeight w:val="330"/>
          <w:jc w:val="center"/>
        </w:trPr>
        <w:tc>
          <w:tcPr>
            <w:tcW w:w="3960" w:type="dxa"/>
            <w:tcBorders>
              <w:top w:val="single" w:sz="8" w:space="0" w:color="auto"/>
              <w:left w:val="nil"/>
              <w:bottom w:val="nil"/>
              <w:right w:val="nil"/>
            </w:tcBorders>
            <w:vAlign w:val="center"/>
          </w:tcPr>
          <w:p w14:paraId="4BD28379" w14:textId="77777777" w:rsidR="00E77F07" w:rsidRPr="008B51A8" w:rsidRDefault="00E77F07" w:rsidP="00260D7D">
            <w:pPr>
              <w:tabs>
                <w:tab w:val="left" w:pos="567"/>
              </w:tabs>
              <w:rPr>
                <w:rFonts w:asciiTheme="majorBidi" w:hAnsiTheme="majorBidi" w:cstheme="majorBidi"/>
                <w:color w:val="000000"/>
                <w:sz w:val="20"/>
                <w:szCs w:val="20"/>
              </w:rPr>
            </w:pPr>
          </w:p>
        </w:tc>
        <w:tc>
          <w:tcPr>
            <w:tcW w:w="1980" w:type="dxa"/>
            <w:gridSpan w:val="2"/>
            <w:tcBorders>
              <w:top w:val="single" w:sz="8" w:space="0" w:color="auto"/>
              <w:left w:val="nil"/>
              <w:bottom w:val="single" w:sz="8" w:space="0" w:color="auto"/>
              <w:right w:val="nil"/>
            </w:tcBorders>
            <w:vAlign w:val="center"/>
          </w:tcPr>
          <w:p w14:paraId="660AA7A0" w14:textId="77777777" w:rsidR="00E77F07" w:rsidRPr="008B51A8" w:rsidRDefault="00E77F07"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Non-Bankrupt Firms</w:t>
            </w:r>
          </w:p>
        </w:tc>
        <w:tc>
          <w:tcPr>
            <w:tcW w:w="360" w:type="dxa"/>
            <w:tcBorders>
              <w:top w:val="single" w:sz="8" w:space="0" w:color="auto"/>
              <w:left w:val="nil"/>
              <w:bottom w:val="nil"/>
              <w:right w:val="nil"/>
            </w:tcBorders>
            <w:vAlign w:val="center"/>
          </w:tcPr>
          <w:p w14:paraId="41CD89D4" w14:textId="77777777" w:rsidR="00E77F07" w:rsidRPr="008B51A8" w:rsidRDefault="00E77F07" w:rsidP="00260D7D">
            <w:pPr>
              <w:tabs>
                <w:tab w:val="left" w:pos="567"/>
              </w:tabs>
              <w:jc w:val="center"/>
              <w:rPr>
                <w:rFonts w:asciiTheme="majorBidi" w:hAnsiTheme="majorBidi" w:cstheme="majorBidi"/>
                <w:color w:val="000000"/>
                <w:sz w:val="20"/>
                <w:szCs w:val="20"/>
              </w:rPr>
            </w:pPr>
          </w:p>
        </w:tc>
        <w:tc>
          <w:tcPr>
            <w:tcW w:w="1980" w:type="dxa"/>
            <w:gridSpan w:val="2"/>
            <w:tcBorders>
              <w:top w:val="single" w:sz="8" w:space="0" w:color="auto"/>
              <w:left w:val="nil"/>
              <w:bottom w:val="single" w:sz="8" w:space="0" w:color="auto"/>
              <w:right w:val="nil"/>
            </w:tcBorders>
            <w:vAlign w:val="center"/>
          </w:tcPr>
          <w:p w14:paraId="052D68A7" w14:textId="77777777" w:rsidR="00E77F07" w:rsidRPr="008B51A8" w:rsidRDefault="00E77F07"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Bankrupt Firms</w:t>
            </w:r>
          </w:p>
        </w:tc>
        <w:tc>
          <w:tcPr>
            <w:tcW w:w="270" w:type="dxa"/>
            <w:tcBorders>
              <w:top w:val="nil"/>
              <w:left w:val="nil"/>
              <w:bottom w:val="nil"/>
              <w:right w:val="nil"/>
            </w:tcBorders>
            <w:vAlign w:val="center"/>
          </w:tcPr>
          <w:p w14:paraId="3A1491F4" w14:textId="77777777" w:rsidR="00E77F07" w:rsidRPr="008B51A8" w:rsidRDefault="00E77F07" w:rsidP="00260D7D">
            <w:pPr>
              <w:tabs>
                <w:tab w:val="left" w:pos="567"/>
              </w:tabs>
              <w:rPr>
                <w:rFonts w:asciiTheme="majorBidi" w:hAnsiTheme="majorBidi" w:cstheme="majorBidi"/>
                <w:color w:val="000000"/>
                <w:sz w:val="20"/>
                <w:szCs w:val="20"/>
              </w:rPr>
            </w:pPr>
          </w:p>
        </w:tc>
        <w:tc>
          <w:tcPr>
            <w:tcW w:w="2167" w:type="dxa"/>
            <w:gridSpan w:val="3"/>
            <w:tcBorders>
              <w:top w:val="nil"/>
              <w:left w:val="nil"/>
              <w:bottom w:val="single" w:sz="8" w:space="0" w:color="auto"/>
              <w:right w:val="nil"/>
            </w:tcBorders>
            <w:vAlign w:val="center"/>
          </w:tcPr>
          <w:p w14:paraId="42301BD3" w14:textId="77777777" w:rsidR="00E77F07" w:rsidRPr="008B51A8" w:rsidRDefault="00E77F07" w:rsidP="00260D7D">
            <w:pPr>
              <w:tabs>
                <w:tab w:val="left" w:pos="567"/>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Difference</w:t>
            </w:r>
          </w:p>
        </w:tc>
      </w:tr>
      <w:tr w:rsidR="00170587" w:rsidRPr="002E1EC0" w14:paraId="006D9589" w14:textId="77777777" w:rsidTr="006469DC">
        <w:trPr>
          <w:trHeight w:val="322"/>
          <w:jc w:val="center"/>
        </w:trPr>
        <w:tc>
          <w:tcPr>
            <w:tcW w:w="3960" w:type="dxa"/>
            <w:tcBorders>
              <w:top w:val="nil"/>
              <w:left w:val="nil"/>
              <w:bottom w:val="single" w:sz="4" w:space="0" w:color="auto"/>
              <w:right w:val="nil"/>
            </w:tcBorders>
            <w:vAlign w:val="center"/>
          </w:tcPr>
          <w:p w14:paraId="36A5C91B" w14:textId="77777777" w:rsidR="00170587" w:rsidRPr="008B51A8" w:rsidRDefault="00170587" w:rsidP="00260D7D">
            <w:pPr>
              <w:tabs>
                <w:tab w:val="left" w:pos="567"/>
              </w:tabs>
              <w:rPr>
                <w:rFonts w:asciiTheme="majorBidi" w:hAnsiTheme="majorBidi" w:cstheme="majorBidi"/>
                <w:color w:val="000000"/>
                <w:sz w:val="20"/>
                <w:szCs w:val="20"/>
              </w:rPr>
            </w:pPr>
          </w:p>
        </w:tc>
        <w:tc>
          <w:tcPr>
            <w:tcW w:w="990" w:type="dxa"/>
            <w:tcBorders>
              <w:top w:val="single" w:sz="8" w:space="0" w:color="auto"/>
              <w:left w:val="nil"/>
              <w:bottom w:val="single" w:sz="4" w:space="0" w:color="auto"/>
              <w:right w:val="nil"/>
            </w:tcBorders>
            <w:vAlign w:val="center"/>
          </w:tcPr>
          <w:p w14:paraId="1120F4C4" w14:textId="77777777" w:rsidR="00170587" w:rsidRPr="008B51A8" w:rsidRDefault="00170587" w:rsidP="00260D7D">
            <w:pPr>
              <w:tabs>
                <w:tab w:val="left" w:pos="567"/>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Mean</w:t>
            </w:r>
          </w:p>
        </w:tc>
        <w:tc>
          <w:tcPr>
            <w:tcW w:w="990" w:type="dxa"/>
            <w:tcBorders>
              <w:top w:val="single" w:sz="8" w:space="0" w:color="auto"/>
              <w:left w:val="nil"/>
              <w:bottom w:val="single" w:sz="4" w:space="0" w:color="auto"/>
              <w:right w:val="nil"/>
            </w:tcBorders>
            <w:vAlign w:val="center"/>
          </w:tcPr>
          <w:p w14:paraId="385AC285" w14:textId="77777777" w:rsidR="00170587" w:rsidRPr="008B51A8" w:rsidRDefault="00170587" w:rsidP="00260D7D">
            <w:pPr>
              <w:tabs>
                <w:tab w:val="left" w:pos="567"/>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Median</w:t>
            </w:r>
          </w:p>
        </w:tc>
        <w:tc>
          <w:tcPr>
            <w:tcW w:w="360" w:type="dxa"/>
            <w:tcBorders>
              <w:top w:val="nil"/>
              <w:left w:val="nil"/>
              <w:bottom w:val="single" w:sz="4" w:space="0" w:color="auto"/>
              <w:right w:val="nil"/>
            </w:tcBorders>
            <w:vAlign w:val="center"/>
          </w:tcPr>
          <w:p w14:paraId="0CE52E74" w14:textId="77777777" w:rsidR="00170587" w:rsidRPr="008B51A8" w:rsidRDefault="00170587" w:rsidP="00260D7D">
            <w:pPr>
              <w:tabs>
                <w:tab w:val="left" w:pos="567"/>
              </w:tabs>
              <w:jc w:val="center"/>
              <w:rPr>
                <w:rFonts w:asciiTheme="majorBidi" w:hAnsiTheme="majorBidi" w:cstheme="majorBidi"/>
                <w:color w:val="000000"/>
                <w:sz w:val="20"/>
                <w:szCs w:val="20"/>
              </w:rPr>
            </w:pPr>
          </w:p>
        </w:tc>
        <w:tc>
          <w:tcPr>
            <w:tcW w:w="990" w:type="dxa"/>
            <w:tcBorders>
              <w:top w:val="single" w:sz="8" w:space="0" w:color="auto"/>
              <w:left w:val="nil"/>
              <w:bottom w:val="single" w:sz="4" w:space="0" w:color="auto"/>
              <w:right w:val="nil"/>
            </w:tcBorders>
            <w:vAlign w:val="center"/>
          </w:tcPr>
          <w:p w14:paraId="4F33CC37" w14:textId="77777777" w:rsidR="00170587" w:rsidRPr="008B51A8" w:rsidRDefault="00170587" w:rsidP="00260D7D">
            <w:pPr>
              <w:tabs>
                <w:tab w:val="left" w:pos="567"/>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Mean</w:t>
            </w:r>
          </w:p>
        </w:tc>
        <w:tc>
          <w:tcPr>
            <w:tcW w:w="990" w:type="dxa"/>
            <w:tcBorders>
              <w:top w:val="single" w:sz="8" w:space="0" w:color="auto"/>
              <w:left w:val="nil"/>
              <w:bottom w:val="single" w:sz="4" w:space="0" w:color="auto"/>
              <w:right w:val="nil"/>
            </w:tcBorders>
            <w:vAlign w:val="center"/>
          </w:tcPr>
          <w:p w14:paraId="112E3D0A" w14:textId="77777777" w:rsidR="00170587" w:rsidRPr="008B51A8" w:rsidRDefault="00170587" w:rsidP="00260D7D">
            <w:pPr>
              <w:tabs>
                <w:tab w:val="left" w:pos="567"/>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Median</w:t>
            </w:r>
          </w:p>
        </w:tc>
        <w:tc>
          <w:tcPr>
            <w:tcW w:w="270" w:type="dxa"/>
            <w:tcBorders>
              <w:top w:val="nil"/>
              <w:left w:val="nil"/>
              <w:bottom w:val="single" w:sz="4" w:space="0" w:color="auto"/>
              <w:right w:val="nil"/>
            </w:tcBorders>
            <w:vAlign w:val="center"/>
          </w:tcPr>
          <w:p w14:paraId="35E8610E" w14:textId="77777777" w:rsidR="00170587" w:rsidRPr="008B51A8" w:rsidRDefault="00170587" w:rsidP="00260D7D">
            <w:pPr>
              <w:tabs>
                <w:tab w:val="left" w:pos="567"/>
              </w:tabs>
              <w:rPr>
                <w:rFonts w:asciiTheme="majorBidi" w:hAnsiTheme="majorBidi" w:cstheme="majorBidi"/>
                <w:color w:val="000000"/>
                <w:sz w:val="20"/>
                <w:szCs w:val="20"/>
              </w:rPr>
            </w:pPr>
          </w:p>
        </w:tc>
        <w:tc>
          <w:tcPr>
            <w:tcW w:w="1083" w:type="dxa"/>
            <w:tcBorders>
              <w:top w:val="single" w:sz="8" w:space="0" w:color="auto"/>
              <w:left w:val="nil"/>
              <w:bottom w:val="single" w:sz="4" w:space="0" w:color="auto"/>
              <w:right w:val="nil"/>
            </w:tcBorders>
            <w:vAlign w:val="center"/>
          </w:tcPr>
          <w:p w14:paraId="2EE0274F" w14:textId="77777777" w:rsidR="00170587" w:rsidRPr="008B51A8" w:rsidRDefault="00170587" w:rsidP="00260D7D">
            <w:pPr>
              <w:tabs>
                <w:tab w:val="left" w:pos="567"/>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Mean</w:t>
            </w:r>
          </w:p>
        </w:tc>
        <w:tc>
          <w:tcPr>
            <w:tcW w:w="1084" w:type="dxa"/>
            <w:gridSpan w:val="2"/>
            <w:tcBorders>
              <w:top w:val="single" w:sz="8" w:space="0" w:color="auto"/>
              <w:left w:val="nil"/>
              <w:bottom w:val="single" w:sz="4" w:space="0" w:color="auto"/>
              <w:right w:val="nil"/>
            </w:tcBorders>
            <w:vAlign w:val="center"/>
          </w:tcPr>
          <w:p w14:paraId="6850D7A4" w14:textId="77777777" w:rsidR="00170587" w:rsidRPr="008B51A8" w:rsidRDefault="00170587" w:rsidP="00260D7D">
            <w:pPr>
              <w:tabs>
                <w:tab w:val="left" w:pos="567"/>
              </w:tabs>
              <w:jc w:val="center"/>
              <w:rPr>
                <w:rFonts w:asciiTheme="majorBidi" w:hAnsiTheme="majorBidi" w:cstheme="majorBidi"/>
                <w:color w:val="000000"/>
                <w:sz w:val="20"/>
                <w:szCs w:val="20"/>
              </w:rPr>
            </w:pPr>
            <w:r w:rsidRPr="008B51A8">
              <w:rPr>
                <w:rFonts w:asciiTheme="majorBidi" w:hAnsiTheme="majorBidi" w:cstheme="majorBidi"/>
                <w:color w:val="000000"/>
                <w:sz w:val="20"/>
                <w:szCs w:val="20"/>
              </w:rPr>
              <w:t>Median</w:t>
            </w:r>
          </w:p>
        </w:tc>
      </w:tr>
      <w:tr w:rsidR="008D6A29" w:rsidRPr="002E1EC0" w14:paraId="2BDD8B89" w14:textId="77777777" w:rsidTr="006469DC">
        <w:trPr>
          <w:trHeight w:val="356"/>
          <w:jc w:val="center"/>
        </w:trPr>
        <w:tc>
          <w:tcPr>
            <w:tcW w:w="3960" w:type="dxa"/>
            <w:tcBorders>
              <w:top w:val="nil"/>
              <w:left w:val="nil"/>
              <w:bottom w:val="nil"/>
              <w:right w:val="nil"/>
            </w:tcBorders>
            <w:vAlign w:val="center"/>
          </w:tcPr>
          <w:p w14:paraId="070E4BEA" w14:textId="77777777" w:rsidR="008D6A29" w:rsidRPr="004F619A" w:rsidRDefault="008D6A29" w:rsidP="00260D7D">
            <w:pPr>
              <w:tabs>
                <w:tab w:val="left" w:pos="567"/>
              </w:tabs>
              <w:rPr>
                <w:rFonts w:asciiTheme="majorBidi" w:hAnsiTheme="majorBidi" w:cstheme="majorBidi"/>
                <w:color w:val="000000"/>
                <w:sz w:val="20"/>
                <w:szCs w:val="20"/>
              </w:rPr>
            </w:pPr>
            <w:bookmarkStart w:id="16" w:name="_Hlk513969413"/>
            <w:r w:rsidRPr="004F619A">
              <w:rPr>
                <w:rFonts w:asciiTheme="majorBidi" w:hAnsiTheme="majorBidi" w:cstheme="majorBidi"/>
                <w:color w:val="000000"/>
                <w:sz w:val="20"/>
                <w:szCs w:val="20"/>
              </w:rPr>
              <w:t>Attrition Ratio (ATTR)</w:t>
            </w:r>
          </w:p>
        </w:tc>
        <w:tc>
          <w:tcPr>
            <w:tcW w:w="990" w:type="dxa"/>
            <w:tcBorders>
              <w:top w:val="nil"/>
              <w:left w:val="nil"/>
              <w:bottom w:val="nil"/>
              <w:right w:val="nil"/>
            </w:tcBorders>
            <w:vAlign w:val="center"/>
          </w:tcPr>
          <w:p w14:paraId="4A830AC1" w14:textId="77777777" w:rsidR="008D6A29" w:rsidRPr="008B51A8"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0.026</w:t>
            </w:r>
          </w:p>
        </w:tc>
        <w:tc>
          <w:tcPr>
            <w:tcW w:w="990" w:type="dxa"/>
            <w:tcBorders>
              <w:top w:val="nil"/>
              <w:left w:val="nil"/>
              <w:bottom w:val="nil"/>
              <w:right w:val="nil"/>
            </w:tcBorders>
            <w:vAlign w:val="center"/>
          </w:tcPr>
          <w:p w14:paraId="20405CAE" w14:textId="77777777" w:rsidR="008D6A29" w:rsidRP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0.000</w:t>
            </w:r>
          </w:p>
        </w:tc>
        <w:tc>
          <w:tcPr>
            <w:tcW w:w="360" w:type="dxa"/>
            <w:tcBorders>
              <w:top w:val="nil"/>
              <w:left w:val="nil"/>
              <w:bottom w:val="nil"/>
              <w:right w:val="nil"/>
            </w:tcBorders>
            <w:vAlign w:val="center"/>
          </w:tcPr>
          <w:p w14:paraId="603030D0" w14:textId="77777777" w:rsidR="008D6A29" w:rsidRPr="008B51A8" w:rsidRDefault="008D6A29" w:rsidP="00260D7D">
            <w:pPr>
              <w:tabs>
                <w:tab w:val="left" w:pos="567"/>
              </w:tabs>
              <w:jc w:val="center"/>
              <w:rPr>
                <w:rFonts w:asciiTheme="majorBidi" w:hAnsiTheme="majorBidi" w:cstheme="majorBidi"/>
                <w:color w:val="000000"/>
                <w:sz w:val="20"/>
                <w:szCs w:val="20"/>
              </w:rPr>
            </w:pPr>
          </w:p>
        </w:tc>
        <w:tc>
          <w:tcPr>
            <w:tcW w:w="990" w:type="dxa"/>
            <w:tcBorders>
              <w:top w:val="nil"/>
              <w:left w:val="nil"/>
              <w:bottom w:val="nil"/>
              <w:right w:val="nil"/>
            </w:tcBorders>
            <w:vAlign w:val="center"/>
          </w:tcPr>
          <w:p w14:paraId="33CD7ED8" w14:textId="77777777" w:rsidR="008D6A29" w:rsidRPr="008B51A8"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0.042</w:t>
            </w:r>
          </w:p>
        </w:tc>
        <w:tc>
          <w:tcPr>
            <w:tcW w:w="990" w:type="dxa"/>
            <w:tcBorders>
              <w:top w:val="nil"/>
              <w:left w:val="nil"/>
              <w:bottom w:val="nil"/>
              <w:right w:val="nil"/>
            </w:tcBorders>
            <w:vAlign w:val="center"/>
          </w:tcPr>
          <w:p w14:paraId="6D87F1CB" w14:textId="77777777" w:rsidR="008D6A29" w:rsidRP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0.000</w:t>
            </w:r>
          </w:p>
        </w:tc>
        <w:tc>
          <w:tcPr>
            <w:tcW w:w="270" w:type="dxa"/>
            <w:tcBorders>
              <w:top w:val="nil"/>
              <w:left w:val="nil"/>
              <w:bottom w:val="nil"/>
              <w:right w:val="nil"/>
            </w:tcBorders>
            <w:vAlign w:val="center"/>
          </w:tcPr>
          <w:p w14:paraId="1353E3F9" w14:textId="77777777" w:rsidR="008D6A29" w:rsidRPr="008B51A8" w:rsidRDefault="008D6A29" w:rsidP="00260D7D">
            <w:pPr>
              <w:tabs>
                <w:tab w:val="left" w:pos="567"/>
              </w:tabs>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bottom"/>
          </w:tcPr>
          <w:p w14:paraId="145D783D" w14:textId="77777777" w:rsidR="008D6A29"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-0.015**</w:t>
            </w:r>
          </w:p>
          <w:p w14:paraId="60DA7926" w14:textId="77777777" w:rsidR="008D6A29" w:rsidRPr="0071713E"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(0.011)</w:t>
            </w:r>
          </w:p>
        </w:tc>
        <w:tc>
          <w:tcPr>
            <w:tcW w:w="1084" w:type="dxa"/>
            <w:gridSpan w:val="2"/>
            <w:tcBorders>
              <w:top w:val="nil"/>
              <w:left w:val="nil"/>
              <w:bottom w:val="nil"/>
              <w:right w:val="nil"/>
            </w:tcBorders>
            <w:shd w:val="clear" w:color="auto" w:fill="auto"/>
            <w:vAlign w:val="center"/>
          </w:tcPr>
          <w:p w14:paraId="3866A177" w14:textId="77777777" w:rsid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0.000</w:t>
            </w:r>
            <w:r>
              <w:rPr>
                <w:rFonts w:asciiTheme="majorBidi" w:hAnsiTheme="majorBidi" w:cstheme="majorBidi"/>
                <w:color w:val="000000"/>
                <w:sz w:val="20"/>
                <w:szCs w:val="20"/>
              </w:rPr>
              <w:t>**</w:t>
            </w:r>
          </w:p>
          <w:p w14:paraId="544D12F8" w14:textId="77777777" w:rsidR="008D6A29" w:rsidRPr="008D6A29"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(0.012)</w:t>
            </w:r>
          </w:p>
        </w:tc>
      </w:tr>
      <w:tr w:rsidR="008D6A29" w:rsidRPr="002E1EC0" w14:paraId="358CF324" w14:textId="77777777" w:rsidTr="006469DC">
        <w:trPr>
          <w:trHeight w:val="356"/>
          <w:jc w:val="center"/>
        </w:trPr>
        <w:tc>
          <w:tcPr>
            <w:tcW w:w="3960" w:type="dxa"/>
            <w:tcBorders>
              <w:top w:val="nil"/>
              <w:left w:val="nil"/>
              <w:bottom w:val="nil"/>
              <w:right w:val="nil"/>
            </w:tcBorders>
            <w:vAlign w:val="center"/>
          </w:tcPr>
          <w:p w14:paraId="6D3EDFA2" w14:textId="77777777" w:rsidR="008D6A29" w:rsidRPr="004F619A" w:rsidRDefault="008D6A29" w:rsidP="00260D7D">
            <w:pPr>
              <w:tabs>
                <w:tab w:val="left" w:pos="567"/>
              </w:tabs>
              <w:rPr>
                <w:rFonts w:asciiTheme="majorBidi" w:hAnsiTheme="majorBidi" w:cstheme="majorBidi"/>
                <w:color w:val="000000"/>
                <w:sz w:val="20"/>
                <w:szCs w:val="20"/>
              </w:rPr>
            </w:pPr>
            <w:r w:rsidRPr="004F619A">
              <w:rPr>
                <w:rFonts w:asciiTheme="majorBidi" w:hAnsiTheme="majorBidi" w:cstheme="majorBidi"/>
                <w:color w:val="000000"/>
                <w:sz w:val="20"/>
                <w:szCs w:val="20"/>
              </w:rPr>
              <w:t>Gender (GEND)</w:t>
            </w:r>
          </w:p>
        </w:tc>
        <w:tc>
          <w:tcPr>
            <w:tcW w:w="990" w:type="dxa"/>
            <w:tcBorders>
              <w:top w:val="nil"/>
              <w:left w:val="nil"/>
              <w:bottom w:val="nil"/>
              <w:right w:val="nil"/>
            </w:tcBorders>
            <w:vAlign w:val="center"/>
          </w:tcPr>
          <w:p w14:paraId="20163407" w14:textId="77777777" w:rsidR="008D6A29" w:rsidRPr="008B51A8"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0.887</w:t>
            </w:r>
          </w:p>
        </w:tc>
        <w:tc>
          <w:tcPr>
            <w:tcW w:w="990" w:type="dxa"/>
            <w:tcBorders>
              <w:top w:val="nil"/>
              <w:left w:val="nil"/>
              <w:bottom w:val="nil"/>
              <w:right w:val="nil"/>
            </w:tcBorders>
            <w:vAlign w:val="center"/>
          </w:tcPr>
          <w:p w14:paraId="0ED6B2DC" w14:textId="77777777" w:rsidR="008D6A29" w:rsidRP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0.889</w:t>
            </w:r>
          </w:p>
        </w:tc>
        <w:tc>
          <w:tcPr>
            <w:tcW w:w="360" w:type="dxa"/>
            <w:tcBorders>
              <w:top w:val="nil"/>
              <w:left w:val="nil"/>
              <w:bottom w:val="nil"/>
              <w:right w:val="nil"/>
            </w:tcBorders>
            <w:vAlign w:val="center"/>
          </w:tcPr>
          <w:p w14:paraId="5D984BE1" w14:textId="77777777" w:rsidR="008D6A29" w:rsidRPr="008B51A8" w:rsidRDefault="008D6A29" w:rsidP="00260D7D">
            <w:pPr>
              <w:tabs>
                <w:tab w:val="left" w:pos="567"/>
              </w:tabs>
              <w:jc w:val="center"/>
              <w:rPr>
                <w:rFonts w:asciiTheme="majorBidi" w:hAnsiTheme="majorBidi" w:cstheme="majorBidi"/>
                <w:color w:val="000000"/>
                <w:sz w:val="20"/>
                <w:szCs w:val="20"/>
              </w:rPr>
            </w:pPr>
          </w:p>
        </w:tc>
        <w:tc>
          <w:tcPr>
            <w:tcW w:w="990" w:type="dxa"/>
            <w:tcBorders>
              <w:top w:val="nil"/>
              <w:left w:val="nil"/>
              <w:bottom w:val="nil"/>
              <w:right w:val="nil"/>
            </w:tcBorders>
            <w:vAlign w:val="center"/>
          </w:tcPr>
          <w:p w14:paraId="36A3EC27" w14:textId="77777777" w:rsidR="008D6A29" w:rsidRPr="008B51A8"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0.927</w:t>
            </w:r>
          </w:p>
        </w:tc>
        <w:tc>
          <w:tcPr>
            <w:tcW w:w="990" w:type="dxa"/>
            <w:tcBorders>
              <w:top w:val="nil"/>
              <w:left w:val="nil"/>
              <w:bottom w:val="nil"/>
              <w:right w:val="nil"/>
            </w:tcBorders>
            <w:vAlign w:val="center"/>
          </w:tcPr>
          <w:p w14:paraId="49A75FD8" w14:textId="77777777" w:rsidR="008D6A29" w:rsidRP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1.000</w:t>
            </w:r>
          </w:p>
        </w:tc>
        <w:tc>
          <w:tcPr>
            <w:tcW w:w="270" w:type="dxa"/>
            <w:tcBorders>
              <w:top w:val="nil"/>
              <w:left w:val="nil"/>
              <w:bottom w:val="nil"/>
              <w:right w:val="nil"/>
            </w:tcBorders>
            <w:vAlign w:val="center"/>
          </w:tcPr>
          <w:p w14:paraId="3514CCD8" w14:textId="77777777" w:rsidR="008D6A29" w:rsidRPr="008B51A8" w:rsidRDefault="008D6A29" w:rsidP="00260D7D">
            <w:pPr>
              <w:tabs>
                <w:tab w:val="left" w:pos="567"/>
              </w:tabs>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bottom"/>
          </w:tcPr>
          <w:p w14:paraId="7A03391B" w14:textId="77777777" w:rsidR="008D6A29"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-0.040***</w:t>
            </w:r>
          </w:p>
          <w:p w14:paraId="68B2BB50" w14:textId="77777777" w:rsidR="008D6A29" w:rsidRPr="0071713E"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(0.000)</w:t>
            </w:r>
          </w:p>
        </w:tc>
        <w:tc>
          <w:tcPr>
            <w:tcW w:w="1084" w:type="dxa"/>
            <w:gridSpan w:val="2"/>
            <w:tcBorders>
              <w:top w:val="nil"/>
              <w:left w:val="nil"/>
              <w:bottom w:val="nil"/>
              <w:right w:val="nil"/>
            </w:tcBorders>
            <w:shd w:val="clear" w:color="auto" w:fill="auto"/>
            <w:vAlign w:val="center"/>
          </w:tcPr>
          <w:p w14:paraId="2BC8EBAB" w14:textId="77777777" w:rsid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-0.111</w:t>
            </w:r>
            <w:r>
              <w:rPr>
                <w:rFonts w:asciiTheme="majorBidi" w:hAnsiTheme="majorBidi" w:cstheme="majorBidi"/>
                <w:color w:val="000000"/>
                <w:sz w:val="20"/>
                <w:szCs w:val="20"/>
              </w:rPr>
              <w:t>***</w:t>
            </w:r>
          </w:p>
          <w:p w14:paraId="5605BF69" w14:textId="77777777" w:rsidR="008D6A29" w:rsidRPr="008D6A29"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(0.000)</w:t>
            </w:r>
          </w:p>
        </w:tc>
      </w:tr>
      <w:tr w:rsidR="008D6A29" w:rsidRPr="002E1EC0" w14:paraId="719A74D0" w14:textId="77777777" w:rsidTr="006469DC">
        <w:trPr>
          <w:trHeight w:val="356"/>
          <w:jc w:val="center"/>
        </w:trPr>
        <w:tc>
          <w:tcPr>
            <w:tcW w:w="3960" w:type="dxa"/>
            <w:tcBorders>
              <w:top w:val="nil"/>
              <w:left w:val="nil"/>
              <w:bottom w:val="nil"/>
              <w:right w:val="nil"/>
            </w:tcBorders>
            <w:vAlign w:val="center"/>
          </w:tcPr>
          <w:p w14:paraId="7B58774E" w14:textId="77777777" w:rsidR="008D6A29" w:rsidRPr="004F619A" w:rsidRDefault="008D6A29" w:rsidP="00260D7D">
            <w:pPr>
              <w:tabs>
                <w:tab w:val="left" w:pos="567"/>
              </w:tabs>
              <w:rPr>
                <w:rFonts w:asciiTheme="majorBidi" w:hAnsiTheme="majorBidi" w:cstheme="majorBidi"/>
                <w:color w:val="000000"/>
                <w:sz w:val="20"/>
                <w:szCs w:val="20"/>
              </w:rPr>
            </w:pPr>
            <w:r w:rsidRPr="004F619A">
              <w:rPr>
                <w:rFonts w:asciiTheme="majorBidi" w:hAnsiTheme="majorBidi" w:cstheme="majorBidi"/>
                <w:color w:val="000000"/>
                <w:sz w:val="20"/>
                <w:szCs w:val="20"/>
              </w:rPr>
              <w:t>Board Independence (INDP)</w:t>
            </w:r>
          </w:p>
        </w:tc>
        <w:tc>
          <w:tcPr>
            <w:tcW w:w="990" w:type="dxa"/>
            <w:tcBorders>
              <w:top w:val="nil"/>
              <w:left w:val="nil"/>
              <w:bottom w:val="nil"/>
              <w:right w:val="nil"/>
            </w:tcBorders>
            <w:vAlign w:val="center"/>
          </w:tcPr>
          <w:p w14:paraId="0BE5D344" w14:textId="77777777" w:rsidR="008D6A29" w:rsidRPr="008B51A8"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0.826</w:t>
            </w:r>
          </w:p>
        </w:tc>
        <w:tc>
          <w:tcPr>
            <w:tcW w:w="990" w:type="dxa"/>
            <w:tcBorders>
              <w:top w:val="nil"/>
              <w:left w:val="nil"/>
              <w:bottom w:val="nil"/>
              <w:right w:val="nil"/>
            </w:tcBorders>
            <w:vAlign w:val="center"/>
          </w:tcPr>
          <w:p w14:paraId="0AE688C9" w14:textId="77777777" w:rsidR="008D6A29" w:rsidRP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0.857</w:t>
            </w:r>
          </w:p>
        </w:tc>
        <w:tc>
          <w:tcPr>
            <w:tcW w:w="360" w:type="dxa"/>
            <w:tcBorders>
              <w:top w:val="nil"/>
              <w:left w:val="nil"/>
              <w:bottom w:val="nil"/>
              <w:right w:val="nil"/>
            </w:tcBorders>
            <w:vAlign w:val="center"/>
          </w:tcPr>
          <w:p w14:paraId="491A3985" w14:textId="77777777" w:rsidR="008D6A29" w:rsidRPr="008B51A8" w:rsidRDefault="008D6A29" w:rsidP="00260D7D">
            <w:pPr>
              <w:tabs>
                <w:tab w:val="left" w:pos="567"/>
              </w:tabs>
              <w:jc w:val="center"/>
              <w:rPr>
                <w:rFonts w:asciiTheme="majorBidi" w:hAnsiTheme="majorBidi" w:cstheme="majorBidi"/>
                <w:color w:val="000000"/>
                <w:sz w:val="20"/>
                <w:szCs w:val="20"/>
              </w:rPr>
            </w:pPr>
          </w:p>
        </w:tc>
        <w:tc>
          <w:tcPr>
            <w:tcW w:w="990" w:type="dxa"/>
            <w:tcBorders>
              <w:top w:val="nil"/>
              <w:left w:val="nil"/>
              <w:bottom w:val="nil"/>
              <w:right w:val="nil"/>
            </w:tcBorders>
            <w:vAlign w:val="center"/>
          </w:tcPr>
          <w:p w14:paraId="0E1D8D7E" w14:textId="77777777" w:rsidR="008D6A29" w:rsidRPr="008B51A8"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0.800</w:t>
            </w:r>
          </w:p>
        </w:tc>
        <w:tc>
          <w:tcPr>
            <w:tcW w:w="990" w:type="dxa"/>
            <w:tcBorders>
              <w:top w:val="nil"/>
              <w:left w:val="nil"/>
              <w:bottom w:val="nil"/>
              <w:right w:val="nil"/>
            </w:tcBorders>
            <w:vAlign w:val="center"/>
          </w:tcPr>
          <w:p w14:paraId="1EC9DD03" w14:textId="77777777" w:rsidR="008D6A29" w:rsidRP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0.833</w:t>
            </w:r>
          </w:p>
        </w:tc>
        <w:tc>
          <w:tcPr>
            <w:tcW w:w="270" w:type="dxa"/>
            <w:tcBorders>
              <w:top w:val="nil"/>
              <w:left w:val="nil"/>
              <w:bottom w:val="nil"/>
              <w:right w:val="nil"/>
            </w:tcBorders>
            <w:vAlign w:val="center"/>
          </w:tcPr>
          <w:p w14:paraId="41308572" w14:textId="77777777" w:rsidR="008D6A29" w:rsidRPr="008B51A8" w:rsidRDefault="008D6A29" w:rsidP="00260D7D">
            <w:pPr>
              <w:tabs>
                <w:tab w:val="left" w:pos="567"/>
              </w:tabs>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bottom"/>
          </w:tcPr>
          <w:p w14:paraId="7D7C3995" w14:textId="77777777" w:rsidR="008D6A29"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0.027***</w:t>
            </w:r>
          </w:p>
          <w:p w14:paraId="21B9FACC" w14:textId="77777777" w:rsidR="008D6A29" w:rsidRPr="0071713E"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(0.010)</w:t>
            </w:r>
          </w:p>
        </w:tc>
        <w:tc>
          <w:tcPr>
            <w:tcW w:w="1084" w:type="dxa"/>
            <w:gridSpan w:val="2"/>
            <w:tcBorders>
              <w:top w:val="nil"/>
              <w:left w:val="nil"/>
              <w:bottom w:val="nil"/>
              <w:right w:val="nil"/>
            </w:tcBorders>
            <w:shd w:val="clear" w:color="auto" w:fill="auto"/>
            <w:vAlign w:val="center"/>
          </w:tcPr>
          <w:p w14:paraId="76D72CB6" w14:textId="77777777" w:rsid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0.024</w:t>
            </w:r>
            <w:r>
              <w:rPr>
                <w:rFonts w:asciiTheme="majorBidi" w:hAnsiTheme="majorBidi" w:cstheme="majorBidi"/>
                <w:color w:val="000000"/>
                <w:sz w:val="20"/>
                <w:szCs w:val="20"/>
              </w:rPr>
              <w:t>***</w:t>
            </w:r>
          </w:p>
          <w:p w14:paraId="37DB42B2" w14:textId="77777777" w:rsidR="008D6A29" w:rsidRPr="008D6A29"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(0.000)</w:t>
            </w:r>
          </w:p>
        </w:tc>
      </w:tr>
      <w:tr w:rsidR="008D6A29" w:rsidRPr="002E1EC0" w14:paraId="17908DFF" w14:textId="77777777" w:rsidTr="006469DC">
        <w:trPr>
          <w:trHeight w:val="356"/>
          <w:jc w:val="center"/>
        </w:trPr>
        <w:tc>
          <w:tcPr>
            <w:tcW w:w="3960" w:type="dxa"/>
            <w:tcBorders>
              <w:top w:val="nil"/>
              <w:left w:val="nil"/>
              <w:bottom w:val="nil"/>
              <w:right w:val="nil"/>
            </w:tcBorders>
            <w:vAlign w:val="center"/>
          </w:tcPr>
          <w:p w14:paraId="4D803AB6" w14:textId="77777777" w:rsidR="008D6A29" w:rsidRPr="004F619A" w:rsidRDefault="008D6A29" w:rsidP="00260D7D">
            <w:pPr>
              <w:tabs>
                <w:tab w:val="left" w:pos="567"/>
              </w:tabs>
              <w:rPr>
                <w:rFonts w:asciiTheme="majorBidi" w:hAnsiTheme="majorBidi" w:cstheme="majorBidi"/>
                <w:color w:val="000000"/>
                <w:sz w:val="20"/>
                <w:szCs w:val="20"/>
              </w:rPr>
            </w:pPr>
            <w:bookmarkStart w:id="17" w:name="_Hlk484240785"/>
            <w:r w:rsidRPr="004F619A">
              <w:rPr>
                <w:rFonts w:asciiTheme="majorBidi" w:hAnsiTheme="majorBidi" w:cstheme="majorBidi"/>
                <w:color w:val="000000"/>
                <w:sz w:val="20"/>
                <w:szCs w:val="20"/>
              </w:rPr>
              <w:t>CEO-Chairman Duality (DUAL)</w:t>
            </w:r>
          </w:p>
        </w:tc>
        <w:tc>
          <w:tcPr>
            <w:tcW w:w="990" w:type="dxa"/>
            <w:tcBorders>
              <w:top w:val="nil"/>
              <w:left w:val="nil"/>
              <w:bottom w:val="nil"/>
              <w:right w:val="nil"/>
            </w:tcBorders>
            <w:vAlign w:val="center"/>
          </w:tcPr>
          <w:p w14:paraId="4B59285D" w14:textId="77777777" w:rsidR="008D6A29" w:rsidRPr="008B51A8"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0.527</w:t>
            </w:r>
          </w:p>
        </w:tc>
        <w:tc>
          <w:tcPr>
            <w:tcW w:w="990" w:type="dxa"/>
            <w:tcBorders>
              <w:top w:val="nil"/>
              <w:left w:val="nil"/>
              <w:bottom w:val="nil"/>
              <w:right w:val="nil"/>
            </w:tcBorders>
            <w:vAlign w:val="center"/>
          </w:tcPr>
          <w:p w14:paraId="366E663B" w14:textId="77777777" w:rsidR="008D6A29" w:rsidRP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1.000</w:t>
            </w:r>
          </w:p>
        </w:tc>
        <w:tc>
          <w:tcPr>
            <w:tcW w:w="360" w:type="dxa"/>
            <w:tcBorders>
              <w:top w:val="nil"/>
              <w:left w:val="nil"/>
              <w:bottom w:val="nil"/>
              <w:right w:val="nil"/>
            </w:tcBorders>
            <w:vAlign w:val="center"/>
          </w:tcPr>
          <w:p w14:paraId="4454B53B" w14:textId="77777777" w:rsidR="008D6A29" w:rsidRPr="008B51A8" w:rsidRDefault="008D6A29" w:rsidP="00260D7D">
            <w:pPr>
              <w:tabs>
                <w:tab w:val="left" w:pos="567"/>
              </w:tabs>
              <w:jc w:val="center"/>
              <w:rPr>
                <w:rFonts w:asciiTheme="majorBidi" w:hAnsiTheme="majorBidi" w:cstheme="majorBidi"/>
                <w:color w:val="000000"/>
                <w:sz w:val="20"/>
                <w:szCs w:val="20"/>
              </w:rPr>
            </w:pPr>
          </w:p>
        </w:tc>
        <w:tc>
          <w:tcPr>
            <w:tcW w:w="990" w:type="dxa"/>
            <w:tcBorders>
              <w:top w:val="nil"/>
              <w:left w:val="nil"/>
              <w:bottom w:val="nil"/>
              <w:right w:val="nil"/>
            </w:tcBorders>
            <w:vAlign w:val="center"/>
          </w:tcPr>
          <w:p w14:paraId="00B9836F" w14:textId="77777777" w:rsidR="008D6A29" w:rsidRPr="008B51A8"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0.438</w:t>
            </w:r>
          </w:p>
        </w:tc>
        <w:tc>
          <w:tcPr>
            <w:tcW w:w="990" w:type="dxa"/>
            <w:tcBorders>
              <w:top w:val="nil"/>
              <w:left w:val="nil"/>
              <w:bottom w:val="nil"/>
              <w:right w:val="nil"/>
            </w:tcBorders>
            <w:vAlign w:val="center"/>
          </w:tcPr>
          <w:p w14:paraId="67F3FB7C" w14:textId="77777777" w:rsidR="008D6A29" w:rsidRP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0.000</w:t>
            </w:r>
          </w:p>
        </w:tc>
        <w:tc>
          <w:tcPr>
            <w:tcW w:w="270" w:type="dxa"/>
            <w:tcBorders>
              <w:top w:val="nil"/>
              <w:left w:val="nil"/>
              <w:bottom w:val="nil"/>
              <w:right w:val="nil"/>
            </w:tcBorders>
            <w:vAlign w:val="center"/>
          </w:tcPr>
          <w:p w14:paraId="1603ACCD" w14:textId="77777777" w:rsidR="008D6A29" w:rsidRPr="008B51A8" w:rsidRDefault="008D6A29" w:rsidP="00260D7D">
            <w:pPr>
              <w:tabs>
                <w:tab w:val="left" w:pos="567"/>
              </w:tabs>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bottom"/>
          </w:tcPr>
          <w:p w14:paraId="2608F0DE" w14:textId="77777777" w:rsidR="008D6A29"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0.089**</w:t>
            </w:r>
          </w:p>
          <w:p w14:paraId="400D378F" w14:textId="77777777" w:rsidR="008D6A29" w:rsidRPr="0071713E"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(0.034)</w:t>
            </w:r>
          </w:p>
        </w:tc>
        <w:tc>
          <w:tcPr>
            <w:tcW w:w="1084" w:type="dxa"/>
            <w:gridSpan w:val="2"/>
            <w:tcBorders>
              <w:top w:val="nil"/>
              <w:left w:val="nil"/>
              <w:bottom w:val="nil"/>
              <w:right w:val="nil"/>
            </w:tcBorders>
            <w:shd w:val="clear" w:color="auto" w:fill="auto"/>
            <w:vAlign w:val="center"/>
          </w:tcPr>
          <w:p w14:paraId="56194AA8" w14:textId="77777777" w:rsid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1.000</w:t>
            </w:r>
            <w:r>
              <w:rPr>
                <w:rFonts w:asciiTheme="majorBidi" w:hAnsiTheme="majorBidi" w:cstheme="majorBidi"/>
                <w:color w:val="000000"/>
                <w:sz w:val="20"/>
                <w:szCs w:val="20"/>
              </w:rPr>
              <w:t>**</w:t>
            </w:r>
          </w:p>
          <w:p w14:paraId="2351E37A" w14:textId="77777777" w:rsidR="008D6A29" w:rsidRPr="008D6A29"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(0.033)</w:t>
            </w:r>
          </w:p>
        </w:tc>
      </w:tr>
      <w:bookmarkEnd w:id="17"/>
      <w:tr w:rsidR="008D6A29" w:rsidRPr="002E1EC0" w14:paraId="5D67E53B" w14:textId="77777777" w:rsidTr="006469DC">
        <w:trPr>
          <w:trHeight w:val="356"/>
          <w:jc w:val="center"/>
        </w:trPr>
        <w:tc>
          <w:tcPr>
            <w:tcW w:w="3960" w:type="dxa"/>
            <w:tcBorders>
              <w:top w:val="nil"/>
              <w:left w:val="nil"/>
              <w:bottom w:val="nil"/>
              <w:right w:val="nil"/>
            </w:tcBorders>
            <w:vAlign w:val="center"/>
          </w:tcPr>
          <w:p w14:paraId="1FA43ED7" w14:textId="77777777" w:rsidR="008D6A29" w:rsidRPr="004F619A" w:rsidRDefault="008D6A29" w:rsidP="00260D7D">
            <w:pPr>
              <w:tabs>
                <w:tab w:val="left" w:pos="567"/>
              </w:tabs>
              <w:rPr>
                <w:rFonts w:asciiTheme="majorBidi" w:hAnsiTheme="majorBidi" w:cstheme="majorBidi"/>
                <w:color w:val="000000"/>
                <w:sz w:val="20"/>
                <w:szCs w:val="20"/>
              </w:rPr>
            </w:pPr>
            <w:r w:rsidRPr="004F619A">
              <w:rPr>
                <w:rFonts w:asciiTheme="majorBidi" w:hAnsiTheme="majorBidi" w:cstheme="majorBidi"/>
                <w:color w:val="000000"/>
                <w:sz w:val="20"/>
                <w:szCs w:val="20"/>
              </w:rPr>
              <w:t>Board Size (BSIZ)</w:t>
            </w:r>
          </w:p>
        </w:tc>
        <w:tc>
          <w:tcPr>
            <w:tcW w:w="990" w:type="dxa"/>
            <w:tcBorders>
              <w:top w:val="nil"/>
              <w:left w:val="nil"/>
              <w:bottom w:val="nil"/>
              <w:right w:val="nil"/>
            </w:tcBorders>
            <w:vAlign w:val="center"/>
          </w:tcPr>
          <w:p w14:paraId="7B0B715A" w14:textId="77777777" w:rsidR="008D6A29" w:rsidRPr="008B51A8"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0.961</w:t>
            </w:r>
          </w:p>
        </w:tc>
        <w:tc>
          <w:tcPr>
            <w:tcW w:w="990" w:type="dxa"/>
            <w:tcBorders>
              <w:top w:val="nil"/>
              <w:left w:val="nil"/>
              <w:bottom w:val="nil"/>
              <w:right w:val="nil"/>
            </w:tcBorders>
            <w:vAlign w:val="center"/>
          </w:tcPr>
          <w:p w14:paraId="01089331" w14:textId="77777777" w:rsidR="008D6A29" w:rsidRP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0.954</w:t>
            </w:r>
          </w:p>
        </w:tc>
        <w:tc>
          <w:tcPr>
            <w:tcW w:w="360" w:type="dxa"/>
            <w:tcBorders>
              <w:top w:val="nil"/>
              <w:left w:val="nil"/>
              <w:bottom w:val="nil"/>
              <w:right w:val="nil"/>
            </w:tcBorders>
            <w:vAlign w:val="center"/>
          </w:tcPr>
          <w:p w14:paraId="41037E44" w14:textId="77777777" w:rsidR="008D6A29" w:rsidRPr="008B51A8" w:rsidRDefault="008D6A29" w:rsidP="00260D7D">
            <w:pPr>
              <w:tabs>
                <w:tab w:val="left" w:pos="567"/>
              </w:tabs>
              <w:jc w:val="center"/>
              <w:rPr>
                <w:rFonts w:asciiTheme="majorBidi" w:hAnsiTheme="majorBidi" w:cstheme="majorBidi"/>
                <w:color w:val="000000"/>
                <w:sz w:val="20"/>
                <w:szCs w:val="20"/>
              </w:rPr>
            </w:pPr>
          </w:p>
        </w:tc>
        <w:tc>
          <w:tcPr>
            <w:tcW w:w="990" w:type="dxa"/>
            <w:tcBorders>
              <w:top w:val="nil"/>
              <w:left w:val="nil"/>
              <w:bottom w:val="nil"/>
              <w:right w:val="nil"/>
            </w:tcBorders>
            <w:vAlign w:val="center"/>
          </w:tcPr>
          <w:p w14:paraId="3E0FCAC6" w14:textId="77777777" w:rsidR="008D6A29" w:rsidRPr="008B51A8"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0.855</w:t>
            </w:r>
          </w:p>
        </w:tc>
        <w:tc>
          <w:tcPr>
            <w:tcW w:w="990" w:type="dxa"/>
            <w:tcBorders>
              <w:top w:val="nil"/>
              <w:left w:val="nil"/>
              <w:bottom w:val="nil"/>
              <w:right w:val="nil"/>
            </w:tcBorders>
            <w:vAlign w:val="center"/>
          </w:tcPr>
          <w:p w14:paraId="7EE2EB96" w14:textId="77777777" w:rsidR="008D6A29" w:rsidRP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0.845</w:t>
            </w:r>
          </w:p>
        </w:tc>
        <w:tc>
          <w:tcPr>
            <w:tcW w:w="270" w:type="dxa"/>
            <w:tcBorders>
              <w:top w:val="nil"/>
              <w:left w:val="nil"/>
              <w:bottom w:val="nil"/>
              <w:right w:val="nil"/>
            </w:tcBorders>
            <w:vAlign w:val="center"/>
          </w:tcPr>
          <w:p w14:paraId="6274DBA4" w14:textId="77777777" w:rsidR="008D6A29" w:rsidRPr="008B51A8" w:rsidRDefault="008D6A29" w:rsidP="00260D7D">
            <w:pPr>
              <w:tabs>
                <w:tab w:val="left" w:pos="567"/>
              </w:tabs>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bottom"/>
          </w:tcPr>
          <w:p w14:paraId="381B100D" w14:textId="77777777" w:rsidR="008D6A29"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0.106***</w:t>
            </w:r>
          </w:p>
          <w:p w14:paraId="014384AA" w14:textId="77777777" w:rsidR="008D6A29" w:rsidRPr="0071713E"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(0.000)</w:t>
            </w:r>
          </w:p>
        </w:tc>
        <w:tc>
          <w:tcPr>
            <w:tcW w:w="1084" w:type="dxa"/>
            <w:gridSpan w:val="2"/>
            <w:tcBorders>
              <w:top w:val="nil"/>
              <w:left w:val="nil"/>
              <w:bottom w:val="nil"/>
              <w:right w:val="nil"/>
            </w:tcBorders>
            <w:shd w:val="clear" w:color="auto" w:fill="auto"/>
            <w:vAlign w:val="center"/>
          </w:tcPr>
          <w:p w14:paraId="16451B3E" w14:textId="77777777" w:rsid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0.109</w:t>
            </w:r>
            <w:r>
              <w:rPr>
                <w:rFonts w:asciiTheme="majorBidi" w:hAnsiTheme="majorBidi" w:cstheme="majorBidi"/>
                <w:color w:val="000000"/>
                <w:sz w:val="20"/>
                <w:szCs w:val="20"/>
              </w:rPr>
              <w:t>***</w:t>
            </w:r>
          </w:p>
          <w:p w14:paraId="7432D6D0" w14:textId="77777777" w:rsidR="008D6A29" w:rsidRPr="008D6A29"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(0.000)</w:t>
            </w:r>
          </w:p>
        </w:tc>
      </w:tr>
      <w:tr w:rsidR="008D6A29" w:rsidRPr="002E1EC0" w14:paraId="126CC455" w14:textId="77777777" w:rsidTr="006469DC">
        <w:trPr>
          <w:trHeight w:val="356"/>
          <w:jc w:val="center"/>
        </w:trPr>
        <w:tc>
          <w:tcPr>
            <w:tcW w:w="3960" w:type="dxa"/>
            <w:tcBorders>
              <w:top w:val="nil"/>
              <w:left w:val="nil"/>
              <w:bottom w:val="nil"/>
              <w:right w:val="nil"/>
            </w:tcBorders>
            <w:vAlign w:val="center"/>
          </w:tcPr>
          <w:p w14:paraId="75D1EDCF" w14:textId="77777777" w:rsidR="008D6A29" w:rsidRPr="004F619A" w:rsidRDefault="008D6A29" w:rsidP="00260D7D">
            <w:pPr>
              <w:tabs>
                <w:tab w:val="left" w:pos="567"/>
              </w:tabs>
              <w:rPr>
                <w:rFonts w:asciiTheme="majorBidi" w:hAnsiTheme="majorBidi" w:cstheme="majorBidi"/>
                <w:color w:val="000000"/>
                <w:sz w:val="20"/>
                <w:szCs w:val="20"/>
              </w:rPr>
            </w:pPr>
            <w:r w:rsidRPr="004F619A">
              <w:rPr>
                <w:rFonts w:asciiTheme="majorBidi" w:hAnsiTheme="majorBidi" w:cstheme="majorBidi"/>
                <w:color w:val="000000"/>
                <w:sz w:val="20"/>
                <w:szCs w:val="20"/>
              </w:rPr>
              <w:t>Directors Predating CEO (DCEO)</w:t>
            </w:r>
          </w:p>
        </w:tc>
        <w:tc>
          <w:tcPr>
            <w:tcW w:w="990" w:type="dxa"/>
            <w:tcBorders>
              <w:top w:val="nil"/>
              <w:left w:val="nil"/>
              <w:bottom w:val="nil"/>
              <w:right w:val="nil"/>
            </w:tcBorders>
            <w:vAlign w:val="center"/>
          </w:tcPr>
          <w:p w14:paraId="119D1530" w14:textId="77777777" w:rsidR="008D6A29" w:rsidRPr="008B51A8"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0.275</w:t>
            </w:r>
          </w:p>
        </w:tc>
        <w:tc>
          <w:tcPr>
            <w:tcW w:w="990" w:type="dxa"/>
            <w:tcBorders>
              <w:top w:val="nil"/>
              <w:left w:val="nil"/>
              <w:bottom w:val="nil"/>
              <w:right w:val="nil"/>
            </w:tcBorders>
            <w:vAlign w:val="center"/>
          </w:tcPr>
          <w:p w14:paraId="524296FF" w14:textId="77777777" w:rsidR="008D6A29" w:rsidRP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0.200</w:t>
            </w:r>
          </w:p>
        </w:tc>
        <w:tc>
          <w:tcPr>
            <w:tcW w:w="360" w:type="dxa"/>
            <w:tcBorders>
              <w:top w:val="nil"/>
              <w:left w:val="nil"/>
              <w:bottom w:val="nil"/>
              <w:right w:val="nil"/>
            </w:tcBorders>
            <w:vAlign w:val="center"/>
          </w:tcPr>
          <w:p w14:paraId="5FA79631" w14:textId="77777777" w:rsidR="008D6A29" w:rsidRPr="008B51A8" w:rsidRDefault="008D6A29" w:rsidP="00260D7D">
            <w:pPr>
              <w:tabs>
                <w:tab w:val="left" w:pos="567"/>
              </w:tabs>
              <w:jc w:val="center"/>
              <w:rPr>
                <w:rFonts w:asciiTheme="majorBidi" w:hAnsiTheme="majorBidi" w:cstheme="majorBidi"/>
                <w:color w:val="000000"/>
                <w:sz w:val="20"/>
                <w:szCs w:val="20"/>
              </w:rPr>
            </w:pPr>
          </w:p>
        </w:tc>
        <w:tc>
          <w:tcPr>
            <w:tcW w:w="990" w:type="dxa"/>
            <w:tcBorders>
              <w:top w:val="nil"/>
              <w:left w:val="nil"/>
              <w:bottom w:val="nil"/>
              <w:right w:val="nil"/>
            </w:tcBorders>
            <w:vAlign w:val="center"/>
          </w:tcPr>
          <w:p w14:paraId="3B39C2AC" w14:textId="77777777" w:rsidR="008D6A29" w:rsidRPr="008B51A8"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0.315</w:t>
            </w:r>
          </w:p>
        </w:tc>
        <w:tc>
          <w:tcPr>
            <w:tcW w:w="990" w:type="dxa"/>
            <w:tcBorders>
              <w:top w:val="nil"/>
              <w:left w:val="nil"/>
              <w:bottom w:val="nil"/>
              <w:right w:val="nil"/>
            </w:tcBorders>
            <w:vAlign w:val="center"/>
          </w:tcPr>
          <w:p w14:paraId="31EE1767" w14:textId="77777777" w:rsidR="008D6A29" w:rsidRP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0.218</w:t>
            </w:r>
          </w:p>
        </w:tc>
        <w:tc>
          <w:tcPr>
            <w:tcW w:w="270" w:type="dxa"/>
            <w:tcBorders>
              <w:top w:val="nil"/>
              <w:left w:val="nil"/>
              <w:bottom w:val="nil"/>
              <w:right w:val="nil"/>
            </w:tcBorders>
            <w:vAlign w:val="center"/>
          </w:tcPr>
          <w:p w14:paraId="160498DF" w14:textId="77777777" w:rsidR="008D6A29" w:rsidRPr="008B51A8" w:rsidRDefault="008D6A29" w:rsidP="00260D7D">
            <w:pPr>
              <w:tabs>
                <w:tab w:val="left" w:pos="567"/>
              </w:tabs>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bottom"/>
          </w:tcPr>
          <w:p w14:paraId="49695D4E" w14:textId="77777777" w:rsidR="008D6A29"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-0.040*</w:t>
            </w:r>
          </w:p>
          <w:p w14:paraId="6A2D5F50" w14:textId="77777777" w:rsidR="008D6A29" w:rsidRPr="0071713E"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(0.098)</w:t>
            </w:r>
          </w:p>
        </w:tc>
        <w:tc>
          <w:tcPr>
            <w:tcW w:w="1084" w:type="dxa"/>
            <w:gridSpan w:val="2"/>
            <w:tcBorders>
              <w:top w:val="nil"/>
              <w:left w:val="nil"/>
              <w:bottom w:val="nil"/>
              <w:right w:val="nil"/>
            </w:tcBorders>
            <w:shd w:val="clear" w:color="auto" w:fill="auto"/>
            <w:vAlign w:val="center"/>
          </w:tcPr>
          <w:p w14:paraId="69AE6211" w14:textId="77777777" w:rsid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-0.018</w:t>
            </w:r>
            <w:r>
              <w:rPr>
                <w:rFonts w:asciiTheme="majorBidi" w:hAnsiTheme="majorBidi" w:cstheme="majorBidi"/>
                <w:color w:val="000000"/>
                <w:sz w:val="20"/>
                <w:szCs w:val="20"/>
              </w:rPr>
              <w:t>*</w:t>
            </w:r>
          </w:p>
          <w:p w14:paraId="61F5167E" w14:textId="77777777" w:rsidR="008D6A29" w:rsidRPr="008D6A29"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(0.058)</w:t>
            </w:r>
          </w:p>
        </w:tc>
      </w:tr>
      <w:tr w:rsidR="008D6A29" w:rsidRPr="002E1EC0" w14:paraId="543264DF" w14:textId="77777777" w:rsidTr="006469DC">
        <w:trPr>
          <w:trHeight w:val="356"/>
          <w:jc w:val="center"/>
        </w:trPr>
        <w:tc>
          <w:tcPr>
            <w:tcW w:w="3960" w:type="dxa"/>
            <w:tcBorders>
              <w:top w:val="nil"/>
              <w:left w:val="nil"/>
              <w:bottom w:val="nil"/>
              <w:right w:val="nil"/>
            </w:tcBorders>
            <w:vAlign w:val="center"/>
          </w:tcPr>
          <w:p w14:paraId="71B49B36" w14:textId="77777777" w:rsidR="008D6A29" w:rsidRPr="004F619A" w:rsidRDefault="008D6A29" w:rsidP="00260D7D">
            <w:pPr>
              <w:tabs>
                <w:tab w:val="left" w:pos="567"/>
              </w:tabs>
              <w:rPr>
                <w:rFonts w:asciiTheme="majorBidi" w:hAnsiTheme="majorBidi" w:cstheme="majorBidi"/>
                <w:color w:val="000000"/>
                <w:sz w:val="20"/>
                <w:szCs w:val="20"/>
              </w:rPr>
            </w:pPr>
            <w:r w:rsidRPr="004F619A">
              <w:rPr>
                <w:rFonts w:asciiTheme="majorBidi" w:hAnsiTheme="majorBidi" w:cstheme="majorBidi"/>
                <w:color w:val="000000"/>
                <w:sz w:val="20"/>
                <w:szCs w:val="20"/>
              </w:rPr>
              <w:t>Director External Experience (DEEP)</w:t>
            </w:r>
          </w:p>
        </w:tc>
        <w:tc>
          <w:tcPr>
            <w:tcW w:w="990" w:type="dxa"/>
            <w:tcBorders>
              <w:top w:val="nil"/>
              <w:left w:val="nil"/>
              <w:bottom w:val="nil"/>
              <w:right w:val="nil"/>
            </w:tcBorders>
            <w:vAlign w:val="center"/>
          </w:tcPr>
          <w:p w14:paraId="38B35882" w14:textId="77777777" w:rsidR="008D6A29" w:rsidRPr="008B51A8"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3.746</w:t>
            </w:r>
          </w:p>
        </w:tc>
        <w:tc>
          <w:tcPr>
            <w:tcW w:w="990" w:type="dxa"/>
            <w:tcBorders>
              <w:top w:val="nil"/>
              <w:left w:val="nil"/>
              <w:bottom w:val="nil"/>
              <w:right w:val="nil"/>
            </w:tcBorders>
            <w:vAlign w:val="center"/>
          </w:tcPr>
          <w:p w14:paraId="535750A9" w14:textId="77777777" w:rsidR="008D6A29" w:rsidRP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3.600</w:t>
            </w:r>
          </w:p>
        </w:tc>
        <w:tc>
          <w:tcPr>
            <w:tcW w:w="360" w:type="dxa"/>
            <w:tcBorders>
              <w:top w:val="nil"/>
              <w:left w:val="nil"/>
              <w:bottom w:val="nil"/>
              <w:right w:val="nil"/>
            </w:tcBorders>
            <w:vAlign w:val="center"/>
          </w:tcPr>
          <w:p w14:paraId="57BE50A4" w14:textId="77777777" w:rsidR="008D6A29" w:rsidRPr="008B51A8" w:rsidRDefault="008D6A29" w:rsidP="00260D7D">
            <w:pPr>
              <w:tabs>
                <w:tab w:val="left" w:pos="567"/>
              </w:tabs>
              <w:jc w:val="center"/>
              <w:rPr>
                <w:rFonts w:asciiTheme="majorBidi" w:hAnsiTheme="majorBidi" w:cstheme="majorBidi"/>
                <w:color w:val="000000"/>
                <w:sz w:val="20"/>
                <w:szCs w:val="20"/>
              </w:rPr>
            </w:pPr>
          </w:p>
        </w:tc>
        <w:tc>
          <w:tcPr>
            <w:tcW w:w="990" w:type="dxa"/>
            <w:tcBorders>
              <w:top w:val="nil"/>
              <w:left w:val="nil"/>
              <w:bottom w:val="nil"/>
              <w:right w:val="nil"/>
            </w:tcBorders>
            <w:vAlign w:val="center"/>
          </w:tcPr>
          <w:p w14:paraId="3B2876F9" w14:textId="77777777" w:rsidR="008D6A29" w:rsidRPr="008B51A8"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2.619</w:t>
            </w:r>
          </w:p>
        </w:tc>
        <w:tc>
          <w:tcPr>
            <w:tcW w:w="990" w:type="dxa"/>
            <w:tcBorders>
              <w:top w:val="nil"/>
              <w:left w:val="nil"/>
              <w:bottom w:val="nil"/>
              <w:right w:val="nil"/>
            </w:tcBorders>
            <w:vAlign w:val="center"/>
          </w:tcPr>
          <w:p w14:paraId="1A690EAB" w14:textId="77777777" w:rsidR="008D6A29" w:rsidRP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2.279</w:t>
            </w:r>
          </w:p>
        </w:tc>
        <w:tc>
          <w:tcPr>
            <w:tcW w:w="270" w:type="dxa"/>
            <w:tcBorders>
              <w:top w:val="nil"/>
              <w:left w:val="nil"/>
              <w:bottom w:val="nil"/>
              <w:right w:val="nil"/>
            </w:tcBorders>
            <w:vAlign w:val="center"/>
          </w:tcPr>
          <w:p w14:paraId="4B64724A" w14:textId="77777777" w:rsidR="008D6A29" w:rsidRPr="008B51A8" w:rsidRDefault="008D6A29" w:rsidP="00260D7D">
            <w:pPr>
              <w:tabs>
                <w:tab w:val="left" w:pos="567"/>
              </w:tabs>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bottom"/>
          </w:tcPr>
          <w:p w14:paraId="67815540" w14:textId="77777777" w:rsidR="008D6A29"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1.127***</w:t>
            </w:r>
          </w:p>
          <w:p w14:paraId="67B06651" w14:textId="77777777" w:rsidR="008D6A29" w:rsidRPr="0071713E"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(0.000)</w:t>
            </w:r>
          </w:p>
        </w:tc>
        <w:tc>
          <w:tcPr>
            <w:tcW w:w="1084" w:type="dxa"/>
            <w:gridSpan w:val="2"/>
            <w:tcBorders>
              <w:top w:val="nil"/>
              <w:left w:val="nil"/>
              <w:bottom w:val="nil"/>
              <w:right w:val="nil"/>
            </w:tcBorders>
            <w:shd w:val="clear" w:color="auto" w:fill="auto"/>
            <w:vAlign w:val="center"/>
          </w:tcPr>
          <w:p w14:paraId="75522B1B" w14:textId="77777777" w:rsid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1.321</w:t>
            </w:r>
            <w:r>
              <w:rPr>
                <w:rFonts w:asciiTheme="majorBidi" w:hAnsiTheme="majorBidi" w:cstheme="majorBidi"/>
                <w:color w:val="000000"/>
                <w:sz w:val="20"/>
                <w:szCs w:val="20"/>
              </w:rPr>
              <w:t>***</w:t>
            </w:r>
          </w:p>
          <w:p w14:paraId="6C4CAA69" w14:textId="77777777" w:rsidR="008D6A29" w:rsidRPr="008D6A29"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(0.000)</w:t>
            </w:r>
          </w:p>
        </w:tc>
      </w:tr>
      <w:tr w:rsidR="008D6A29" w:rsidRPr="002E1EC0" w14:paraId="56EC8DEF" w14:textId="77777777" w:rsidTr="006469DC">
        <w:trPr>
          <w:trHeight w:val="356"/>
          <w:jc w:val="center"/>
        </w:trPr>
        <w:tc>
          <w:tcPr>
            <w:tcW w:w="3960" w:type="dxa"/>
            <w:tcBorders>
              <w:top w:val="nil"/>
              <w:left w:val="nil"/>
              <w:bottom w:val="nil"/>
              <w:right w:val="nil"/>
            </w:tcBorders>
            <w:vAlign w:val="center"/>
          </w:tcPr>
          <w:p w14:paraId="2C549A0D" w14:textId="77777777" w:rsidR="008D6A29" w:rsidRPr="004F619A" w:rsidRDefault="008D6A29" w:rsidP="00260D7D">
            <w:pPr>
              <w:tabs>
                <w:tab w:val="left" w:pos="567"/>
              </w:tabs>
              <w:rPr>
                <w:rFonts w:asciiTheme="majorBidi" w:hAnsiTheme="majorBidi" w:cstheme="majorBidi"/>
                <w:color w:val="000000"/>
                <w:sz w:val="20"/>
                <w:szCs w:val="20"/>
              </w:rPr>
            </w:pPr>
            <w:r w:rsidRPr="004F619A">
              <w:rPr>
                <w:rFonts w:asciiTheme="majorBidi" w:hAnsiTheme="majorBidi" w:cstheme="majorBidi"/>
                <w:color w:val="000000"/>
                <w:sz w:val="20"/>
                <w:szCs w:val="20"/>
              </w:rPr>
              <w:t>Director Internal Experience (DIEP)</w:t>
            </w:r>
          </w:p>
        </w:tc>
        <w:tc>
          <w:tcPr>
            <w:tcW w:w="990" w:type="dxa"/>
            <w:tcBorders>
              <w:top w:val="nil"/>
              <w:left w:val="nil"/>
              <w:bottom w:val="nil"/>
              <w:right w:val="nil"/>
            </w:tcBorders>
            <w:vAlign w:val="center"/>
          </w:tcPr>
          <w:p w14:paraId="44A6B2CC" w14:textId="77777777" w:rsidR="008D6A29" w:rsidRPr="008B51A8"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8.546</w:t>
            </w:r>
          </w:p>
        </w:tc>
        <w:tc>
          <w:tcPr>
            <w:tcW w:w="990" w:type="dxa"/>
            <w:tcBorders>
              <w:top w:val="nil"/>
              <w:left w:val="nil"/>
              <w:bottom w:val="nil"/>
              <w:right w:val="nil"/>
            </w:tcBorders>
            <w:vAlign w:val="center"/>
          </w:tcPr>
          <w:p w14:paraId="4A26204A" w14:textId="77777777" w:rsidR="008D6A29" w:rsidRP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8.169</w:t>
            </w:r>
          </w:p>
        </w:tc>
        <w:tc>
          <w:tcPr>
            <w:tcW w:w="360" w:type="dxa"/>
            <w:tcBorders>
              <w:top w:val="nil"/>
              <w:left w:val="nil"/>
              <w:bottom w:val="nil"/>
              <w:right w:val="nil"/>
            </w:tcBorders>
            <w:vAlign w:val="center"/>
          </w:tcPr>
          <w:p w14:paraId="33B18B1A" w14:textId="77777777" w:rsidR="008D6A29" w:rsidRPr="008B51A8" w:rsidRDefault="008D6A29" w:rsidP="00260D7D">
            <w:pPr>
              <w:tabs>
                <w:tab w:val="left" w:pos="567"/>
              </w:tabs>
              <w:jc w:val="center"/>
              <w:rPr>
                <w:rFonts w:asciiTheme="majorBidi" w:hAnsiTheme="majorBidi" w:cstheme="majorBidi"/>
                <w:color w:val="000000"/>
                <w:sz w:val="20"/>
                <w:szCs w:val="20"/>
              </w:rPr>
            </w:pPr>
          </w:p>
        </w:tc>
        <w:tc>
          <w:tcPr>
            <w:tcW w:w="990" w:type="dxa"/>
            <w:tcBorders>
              <w:top w:val="nil"/>
              <w:left w:val="nil"/>
              <w:bottom w:val="nil"/>
              <w:right w:val="nil"/>
            </w:tcBorders>
            <w:vAlign w:val="center"/>
          </w:tcPr>
          <w:p w14:paraId="3D324494" w14:textId="77777777" w:rsidR="008D6A29" w:rsidRPr="008B51A8"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5.539</w:t>
            </w:r>
          </w:p>
        </w:tc>
        <w:tc>
          <w:tcPr>
            <w:tcW w:w="990" w:type="dxa"/>
            <w:tcBorders>
              <w:top w:val="nil"/>
              <w:left w:val="nil"/>
              <w:bottom w:val="nil"/>
              <w:right w:val="nil"/>
            </w:tcBorders>
            <w:vAlign w:val="center"/>
          </w:tcPr>
          <w:p w14:paraId="4C7DBD54" w14:textId="77777777" w:rsidR="008D6A29" w:rsidRP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4.811</w:t>
            </w:r>
          </w:p>
        </w:tc>
        <w:tc>
          <w:tcPr>
            <w:tcW w:w="270" w:type="dxa"/>
            <w:tcBorders>
              <w:top w:val="nil"/>
              <w:left w:val="nil"/>
              <w:bottom w:val="nil"/>
              <w:right w:val="nil"/>
            </w:tcBorders>
            <w:vAlign w:val="center"/>
          </w:tcPr>
          <w:p w14:paraId="0ED51802" w14:textId="77777777" w:rsidR="008D6A29" w:rsidRPr="008B51A8" w:rsidRDefault="008D6A29" w:rsidP="00260D7D">
            <w:pPr>
              <w:tabs>
                <w:tab w:val="left" w:pos="567"/>
              </w:tabs>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bottom"/>
          </w:tcPr>
          <w:p w14:paraId="2006CC10" w14:textId="77777777" w:rsidR="008D6A29"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3.007***</w:t>
            </w:r>
          </w:p>
          <w:p w14:paraId="3FCF324B" w14:textId="77777777" w:rsidR="008D6A29" w:rsidRPr="0071713E"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(0.000)</w:t>
            </w:r>
          </w:p>
        </w:tc>
        <w:tc>
          <w:tcPr>
            <w:tcW w:w="1084" w:type="dxa"/>
            <w:gridSpan w:val="2"/>
            <w:tcBorders>
              <w:top w:val="nil"/>
              <w:left w:val="nil"/>
              <w:bottom w:val="nil"/>
              <w:right w:val="nil"/>
            </w:tcBorders>
            <w:shd w:val="clear" w:color="auto" w:fill="auto"/>
            <w:vAlign w:val="center"/>
          </w:tcPr>
          <w:p w14:paraId="0AC92EBB" w14:textId="77777777" w:rsid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3.358</w:t>
            </w:r>
            <w:r>
              <w:rPr>
                <w:rFonts w:asciiTheme="majorBidi" w:hAnsiTheme="majorBidi" w:cstheme="majorBidi"/>
                <w:color w:val="000000"/>
                <w:sz w:val="20"/>
                <w:szCs w:val="20"/>
              </w:rPr>
              <w:t>***</w:t>
            </w:r>
          </w:p>
          <w:p w14:paraId="63127A59" w14:textId="77777777" w:rsidR="008D6A29" w:rsidRPr="008D6A29"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(0.000)</w:t>
            </w:r>
          </w:p>
        </w:tc>
      </w:tr>
      <w:tr w:rsidR="008D6A29" w:rsidRPr="002E1EC0" w14:paraId="4D011DC9" w14:textId="77777777" w:rsidTr="006469DC">
        <w:trPr>
          <w:trHeight w:val="356"/>
          <w:jc w:val="center"/>
        </w:trPr>
        <w:tc>
          <w:tcPr>
            <w:tcW w:w="3960" w:type="dxa"/>
            <w:tcBorders>
              <w:top w:val="nil"/>
              <w:left w:val="nil"/>
              <w:bottom w:val="nil"/>
              <w:right w:val="nil"/>
            </w:tcBorders>
            <w:vAlign w:val="center"/>
          </w:tcPr>
          <w:p w14:paraId="4C0DEF5A" w14:textId="77777777" w:rsidR="008D6A29" w:rsidRPr="004F619A" w:rsidRDefault="008D6A29" w:rsidP="00260D7D">
            <w:pPr>
              <w:tabs>
                <w:tab w:val="left" w:pos="567"/>
              </w:tabs>
              <w:rPr>
                <w:rFonts w:asciiTheme="majorBidi" w:hAnsiTheme="majorBidi" w:cstheme="majorBidi"/>
                <w:color w:val="000000"/>
                <w:sz w:val="20"/>
                <w:szCs w:val="20"/>
              </w:rPr>
            </w:pPr>
            <w:r w:rsidRPr="004F619A">
              <w:rPr>
                <w:rFonts w:asciiTheme="majorBidi" w:hAnsiTheme="majorBidi" w:cstheme="majorBidi"/>
                <w:color w:val="000000"/>
                <w:sz w:val="20"/>
                <w:szCs w:val="20"/>
              </w:rPr>
              <w:t>Director Company Experience (DCEP)</w:t>
            </w:r>
          </w:p>
        </w:tc>
        <w:tc>
          <w:tcPr>
            <w:tcW w:w="990" w:type="dxa"/>
            <w:tcBorders>
              <w:top w:val="nil"/>
              <w:left w:val="nil"/>
              <w:bottom w:val="nil"/>
              <w:right w:val="nil"/>
            </w:tcBorders>
            <w:vAlign w:val="center"/>
          </w:tcPr>
          <w:p w14:paraId="4DA42E41" w14:textId="77777777" w:rsidR="008D6A29" w:rsidRPr="008B51A8"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9.587</w:t>
            </w:r>
          </w:p>
        </w:tc>
        <w:tc>
          <w:tcPr>
            <w:tcW w:w="990" w:type="dxa"/>
            <w:tcBorders>
              <w:top w:val="nil"/>
              <w:left w:val="nil"/>
              <w:bottom w:val="nil"/>
              <w:right w:val="nil"/>
            </w:tcBorders>
            <w:vAlign w:val="center"/>
          </w:tcPr>
          <w:p w14:paraId="2E8F564C" w14:textId="77777777" w:rsidR="008D6A29" w:rsidRP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9.200</w:t>
            </w:r>
          </w:p>
        </w:tc>
        <w:tc>
          <w:tcPr>
            <w:tcW w:w="360" w:type="dxa"/>
            <w:tcBorders>
              <w:top w:val="nil"/>
              <w:left w:val="nil"/>
              <w:bottom w:val="nil"/>
              <w:right w:val="nil"/>
            </w:tcBorders>
            <w:vAlign w:val="center"/>
          </w:tcPr>
          <w:p w14:paraId="4BEE5D8D" w14:textId="77777777" w:rsidR="008D6A29" w:rsidRPr="008B51A8" w:rsidRDefault="008D6A29" w:rsidP="00260D7D">
            <w:pPr>
              <w:tabs>
                <w:tab w:val="left" w:pos="567"/>
              </w:tabs>
              <w:jc w:val="center"/>
              <w:rPr>
                <w:rFonts w:asciiTheme="majorBidi" w:hAnsiTheme="majorBidi" w:cstheme="majorBidi"/>
                <w:color w:val="000000"/>
                <w:sz w:val="20"/>
                <w:szCs w:val="20"/>
              </w:rPr>
            </w:pPr>
          </w:p>
        </w:tc>
        <w:tc>
          <w:tcPr>
            <w:tcW w:w="990" w:type="dxa"/>
            <w:tcBorders>
              <w:top w:val="nil"/>
              <w:left w:val="nil"/>
              <w:bottom w:val="nil"/>
              <w:right w:val="nil"/>
            </w:tcBorders>
            <w:vAlign w:val="center"/>
          </w:tcPr>
          <w:p w14:paraId="1287D00E" w14:textId="77777777" w:rsidR="008D6A29" w:rsidRPr="008B51A8"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6.221</w:t>
            </w:r>
          </w:p>
        </w:tc>
        <w:tc>
          <w:tcPr>
            <w:tcW w:w="990" w:type="dxa"/>
            <w:tcBorders>
              <w:top w:val="nil"/>
              <w:left w:val="nil"/>
              <w:bottom w:val="nil"/>
              <w:right w:val="nil"/>
            </w:tcBorders>
            <w:vAlign w:val="center"/>
          </w:tcPr>
          <w:p w14:paraId="7F4556CA" w14:textId="77777777" w:rsidR="008D6A29" w:rsidRP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5.114</w:t>
            </w:r>
          </w:p>
        </w:tc>
        <w:tc>
          <w:tcPr>
            <w:tcW w:w="270" w:type="dxa"/>
            <w:tcBorders>
              <w:top w:val="nil"/>
              <w:left w:val="nil"/>
              <w:bottom w:val="nil"/>
              <w:right w:val="nil"/>
            </w:tcBorders>
            <w:vAlign w:val="center"/>
          </w:tcPr>
          <w:p w14:paraId="221F7BF2" w14:textId="77777777" w:rsidR="008D6A29" w:rsidRPr="008B51A8" w:rsidRDefault="008D6A29" w:rsidP="00260D7D">
            <w:pPr>
              <w:tabs>
                <w:tab w:val="left" w:pos="567"/>
              </w:tabs>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bottom"/>
          </w:tcPr>
          <w:p w14:paraId="2CE2B06F" w14:textId="77777777" w:rsidR="008D6A29"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3.366***</w:t>
            </w:r>
          </w:p>
          <w:p w14:paraId="0F974AAC" w14:textId="77777777" w:rsidR="008D6A29" w:rsidRPr="0071713E"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(0.000)</w:t>
            </w:r>
          </w:p>
        </w:tc>
        <w:tc>
          <w:tcPr>
            <w:tcW w:w="1084" w:type="dxa"/>
            <w:gridSpan w:val="2"/>
            <w:tcBorders>
              <w:top w:val="nil"/>
              <w:left w:val="nil"/>
              <w:bottom w:val="nil"/>
              <w:right w:val="nil"/>
            </w:tcBorders>
            <w:shd w:val="clear" w:color="auto" w:fill="auto"/>
            <w:vAlign w:val="center"/>
          </w:tcPr>
          <w:p w14:paraId="3A1872BD" w14:textId="77777777" w:rsid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4.086</w:t>
            </w:r>
            <w:r>
              <w:rPr>
                <w:rFonts w:asciiTheme="majorBidi" w:hAnsiTheme="majorBidi" w:cstheme="majorBidi"/>
                <w:color w:val="000000"/>
                <w:sz w:val="20"/>
                <w:szCs w:val="20"/>
              </w:rPr>
              <w:t>***</w:t>
            </w:r>
          </w:p>
          <w:p w14:paraId="56F696B9" w14:textId="77777777" w:rsidR="008D6A29" w:rsidRPr="008D6A29"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(0.000)</w:t>
            </w:r>
          </w:p>
        </w:tc>
      </w:tr>
      <w:tr w:rsidR="008D6A29" w:rsidRPr="002E1EC0" w14:paraId="6D7AC7E4" w14:textId="77777777" w:rsidTr="006469DC">
        <w:trPr>
          <w:trHeight w:val="356"/>
          <w:jc w:val="center"/>
        </w:trPr>
        <w:tc>
          <w:tcPr>
            <w:tcW w:w="3960" w:type="dxa"/>
            <w:tcBorders>
              <w:top w:val="nil"/>
              <w:left w:val="nil"/>
              <w:bottom w:val="nil"/>
              <w:right w:val="nil"/>
            </w:tcBorders>
            <w:vAlign w:val="center"/>
          </w:tcPr>
          <w:p w14:paraId="3EE0750C" w14:textId="77777777" w:rsidR="008D6A29" w:rsidRPr="004F619A" w:rsidRDefault="008D6A29" w:rsidP="00260D7D">
            <w:pPr>
              <w:tabs>
                <w:tab w:val="left" w:pos="567"/>
              </w:tabs>
              <w:rPr>
                <w:rFonts w:asciiTheme="majorBidi" w:hAnsiTheme="majorBidi" w:cstheme="majorBidi"/>
                <w:color w:val="000000"/>
                <w:sz w:val="20"/>
                <w:szCs w:val="20"/>
              </w:rPr>
            </w:pPr>
            <w:r w:rsidRPr="004F619A">
              <w:rPr>
                <w:rFonts w:asciiTheme="majorBidi" w:hAnsiTheme="majorBidi" w:cstheme="majorBidi"/>
                <w:color w:val="000000"/>
                <w:sz w:val="20"/>
                <w:szCs w:val="20"/>
              </w:rPr>
              <w:t>Director busyness (BUSY)</w:t>
            </w:r>
          </w:p>
        </w:tc>
        <w:tc>
          <w:tcPr>
            <w:tcW w:w="990" w:type="dxa"/>
            <w:tcBorders>
              <w:top w:val="nil"/>
              <w:left w:val="nil"/>
              <w:bottom w:val="nil"/>
              <w:right w:val="nil"/>
            </w:tcBorders>
            <w:vAlign w:val="center"/>
          </w:tcPr>
          <w:p w14:paraId="43F71CB5" w14:textId="77777777" w:rsidR="008D6A29" w:rsidRPr="008B51A8"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0.572</w:t>
            </w:r>
          </w:p>
        </w:tc>
        <w:tc>
          <w:tcPr>
            <w:tcW w:w="990" w:type="dxa"/>
            <w:tcBorders>
              <w:top w:val="nil"/>
              <w:left w:val="nil"/>
              <w:bottom w:val="nil"/>
              <w:right w:val="nil"/>
            </w:tcBorders>
            <w:vAlign w:val="center"/>
          </w:tcPr>
          <w:p w14:paraId="7A15334D" w14:textId="77777777" w:rsidR="008D6A29" w:rsidRP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1.000</w:t>
            </w:r>
          </w:p>
        </w:tc>
        <w:tc>
          <w:tcPr>
            <w:tcW w:w="360" w:type="dxa"/>
            <w:tcBorders>
              <w:top w:val="nil"/>
              <w:left w:val="nil"/>
              <w:bottom w:val="nil"/>
              <w:right w:val="nil"/>
            </w:tcBorders>
            <w:vAlign w:val="center"/>
          </w:tcPr>
          <w:p w14:paraId="1A5E123A" w14:textId="77777777" w:rsidR="008D6A29" w:rsidRPr="008B51A8" w:rsidRDefault="008D6A29" w:rsidP="00260D7D">
            <w:pPr>
              <w:tabs>
                <w:tab w:val="left" w:pos="567"/>
              </w:tabs>
              <w:jc w:val="center"/>
              <w:rPr>
                <w:rFonts w:asciiTheme="majorBidi" w:hAnsiTheme="majorBidi" w:cstheme="majorBidi"/>
                <w:color w:val="000000"/>
                <w:sz w:val="20"/>
                <w:szCs w:val="20"/>
              </w:rPr>
            </w:pPr>
          </w:p>
        </w:tc>
        <w:tc>
          <w:tcPr>
            <w:tcW w:w="990" w:type="dxa"/>
            <w:tcBorders>
              <w:top w:val="nil"/>
              <w:left w:val="nil"/>
              <w:bottom w:val="nil"/>
              <w:right w:val="nil"/>
            </w:tcBorders>
            <w:vAlign w:val="center"/>
          </w:tcPr>
          <w:p w14:paraId="25EDFB49" w14:textId="77777777" w:rsidR="008D6A29" w:rsidRPr="008B51A8"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0.507</w:t>
            </w:r>
          </w:p>
        </w:tc>
        <w:tc>
          <w:tcPr>
            <w:tcW w:w="990" w:type="dxa"/>
            <w:tcBorders>
              <w:top w:val="nil"/>
              <w:left w:val="nil"/>
              <w:bottom w:val="nil"/>
              <w:right w:val="nil"/>
            </w:tcBorders>
            <w:vAlign w:val="center"/>
          </w:tcPr>
          <w:p w14:paraId="35CDEC8C" w14:textId="77777777" w:rsidR="008D6A29" w:rsidRP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1.000</w:t>
            </w:r>
          </w:p>
        </w:tc>
        <w:tc>
          <w:tcPr>
            <w:tcW w:w="270" w:type="dxa"/>
            <w:tcBorders>
              <w:top w:val="nil"/>
              <w:left w:val="nil"/>
              <w:bottom w:val="nil"/>
              <w:right w:val="nil"/>
            </w:tcBorders>
            <w:vAlign w:val="center"/>
          </w:tcPr>
          <w:p w14:paraId="37F88636" w14:textId="77777777" w:rsidR="008D6A29" w:rsidRPr="008B51A8" w:rsidRDefault="008D6A29" w:rsidP="00260D7D">
            <w:pPr>
              <w:tabs>
                <w:tab w:val="left" w:pos="567"/>
              </w:tabs>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bottom"/>
          </w:tcPr>
          <w:p w14:paraId="544186CE" w14:textId="77777777" w:rsidR="008D6A29"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0.066</w:t>
            </w:r>
          </w:p>
          <w:p w14:paraId="70DD67B9" w14:textId="77777777" w:rsidR="008D6A29" w:rsidRPr="0071713E"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(0.117)</w:t>
            </w:r>
          </w:p>
        </w:tc>
        <w:tc>
          <w:tcPr>
            <w:tcW w:w="1084" w:type="dxa"/>
            <w:gridSpan w:val="2"/>
            <w:tcBorders>
              <w:top w:val="nil"/>
              <w:left w:val="nil"/>
              <w:bottom w:val="nil"/>
              <w:right w:val="nil"/>
            </w:tcBorders>
            <w:shd w:val="clear" w:color="auto" w:fill="auto"/>
            <w:vAlign w:val="center"/>
          </w:tcPr>
          <w:p w14:paraId="78E10AB5" w14:textId="77777777" w:rsid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0.000</w:t>
            </w:r>
          </w:p>
          <w:p w14:paraId="6C64AE2C" w14:textId="77777777" w:rsidR="008D6A29" w:rsidRPr="008D6A29"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(0.110)</w:t>
            </w:r>
          </w:p>
        </w:tc>
      </w:tr>
      <w:tr w:rsidR="008D6A29" w:rsidRPr="002E1EC0" w14:paraId="72A89BA8" w14:textId="77777777" w:rsidTr="006469DC">
        <w:trPr>
          <w:trHeight w:val="356"/>
          <w:jc w:val="center"/>
        </w:trPr>
        <w:tc>
          <w:tcPr>
            <w:tcW w:w="3960" w:type="dxa"/>
            <w:tcBorders>
              <w:top w:val="nil"/>
              <w:left w:val="nil"/>
              <w:bottom w:val="nil"/>
              <w:right w:val="nil"/>
            </w:tcBorders>
            <w:vAlign w:val="center"/>
          </w:tcPr>
          <w:p w14:paraId="1A53640D" w14:textId="77777777" w:rsidR="008D6A29" w:rsidRPr="004F619A" w:rsidRDefault="008D6A29" w:rsidP="00260D7D">
            <w:pPr>
              <w:tabs>
                <w:tab w:val="left" w:pos="567"/>
              </w:tabs>
              <w:rPr>
                <w:rFonts w:asciiTheme="majorBidi" w:hAnsiTheme="majorBidi" w:cstheme="majorBidi"/>
                <w:color w:val="000000"/>
                <w:sz w:val="20"/>
                <w:szCs w:val="20"/>
              </w:rPr>
            </w:pPr>
            <w:r w:rsidRPr="004F619A">
              <w:rPr>
                <w:rFonts w:asciiTheme="majorBidi" w:hAnsiTheme="majorBidi" w:cstheme="majorBidi"/>
                <w:color w:val="000000"/>
                <w:sz w:val="20"/>
                <w:szCs w:val="20"/>
              </w:rPr>
              <w:t>Directors compensation (DCOM)</w:t>
            </w:r>
          </w:p>
        </w:tc>
        <w:tc>
          <w:tcPr>
            <w:tcW w:w="990" w:type="dxa"/>
            <w:tcBorders>
              <w:top w:val="nil"/>
              <w:left w:val="nil"/>
              <w:bottom w:val="nil"/>
              <w:right w:val="nil"/>
            </w:tcBorders>
            <w:vAlign w:val="center"/>
          </w:tcPr>
          <w:p w14:paraId="0C3201B2" w14:textId="77777777" w:rsidR="008D6A29" w:rsidRPr="008B51A8"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0.275</w:t>
            </w:r>
          </w:p>
        </w:tc>
        <w:tc>
          <w:tcPr>
            <w:tcW w:w="990" w:type="dxa"/>
            <w:tcBorders>
              <w:top w:val="nil"/>
              <w:left w:val="nil"/>
              <w:bottom w:val="nil"/>
              <w:right w:val="nil"/>
            </w:tcBorders>
            <w:vAlign w:val="center"/>
          </w:tcPr>
          <w:p w14:paraId="7577BB43" w14:textId="77777777" w:rsidR="008D6A29" w:rsidRP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0.000</w:t>
            </w:r>
          </w:p>
        </w:tc>
        <w:tc>
          <w:tcPr>
            <w:tcW w:w="360" w:type="dxa"/>
            <w:tcBorders>
              <w:top w:val="nil"/>
              <w:left w:val="nil"/>
              <w:bottom w:val="nil"/>
              <w:right w:val="nil"/>
            </w:tcBorders>
            <w:vAlign w:val="center"/>
          </w:tcPr>
          <w:p w14:paraId="0D5802FD" w14:textId="77777777" w:rsidR="008D6A29" w:rsidRPr="008B51A8" w:rsidRDefault="008D6A29" w:rsidP="00260D7D">
            <w:pPr>
              <w:tabs>
                <w:tab w:val="left" w:pos="567"/>
              </w:tabs>
              <w:jc w:val="center"/>
              <w:rPr>
                <w:rFonts w:asciiTheme="majorBidi" w:hAnsiTheme="majorBidi" w:cstheme="majorBidi"/>
                <w:color w:val="000000"/>
                <w:sz w:val="20"/>
                <w:szCs w:val="20"/>
              </w:rPr>
            </w:pPr>
          </w:p>
        </w:tc>
        <w:tc>
          <w:tcPr>
            <w:tcW w:w="990" w:type="dxa"/>
            <w:tcBorders>
              <w:top w:val="nil"/>
              <w:left w:val="nil"/>
              <w:bottom w:val="nil"/>
              <w:right w:val="nil"/>
            </w:tcBorders>
            <w:vAlign w:val="center"/>
          </w:tcPr>
          <w:p w14:paraId="04774AF4" w14:textId="77777777" w:rsidR="008D6A29" w:rsidRPr="008B51A8"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0.178</w:t>
            </w:r>
          </w:p>
        </w:tc>
        <w:tc>
          <w:tcPr>
            <w:tcW w:w="990" w:type="dxa"/>
            <w:tcBorders>
              <w:top w:val="nil"/>
              <w:left w:val="nil"/>
              <w:bottom w:val="nil"/>
              <w:right w:val="nil"/>
            </w:tcBorders>
            <w:vAlign w:val="center"/>
          </w:tcPr>
          <w:p w14:paraId="6F83181A" w14:textId="77777777" w:rsidR="008D6A29" w:rsidRP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0.000</w:t>
            </w:r>
          </w:p>
        </w:tc>
        <w:tc>
          <w:tcPr>
            <w:tcW w:w="270" w:type="dxa"/>
            <w:tcBorders>
              <w:top w:val="nil"/>
              <w:left w:val="nil"/>
              <w:bottom w:val="nil"/>
              <w:right w:val="nil"/>
            </w:tcBorders>
            <w:vAlign w:val="center"/>
          </w:tcPr>
          <w:p w14:paraId="134096C2" w14:textId="77777777" w:rsidR="008D6A29" w:rsidRPr="008B51A8" w:rsidRDefault="008D6A29" w:rsidP="00260D7D">
            <w:pPr>
              <w:tabs>
                <w:tab w:val="left" w:pos="567"/>
              </w:tabs>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bottom"/>
          </w:tcPr>
          <w:p w14:paraId="2FE446F3" w14:textId="77777777" w:rsidR="008D6A29"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0.097***</w:t>
            </w:r>
          </w:p>
          <w:p w14:paraId="6382B423" w14:textId="77777777" w:rsidR="008D6A29" w:rsidRPr="0071713E"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(0.003)</w:t>
            </w:r>
          </w:p>
        </w:tc>
        <w:tc>
          <w:tcPr>
            <w:tcW w:w="1084" w:type="dxa"/>
            <w:gridSpan w:val="2"/>
            <w:tcBorders>
              <w:top w:val="nil"/>
              <w:left w:val="nil"/>
              <w:bottom w:val="nil"/>
              <w:right w:val="nil"/>
            </w:tcBorders>
            <w:shd w:val="clear" w:color="auto" w:fill="auto"/>
            <w:vAlign w:val="center"/>
          </w:tcPr>
          <w:p w14:paraId="28459715" w14:textId="77777777" w:rsidR="008D6A29" w:rsidRDefault="008D6A29"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0.000</w:t>
            </w:r>
            <w:r>
              <w:rPr>
                <w:rFonts w:asciiTheme="majorBidi" w:hAnsiTheme="majorBidi" w:cstheme="majorBidi"/>
                <w:color w:val="000000"/>
                <w:sz w:val="20"/>
                <w:szCs w:val="20"/>
              </w:rPr>
              <w:t>***</w:t>
            </w:r>
          </w:p>
          <w:p w14:paraId="10C1B77B" w14:textId="77777777" w:rsidR="008D6A29" w:rsidRPr="008D6A29" w:rsidRDefault="008D6A29"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(0.009)</w:t>
            </w:r>
          </w:p>
        </w:tc>
      </w:tr>
      <w:bookmarkEnd w:id="16"/>
      <w:tr w:rsidR="006469DC" w:rsidRPr="002E1EC0" w14:paraId="6869E0CA" w14:textId="77777777" w:rsidTr="006469DC">
        <w:trPr>
          <w:trHeight w:val="356"/>
          <w:jc w:val="center"/>
        </w:trPr>
        <w:tc>
          <w:tcPr>
            <w:tcW w:w="3960" w:type="dxa"/>
            <w:tcBorders>
              <w:top w:val="nil"/>
              <w:left w:val="nil"/>
              <w:bottom w:val="nil"/>
              <w:right w:val="nil"/>
            </w:tcBorders>
            <w:vAlign w:val="center"/>
          </w:tcPr>
          <w:p w14:paraId="49688227" w14:textId="546DE3CA" w:rsidR="006469DC" w:rsidRPr="004F619A" w:rsidRDefault="006469DC" w:rsidP="00260D7D">
            <w:pPr>
              <w:tabs>
                <w:tab w:val="left" w:pos="567"/>
              </w:tabs>
              <w:rPr>
                <w:rFonts w:asciiTheme="majorBidi" w:hAnsiTheme="majorBidi" w:cstheme="majorBidi"/>
                <w:color w:val="000000"/>
                <w:sz w:val="20"/>
                <w:szCs w:val="20"/>
              </w:rPr>
            </w:pPr>
            <w:r w:rsidRPr="006469DC">
              <w:rPr>
                <w:rFonts w:asciiTheme="majorBidi" w:hAnsiTheme="majorBidi" w:cstheme="majorBidi"/>
                <w:color w:val="000000"/>
                <w:sz w:val="20"/>
                <w:szCs w:val="20"/>
              </w:rPr>
              <w:t>Earnings before interest and taxes/total assets</w:t>
            </w:r>
          </w:p>
        </w:tc>
        <w:tc>
          <w:tcPr>
            <w:tcW w:w="990" w:type="dxa"/>
            <w:tcBorders>
              <w:top w:val="nil"/>
              <w:left w:val="nil"/>
              <w:bottom w:val="nil"/>
              <w:right w:val="nil"/>
            </w:tcBorders>
            <w:vAlign w:val="center"/>
          </w:tcPr>
          <w:p w14:paraId="4955F167" w14:textId="77777777" w:rsidR="006469DC" w:rsidRPr="008B51A8" w:rsidRDefault="00E727BA"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0.080</w:t>
            </w:r>
          </w:p>
        </w:tc>
        <w:tc>
          <w:tcPr>
            <w:tcW w:w="990" w:type="dxa"/>
            <w:tcBorders>
              <w:top w:val="nil"/>
              <w:left w:val="nil"/>
              <w:bottom w:val="nil"/>
              <w:right w:val="nil"/>
            </w:tcBorders>
            <w:vAlign w:val="center"/>
          </w:tcPr>
          <w:p w14:paraId="011AD117" w14:textId="77777777" w:rsidR="006469DC" w:rsidRPr="008D6A29" w:rsidRDefault="00B9771A"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0.080</w:t>
            </w:r>
          </w:p>
        </w:tc>
        <w:tc>
          <w:tcPr>
            <w:tcW w:w="360" w:type="dxa"/>
            <w:tcBorders>
              <w:top w:val="nil"/>
              <w:left w:val="nil"/>
              <w:bottom w:val="nil"/>
              <w:right w:val="nil"/>
            </w:tcBorders>
            <w:vAlign w:val="center"/>
          </w:tcPr>
          <w:p w14:paraId="7CD41C92" w14:textId="77777777" w:rsidR="006469DC" w:rsidRPr="008B51A8" w:rsidRDefault="006469DC" w:rsidP="00260D7D">
            <w:pPr>
              <w:tabs>
                <w:tab w:val="left" w:pos="567"/>
              </w:tabs>
              <w:jc w:val="center"/>
              <w:rPr>
                <w:rFonts w:asciiTheme="majorBidi" w:hAnsiTheme="majorBidi" w:cstheme="majorBidi"/>
                <w:color w:val="000000"/>
                <w:sz w:val="20"/>
                <w:szCs w:val="20"/>
              </w:rPr>
            </w:pPr>
          </w:p>
        </w:tc>
        <w:tc>
          <w:tcPr>
            <w:tcW w:w="990" w:type="dxa"/>
            <w:tcBorders>
              <w:top w:val="nil"/>
              <w:left w:val="nil"/>
              <w:bottom w:val="nil"/>
              <w:right w:val="nil"/>
            </w:tcBorders>
            <w:vAlign w:val="center"/>
          </w:tcPr>
          <w:p w14:paraId="7058F63D" w14:textId="77777777" w:rsidR="006469DC" w:rsidRPr="008B51A8" w:rsidRDefault="00E727BA"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-0.323</w:t>
            </w:r>
          </w:p>
        </w:tc>
        <w:tc>
          <w:tcPr>
            <w:tcW w:w="990" w:type="dxa"/>
            <w:tcBorders>
              <w:top w:val="nil"/>
              <w:left w:val="nil"/>
              <w:bottom w:val="nil"/>
              <w:right w:val="nil"/>
            </w:tcBorders>
            <w:vAlign w:val="center"/>
          </w:tcPr>
          <w:p w14:paraId="1FEB6871" w14:textId="77777777" w:rsidR="006469DC" w:rsidRPr="008D6A29" w:rsidRDefault="00B9771A"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-0.054</w:t>
            </w:r>
          </w:p>
        </w:tc>
        <w:tc>
          <w:tcPr>
            <w:tcW w:w="270" w:type="dxa"/>
            <w:tcBorders>
              <w:top w:val="nil"/>
              <w:left w:val="nil"/>
              <w:bottom w:val="nil"/>
              <w:right w:val="nil"/>
            </w:tcBorders>
            <w:vAlign w:val="center"/>
          </w:tcPr>
          <w:p w14:paraId="25126848" w14:textId="77777777" w:rsidR="006469DC" w:rsidRPr="008B51A8" w:rsidRDefault="006469DC" w:rsidP="00260D7D">
            <w:pPr>
              <w:tabs>
                <w:tab w:val="left" w:pos="567"/>
              </w:tabs>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bottom"/>
          </w:tcPr>
          <w:p w14:paraId="4E375298" w14:textId="77777777" w:rsidR="006469DC" w:rsidRDefault="006469DC"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w:t>
            </w:r>
            <w:r w:rsidR="00B9771A">
              <w:rPr>
                <w:rFonts w:asciiTheme="majorBidi" w:hAnsiTheme="majorBidi" w:cstheme="majorBidi"/>
                <w:color w:val="000000"/>
                <w:sz w:val="20"/>
                <w:szCs w:val="20"/>
              </w:rPr>
              <w:t>403</w:t>
            </w:r>
            <w:r>
              <w:rPr>
                <w:rFonts w:asciiTheme="majorBidi" w:hAnsiTheme="majorBidi" w:cstheme="majorBidi"/>
                <w:color w:val="000000"/>
                <w:sz w:val="20"/>
                <w:szCs w:val="20"/>
              </w:rPr>
              <w:t>***</w:t>
            </w:r>
          </w:p>
          <w:p w14:paraId="3B687327" w14:textId="77777777" w:rsidR="006469DC" w:rsidRPr="0071713E" w:rsidRDefault="006469DC"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w:t>
            </w:r>
            <w:r w:rsidR="00B9771A">
              <w:rPr>
                <w:rFonts w:asciiTheme="majorBidi" w:hAnsiTheme="majorBidi" w:cstheme="majorBidi"/>
                <w:color w:val="000000"/>
                <w:sz w:val="20"/>
                <w:szCs w:val="20"/>
              </w:rPr>
              <w:t>0</w:t>
            </w:r>
            <w:r>
              <w:rPr>
                <w:rFonts w:asciiTheme="majorBidi" w:hAnsiTheme="majorBidi" w:cstheme="majorBidi"/>
                <w:color w:val="000000"/>
                <w:sz w:val="20"/>
                <w:szCs w:val="20"/>
              </w:rPr>
              <w:t>)</w:t>
            </w:r>
          </w:p>
        </w:tc>
        <w:tc>
          <w:tcPr>
            <w:tcW w:w="1084" w:type="dxa"/>
            <w:gridSpan w:val="2"/>
            <w:tcBorders>
              <w:top w:val="nil"/>
              <w:left w:val="nil"/>
              <w:bottom w:val="nil"/>
              <w:right w:val="nil"/>
            </w:tcBorders>
            <w:shd w:val="clear" w:color="auto" w:fill="auto"/>
            <w:vAlign w:val="center"/>
          </w:tcPr>
          <w:p w14:paraId="31166228" w14:textId="77777777" w:rsidR="006469DC" w:rsidRDefault="00B9771A"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0.134</w:t>
            </w:r>
            <w:r w:rsidR="006469DC">
              <w:rPr>
                <w:rFonts w:asciiTheme="majorBidi" w:hAnsiTheme="majorBidi" w:cstheme="majorBidi"/>
                <w:color w:val="000000"/>
                <w:sz w:val="20"/>
                <w:szCs w:val="20"/>
              </w:rPr>
              <w:t>***</w:t>
            </w:r>
          </w:p>
          <w:p w14:paraId="42C05AD8" w14:textId="77777777" w:rsidR="006469DC" w:rsidRPr="008D6A29" w:rsidRDefault="006469DC"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w:t>
            </w:r>
            <w:r w:rsidR="00B9771A">
              <w:rPr>
                <w:rFonts w:asciiTheme="majorBidi" w:hAnsiTheme="majorBidi" w:cstheme="majorBidi"/>
                <w:color w:val="000000"/>
                <w:sz w:val="20"/>
                <w:szCs w:val="20"/>
              </w:rPr>
              <w:t>0</w:t>
            </w:r>
            <w:r>
              <w:rPr>
                <w:rFonts w:asciiTheme="majorBidi" w:hAnsiTheme="majorBidi" w:cstheme="majorBidi"/>
                <w:color w:val="000000"/>
                <w:sz w:val="20"/>
                <w:szCs w:val="20"/>
              </w:rPr>
              <w:t>)</w:t>
            </w:r>
          </w:p>
        </w:tc>
      </w:tr>
      <w:tr w:rsidR="006469DC" w:rsidRPr="002E1EC0" w14:paraId="2EB2C658" w14:textId="77777777" w:rsidTr="006469DC">
        <w:trPr>
          <w:trHeight w:val="356"/>
          <w:jc w:val="center"/>
        </w:trPr>
        <w:tc>
          <w:tcPr>
            <w:tcW w:w="3960" w:type="dxa"/>
            <w:tcBorders>
              <w:top w:val="nil"/>
              <w:left w:val="nil"/>
              <w:bottom w:val="nil"/>
              <w:right w:val="nil"/>
            </w:tcBorders>
            <w:vAlign w:val="center"/>
          </w:tcPr>
          <w:p w14:paraId="40E19ACC" w14:textId="77777777" w:rsidR="006469DC" w:rsidRPr="004F619A" w:rsidRDefault="006469DC" w:rsidP="00260D7D">
            <w:pPr>
              <w:tabs>
                <w:tab w:val="left" w:pos="567"/>
              </w:tabs>
              <w:rPr>
                <w:rFonts w:asciiTheme="majorBidi" w:hAnsiTheme="majorBidi" w:cstheme="majorBidi"/>
                <w:color w:val="000000"/>
                <w:sz w:val="20"/>
                <w:szCs w:val="20"/>
              </w:rPr>
            </w:pPr>
            <w:r w:rsidRPr="006469DC">
              <w:rPr>
                <w:rFonts w:asciiTheme="majorBidi" w:hAnsiTheme="majorBidi" w:cstheme="majorBidi"/>
                <w:color w:val="000000"/>
                <w:sz w:val="20"/>
                <w:szCs w:val="20"/>
              </w:rPr>
              <w:t>Working capital / total assets</w:t>
            </w:r>
          </w:p>
        </w:tc>
        <w:tc>
          <w:tcPr>
            <w:tcW w:w="990" w:type="dxa"/>
            <w:tcBorders>
              <w:top w:val="nil"/>
              <w:left w:val="nil"/>
              <w:bottom w:val="nil"/>
              <w:right w:val="nil"/>
            </w:tcBorders>
            <w:vAlign w:val="center"/>
          </w:tcPr>
          <w:p w14:paraId="29FC4FCA" w14:textId="77777777" w:rsidR="006469DC" w:rsidRPr="008B51A8" w:rsidRDefault="006469DC"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w:t>
            </w:r>
            <w:r w:rsidR="00B9771A">
              <w:rPr>
                <w:rFonts w:asciiTheme="majorBidi" w:hAnsiTheme="majorBidi" w:cstheme="majorBidi"/>
                <w:color w:val="000000"/>
                <w:sz w:val="20"/>
                <w:szCs w:val="20"/>
              </w:rPr>
              <w:t>173</w:t>
            </w:r>
          </w:p>
        </w:tc>
        <w:tc>
          <w:tcPr>
            <w:tcW w:w="990" w:type="dxa"/>
            <w:tcBorders>
              <w:top w:val="nil"/>
              <w:left w:val="nil"/>
              <w:bottom w:val="nil"/>
              <w:right w:val="nil"/>
            </w:tcBorders>
            <w:vAlign w:val="center"/>
          </w:tcPr>
          <w:p w14:paraId="4F8DBD64" w14:textId="77777777" w:rsidR="006469DC" w:rsidRPr="008D6A29" w:rsidRDefault="00AF10F6"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0.124</w:t>
            </w:r>
          </w:p>
        </w:tc>
        <w:tc>
          <w:tcPr>
            <w:tcW w:w="360" w:type="dxa"/>
            <w:tcBorders>
              <w:top w:val="nil"/>
              <w:left w:val="nil"/>
              <w:bottom w:val="nil"/>
              <w:right w:val="nil"/>
            </w:tcBorders>
            <w:vAlign w:val="center"/>
          </w:tcPr>
          <w:p w14:paraId="0BA78A56" w14:textId="77777777" w:rsidR="006469DC" w:rsidRPr="008B51A8" w:rsidRDefault="006469DC" w:rsidP="00260D7D">
            <w:pPr>
              <w:tabs>
                <w:tab w:val="left" w:pos="567"/>
              </w:tabs>
              <w:jc w:val="center"/>
              <w:rPr>
                <w:rFonts w:asciiTheme="majorBidi" w:hAnsiTheme="majorBidi" w:cstheme="majorBidi"/>
                <w:color w:val="000000"/>
                <w:sz w:val="20"/>
                <w:szCs w:val="20"/>
              </w:rPr>
            </w:pPr>
          </w:p>
        </w:tc>
        <w:tc>
          <w:tcPr>
            <w:tcW w:w="990" w:type="dxa"/>
            <w:tcBorders>
              <w:top w:val="nil"/>
              <w:left w:val="nil"/>
              <w:bottom w:val="nil"/>
              <w:right w:val="nil"/>
            </w:tcBorders>
            <w:vAlign w:val="center"/>
          </w:tcPr>
          <w:p w14:paraId="3572B306" w14:textId="77777777" w:rsidR="006469DC" w:rsidRPr="008B51A8" w:rsidRDefault="00B9771A"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-0.084</w:t>
            </w:r>
          </w:p>
        </w:tc>
        <w:tc>
          <w:tcPr>
            <w:tcW w:w="990" w:type="dxa"/>
            <w:tcBorders>
              <w:top w:val="nil"/>
              <w:left w:val="nil"/>
              <w:bottom w:val="nil"/>
              <w:right w:val="nil"/>
            </w:tcBorders>
            <w:vAlign w:val="center"/>
          </w:tcPr>
          <w:p w14:paraId="0C4AC659" w14:textId="77777777" w:rsidR="006469DC" w:rsidRPr="008D6A29" w:rsidRDefault="00AF10F6"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w:t>
            </w:r>
            <w:r w:rsidR="006469DC" w:rsidRPr="008D6A29">
              <w:rPr>
                <w:rFonts w:asciiTheme="majorBidi" w:hAnsiTheme="majorBidi" w:cstheme="majorBidi"/>
                <w:color w:val="000000"/>
                <w:sz w:val="20"/>
                <w:szCs w:val="20"/>
              </w:rPr>
              <w:t>0.000</w:t>
            </w:r>
          </w:p>
        </w:tc>
        <w:tc>
          <w:tcPr>
            <w:tcW w:w="270" w:type="dxa"/>
            <w:tcBorders>
              <w:top w:val="nil"/>
              <w:left w:val="nil"/>
              <w:bottom w:val="nil"/>
              <w:right w:val="nil"/>
            </w:tcBorders>
            <w:vAlign w:val="center"/>
          </w:tcPr>
          <w:p w14:paraId="2BA7FDA7" w14:textId="77777777" w:rsidR="006469DC" w:rsidRPr="008B51A8" w:rsidRDefault="006469DC" w:rsidP="00260D7D">
            <w:pPr>
              <w:tabs>
                <w:tab w:val="left" w:pos="567"/>
              </w:tabs>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bottom"/>
          </w:tcPr>
          <w:p w14:paraId="66BAC7C8" w14:textId="77777777" w:rsidR="006469DC" w:rsidRDefault="006469DC"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w:t>
            </w:r>
            <w:r w:rsidR="00AF10F6">
              <w:rPr>
                <w:rFonts w:asciiTheme="majorBidi" w:hAnsiTheme="majorBidi" w:cstheme="majorBidi"/>
                <w:color w:val="000000"/>
                <w:sz w:val="20"/>
                <w:szCs w:val="20"/>
              </w:rPr>
              <w:t>257</w:t>
            </w:r>
            <w:r>
              <w:rPr>
                <w:rFonts w:asciiTheme="majorBidi" w:hAnsiTheme="majorBidi" w:cstheme="majorBidi"/>
                <w:color w:val="000000"/>
                <w:sz w:val="20"/>
                <w:szCs w:val="20"/>
              </w:rPr>
              <w:t>***</w:t>
            </w:r>
          </w:p>
          <w:p w14:paraId="268F34E0" w14:textId="77777777" w:rsidR="006469DC" w:rsidRPr="0071713E" w:rsidRDefault="006469DC"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w:t>
            </w:r>
            <w:r w:rsidR="00AF10F6">
              <w:rPr>
                <w:rFonts w:asciiTheme="majorBidi" w:hAnsiTheme="majorBidi" w:cstheme="majorBidi"/>
                <w:color w:val="000000"/>
                <w:sz w:val="20"/>
                <w:szCs w:val="20"/>
              </w:rPr>
              <w:t>0</w:t>
            </w:r>
            <w:r>
              <w:rPr>
                <w:rFonts w:asciiTheme="majorBidi" w:hAnsiTheme="majorBidi" w:cstheme="majorBidi"/>
                <w:color w:val="000000"/>
                <w:sz w:val="20"/>
                <w:szCs w:val="20"/>
              </w:rPr>
              <w:t>)</w:t>
            </w:r>
          </w:p>
        </w:tc>
        <w:tc>
          <w:tcPr>
            <w:tcW w:w="1084" w:type="dxa"/>
            <w:gridSpan w:val="2"/>
            <w:tcBorders>
              <w:top w:val="nil"/>
              <w:left w:val="nil"/>
              <w:bottom w:val="nil"/>
              <w:right w:val="nil"/>
            </w:tcBorders>
            <w:shd w:val="clear" w:color="auto" w:fill="auto"/>
            <w:vAlign w:val="center"/>
          </w:tcPr>
          <w:p w14:paraId="5EEC3A75" w14:textId="77777777" w:rsidR="006469DC" w:rsidRDefault="00AF10F6"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0.124</w:t>
            </w:r>
            <w:r w:rsidR="006469DC">
              <w:rPr>
                <w:rFonts w:asciiTheme="majorBidi" w:hAnsiTheme="majorBidi" w:cstheme="majorBidi"/>
                <w:color w:val="000000"/>
                <w:sz w:val="20"/>
                <w:szCs w:val="20"/>
              </w:rPr>
              <w:t>***</w:t>
            </w:r>
          </w:p>
          <w:p w14:paraId="278B867A" w14:textId="77777777" w:rsidR="006469DC" w:rsidRPr="008D6A29" w:rsidRDefault="006469DC"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w:t>
            </w:r>
            <w:r w:rsidR="00AF10F6">
              <w:rPr>
                <w:rFonts w:asciiTheme="majorBidi" w:hAnsiTheme="majorBidi" w:cstheme="majorBidi"/>
                <w:color w:val="000000"/>
                <w:sz w:val="20"/>
                <w:szCs w:val="20"/>
              </w:rPr>
              <w:t>0</w:t>
            </w:r>
            <w:r>
              <w:rPr>
                <w:rFonts w:asciiTheme="majorBidi" w:hAnsiTheme="majorBidi" w:cstheme="majorBidi"/>
                <w:color w:val="000000"/>
                <w:sz w:val="20"/>
                <w:szCs w:val="20"/>
              </w:rPr>
              <w:t>)</w:t>
            </w:r>
          </w:p>
        </w:tc>
      </w:tr>
      <w:tr w:rsidR="006469DC" w:rsidRPr="002E1EC0" w14:paraId="1B0E8BBE" w14:textId="77777777" w:rsidTr="006469DC">
        <w:trPr>
          <w:trHeight w:val="356"/>
          <w:jc w:val="center"/>
        </w:trPr>
        <w:tc>
          <w:tcPr>
            <w:tcW w:w="3960" w:type="dxa"/>
            <w:tcBorders>
              <w:top w:val="nil"/>
              <w:left w:val="nil"/>
              <w:bottom w:val="nil"/>
              <w:right w:val="nil"/>
            </w:tcBorders>
            <w:vAlign w:val="center"/>
          </w:tcPr>
          <w:p w14:paraId="1B6FF783" w14:textId="77777777" w:rsidR="006469DC" w:rsidRPr="004F619A" w:rsidRDefault="006469DC" w:rsidP="00260D7D">
            <w:pPr>
              <w:tabs>
                <w:tab w:val="left" w:pos="567"/>
              </w:tabs>
              <w:rPr>
                <w:rFonts w:asciiTheme="majorBidi" w:hAnsiTheme="majorBidi" w:cstheme="majorBidi"/>
                <w:color w:val="000000"/>
                <w:sz w:val="20"/>
                <w:szCs w:val="20"/>
              </w:rPr>
            </w:pPr>
            <w:r w:rsidRPr="006469DC">
              <w:rPr>
                <w:rFonts w:asciiTheme="majorBidi" w:hAnsiTheme="majorBidi" w:cstheme="majorBidi"/>
                <w:color w:val="000000"/>
                <w:sz w:val="20"/>
                <w:szCs w:val="20"/>
              </w:rPr>
              <w:t>Retained earnings / total assets</w:t>
            </w:r>
          </w:p>
        </w:tc>
        <w:tc>
          <w:tcPr>
            <w:tcW w:w="990" w:type="dxa"/>
            <w:tcBorders>
              <w:top w:val="nil"/>
              <w:left w:val="nil"/>
              <w:bottom w:val="nil"/>
              <w:right w:val="nil"/>
            </w:tcBorders>
            <w:vAlign w:val="center"/>
          </w:tcPr>
          <w:p w14:paraId="31771264" w14:textId="77777777" w:rsidR="006469DC" w:rsidRPr="008B51A8" w:rsidRDefault="006469DC"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w:t>
            </w:r>
            <w:r w:rsidR="00AF10F6">
              <w:rPr>
                <w:rFonts w:asciiTheme="majorBidi" w:hAnsiTheme="majorBidi" w:cstheme="majorBidi"/>
                <w:color w:val="000000"/>
                <w:sz w:val="20"/>
                <w:szCs w:val="20"/>
              </w:rPr>
              <w:t>086</w:t>
            </w:r>
          </w:p>
        </w:tc>
        <w:tc>
          <w:tcPr>
            <w:tcW w:w="990" w:type="dxa"/>
            <w:tcBorders>
              <w:top w:val="nil"/>
              <w:left w:val="nil"/>
              <w:bottom w:val="nil"/>
              <w:right w:val="nil"/>
            </w:tcBorders>
            <w:vAlign w:val="center"/>
          </w:tcPr>
          <w:p w14:paraId="400949D7" w14:textId="77777777" w:rsidR="006469DC" w:rsidRPr="008D6A29" w:rsidRDefault="00AF10F6"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0.189</w:t>
            </w:r>
          </w:p>
        </w:tc>
        <w:tc>
          <w:tcPr>
            <w:tcW w:w="360" w:type="dxa"/>
            <w:tcBorders>
              <w:top w:val="nil"/>
              <w:left w:val="nil"/>
              <w:bottom w:val="nil"/>
              <w:right w:val="nil"/>
            </w:tcBorders>
            <w:vAlign w:val="center"/>
          </w:tcPr>
          <w:p w14:paraId="3F6289D5" w14:textId="77777777" w:rsidR="006469DC" w:rsidRPr="008B51A8" w:rsidRDefault="006469DC" w:rsidP="00260D7D">
            <w:pPr>
              <w:tabs>
                <w:tab w:val="left" w:pos="567"/>
              </w:tabs>
              <w:jc w:val="center"/>
              <w:rPr>
                <w:rFonts w:asciiTheme="majorBidi" w:hAnsiTheme="majorBidi" w:cstheme="majorBidi"/>
                <w:color w:val="000000"/>
                <w:sz w:val="20"/>
                <w:szCs w:val="20"/>
              </w:rPr>
            </w:pPr>
          </w:p>
        </w:tc>
        <w:tc>
          <w:tcPr>
            <w:tcW w:w="990" w:type="dxa"/>
            <w:tcBorders>
              <w:top w:val="nil"/>
              <w:left w:val="nil"/>
              <w:bottom w:val="nil"/>
              <w:right w:val="nil"/>
            </w:tcBorders>
            <w:vAlign w:val="center"/>
          </w:tcPr>
          <w:p w14:paraId="424E8A38" w14:textId="77777777" w:rsidR="006469DC" w:rsidRPr="008B51A8" w:rsidRDefault="00AF10F6"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-0.330</w:t>
            </w:r>
          </w:p>
        </w:tc>
        <w:tc>
          <w:tcPr>
            <w:tcW w:w="990" w:type="dxa"/>
            <w:tcBorders>
              <w:top w:val="nil"/>
              <w:left w:val="nil"/>
              <w:bottom w:val="nil"/>
              <w:right w:val="nil"/>
            </w:tcBorders>
            <w:vAlign w:val="center"/>
          </w:tcPr>
          <w:p w14:paraId="5A195804" w14:textId="77777777" w:rsidR="006469DC" w:rsidRPr="008D6A29" w:rsidRDefault="00AF10F6"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-0.342</w:t>
            </w:r>
          </w:p>
        </w:tc>
        <w:tc>
          <w:tcPr>
            <w:tcW w:w="270" w:type="dxa"/>
            <w:tcBorders>
              <w:top w:val="nil"/>
              <w:left w:val="nil"/>
              <w:bottom w:val="nil"/>
              <w:right w:val="nil"/>
            </w:tcBorders>
            <w:vAlign w:val="center"/>
          </w:tcPr>
          <w:p w14:paraId="19526AD8" w14:textId="77777777" w:rsidR="006469DC" w:rsidRPr="008B51A8" w:rsidRDefault="006469DC" w:rsidP="00260D7D">
            <w:pPr>
              <w:tabs>
                <w:tab w:val="left" w:pos="567"/>
              </w:tabs>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bottom"/>
          </w:tcPr>
          <w:p w14:paraId="09D9AEB3" w14:textId="77777777" w:rsidR="006469DC" w:rsidRDefault="00AF10F6"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0.416</w:t>
            </w:r>
            <w:r w:rsidR="006469DC">
              <w:rPr>
                <w:rFonts w:asciiTheme="majorBidi" w:hAnsiTheme="majorBidi" w:cstheme="majorBidi"/>
                <w:color w:val="000000"/>
                <w:sz w:val="20"/>
                <w:szCs w:val="20"/>
              </w:rPr>
              <w:t>***</w:t>
            </w:r>
          </w:p>
          <w:p w14:paraId="7F0FAE6A" w14:textId="77777777" w:rsidR="006469DC" w:rsidRPr="0071713E" w:rsidRDefault="006469DC"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w:t>
            </w:r>
            <w:r w:rsidR="00AF10F6">
              <w:rPr>
                <w:rFonts w:asciiTheme="majorBidi" w:hAnsiTheme="majorBidi" w:cstheme="majorBidi"/>
                <w:color w:val="000000"/>
                <w:sz w:val="20"/>
                <w:szCs w:val="20"/>
              </w:rPr>
              <w:t>0</w:t>
            </w:r>
            <w:r>
              <w:rPr>
                <w:rFonts w:asciiTheme="majorBidi" w:hAnsiTheme="majorBidi" w:cstheme="majorBidi"/>
                <w:color w:val="000000"/>
                <w:sz w:val="20"/>
                <w:szCs w:val="20"/>
              </w:rPr>
              <w:t>)</w:t>
            </w:r>
          </w:p>
        </w:tc>
        <w:tc>
          <w:tcPr>
            <w:tcW w:w="1084" w:type="dxa"/>
            <w:gridSpan w:val="2"/>
            <w:tcBorders>
              <w:top w:val="nil"/>
              <w:left w:val="nil"/>
              <w:bottom w:val="nil"/>
              <w:right w:val="nil"/>
            </w:tcBorders>
            <w:shd w:val="clear" w:color="auto" w:fill="auto"/>
            <w:vAlign w:val="center"/>
          </w:tcPr>
          <w:p w14:paraId="17A30ADA" w14:textId="77777777" w:rsidR="006469DC" w:rsidRDefault="00AF10F6"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0.531</w:t>
            </w:r>
            <w:r w:rsidR="006469DC">
              <w:rPr>
                <w:rFonts w:asciiTheme="majorBidi" w:hAnsiTheme="majorBidi" w:cstheme="majorBidi"/>
                <w:color w:val="000000"/>
                <w:sz w:val="20"/>
                <w:szCs w:val="20"/>
              </w:rPr>
              <w:t>***</w:t>
            </w:r>
          </w:p>
          <w:p w14:paraId="64E407DD" w14:textId="77777777" w:rsidR="006469DC" w:rsidRPr="008D6A29" w:rsidRDefault="006469DC"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w:t>
            </w:r>
            <w:r w:rsidR="00AF10F6">
              <w:rPr>
                <w:rFonts w:asciiTheme="majorBidi" w:hAnsiTheme="majorBidi" w:cstheme="majorBidi"/>
                <w:color w:val="000000"/>
                <w:sz w:val="20"/>
                <w:szCs w:val="20"/>
              </w:rPr>
              <w:t>0</w:t>
            </w:r>
            <w:r>
              <w:rPr>
                <w:rFonts w:asciiTheme="majorBidi" w:hAnsiTheme="majorBidi" w:cstheme="majorBidi"/>
                <w:color w:val="000000"/>
                <w:sz w:val="20"/>
                <w:szCs w:val="20"/>
              </w:rPr>
              <w:t>)</w:t>
            </w:r>
          </w:p>
        </w:tc>
      </w:tr>
      <w:tr w:rsidR="006469DC" w:rsidRPr="002E1EC0" w14:paraId="762C94FB" w14:textId="77777777" w:rsidTr="006469DC">
        <w:trPr>
          <w:trHeight w:val="356"/>
          <w:jc w:val="center"/>
        </w:trPr>
        <w:tc>
          <w:tcPr>
            <w:tcW w:w="3960" w:type="dxa"/>
            <w:tcBorders>
              <w:top w:val="nil"/>
              <w:left w:val="nil"/>
              <w:bottom w:val="nil"/>
              <w:right w:val="nil"/>
            </w:tcBorders>
            <w:vAlign w:val="center"/>
          </w:tcPr>
          <w:p w14:paraId="1813C56D" w14:textId="77777777" w:rsidR="006469DC" w:rsidRPr="004F619A" w:rsidRDefault="006469DC" w:rsidP="00260D7D">
            <w:pPr>
              <w:tabs>
                <w:tab w:val="left" w:pos="567"/>
              </w:tabs>
              <w:rPr>
                <w:rFonts w:asciiTheme="majorBidi" w:hAnsiTheme="majorBidi" w:cstheme="majorBidi"/>
                <w:color w:val="000000"/>
                <w:sz w:val="20"/>
                <w:szCs w:val="20"/>
              </w:rPr>
            </w:pPr>
            <w:r w:rsidRPr="006469DC">
              <w:rPr>
                <w:rFonts w:asciiTheme="majorBidi" w:hAnsiTheme="majorBidi" w:cstheme="majorBidi"/>
                <w:color w:val="000000"/>
                <w:sz w:val="20"/>
                <w:szCs w:val="20"/>
              </w:rPr>
              <w:t>Net income / total assets</w:t>
            </w:r>
          </w:p>
        </w:tc>
        <w:tc>
          <w:tcPr>
            <w:tcW w:w="990" w:type="dxa"/>
            <w:tcBorders>
              <w:top w:val="nil"/>
              <w:left w:val="nil"/>
              <w:bottom w:val="nil"/>
              <w:right w:val="nil"/>
            </w:tcBorders>
            <w:vAlign w:val="center"/>
          </w:tcPr>
          <w:p w14:paraId="4989B26D" w14:textId="77777777" w:rsidR="006469DC" w:rsidRPr="008B51A8" w:rsidRDefault="006469DC"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w:t>
            </w:r>
            <w:r w:rsidR="0068341D">
              <w:rPr>
                <w:rFonts w:asciiTheme="majorBidi" w:hAnsiTheme="majorBidi" w:cstheme="majorBidi"/>
                <w:color w:val="000000"/>
                <w:sz w:val="20"/>
                <w:szCs w:val="20"/>
              </w:rPr>
              <w:t>033</w:t>
            </w:r>
          </w:p>
        </w:tc>
        <w:tc>
          <w:tcPr>
            <w:tcW w:w="990" w:type="dxa"/>
            <w:tcBorders>
              <w:top w:val="nil"/>
              <w:left w:val="nil"/>
              <w:bottom w:val="nil"/>
              <w:right w:val="nil"/>
            </w:tcBorders>
            <w:vAlign w:val="center"/>
          </w:tcPr>
          <w:p w14:paraId="428ED28B" w14:textId="77777777" w:rsidR="006469DC" w:rsidRPr="008D6A29" w:rsidRDefault="0068341D"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0.043</w:t>
            </w:r>
          </w:p>
        </w:tc>
        <w:tc>
          <w:tcPr>
            <w:tcW w:w="360" w:type="dxa"/>
            <w:tcBorders>
              <w:top w:val="nil"/>
              <w:left w:val="nil"/>
              <w:bottom w:val="nil"/>
              <w:right w:val="nil"/>
            </w:tcBorders>
            <w:vAlign w:val="center"/>
          </w:tcPr>
          <w:p w14:paraId="7C2FFB41" w14:textId="77777777" w:rsidR="006469DC" w:rsidRPr="008B51A8" w:rsidRDefault="006469DC" w:rsidP="00260D7D">
            <w:pPr>
              <w:tabs>
                <w:tab w:val="left" w:pos="567"/>
              </w:tabs>
              <w:jc w:val="center"/>
              <w:rPr>
                <w:rFonts w:asciiTheme="majorBidi" w:hAnsiTheme="majorBidi" w:cstheme="majorBidi"/>
                <w:color w:val="000000"/>
                <w:sz w:val="20"/>
                <w:szCs w:val="20"/>
              </w:rPr>
            </w:pPr>
          </w:p>
        </w:tc>
        <w:tc>
          <w:tcPr>
            <w:tcW w:w="990" w:type="dxa"/>
            <w:tcBorders>
              <w:top w:val="nil"/>
              <w:left w:val="nil"/>
              <w:bottom w:val="nil"/>
              <w:right w:val="nil"/>
            </w:tcBorders>
            <w:vAlign w:val="center"/>
          </w:tcPr>
          <w:p w14:paraId="57C6E7DF" w14:textId="77777777" w:rsidR="006469DC" w:rsidRPr="008B51A8" w:rsidRDefault="0068341D"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-0.261</w:t>
            </w:r>
          </w:p>
        </w:tc>
        <w:tc>
          <w:tcPr>
            <w:tcW w:w="990" w:type="dxa"/>
            <w:tcBorders>
              <w:top w:val="nil"/>
              <w:left w:val="nil"/>
              <w:bottom w:val="nil"/>
              <w:right w:val="nil"/>
            </w:tcBorders>
            <w:vAlign w:val="center"/>
          </w:tcPr>
          <w:p w14:paraId="04BA2836" w14:textId="77777777" w:rsidR="006469DC" w:rsidRPr="008D6A29" w:rsidRDefault="0068341D"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w:t>
            </w:r>
            <w:r w:rsidR="006469DC" w:rsidRPr="008D6A29">
              <w:rPr>
                <w:rFonts w:asciiTheme="majorBidi" w:hAnsiTheme="majorBidi" w:cstheme="majorBidi"/>
                <w:color w:val="000000"/>
                <w:sz w:val="20"/>
                <w:szCs w:val="20"/>
              </w:rPr>
              <w:t>0.</w:t>
            </w:r>
            <w:r>
              <w:rPr>
                <w:rFonts w:asciiTheme="majorBidi" w:hAnsiTheme="majorBidi" w:cstheme="majorBidi"/>
                <w:color w:val="000000"/>
                <w:sz w:val="20"/>
                <w:szCs w:val="20"/>
              </w:rPr>
              <w:t>217</w:t>
            </w:r>
          </w:p>
        </w:tc>
        <w:tc>
          <w:tcPr>
            <w:tcW w:w="270" w:type="dxa"/>
            <w:tcBorders>
              <w:top w:val="nil"/>
              <w:left w:val="nil"/>
              <w:bottom w:val="nil"/>
              <w:right w:val="nil"/>
            </w:tcBorders>
            <w:vAlign w:val="center"/>
          </w:tcPr>
          <w:p w14:paraId="74A55D0E" w14:textId="77777777" w:rsidR="006469DC" w:rsidRPr="008B51A8" w:rsidRDefault="006469DC" w:rsidP="00260D7D">
            <w:pPr>
              <w:tabs>
                <w:tab w:val="left" w:pos="567"/>
              </w:tabs>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bottom"/>
          </w:tcPr>
          <w:p w14:paraId="06EFE032" w14:textId="77777777" w:rsidR="006469DC" w:rsidRDefault="006469DC"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w:t>
            </w:r>
            <w:r w:rsidR="0068341D">
              <w:rPr>
                <w:rFonts w:asciiTheme="majorBidi" w:hAnsiTheme="majorBidi" w:cstheme="majorBidi"/>
                <w:color w:val="000000"/>
                <w:sz w:val="20"/>
                <w:szCs w:val="20"/>
              </w:rPr>
              <w:t>294</w:t>
            </w:r>
            <w:r>
              <w:rPr>
                <w:rFonts w:asciiTheme="majorBidi" w:hAnsiTheme="majorBidi" w:cstheme="majorBidi"/>
                <w:color w:val="000000"/>
                <w:sz w:val="20"/>
                <w:szCs w:val="20"/>
              </w:rPr>
              <w:t>***</w:t>
            </w:r>
          </w:p>
          <w:p w14:paraId="3B788640" w14:textId="77777777" w:rsidR="006469DC" w:rsidRPr="0071713E" w:rsidRDefault="006469DC"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w:t>
            </w:r>
            <w:r w:rsidR="0068341D">
              <w:rPr>
                <w:rFonts w:asciiTheme="majorBidi" w:hAnsiTheme="majorBidi" w:cstheme="majorBidi"/>
                <w:color w:val="000000"/>
                <w:sz w:val="20"/>
                <w:szCs w:val="20"/>
              </w:rPr>
              <w:t>5</w:t>
            </w:r>
            <w:r>
              <w:rPr>
                <w:rFonts w:asciiTheme="majorBidi" w:hAnsiTheme="majorBidi" w:cstheme="majorBidi"/>
                <w:color w:val="000000"/>
                <w:sz w:val="20"/>
                <w:szCs w:val="20"/>
              </w:rPr>
              <w:t>)</w:t>
            </w:r>
          </w:p>
        </w:tc>
        <w:tc>
          <w:tcPr>
            <w:tcW w:w="1084" w:type="dxa"/>
            <w:gridSpan w:val="2"/>
            <w:tcBorders>
              <w:top w:val="nil"/>
              <w:left w:val="nil"/>
              <w:bottom w:val="nil"/>
              <w:right w:val="nil"/>
            </w:tcBorders>
            <w:shd w:val="clear" w:color="auto" w:fill="auto"/>
            <w:vAlign w:val="center"/>
          </w:tcPr>
          <w:p w14:paraId="19C325E9" w14:textId="77777777" w:rsidR="006469DC" w:rsidRDefault="0068341D"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0.260</w:t>
            </w:r>
            <w:r w:rsidR="006469DC">
              <w:rPr>
                <w:rFonts w:asciiTheme="majorBidi" w:hAnsiTheme="majorBidi" w:cstheme="majorBidi"/>
                <w:color w:val="000000"/>
                <w:sz w:val="20"/>
                <w:szCs w:val="20"/>
              </w:rPr>
              <w:t>***</w:t>
            </w:r>
          </w:p>
          <w:p w14:paraId="6E921B42" w14:textId="77777777" w:rsidR="006469DC" w:rsidRPr="008D6A29" w:rsidRDefault="006469DC"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w:t>
            </w:r>
            <w:r w:rsidR="0068341D">
              <w:rPr>
                <w:rFonts w:asciiTheme="majorBidi" w:hAnsiTheme="majorBidi" w:cstheme="majorBidi"/>
                <w:color w:val="000000"/>
                <w:sz w:val="20"/>
                <w:szCs w:val="20"/>
              </w:rPr>
              <w:t>0</w:t>
            </w:r>
            <w:r>
              <w:rPr>
                <w:rFonts w:asciiTheme="majorBidi" w:hAnsiTheme="majorBidi" w:cstheme="majorBidi"/>
                <w:color w:val="000000"/>
                <w:sz w:val="20"/>
                <w:szCs w:val="20"/>
              </w:rPr>
              <w:t>)</w:t>
            </w:r>
          </w:p>
        </w:tc>
      </w:tr>
      <w:tr w:rsidR="006469DC" w:rsidRPr="002E1EC0" w14:paraId="2D86118E" w14:textId="77777777" w:rsidTr="006469DC">
        <w:trPr>
          <w:trHeight w:val="356"/>
          <w:jc w:val="center"/>
        </w:trPr>
        <w:tc>
          <w:tcPr>
            <w:tcW w:w="3960" w:type="dxa"/>
            <w:tcBorders>
              <w:top w:val="nil"/>
              <w:left w:val="nil"/>
              <w:bottom w:val="nil"/>
              <w:right w:val="nil"/>
            </w:tcBorders>
            <w:vAlign w:val="center"/>
          </w:tcPr>
          <w:p w14:paraId="275C5181" w14:textId="77777777" w:rsidR="006469DC" w:rsidRPr="004F619A" w:rsidRDefault="006469DC" w:rsidP="00260D7D">
            <w:pPr>
              <w:tabs>
                <w:tab w:val="left" w:pos="567"/>
              </w:tabs>
              <w:rPr>
                <w:rFonts w:asciiTheme="majorBidi" w:hAnsiTheme="majorBidi" w:cstheme="majorBidi"/>
                <w:color w:val="000000"/>
                <w:sz w:val="20"/>
                <w:szCs w:val="20"/>
              </w:rPr>
            </w:pPr>
            <w:r w:rsidRPr="006469DC">
              <w:rPr>
                <w:rFonts w:asciiTheme="majorBidi" w:hAnsiTheme="majorBidi" w:cstheme="majorBidi"/>
                <w:color w:val="000000"/>
                <w:sz w:val="20"/>
                <w:szCs w:val="20"/>
              </w:rPr>
              <w:t>Total liabilities / total assets</w:t>
            </w:r>
          </w:p>
        </w:tc>
        <w:tc>
          <w:tcPr>
            <w:tcW w:w="990" w:type="dxa"/>
            <w:tcBorders>
              <w:top w:val="nil"/>
              <w:left w:val="nil"/>
              <w:bottom w:val="nil"/>
              <w:right w:val="nil"/>
            </w:tcBorders>
            <w:vAlign w:val="center"/>
          </w:tcPr>
          <w:p w14:paraId="1BAF8022" w14:textId="77777777" w:rsidR="006469DC" w:rsidRPr="008B51A8" w:rsidRDefault="006469DC"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w:t>
            </w:r>
            <w:r w:rsidR="0068341D">
              <w:rPr>
                <w:rFonts w:asciiTheme="majorBidi" w:hAnsiTheme="majorBidi" w:cstheme="majorBidi"/>
                <w:color w:val="000000"/>
                <w:sz w:val="20"/>
                <w:szCs w:val="20"/>
              </w:rPr>
              <w:t>563</w:t>
            </w:r>
          </w:p>
        </w:tc>
        <w:tc>
          <w:tcPr>
            <w:tcW w:w="990" w:type="dxa"/>
            <w:tcBorders>
              <w:top w:val="nil"/>
              <w:left w:val="nil"/>
              <w:bottom w:val="nil"/>
              <w:right w:val="nil"/>
            </w:tcBorders>
            <w:vAlign w:val="center"/>
          </w:tcPr>
          <w:p w14:paraId="36D349A8" w14:textId="77777777" w:rsidR="006469DC" w:rsidRPr="008D6A29" w:rsidRDefault="006469DC"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0.</w:t>
            </w:r>
            <w:r w:rsidR="0068341D">
              <w:rPr>
                <w:rFonts w:asciiTheme="majorBidi" w:hAnsiTheme="majorBidi" w:cstheme="majorBidi"/>
                <w:color w:val="000000"/>
                <w:sz w:val="20"/>
                <w:szCs w:val="20"/>
              </w:rPr>
              <w:t>558</w:t>
            </w:r>
          </w:p>
        </w:tc>
        <w:tc>
          <w:tcPr>
            <w:tcW w:w="360" w:type="dxa"/>
            <w:tcBorders>
              <w:top w:val="nil"/>
              <w:left w:val="nil"/>
              <w:bottom w:val="nil"/>
              <w:right w:val="nil"/>
            </w:tcBorders>
            <w:vAlign w:val="center"/>
          </w:tcPr>
          <w:p w14:paraId="62BD7970" w14:textId="77777777" w:rsidR="006469DC" w:rsidRPr="008B51A8" w:rsidRDefault="006469DC" w:rsidP="00260D7D">
            <w:pPr>
              <w:tabs>
                <w:tab w:val="left" w:pos="567"/>
              </w:tabs>
              <w:jc w:val="center"/>
              <w:rPr>
                <w:rFonts w:asciiTheme="majorBidi" w:hAnsiTheme="majorBidi" w:cstheme="majorBidi"/>
                <w:color w:val="000000"/>
                <w:sz w:val="20"/>
                <w:szCs w:val="20"/>
              </w:rPr>
            </w:pPr>
          </w:p>
        </w:tc>
        <w:tc>
          <w:tcPr>
            <w:tcW w:w="990" w:type="dxa"/>
            <w:tcBorders>
              <w:top w:val="nil"/>
              <w:left w:val="nil"/>
              <w:bottom w:val="nil"/>
              <w:right w:val="nil"/>
            </w:tcBorders>
            <w:vAlign w:val="center"/>
          </w:tcPr>
          <w:p w14:paraId="19E89B80" w14:textId="77777777" w:rsidR="006469DC" w:rsidRPr="008B51A8" w:rsidRDefault="006469DC"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w:t>
            </w:r>
            <w:r w:rsidR="0068341D">
              <w:rPr>
                <w:rFonts w:asciiTheme="majorBidi" w:hAnsiTheme="majorBidi" w:cstheme="majorBidi"/>
                <w:color w:val="000000"/>
                <w:sz w:val="20"/>
                <w:szCs w:val="20"/>
              </w:rPr>
              <w:t>975</w:t>
            </w:r>
          </w:p>
        </w:tc>
        <w:tc>
          <w:tcPr>
            <w:tcW w:w="990" w:type="dxa"/>
            <w:tcBorders>
              <w:top w:val="nil"/>
              <w:left w:val="nil"/>
              <w:bottom w:val="nil"/>
              <w:right w:val="nil"/>
            </w:tcBorders>
            <w:vAlign w:val="center"/>
          </w:tcPr>
          <w:p w14:paraId="0BA240DD" w14:textId="77777777" w:rsidR="006469DC" w:rsidRPr="008D6A29" w:rsidRDefault="006469DC"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0.</w:t>
            </w:r>
            <w:r w:rsidR="0068341D">
              <w:rPr>
                <w:rFonts w:asciiTheme="majorBidi" w:hAnsiTheme="majorBidi" w:cstheme="majorBidi"/>
                <w:color w:val="000000"/>
                <w:sz w:val="20"/>
                <w:szCs w:val="20"/>
              </w:rPr>
              <w:t>914</w:t>
            </w:r>
          </w:p>
        </w:tc>
        <w:tc>
          <w:tcPr>
            <w:tcW w:w="270" w:type="dxa"/>
            <w:tcBorders>
              <w:top w:val="nil"/>
              <w:left w:val="nil"/>
              <w:bottom w:val="nil"/>
              <w:right w:val="nil"/>
            </w:tcBorders>
            <w:vAlign w:val="center"/>
          </w:tcPr>
          <w:p w14:paraId="6A9F1D13" w14:textId="77777777" w:rsidR="006469DC" w:rsidRPr="008B51A8" w:rsidRDefault="006469DC" w:rsidP="00260D7D">
            <w:pPr>
              <w:tabs>
                <w:tab w:val="left" w:pos="567"/>
              </w:tabs>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bottom"/>
          </w:tcPr>
          <w:p w14:paraId="752B43FB" w14:textId="77777777" w:rsidR="006469DC" w:rsidRDefault="0068341D"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-0.413</w:t>
            </w:r>
            <w:r w:rsidR="006469DC">
              <w:rPr>
                <w:rFonts w:asciiTheme="majorBidi" w:hAnsiTheme="majorBidi" w:cstheme="majorBidi"/>
                <w:color w:val="000000"/>
                <w:sz w:val="20"/>
                <w:szCs w:val="20"/>
              </w:rPr>
              <w:t>***</w:t>
            </w:r>
          </w:p>
          <w:p w14:paraId="17DBEB79" w14:textId="77777777" w:rsidR="006469DC" w:rsidRPr="0071713E" w:rsidRDefault="006469DC"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w:t>
            </w:r>
            <w:r w:rsidR="0068341D">
              <w:rPr>
                <w:rFonts w:asciiTheme="majorBidi" w:hAnsiTheme="majorBidi" w:cstheme="majorBidi"/>
                <w:color w:val="000000"/>
                <w:sz w:val="20"/>
                <w:szCs w:val="20"/>
              </w:rPr>
              <w:t>0</w:t>
            </w:r>
            <w:r>
              <w:rPr>
                <w:rFonts w:asciiTheme="majorBidi" w:hAnsiTheme="majorBidi" w:cstheme="majorBidi"/>
                <w:color w:val="000000"/>
                <w:sz w:val="20"/>
                <w:szCs w:val="20"/>
              </w:rPr>
              <w:t>)</w:t>
            </w:r>
          </w:p>
        </w:tc>
        <w:tc>
          <w:tcPr>
            <w:tcW w:w="1084" w:type="dxa"/>
            <w:gridSpan w:val="2"/>
            <w:tcBorders>
              <w:top w:val="nil"/>
              <w:left w:val="nil"/>
              <w:bottom w:val="nil"/>
              <w:right w:val="nil"/>
            </w:tcBorders>
            <w:shd w:val="clear" w:color="auto" w:fill="auto"/>
            <w:vAlign w:val="center"/>
          </w:tcPr>
          <w:p w14:paraId="6AE53B06" w14:textId="77777777" w:rsidR="006469DC" w:rsidRDefault="0068341D"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w:t>
            </w:r>
            <w:r w:rsidR="006469DC" w:rsidRPr="008D6A29">
              <w:rPr>
                <w:rFonts w:asciiTheme="majorBidi" w:hAnsiTheme="majorBidi" w:cstheme="majorBidi"/>
                <w:color w:val="000000"/>
                <w:sz w:val="20"/>
                <w:szCs w:val="20"/>
              </w:rPr>
              <w:t>0.</w:t>
            </w:r>
            <w:r>
              <w:rPr>
                <w:rFonts w:asciiTheme="majorBidi" w:hAnsiTheme="majorBidi" w:cstheme="majorBidi"/>
                <w:color w:val="000000"/>
                <w:sz w:val="20"/>
                <w:szCs w:val="20"/>
              </w:rPr>
              <w:t>356</w:t>
            </w:r>
            <w:r w:rsidR="006469DC">
              <w:rPr>
                <w:rFonts w:asciiTheme="majorBidi" w:hAnsiTheme="majorBidi" w:cstheme="majorBidi"/>
                <w:color w:val="000000"/>
                <w:sz w:val="20"/>
                <w:szCs w:val="20"/>
              </w:rPr>
              <w:t>***</w:t>
            </w:r>
          </w:p>
          <w:p w14:paraId="77164C9D" w14:textId="77777777" w:rsidR="006469DC" w:rsidRPr="008D6A29" w:rsidRDefault="006469DC"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w:t>
            </w:r>
            <w:r w:rsidR="0068341D">
              <w:rPr>
                <w:rFonts w:asciiTheme="majorBidi" w:hAnsiTheme="majorBidi" w:cstheme="majorBidi"/>
                <w:color w:val="000000"/>
                <w:sz w:val="20"/>
                <w:szCs w:val="20"/>
              </w:rPr>
              <w:t>0</w:t>
            </w:r>
            <w:r>
              <w:rPr>
                <w:rFonts w:asciiTheme="majorBidi" w:hAnsiTheme="majorBidi" w:cstheme="majorBidi"/>
                <w:color w:val="000000"/>
                <w:sz w:val="20"/>
                <w:szCs w:val="20"/>
              </w:rPr>
              <w:t>)</w:t>
            </w:r>
          </w:p>
        </w:tc>
      </w:tr>
      <w:tr w:rsidR="006469DC" w:rsidRPr="002E1EC0" w14:paraId="4445A136" w14:textId="77777777" w:rsidTr="006469DC">
        <w:trPr>
          <w:trHeight w:val="356"/>
          <w:jc w:val="center"/>
        </w:trPr>
        <w:tc>
          <w:tcPr>
            <w:tcW w:w="3960" w:type="dxa"/>
            <w:tcBorders>
              <w:top w:val="nil"/>
              <w:left w:val="nil"/>
              <w:bottom w:val="nil"/>
              <w:right w:val="nil"/>
            </w:tcBorders>
            <w:vAlign w:val="center"/>
          </w:tcPr>
          <w:p w14:paraId="0B5C4B6E" w14:textId="77777777" w:rsidR="006469DC" w:rsidRPr="004F619A" w:rsidRDefault="006469DC" w:rsidP="00260D7D">
            <w:pPr>
              <w:tabs>
                <w:tab w:val="left" w:pos="567"/>
              </w:tabs>
              <w:rPr>
                <w:rFonts w:asciiTheme="majorBidi" w:hAnsiTheme="majorBidi" w:cstheme="majorBidi"/>
                <w:color w:val="000000"/>
                <w:sz w:val="20"/>
                <w:szCs w:val="20"/>
              </w:rPr>
            </w:pPr>
            <w:r w:rsidRPr="006469DC">
              <w:rPr>
                <w:rFonts w:asciiTheme="majorBidi" w:hAnsiTheme="majorBidi" w:cstheme="majorBidi"/>
                <w:color w:val="000000"/>
                <w:sz w:val="20"/>
                <w:szCs w:val="20"/>
              </w:rPr>
              <w:t>Market value of equity</w:t>
            </w:r>
            <w:r>
              <w:rPr>
                <w:rFonts w:asciiTheme="majorBidi" w:hAnsiTheme="majorBidi" w:cstheme="majorBidi"/>
                <w:color w:val="000000"/>
                <w:sz w:val="20"/>
                <w:szCs w:val="20"/>
              </w:rPr>
              <w:t xml:space="preserve"> </w:t>
            </w:r>
            <w:r w:rsidRPr="006469DC">
              <w:rPr>
                <w:rFonts w:asciiTheme="majorBidi" w:hAnsiTheme="majorBidi" w:cstheme="majorBidi"/>
                <w:color w:val="000000"/>
                <w:sz w:val="20"/>
                <w:szCs w:val="20"/>
              </w:rPr>
              <w:t>/</w:t>
            </w:r>
            <w:r>
              <w:rPr>
                <w:rFonts w:asciiTheme="majorBidi" w:hAnsiTheme="majorBidi" w:cstheme="majorBidi"/>
                <w:color w:val="000000"/>
                <w:sz w:val="20"/>
                <w:szCs w:val="20"/>
              </w:rPr>
              <w:t xml:space="preserve"> </w:t>
            </w:r>
            <w:r w:rsidRPr="006469DC">
              <w:rPr>
                <w:rFonts w:asciiTheme="majorBidi" w:hAnsiTheme="majorBidi" w:cstheme="majorBidi"/>
                <w:color w:val="000000"/>
                <w:sz w:val="20"/>
                <w:szCs w:val="20"/>
              </w:rPr>
              <w:t>total debt</w:t>
            </w:r>
          </w:p>
        </w:tc>
        <w:tc>
          <w:tcPr>
            <w:tcW w:w="990" w:type="dxa"/>
            <w:tcBorders>
              <w:top w:val="nil"/>
              <w:left w:val="nil"/>
              <w:bottom w:val="nil"/>
              <w:right w:val="nil"/>
            </w:tcBorders>
            <w:vAlign w:val="center"/>
          </w:tcPr>
          <w:p w14:paraId="6EC68271" w14:textId="77777777" w:rsidR="006469DC" w:rsidRPr="008B51A8" w:rsidRDefault="00237C68"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1</w:t>
            </w:r>
            <w:r w:rsidR="003A2E67">
              <w:rPr>
                <w:rFonts w:asciiTheme="majorBidi" w:hAnsiTheme="majorBidi" w:cstheme="majorBidi"/>
                <w:color w:val="000000"/>
                <w:sz w:val="20"/>
                <w:szCs w:val="20"/>
              </w:rPr>
              <w:t>.869</w:t>
            </w:r>
          </w:p>
        </w:tc>
        <w:tc>
          <w:tcPr>
            <w:tcW w:w="990" w:type="dxa"/>
            <w:tcBorders>
              <w:top w:val="nil"/>
              <w:left w:val="nil"/>
              <w:bottom w:val="nil"/>
              <w:right w:val="nil"/>
            </w:tcBorders>
            <w:vAlign w:val="center"/>
          </w:tcPr>
          <w:p w14:paraId="50870DD4" w14:textId="77777777" w:rsidR="006469DC" w:rsidRPr="008D6A29" w:rsidRDefault="00237C68"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1</w:t>
            </w:r>
            <w:r w:rsidR="006469DC" w:rsidRPr="008D6A29">
              <w:rPr>
                <w:rFonts w:asciiTheme="majorBidi" w:hAnsiTheme="majorBidi" w:cstheme="majorBidi"/>
                <w:color w:val="000000"/>
                <w:sz w:val="20"/>
                <w:szCs w:val="20"/>
              </w:rPr>
              <w:t>.</w:t>
            </w:r>
            <w:r>
              <w:rPr>
                <w:rFonts w:asciiTheme="majorBidi" w:hAnsiTheme="majorBidi" w:cstheme="majorBidi"/>
                <w:color w:val="000000"/>
                <w:sz w:val="20"/>
                <w:szCs w:val="20"/>
              </w:rPr>
              <w:t>766</w:t>
            </w:r>
          </w:p>
        </w:tc>
        <w:tc>
          <w:tcPr>
            <w:tcW w:w="360" w:type="dxa"/>
            <w:tcBorders>
              <w:top w:val="nil"/>
              <w:left w:val="nil"/>
              <w:bottom w:val="nil"/>
              <w:right w:val="nil"/>
            </w:tcBorders>
            <w:vAlign w:val="center"/>
          </w:tcPr>
          <w:p w14:paraId="682A63B1" w14:textId="77777777" w:rsidR="006469DC" w:rsidRPr="008B51A8" w:rsidRDefault="006469DC" w:rsidP="00260D7D">
            <w:pPr>
              <w:tabs>
                <w:tab w:val="left" w:pos="567"/>
              </w:tabs>
              <w:jc w:val="center"/>
              <w:rPr>
                <w:rFonts w:asciiTheme="majorBidi" w:hAnsiTheme="majorBidi" w:cstheme="majorBidi"/>
                <w:color w:val="000000"/>
                <w:sz w:val="20"/>
                <w:szCs w:val="20"/>
              </w:rPr>
            </w:pPr>
          </w:p>
        </w:tc>
        <w:tc>
          <w:tcPr>
            <w:tcW w:w="990" w:type="dxa"/>
            <w:tcBorders>
              <w:top w:val="nil"/>
              <w:left w:val="nil"/>
              <w:bottom w:val="nil"/>
              <w:right w:val="nil"/>
            </w:tcBorders>
            <w:vAlign w:val="center"/>
          </w:tcPr>
          <w:p w14:paraId="3D3F69CC" w14:textId="77777777" w:rsidR="006469DC" w:rsidRPr="008B51A8" w:rsidRDefault="003A2E67"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1.108</w:t>
            </w:r>
          </w:p>
        </w:tc>
        <w:tc>
          <w:tcPr>
            <w:tcW w:w="990" w:type="dxa"/>
            <w:tcBorders>
              <w:top w:val="nil"/>
              <w:left w:val="nil"/>
              <w:bottom w:val="nil"/>
              <w:right w:val="nil"/>
            </w:tcBorders>
            <w:vAlign w:val="center"/>
          </w:tcPr>
          <w:p w14:paraId="44CA918C" w14:textId="77777777" w:rsidR="006469DC" w:rsidRPr="008D6A29" w:rsidRDefault="00237C68"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0.560</w:t>
            </w:r>
          </w:p>
        </w:tc>
        <w:tc>
          <w:tcPr>
            <w:tcW w:w="270" w:type="dxa"/>
            <w:tcBorders>
              <w:top w:val="nil"/>
              <w:left w:val="nil"/>
              <w:bottom w:val="nil"/>
              <w:right w:val="nil"/>
            </w:tcBorders>
            <w:vAlign w:val="center"/>
          </w:tcPr>
          <w:p w14:paraId="2A3E8AEB" w14:textId="77777777" w:rsidR="006469DC" w:rsidRPr="008B51A8" w:rsidRDefault="006469DC" w:rsidP="00260D7D">
            <w:pPr>
              <w:tabs>
                <w:tab w:val="left" w:pos="567"/>
              </w:tabs>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bottom"/>
          </w:tcPr>
          <w:p w14:paraId="3C6411CB" w14:textId="77777777" w:rsidR="006469DC" w:rsidRDefault="00237C68"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w:t>
            </w:r>
            <w:r w:rsidR="003A2E67">
              <w:rPr>
                <w:rFonts w:asciiTheme="majorBidi" w:hAnsiTheme="majorBidi" w:cstheme="majorBidi"/>
                <w:color w:val="000000"/>
                <w:sz w:val="20"/>
                <w:szCs w:val="20"/>
              </w:rPr>
              <w:t>.760</w:t>
            </w:r>
            <w:r w:rsidR="006469DC">
              <w:rPr>
                <w:rFonts w:asciiTheme="majorBidi" w:hAnsiTheme="majorBidi" w:cstheme="majorBidi"/>
                <w:color w:val="000000"/>
                <w:sz w:val="20"/>
                <w:szCs w:val="20"/>
              </w:rPr>
              <w:t>***</w:t>
            </w:r>
          </w:p>
          <w:p w14:paraId="660B69F7" w14:textId="77777777" w:rsidR="006469DC" w:rsidRPr="0071713E" w:rsidRDefault="006469DC"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w:t>
            </w:r>
            <w:r w:rsidR="003A2E67">
              <w:rPr>
                <w:rFonts w:asciiTheme="majorBidi" w:hAnsiTheme="majorBidi" w:cstheme="majorBidi"/>
                <w:color w:val="000000"/>
                <w:sz w:val="20"/>
                <w:szCs w:val="20"/>
              </w:rPr>
              <w:t>0</w:t>
            </w:r>
            <w:r>
              <w:rPr>
                <w:rFonts w:asciiTheme="majorBidi" w:hAnsiTheme="majorBidi" w:cstheme="majorBidi"/>
                <w:color w:val="000000"/>
                <w:sz w:val="20"/>
                <w:szCs w:val="20"/>
              </w:rPr>
              <w:t>)</w:t>
            </w:r>
          </w:p>
        </w:tc>
        <w:tc>
          <w:tcPr>
            <w:tcW w:w="1084" w:type="dxa"/>
            <w:gridSpan w:val="2"/>
            <w:tcBorders>
              <w:top w:val="nil"/>
              <w:left w:val="nil"/>
              <w:bottom w:val="nil"/>
              <w:right w:val="nil"/>
            </w:tcBorders>
            <w:shd w:val="clear" w:color="auto" w:fill="auto"/>
            <w:vAlign w:val="center"/>
          </w:tcPr>
          <w:p w14:paraId="5EED2509" w14:textId="77777777" w:rsidR="006469DC" w:rsidRDefault="00237C68"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1</w:t>
            </w:r>
            <w:r w:rsidR="006469DC" w:rsidRPr="008D6A29">
              <w:rPr>
                <w:rFonts w:asciiTheme="majorBidi" w:hAnsiTheme="majorBidi" w:cstheme="majorBidi"/>
                <w:color w:val="000000"/>
                <w:sz w:val="20"/>
                <w:szCs w:val="20"/>
              </w:rPr>
              <w:t>.</w:t>
            </w:r>
            <w:r>
              <w:rPr>
                <w:rFonts w:asciiTheme="majorBidi" w:hAnsiTheme="majorBidi" w:cstheme="majorBidi"/>
                <w:color w:val="000000"/>
                <w:sz w:val="20"/>
                <w:szCs w:val="20"/>
              </w:rPr>
              <w:t>206</w:t>
            </w:r>
            <w:r w:rsidR="006469DC">
              <w:rPr>
                <w:rFonts w:asciiTheme="majorBidi" w:hAnsiTheme="majorBidi" w:cstheme="majorBidi"/>
                <w:color w:val="000000"/>
                <w:sz w:val="20"/>
                <w:szCs w:val="20"/>
              </w:rPr>
              <w:t>***</w:t>
            </w:r>
          </w:p>
          <w:p w14:paraId="4AB2B138" w14:textId="77777777" w:rsidR="006469DC" w:rsidRPr="008D6A29" w:rsidRDefault="006469DC"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w:t>
            </w:r>
            <w:r w:rsidR="00237C68">
              <w:rPr>
                <w:rFonts w:asciiTheme="majorBidi" w:hAnsiTheme="majorBidi" w:cstheme="majorBidi"/>
                <w:color w:val="000000"/>
                <w:sz w:val="20"/>
                <w:szCs w:val="20"/>
              </w:rPr>
              <w:t>0</w:t>
            </w:r>
            <w:r>
              <w:rPr>
                <w:rFonts w:asciiTheme="majorBidi" w:hAnsiTheme="majorBidi" w:cstheme="majorBidi"/>
                <w:color w:val="000000"/>
                <w:sz w:val="20"/>
                <w:szCs w:val="20"/>
              </w:rPr>
              <w:t>)</w:t>
            </w:r>
          </w:p>
        </w:tc>
      </w:tr>
      <w:tr w:rsidR="006469DC" w:rsidRPr="002E1EC0" w14:paraId="7B83E7C5" w14:textId="77777777" w:rsidTr="00A66F9A">
        <w:trPr>
          <w:trHeight w:val="356"/>
          <w:jc w:val="center"/>
        </w:trPr>
        <w:tc>
          <w:tcPr>
            <w:tcW w:w="3960" w:type="dxa"/>
            <w:tcBorders>
              <w:top w:val="nil"/>
              <w:left w:val="nil"/>
              <w:bottom w:val="nil"/>
              <w:right w:val="nil"/>
            </w:tcBorders>
            <w:vAlign w:val="center"/>
          </w:tcPr>
          <w:p w14:paraId="3E4675BA" w14:textId="77777777" w:rsidR="006469DC" w:rsidRPr="004F619A" w:rsidRDefault="006469DC" w:rsidP="00260D7D">
            <w:pPr>
              <w:tabs>
                <w:tab w:val="left" w:pos="567"/>
              </w:tabs>
              <w:rPr>
                <w:rFonts w:asciiTheme="majorBidi" w:hAnsiTheme="majorBidi" w:cstheme="majorBidi"/>
                <w:color w:val="000000"/>
                <w:sz w:val="20"/>
                <w:szCs w:val="20"/>
              </w:rPr>
            </w:pPr>
            <w:r w:rsidRPr="006469DC">
              <w:rPr>
                <w:rFonts w:asciiTheme="majorBidi" w:hAnsiTheme="majorBidi" w:cstheme="majorBidi"/>
                <w:color w:val="000000"/>
                <w:sz w:val="20"/>
                <w:szCs w:val="20"/>
              </w:rPr>
              <w:t>Current assets</w:t>
            </w:r>
            <w:r>
              <w:rPr>
                <w:rFonts w:asciiTheme="majorBidi" w:hAnsiTheme="majorBidi" w:cstheme="majorBidi"/>
                <w:color w:val="000000"/>
                <w:sz w:val="20"/>
                <w:szCs w:val="20"/>
              </w:rPr>
              <w:t xml:space="preserve"> </w:t>
            </w:r>
            <w:r w:rsidRPr="006469DC">
              <w:rPr>
                <w:rFonts w:asciiTheme="majorBidi" w:hAnsiTheme="majorBidi" w:cstheme="majorBidi"/>
                <w:color w:val="000000"/>
                <w:sz w:val="20"/>
                <w:szCs w:val="20"/>
              </w:rPr>
              <w:t>/</w:t>
            </w:r>
            <w:r>
              <w:rPr>
                <w:rFonts w:asciiTheme="majorBidi" w:hAnsiTheme="majorBidi" w:cstheme="majorBidi"/>
                <w:color w:val="000000"/>
                <w:sz w:val="20"/>
                <w:szCs w:val="20"/>
              </w:rPr>
              <w:t xml:space="preserve"> </w:t>
            </w:r>
            <w:r w:rsidRPr="006469DC">
              <w:rPr>
                <w:rFonts w:asciiTheme="majorBidi" w:hAnsiTheme="majorBidi" w:cstheme="majorBidi"/>
                <w:color w:val="000000"/>
                <w:sz w:val="20"/>
                <w:szCs w:val="20"/>
              </w:rPr>
              <w:t>current liabilities</w:t>
            </w:r>
            <w:r>
              <w:rPr>
                <w:rFonts w:asciiTheme="majorBidi" w:hAnsiTheme="majorBidi" w:cstheme="majorBidi"/>
                <w:color w:val="000000"/>
                <w:sz w:val="20"/>
                <w:szCs w:val="20"/>
              </w:rPr>
              <w:t xml:space="preserve"> </w:t>
            </w:r>
          </w:p>
        </w:tc>
        <w:tc>
          <w:tcPr>
            <w:tcW w:w="990" w:type="dxa"/>
            <w:tcBorders>
              <w:top w:val="nil"/>
              <w:left w:val="nil"/>
              <w:bottom w:val="nil"/>
              <w:right w:val="nil"/>
            </w:tcBorders>
            <w:vAlign w:val="center"/>
          </w:tcPr>
          <w:p w14:paraId="301F23A2" w14:textId="77777777" w:rsidR="006469DC" w:rsidRPr="008B51A8" w:rsidRDefault="00237C68"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1.983</w:t>
            </w:r>
          </w:p>
        </w:tc>
        <w:tc>
          <w:tcPr>
            <w:tcW w:w="990" w:type="dxa"/>
            <w:tcBorders>
              <w:top w:val="nil"/>
              <w:left w:val="nil"/>
              <w:bottom w:val="nil"/>
              <w:right w:val="nil"/>
            </w:tcBorders>
            <w:vAlign w:val="center"/>
          </w:tcPr>
          <w:p w14:paraId="35A6C722" w14:textId="77777777" w:rsidR="006469DC" w:rsidRPr="008D6A29" w:rsidRDefault="00237C68"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1.570</w:t>
            </w:r>
          </w:p>
        </w:tc>
        <w:tc>
          <w:tcPr>
            <w:tcW w:w="360" w:type="dxa"/>
            <w:tcBorders>
              <w:top w:val="nil"/>
              <w:left w:val="nil"/>
              <w:bottom w:val="nil"/>
              <w:right w:val="nil"/>
            </w:tcBorders>
            <w:vAlign w:val="center"/>
          </w:tcPr>
          <w:p w14:paraId="5A322F8D" w14:textId="77777777" w:rsidR="006469DC" w:rsidRPr="008B51A8" w:rsidRDefault="006469DC" w:rsidP="00260D7D">
            <w:pPr>
              <w:tabs>
                <w:tab w:val="left" w:pos="567"/>
              </w:tabs>
              <w:jc w:val="center"/>
              <w:rPr>
                <w:rFonts w:asciiTheme="majorBidi" w:hAnsiTheme="majorBidi" w:cstheme="majorBidi"/>
                <w:color w:val="000000"/>
                <w:sz w:val="20"/>
                <w:szCs w:val="20"/>
              </w:rPr>
            </w:pPr>
          </w:p>
        </w:tc>
        <w:tc>
          <w:tcPr>
            <w:tcW w:w="990" w:type="dxa"/>
            <w:tcBorders>
              <w:top w:val="nil"/>
              <w:left w:val="nil"/>
              <w:bottom w:val="nil"/>
              <w:right w:val="nil"/>
            </w:tcBorders>
            <w:vAlign w:val="center"/>
          </w:tcPr>
          <w:p w14:paraId="52572A02" w14:textId="77777777" w:rsidR="006469DC" w:rsidRPr="008B51A8" w:rsidRDefault="00237C68"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1.153</w:t>
            </w:r>
          </w:p>
        </w:tc>
        <w:tc>
          <w:tcPr>
            <w:tcW w:w="990" w:type="dxa"/>
            <w:tcBorders>
              <w:top w:val="nil"/>
              <w:left w:val="nil"/>
              <w:bottom w:val="nil"/>
              <w:right w:val="nil"/>
            </w:tcBorders>
            <w:vAlign w:val="center"/>
          </w:tcPr>
          <w:p w14:paraId="74F37D3E" w14:textId="77777777" w:rsidR="006469DC" w:rsidRPr="008D6A29" w:rsidRDefault="00237C68"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0.866</w:t>
            </w:r>
          </w:p>
        </w:tc>
        <w:tc>
          <w:tcPr>
            <w:tcW w:w="270" w:type="dxa"/>
            <w:tcBorders>
              <w:top w:val="nil"/>
              <w:left w:val="nil"/>
              <w:bottom w:val="nil"/>
              <w:right w:val="nil"/>
            </w:tcBorders>
            <w:vAlign w:val="center"/>
          </w:tcPr>
          <w:p w14:paraId="3C18B0A7" w14:textId="77777777" w:rsidR="006469DC" w:rsidRPr="008B51A8" w:rsidRDefault="006469DC" w:rsidP="00260D7D">
            <w:pPr>
              <w:tabs>
                <w:tab w:val="left" w:pos="567"/>
              </w:tabs>
              <w:rPr>
                <w:rFonts w:asciiTheme="majorBidi" w:hAnsiTheme="majorBidi" w:cstheme="majorBidi"/>
                <w:color w:val="000000"/>
                <w:sz w:val="20"/>
                <w:szCs w:val="20"/>
              </w:rPr>
            </w:pPr>
          </w:p>
        </w:tc>
        <w:tc>
          <w:tcPr>
            <w:tcW w:w="1083" w:type="dxa"/>
            <w:tcBorders>
              <w:top w:val="nil"/>
              <w:left w:val="nil"/>
              <w:bottom w:val="nil"/>
              <w:right w:val="nil"/>
            </w:tcBorders>
            <w:shd w:val="clear" w:color="auto" w:fill="auto"/>
            <w:vAlign w:val="bottom"/>
          </w:tcPr>
          <w:p w14:paraId="1A3DDDB2" w14:textId="77777777" w:rsidR="006469DC" w:rsidRDefault="006469DC"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w:t>
            </w:r>
            <w:r w:rsidR="00237C68">
              <w:rPr>
                <w:rFonts w:asciiTheme="majorBidi" w:hAnsiTheme="majorBidi" w:cstheme="majorBidi"/>
                <w:color w:val="000000"/>
                <w:sz w:val="20"/>
                <w:szCs w:val="20"/>
              </w:rPr>
              <w:t>831</w:t>
            </w:r>
            <w:r>
              <w:rPr>
                <w:rFonts w:asciiTheme="majorBidi" w:hAnsiTheme="majorBidi" w:cstheme="majorBidi"/>
                <w:color w:val="000000"/>
                <w:sz w:val="20"/>
                <w:szCs w:val="20"/>
              </w:rPr>
              <w:t>***</w:t>
            </w:r>
          </w:p>
          <w:p w14:paraId="526EC623" w14:textId="77777777" w:rsidR="006469DC" w:rsidRPr="0071713E" w:rsidRDefault="006469DC"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w:t>
            </w:r>
            <w:r w:rsidR="00237C68">
              <w:rPr>
                <w:rFonts w:asciiTheme="majorBidi" w:hAnsiTheme="majorBidi" w:cstheme="majorBidi"/>
                <w:color w:val="000000"/>
                <w:sz w:val="20"/>
                <w:szCs w:val="20"/>
              </w:rPr>
              <w:t>0</w:t>
            </w:r>
            <w:r>
              <w:rPr>
                <w:rFonts w:asciiTheme="majorBidi" w:hAnsiTheme="majorBidi" w:cstheme="majorBidi"/>
                <w:color w:val="000000"/>
                <w:sz w:val="20"/>
                <w:szCs w:val="20"/>
              </w:rPr>
              <w:t>)</w:t>
            </w:r>
          </w:p>
        </w:tc>
        <w:tc>
          <w:tcPr>
            <w:tcW w:w="1084" w:type="dxa"/>
            <w:gridSpan w:val="2"/>
            <w:tcBorders>
              <w:top w:val="nil"/>
              <w:left w:val="nil"/>
              <w:bottom w:val="nil"/>
              <w:right w:val="nil"/>
            </w:tcBorders>
            <w:shd w:val="clear" w:color="auto" w:fill="auto"/>
            <w:vAlign w:val="center"/>
          </w:tcPr>
          <w:p w14:paraId="7EB409B3" w14:textId="77777777" w:rsidR="006469DC" w:rsidRDefault="006469DC" w:rsidP="00260D7D">
            <w:pPr>
              <w:tabs>
                <w:tab w:val="left" w:pos="567"/>
              </w:tabs>
              <w:jc w:val="center"/>
              <w:rPr>
                <w:rFonts w:asciiTheme="majorBidi" w:hAnsiTheme="majorBidi" w:cstheme="majorBidi"/>
                <w:color w:val="000000"/>
                <w:sz w:val="20"/>
                <w:szCs w:val="20"/>
              </w:rPr>
            </w:pPr>
            <w:r w:rsidRPr="008D6A29">
              <w:rPr>
                <w:rFonts w:asciiTheme="majorBidi" w:hAnsiTheme="majorBidi" w:cstheme="majorBidi"/>
                <w:color w:val="000000"/>
                <w:sz w:val="20"/>
                <w:szCs w:val="20"/>
              </w:rPr>
              <w:t>0.</w:t>
            </w:r>
            <w:r w:rsidR="00237C68">
              <w:rPr>
                <w:rFonts w:asciiTheme="majorBidi" w:hAnsiTheme="majorBidi" w:cstheme="majorBidi"/>
                <w:color w:val="000000"/>
                <w:sz w:val="20"/>
                <w:szCs w:val="20"/>
              </w:rPr>
              <w:t>703</w:t>
            </w:r>
            <w:r>
              <w:rPr>
                <w:rFonts w:asciiTheme="majorBidi" w:hAnsiTheme="majorBidi" w:cstheme="majorBidi"/>
                <w:color w:val="000000"/>
                <w:sz w:val="20"/>
                <w:szCs w:val="20"/>
              </w:rPr>
              <w:t>***</w:t>
            </w:r>
          </w:p>
          <w:p w14:paraId="5BE501D3" w14:textId="77777777" w:rsidR="006469DC" w:rsidRPr="008D6A29" w:rsidRDefault="006469DC" w:rsidP="00260D7D">
            <w:pPr>
              <w:tabs>
                <w:tab w:val="left" w:pos="567"/>
              </w:tabs>
              <w:jc w:val="center"/>
              <w:rPr>
                <w:rFonts w:asciiTheme="majorBidi" w:hAnsiTheme="majorBidi" w:cstheme="majorBidi"/>
                <w:color w:val="000000"/>
                <w:sz w:val="20"/>
                <w:szCs w:val="20"/>
              </w:rPr>
            </w:pPr>
            <w:r>
              <w:rPr>
                <w:rFonts w:asciiTheme="majorBidi" w:hAnsiTheme="majorBidi" w:cstheme="majorBidi"/>
                <w:color w:val="000000"/>
                <w:sz w:val="20"/>
                <w:szCs w:val="20"/>
              </w:rPr>
              <w:t>(0.00</w:t>
            </w:r>
            <w:r w:rsidR="00237C68">
              <w:rPr>
                <w:rFonts w:asciiTheme="majorBidi" w:hAnsiTheme="majorBidi" w:cstheme="majorBidi"/>
                <w:color w:val="000000"/>
                <w:sz w:val="20"/>
                <w:szCs w:val="20"/>
              </w:rPr>
              <w:t>0</w:t>
            </w:r>
            <w:r>
              <w:rPr>
                <w:rFonts w:asciiTheme="majorBidi" w:hAnsiTheme="majorBidi" w:cstheme="majorBidi"/>
                <w:color w:val="000000"/>
                <w:sz w:val="20"/>
                <w:szCs w:val="20"/>
              </w:rPr>
              <w:t>)</w:t>
            </w:r>
          </w:p>
        </w:tc>
      </w:tr>
      <w:tr w:rsidR="006469DC" w:rsidRPr="008B51A8" w14:paraId="0F4245A9" w14:textId="77777777" w:rsidTr="00A66F9A">
        <w:trPr>
          <w:trHeight w:val="144"/>
          <w:jc w:val="center"/>
        </w:trPr>
        <w:tc>
          <w:tcPr>
            <w:tcW w:w="3960" w:type="dxa"/>
            <w:tcBorders>
              <w:top w:val="nil"/>
              <w:left w:val="nil"/>
              <w:bottom w:val="single" w:sz="6" w:space="0" w:color="auto"/>
              <w:right w:val="nil"/>
            </w:tcBorders>
            <w:vAlign w:val="center"/>
          </w:tcPr>
          <w:p w14:paraId="0E5F74E5" w14:textId="77777777" w:rsidR="006469DC" w:rsidRPr="00E77F07" w:rsidRDefault="006469DC" w:rsidP="00260D7D">
            <w:pPr>
              <w:tabs>
                <w:tab w:val="left" w:pos="567"/>
              </w:tabs>
              <w:rPr>
                <w:rFonts w:asciiTheme="majorBidi" w:hAnsiTheme="majorBidi" w:cstheme="majorBidi"/>
                <w:color w:val="000000"/>
                <w:sz w:val="6"/>
                <w:szCs w:val="6"/>
              </w:rPr>
            </w:pPr>
          </w:p>
        </w:tc>
        <w:tc>
          <w:tcPr>
            <w:tcW w:w="990" w:type="dxa"/>
            <w:tcBorders>
              <w:top w:val="nil"/>
              <w:left w:val="nil"/>
              <w:bottom w:val="single" w:sz="6" w:space="0" w:color="auto"/>
              <w:right w:val="nil"/>
            </w:tcBorders>
            <w:vAlign w:val="center"/>
          </w:tcPr>
          <w:p w14:paraId="7F142046" w14:textId="77777777" w:rsidR="006469DC" w:rsidRPr="00E77F07" w:rsidRDefault="006469DC" w:rsidP="00260D7D">
            <w:pPr>
              <w:tabs>
                <w:tab w:val="left" w:pos="567"/>
              </w:tabs>
              <w:jc w:val="center"/>
              <w:rPr>
                <w:rFonts w:asciiTheme="majorBidi" w:hAnsiTheme="majorBidi" w:cstheme="majorBidi"/>
                <w:color w:val="000000"/>
                <w:sz w:val="6"/>
                <w:szCs w:val="6"/>
              </w:rPr>
            </w:pPr>
          </w:p>
        </w:tc>
        <w:tc>
          <w:tcPr>
            <w:tcW w:w="990" w:type="dxa"/>
            <w:tcBorders>
              <w:top w:val="nil"/>
              <w:left w:val="nil"/>
              <w:bottom w:val="single" w:sz="6" w:space="0" w:color="auto"/>
              <w:right w:val="nil"/>
            </w:tcBorders>
            <w:vAlign w:val="center"/>
          </w:tcPr>
          <w:p w14:paraId="42270847" w14:textId="77777777" w:rsidR="006469DC" w:rsidRPr="00E77F07" w:rsidRDefault="006469DC" w:rsidP="00260D7D">
            <w:pPr>
              <w:tabs>
                <w:tab w:val="left" w:pos="567"/>
              </w:tabs>
              <w:jc w:val="center"/>
              <w:rPr>
                <w:rFonts w:asciiTheme="majorBidi" w:hAnsiTheme="majorBidi" w:cstheme="majorBidi"/>
                <w:color w:val="000000"/>
                <w:sz w:val="6"/>
                <w:szCs w:val="6"/>
              </w:rPr>
            </w:pPr>
          </w:p>
        </w:tc>
        <w:tc>
          <w:tcPr>
            <w:tcW w:w="360" w:type="dxa"/>
            <w:tcBorders>
              <w:top w:val="nil"/>
              <w:left w:val="nil"/>
              <w:bottom w:val="single" w:sz="6" w:space="0" w:color="auto"/>
              <w:right w:val="nil"/>
            </w:tcBorders>
            <w:vAlign w:val="center"/>
          </w:tcPr>
          <w:p w14:paraId="6E756687" w14:textId="77777777" w:rsidR="006469DC" w:rsidRPr="00E77F07" w:rsidRDefault="006469DC" w:rsidP="00260D7D">
            <w:pPr>
              <w:tabs>
                <w:tab w:val="left" w:pos="567"/>
              </w:tabs>
              <w:jc w:val="center"/>
              <w:rPr>
                <w:rFonts w:asciiTheme="majorBidi" w:hAnsiTheme="majorBidi" w:cstheme="majorBidi"/>
                <w:color w:val="000000"/>
                <w:sz w:val="6"/>
                <w:szCs w:val="6"/>
              </w:rPr>
            </w:pPr>
          </w:p>
        </w:tc>
        <w:tc>
          <w:tcPr>
            <w:tcW w:w="990" w:type="dxa"/>
            <w:tcBorders>
              <w:top w:val="nil"/>
              <w:left w:val="nil"/>
              <w:bottom w:val="single" w:sz="6" w:space="0" w:color="auto"/>
              <w:right w:val="nil"/>
            </w:tcBorders>
            <w:vAlign w:val="center"/>
          </w:tcPr>
          <w:p w14:paraId="28EB47F9" w14:textId="77777777" w:rsidR="006469DC" w:rsidRPr="00E77F07" w:rsidRDefault="006469DC" w:rsidP="00260D7D">
            <w:pPr>
              <w:tabs>
                <w:tab w:val="left" w:pos="567"/>
              </w:tabs>
              <w:jc w:val="center"/>
              <w:rPr>
                <w:rFonts w:asciiTheme="majorBidi" w:hAnsiTheme="majorBidi" w:cstheme="majorBidi"/>
                <w:color w:val="000000"/>
                <w:sz w:val="6"/>
                <w:szCs w:val="6"/>
              </w:rPr>
            </w:pPr>
          </w:p>
        </w:tc>
        <w:tc>
          <w:tcPr>
            <w:tcW w:w="990" w:type="dxa"/>
            <w:tcBorders>
              <w:top w:val="nil"/>
              <w:left w:val="nil"/>
              <w:bottom w:val="single" w:sz="6" w:space="0" w:color="auto"/>
              <w:right w:val="nil"/>
            </w:tcBorders>
            <w:vAlign w:val="center"/>
          </w:tcPr>
          <w:p w14:paraId="6534E9E8" w14:textId="77777777" w:rsidR="006469DC" w:rsidRPr="00E77F07" w:rsidRDefault="006469DC" w:rsidP="00260D7D">
            <w:pPr>
              <w:tabs>
                <w:tab w:val="left" w:pos="567"/>
              </w:tabs>
              <w:jc w:val="center"/>
              <w:rPr>
                <w:rFonts w:asciiTheme="majorBidi" w:hAnsiTheme="majorBidi" w:cstheme="majorBidi"/>
                <w:color w:val="000000"/>
                <w:sz w:val="6"/>
                <w:szCs w:val="6"/>
              </w:rPr>
            </w:pPr>
          </w:p>
        </w:tc>
        <w:tc>
          <w:tcPr>
            <w:tcW w:w="270" w:type="dxa"/>
            <w:tcBorders>
              <w:top w:val="nil"/>
              <w:left w:val="nil"/>
              <w:bottom w:val="single" w:sz="6" w:space="0" w:color="auto"/>
              <w:right w:val="nil"/>
            </w:tcBorders>
            <w:vAlign w:val="center"/>
          </w:tcPr>
          <w:p w14:paraId="39FE49F0" w14:textId="77777777" w:rsidR="006469DC" w:rsidRPr="00E77F07" w:rsidRDefault="006469DC" w:rsidP="00260D7D">
            <w:pPr>
              <w:tabs>
                <w:tab w:val="left" w:pos="567"/>
              </w:tabs>
              <w:rPr>
                <w:rFonts w:asciiTheme="majorBidi" w:hAnsiTheme="majorBidi" w:cstheme="majorBidi"/>
                <w:color w:val="000000"/>
                <w:sz w:val="6"/>
                <w:szCs w:val="6"/>
              </w:rPr>
            </w:pPr>
          </w:p>
        </w:tc>
        <w:tc>
          <w:tcPr>
            <w:tcW w:w="1083" w:type="dxa"/>
            <w:tcBorders>
              <w:top w:val="nil"/>
              <w:left w:val="nil"/>
              <w:bottom w:val="single" w:sz="6" w:space="0" w:color="auto"/>
              <w:right w:val="nil"/>
            </w:tcBorders>
            <w:shd w:val="clear" w:color="auto" w:fill="auto"/>
            <w:vAlign w:val="bottom"/>
          </w:tcPr>
          <w:p w14:paraId="6B67622A" w14:textId="77777777" w:rsidR="006469DC" w:rsidRPr="00E77F07" w:rsidRDefault="006469DC" w:rsidP="00260D7D">
            <w:pPr>
              <w:tabs>
                <w:tab w:val="left" w:pos="567"/>
              </w:tabs>
              <w:jc w:val="center"/>
              <w:rPr>
                <w:rFonts w:asciiTheme="majorBidi" w:hAnsiTheme="majorBidi" w:cstheme="majorBidi"/>
                <w:color w:val="000000"/>
                <w:sz w:val="6"/>
                <w:szCs w:val="6"/>
              </w:rPr>
            </w:pPr>
          </w:p>
        </w:tc>
        <w:tc>
          <w:tcPr>
            <w:tcW w:w="1084" w:type="dxa"/>
            <w:gridSpan w:val="2"/>
            <w:tcBorders>
              <w:top w:val="nil"/>
              <w:left w:val="nil"/>
              <w:bottom w:val="single" w:sz="6" w:space="0" w:color="auto"/>
              <w:right w:val="nil"/>
            </w:tcBorders>
            <w:shd w:val="clear" w:color="auto" w:fill="auto"/>
            <w:vAlign w:val="bottom"/>
          </w:tcPr>
          <w:p w14:paraId="782DC743" w14:textId="77777777" w:rsidR="006469DC" w:rsidRPr="00E77F07" w:rsidRDefault="006469DC" w:rsidP="00260D7D">
            <w:pPr>
              <w:tabs>
                <w:tab w:val="left" w:pos="567"/>
              </w:tabs>
              <w:jc w:val="center"/>
              <w:rPr>
                <w:rFonts w:asciiTheme="majorBidi" w:hAnsiTheme="majorBidi" w:cstheme="majorBidi"/>
                <w:color w:val="000000"/>
                <w:sz w:val="6"/>
                <w:szCs w:val="6"/>
              </w:rPr>
            </w:pPr>
          </w:p>
        </w:tc>
      </w:tr>
    </w:tbl>
    <w:p w14:paraId="7C7722A8" w14:textId="77777777" w:rsidR="00031D24" w:rsidRDefault="00031D24" w:rsidP="00260D7D">
      <w:pPr>
        <w:tabs>
          <w:tab w:val="left" w:pos="567"/>
        </w:tabs>
        <w:spacing w:line="360" w:lineRule="auto"/>
        <w:jc w:val="both"/>
        <w:rPr>
          <w:rFonts w:ascii="Times New Roman" w:hAnsi="Times New Roman" w:cs="Times New Roman"/>
          <w:sz w:val="24"/>
          <w:szCs w:val="24"/>
        </w:rPr>
      </w:pPr>
    </w:p>
    <w:p w14:paraId="01798511" w14:textId="77777777" w:rsidR="00031D24" w:rsidRDefault="00031D24" w:rsidP="00260D7D">
      <w:pPr>
        <w:tabs>
          <w:tab w:val="left" w:pos="567"/>
        </w:tabs>
        <w:rPr>
          <w:rFonts w:ascii="Times New Roman" w:hAnsi="Times New Roman" w:cs="Times New Roman"/>
          <w:sz w:val="24"/>
          <w:szCs w:val="24"/>
        </w:rPr>
        <w:sectPr w:rsidR="00031D24" w:rsidSect="00765E31">
          <w:pgSz w:w="12240" w:h="15840"/>
          <w:pgMar w:top="1440" w:right="1440" w:bottom="1440" w:left="1440" w:header="720" w:footer="720" w:gutter="0"/>
          <w:cols w:space="720"/>
          <w:docGrid w:linePitch="360"/>
        </w:sectPr>
      </w:pPr>
    </w:p>
    <w:tbl>
      <w:tblPr>
        <w:tblStyle w:val="TableGrid"/>
        <w:tblW w:w="14040" w:type="dxa"/>
        <w:jc w:val="center"/>
        <w:tblLayout w:type="fixed"/>
        <w:tblLook w:val="04A0" w:firstRow="1" w:lastRow="0" w:firstColumn="1" w:lastColumn="0" w:noHBand="0" w:noVBand="1"/>
      </w:tblPr>
      <w:tblGrid>
        <w:gridCol w:w="3600"/>
        <w:gridCol w:w="1491"/>
        <w:gridCol w:w="1491"/>
        <w:gridCol w:w="1492"/>
        <w:gridCol w:w="1491"/>
        <w:gridCol w:w="1492"/>
        <w:gridCol w:w="1491"/>
        <w:gridCol w:w="1467"/>
        <w:gridCol w:w="25"/>
      </w:tblGrid>
      <w:tr w:rsidR="009C55FE" w:rsidRPr="002E1EC0" w14:paraId="19DC4028" w14:textId="77777777" w:rsidTr="001E51FF">
        <w:trPr>
          <w:gridAfter w:val="1"/>
          <w:wAfter w:w="25" w:type="dxa"/>
          <w:jc w:val="center"/>
        </w:trPr>
        <w:tc>
          <w:tcPr>
            <w:tcW w:w="14015" w:type="dxa"/>
            <w:gridSpan w:val="8"/>
            <w:tcBorders>
              <w:top w:val="nil"/>
              <w:left w:val="nil"/>
              <w:bottom w:val="single" w:sz="6" w:space="0" w:color="auto"/>
              <w:right w:val="nil"/>
            </w:tcBorders>
          </w:tcPr>
          <w:p w14:paraId="4AE6C7E5" w14:textId="2021EEC1" w:rsidR="009C55FE" w:rsidRPr="00C11F67" w:rsidRDefault="00A74ED4" w:rsidP="00260D7D">
            <w:pPr>
              <w:tabs>
                <w:tab w:val="left" w:pos="567"/>
              </w:tabs>
              <w:jc w:val="center"/>
              <w:rPr>
                <w:rFonts w:asciiTheme="majorBidi" w:hAnsiTheme="majorBidi" w:cstheme="majorBidi"/>
                <w:b/>
                <w:bCs/>
                <w:color w:val="000000"/>
              </w:rPr>
            </w:pPr>
            <w:r w:rsidRPr="00C11F67">
              <w:rPr>
                <w:rFonts w:asciiTheme="majorBidi" w:hAnsiTheme="majorBidi" w:cstheme="majorBidi"/>
                <w:b/>
                <w:bCs/>
                <w:color w:val="000000"/>
              </w:rPr>
              <w:lastRenderedPageBreak/>
              <w:t>Table 4</w:t>
            </w:r>
            <w:r w:rsidR="00C57F00" w:rsidRPr="00C11F67">
              <w:rPr>
                <w:rFonts w:asciiTheme="majorBidi" w:hAnsiTheme="majorBidi" w:cstheme="majorBidi"/>
                <w:b/>
                <w:bCs/>
                <w:color w:val="000000"/>
              </w:rPr>
              <w:t xml:space="preserve">: </w:t>
            </w:r>
            <w:r w:rsidR="0055031D" w:rsidRPr="00C11F67">
              <w:rPr>
                <w:rFonts w:asciiTheme="majorBidi" w:hAnsiTheme="majorBidi" w:cstheme="majorBidi"/>
                <w:b/>
                <w:bCs/>
                <w:color w:val="000000"/>
              </w:rPr>
              <w:t xml:space="preserve">The Performance of </w:t>
            </w:r>
            <w:r w:rsidR="00971EAB" w:rsidRPr="00C11F67">
              <w:rPr>
                <w:rFonts w:asciiTheme="majorBidi" w:hAnsiTheme="majorBidi" w:cstheme="majorBidi"/>
                <w:b/>
                <w:bCs/>
                <w:color w:val="000000"/>
              </w:rPr>
              <w:t xml:space="preserve">the </w:t>
            </w:r>
            <w:r w:rsidR="0055031D" w:rsidRPr="00C11F67">
              <w:rPr>
                <w:rFonts w:asciiTheme="majorBidi" w:hAnsiTheme="majorBidi" w:cstheme="majorBidi"/>
                <w:b/>
                <w:bCs/>
                <w:color w:val="000000"/>
              </w:rPr>
              <w:t>Different Prediction Models</w:t>
            </w:r>
            <w:r w:rsidR="00F77DB0" w:rsidRPr="00C11F67">
              <w:rPr>
                <w:rFonts w:asciiTheme="majorBidi" w:hAnsiTheme="majorBidi" w:cstheme="majorBidi"/>
                <w:b/>
                <w:bCs/>
                <w:color w:val="000000"/>
              </w:rPr>
              <w:t xml:space="preserve"> Before </w:t>
            </w:r>
            <w:r w:rsidR="00971EAB" w:rsidRPr="00C11F67">
              <w:rPr>
                <w:rFonts w:asciiTheme="majorBidi" w:hAnsiTheme="majorBidi" w:cstheme="majorBidi"/>
                <w:b/>
                <w:bCs/>
                <w:color w:val="000000"/>
              </w:rPr>
              <w:t xml:space="preserve">and After </w:t>
            </w:r>
            <w:r w:rsidR="00F77DB0" w:rsidRPr="00C11F67">
              <w:rPr>
                <w:rFonts w:asciiTheme="majorBidi" w:hAnsiTheme="majorBidi" w:cstheme="majorBidi"/>
                <w:b/>
                <w:bCs/>
                <w:color w:val="000000"/>
              </w:rPr>
              <w:t>Adding the Governance Variables</w:t>
            </w:r>
          </w:p>
          <w:p w14:paraId="5714722B" w14:textId="77777777" w:rsidR="00C01F80" w:rsidRDefault="0057282A" w:rsidP="00260D7D">
            <w:pPr>
              <w:tabs>
                <w:tab w:val="left" w:pos="567"/>
              </w:tabs>
              <w:jc w:val="both"/>
              <w:rPr>
                <w:rFonts w:asciiTheme="majorBidi" w:hAnsiTheme="majorBidi" w:cstheme="majorBidi"/>
                <w:color w:val="000000"/>
                <w:sz w:val="20"/>
                <w:szCs w:val="20"/>
              </w:rPr>
            </w:pPr>
            <w:r w:rsidRPr="006469DC">
              <w:rPr>
                <w:rFonts w:asciiTheme="majorBidi" w:hAnsiTheme="majorBidi" w:cstheme="majorBidi"/>
                <w:color w:val="000000"/>
                <w:sz w:val="20"/>
                <w:szCs w:val="20"/>
              </w:rPr>
              <w:t xml:space="preserve">Panels A and B present the performance of the different prediction models (see </w:t>
            </w:r>
            <w:r w:rsidRPr="006469DC">
              <w:rPr>
                <w:rFonts w:asciiTheme="majorBidi" w:hAnsiTheme="majorBidi" w:cstheme="majorBidi"/>
                <w:i/>
                <w:iCs/>
                <w:color w:val="000000"/>
                <w:sz w:val="20"/>
                <w:szCs w:val="20"/>
              </w:rPr>
              <w:t>Table 1</w:t>
            </w:r>
            <w:r w:rsidRPr="006469DC">
              <w:rPr>
                <w:rFonts w:asciiTheme="majorBidi" w:hAnsiTheme="majorBidi" w:cstheme="majorBidi"/>
                <w:color w:val="000000"/>
                <w:sz w:val="20"/>
                <w:szCs w:val="20"/>
              </w:rPr>
              <w:t>) before and after adding the governance variables, respectively</w:t>
            </w:r>
            <w:r w:rsidR="007B4911" w:rsidRPr="006469DC">
              <w:rPr>
                <w:rFonts w:asciiTheme="majorBidi" w:hAnsiTheme="majorBidi" w:cstheme="majorBidi"/>
                <w:color w:val="000000"/>
                <w:sz w:val="20"/>
                <w:szCs w:val="20"/>
              </w:rPr>
              <w:t xml:space="preserve"> (one year before bankruptcy)</w:t>
            </w:r>
            <w:r w:rsidRPr="006469DC">
              <w:rPr>
                <w:rFonts w:asciiTheme="majorBidi" w:hAnsiTheme="majorBidi" w:cstheme="majorBidi"/>
                <w:color w:val="000000"/>
                <w:sz w:val="20"/>
                <w:szCs w:val="20"/>
              </w:rPr>
              <w:t xml:space="preserve">. </w:t>
            </w:r>
            <w:r w:rsidR="00F77DB0" w:rsidRPr="006469DC">
              <w:rPr>
                <w:rFonts w:asciiTheme="majorBidi" w:hAnsiTheme="majorBidi" w:cstheme="majorBidi"/>
                <w:color w:val="000000"/>
                <w:sz w:val="20"/>
                <w:szCs w:val="20"/>
              </w:rPr>
              <w:t xml:space="preserve">Each model was estimated using the original estimation method. </w:t>
            </w:r>
            <w:r w:rsidR="00C83782">
              <w:rPr>
                <w:rFonts w:asciiTheme="majorBidi" w:hAnsiTheme="majorBidi" w:cstheme="majorBidi"/>
                <w:color w:val="000000"/>
                <w:sz w:val="20"/>
                <w:szCs w:val="20"/>
              </w:rPr>
              <w:t>Panel C presents the d</w:t>
            </w:r>
            <w:r w:rsidR="00C83782" w:rsidRPr="00C83782">
              <w:rPr>
                <w:rFonts w:asciiTheme="majorBidi" w:hAnsiTheme="majorBidi" w:cstheme="majorBidi"/>
                <w:color w:val="000000"/>
                <w:sz w:val="20"/>
                <w:szCs w:val="20"/>
              </w:rPr>
              <w:t xml:space="preserve">ifferences in the </w:t>
            </w:r>
            <w:r w:rsidR="007230D2">
              <w:rPr>
                <w:rFonts w:asciiTheme="majorBidi" w:hAnsiTheme="majorBidi" w:cstheme="majorBidi"/>
                <w:color w:val="000000"/>
                <w:sz w:val="20"/>
                <w:szCs w:val="20"/>
              </w:rPr>
              <w:t>p</w:t>
            </w:r>
            <w:r w:rsidR="00C83782" w:rsidRPr="00C83782">
              <w:rPr>
                <w:rFonts w:asciiTheme="majorBidi" w:hAnsiTheme="majorBidi" w:cstheme="majorBidi"/>
                <w:color w:val="000000"/>
                <w:sz w:val="20"/>
                <w:szCs w:val="20"/>
              </w:rPr>
              <w:t xml:space="preserve">erformance of the </w:t>
            </w:r>
            <w:r w:rsidR="007230D2">
              <w:rPr>
                <w:rFonts w:asciiTheme="majorBidi" w:hAnsiTheme="majorBidi" w:cstheme="majorBidi"/>
                <w:color w:val="000000"/>
                <w:sz w:val="20"/>
                <w:szCs w:val="20"/>
              </w:rPr>
              <w:t>d</w:t>
            </w:r>
            <w:r w:rsidR="00C83782" w:rsidRPr="00C83782">
              <w:rPr>
                <w:rFonts w:asciiTheme="majorBidi" w:hAnsiTheme="majorBidi" w:cstheme="majorBidi"/>
                <w:color w:val="000000"/>
                <w:sz w:val="20"/>
                <w:szCs w:val="20"/>
              </w:rPr>
              <w:t xml:space="preserve">ifferent </w:t>
            </w:r>
            <w:r w:rsidR="007230D2">
              <w:rPr>
                <w:rFonts w:asciiTheme="majorBidi" w:hAnsiTheme="majorBidi" w:cstheme="majorBidi"/>
                <w:color w:val="000000"/>
                <w:sz w:val="20"/>
                <w:szCs w:val="20"/>
              </w:rPr>
              <w:t>p</w:t>
            </w:r>
            <w:r w:rsidR="00C83782" w:rsidRPr="00C83782">
              <w:rPr>
                <w:rFonts w:asciiTheme="majorBidi" w:hAnsiTheme="majorBidi" w:cstheme="majorBidi"/>
                <w:color w:val="000000"/>
                <w:sz w:val="20"/>
                <w:szCs w:val="20"/>
              </w:rPr>
              <w:t xml:space="preserve">rediction </w:t>
            </w:r>
            <w:r w:rsidR="007230D2">
              <w:rPr>
                <w:rFonts w:asciiTheme="majorBidi" w:hAnsiTheme="majorBidi" w:cstheme="majorBidi"/>
                <w:color w:val="000000"/>
                <w:sz w:val="20"/>
                <w:szCs w:val="20"/>
              </w:rPr>
              <w:t>m</w:t>
            </w:r>
            <w:r w:rsidR="00C83782" w:rsidRPr="00C83782">
              <w:rPr>
                <w:rFonts w:asciiTheme="majorBidi" w:hAnsiTheme="majorBidi" w:cstheme="majorBidi"/>
                <w:color w:val="000000"/>
                <w:sz w:val="20"/>
                <w:szCs w:val="20"/>
              </w:rPr>
              <w:t xml:space="preserve">odels </w:t>
            </w:r>
            <w:r w:rsidR="007230D2">
              <w:rPr>
                <w:rFonts w:asciiTheme="majorBidi" w:hAnsiTheme="majorBidi" w:cstheme="majorBidi"/>
                <w:color w:val="000000"/>
                <w:sz w:val="20"/>
                <w:szCs w:val="20"/>
              </w:rPr>
              <w:t>b</w:t>
            </w:r>
            <w:r w:rsidR="00C83782" w:rsidRPr="00C83782">
              <w:rPr>
                <w:rFonts w:asciiTheme="majorBidi" w:hAnsiTheme="majorBidi" w:cstheme="majorBidi"/>
                <w:color w:val="000000"/>
                <w:sz w:val="20"/>
                <w:szCs w:val="20"/>
              </w:rPr>
              <w:t xml:space="preserve">efore and </w:t>
            </w:r>
            <w:r w:rsidR="007230D2">
              <w:rPr>
                <w:rFonts w:asciiTheme="majorBidi" w:hAnsiTheme="majorBidi" w:cstheme="majorBidi"/>
                <w:color w:val="000000"/>
                <w:sz w:val="20"/>
                <w:szCs w:val="20"/>
              </w:rPr>
              <w:t>a</w:t>
            </w:r>
            <w:r w:rsidR="00C83782" w:rsidRPr="00C83782">
              <w:rPr>
                <w:rFonts w:asciiTheme="majorBidi" w:hAnsiTheme="majorBidi" w:cstheme="majorBidi"/>
                <w:color w:val="000000"/>
                <w:sz w:val="20"/>
                <w:szCs w:val="20"/>
              </w:rPr>
              <w:t xml:space="preserve">fter </w:t>
            </w:r>
            <w:r w:rsidR="007230D2">
              <w:rPr>
                <w:rFonts w:asciiTheme="majorBidi" w:hAnsiTheme="majorBidi" w:cstheme="majorBidi"/>
                <w:color w:val="000000"/>
                <w:sz w:val="20"/>
                <w:szCs w:val="20"/>
              </w:rPr>
              <w:t>a</w:t>
            </w:r>
            <w:r w:rsidR="00C83782" w:rsidRPr="00C83782">
              <w:rPr>
                <w:rFonts w:asciiTheme="majorBidi" w:hAnsiTheme="majorBidi" w:cstheme="majorBidi"/>
                <w:color w:val="000000"/>
                <w:sz w:val="20"/>
                <w:szCs w:val="20"/>
              </w:rPr>
              <w:t xml:space="preserve">dding the </w:t>
            </w:r>
            <w:r w:rsidR="007230D2">
              <w:rPr>
                <w:rFonts w:asciiTheme="majorBidi" w:hAnsiTheme="majorBidi" w:cstheme="majorBidi"/>
                <w:color w:val="000000"/>
                <w:sz w:val="20"/>
                <w:szCs w:val="20"/>
              </w:rPr>
              <w:t>g</w:t>
            </w:r>
            <w:r w:rsidR="00C83782" w:rsidRPr="00C83782">
              <w:rPr>
                <w:rFonts w:asciiTheme="majorBidi" w:hAnsiTheme="majorBidi" w:cstheme="majorBidi"/>
                <w:color w:val="000000"/>
                <w:sz w:val="20"/>
                <w:szCs w:val="20"/>
              </w:rPr>
              <w:t xml:space="preserve">overnance </w:t>
            </w:r>
            <w:r w:rsidR="007230D2">
              <w:rPr>
                <w:rFonts w:asciiTheme="majorBidi" w:hAnsiTheme="majorBidi" w:cstheme="majorBidi"/>
                <w:color w:val="000000"/>
                <w:sz w:val="20"/>
                <w:szCs w:val="20"/>
              </w:rPr>
              <w:t>v</w:t>
            </w:r>
            <w:r w:rsidR="00C83782" w:rsidRPr="00C83782">
              <w:rPr>
                <w:rFonts w:asciiTheme="majorBidi" w:hAnsiTheme="majorBidi" w:cstheme="majorBidi"/>
                <w:color w:val="000000"/>
                <w:sz w:val="20"/>
                <w:szCs w:val="20"/>
              </w:rPr>
              <w:t>ariables (</w:t>
            </w:r>
            <w:r w:rsidR="00C83782" w:rsidRPr="007230D2">
              <w:rPr>
                <w:rFonts w:asciiTheme="majorBidi" w:hAnsiTheme="majorBidi" w:cstheme="majorBidi"/>
                <w:i/>
                <w:iCs/>
                <w:color w:val="000000"/>
                <w:sz w:val="20"/>
                <w:szCs w:val="20"/>
                <w:u w:val="single"/>
              </w:rPr>
              <w:t>After minus Before</w:t>
            </w:r>
            <w:r w:rsidR="00C83782" w:rsidRPr="00C83782">
              <w:rPr>
                <w:rFonts w:asciiTheme="majorBidi" w:hAnsiTheme="majorBidi" w:cstheme="majorBidi"/>
                <w:color w:val="000000"/>
                <w:sz w:val="20"/>
                <w:szCs w:val="20"/>
              </w:rPr>
              <w:t>)</w:t>
            </w:r>
            <w:r w:rsidR="007230D2">
              <w:rPr>
                <w:rFonts w:asciiTheme="majorBidi" w:hAnsiTheme="majorBidi" w:cstheme="majorBidi"/>
                <w:color w:val="000000"/>
                <w:sz w:val="20"/>
                <w:szCs w:val="20"/>
              </w:rPr>
              <w:t xml:space="preserve">. </w:t>
            </w:r>
            <w:r w:rsidR="00BD674C" w:rsidRPr="006469DC">
              <w:rPr>
                <w:rFonts w:asciiTheme="majorBidi" w:hAnsiTheme="majorBidi" w:cstheme="majorBidi"/>
                <w:color w:val="000000"/>
                <w:sz w:val="20"/>
                <w:szCs w:val="20"/>
              </w:rPr>
              <w:t xml:space="preserve">Out-of-sample forecast accuracy is a ratio that measures the portion of cases correctly classified using the results from running the models </w:t>
            </w:r>
            <w:r w:rsidR="00762C44" w:rsidRPr="006469DC">
              <w:rPr>
                <w:rFonts w:asciiTheme="majorBidi" w:hAnsiTheme="majorBidi" w:cstheme="majorBidi"/>
                <w:color w:val="000000"/>
                <w:sz w:val="20"/>
                <w:szCs w:val="20"/>
              </w:rPr>
              <w:t>on</w:t>
            </w:r>
            <w:r w:rsidR="00BD674C" w:rsidRPr="006469DC">
              <w:rPr>
                <w:rFonts w:asciiTheme="majorBidi" w:hAnsiTheme="majorBidi" w:cstheme="majorBidi"/>
                <w:color w:val="000000"/>
                <w:sz w:val="20"/>
                <w:szCs w:val="20"/>
              </w:rPr>
              <w:t xml:space="preserve"> the first eight years (in-sample) </w:t>
            </w:r>
            <w:r w:rsidR="00762C44" w:rsidRPr="006469DC">
              <w:rPr>
                <w:rFonts w:asciiTheme="majorBidi" w:hAnsiTheme="majorBidi" w:cstheme="majorBidi"/>
                <w:color w:val="000000"/>
                <w:sz w:val="20"/>
                <w:szCs w:val="20"/>
              </w:rPr>
              <w:t xml:space="preserve">to forecast the classification of the firms in </w:t>
            </w:r>
            <w:r w:rsidR="00BD674C" w:rsidRPr="006469DC">
              <w:rPr>
                <w:rFonts w:asciiTheme="majorBidi" w:hAnsiTheme="majorBidi" w:cstheme="majorBidi"/>
                <w:color w:val="000000"/>
                <w:sz w:val="20"/>
                <w:szCs w:val="20"/>
              </w:rPr>
              <w:t xml:space="preserve">the </w:t>
            </w:r>
            <w:r w:rsidR="00762C44" w:rsidRPr="006469DC">
              <w:rPr>
                <w:rFonts w:asciiTheme="majorBidi" w:hAnsiTheme="majorBidi" w:cstheme="majorBidi"/>
                <w:color w:val="000000"/>
                <w:sz w:val="20"/>
                <w:szCs w:val="20"/>
              </w:rPr>
              <w:t>last</w:t>
            </w:r>
            <w:r w:rsidR="00BD674C" w:rsidRPr="006469DC">
              <w:rPr>
                <w:rFonts w:asciiTheme="majorBidi" w:hAnsiTheme="majorBidi" w:cstheme="majorBidi"/>
                <w:color w:val="000000"/>
                <w:sz w:val="20"/>
                <w:szCs w:val="20"/>
              </w:rPr>
              <w:t xml:space="preserve"> eight years (out-of-sample).</w:t>
            </w:r>
            <w:r w:rsidR="00921057" w:rsidRPr="006469DC">
              <w:rPr>
                <w:rFonts w:ascii="Times New Roman" w:hAnsi="Times New Roman" w:cs="Times New Roman"/>
                <w:sz w:val="20"/>
                <w:szCs w:val="20"/>
              </w:rPr>
              <w:t xml:space="preserve"> </w:t>
            </w:r>
            <w:r w:rsidR="0027218C" w:rsidRPr="006469DC">
              <w:rPr>
                <w:rFonts w:ascii="Times New Roman" w:hAnsi="Times New Roman" w:cs="Times New Roman"/>
                <w:sz w:val="20"/>
                <w:szCs w:val="20"/>
              </w:rPr>
              <w:t>T</w:t>
            </w:r>
            <w:r w:rsidR="00921057" w:rsidRPr="006469DC">
              <w:rPr>
                <w:rFonts w:ascii="Times New Roman" w:hAnsi="Times New Roman" w:cs="Times New Roman"/>
                <w:sz w:val="20"/>
                <w:szCs w:val="20"/>
              </w:rPr>
              <w:t>he Hanley and McNeil (1983) test</w:t>
            </w:r>
            <w:r w:rsidR="00C75AD6" w:rsidRPr="006469DC">
              <w:rPr>
                <w:rFonts w:ascii="Times New Roman" w:hAnsi="Times New Roman" w:cs="Times New Roman"/>
                <w:sz w:val="20"/>
                <w:szCs w:val="20"/>
              </w:rPr>
              <w:t xml:space="preserve"> (Z-value)</w:t>
            </w:r>
            <w:r w:rsidR="00921057" w:rsidRPr="006469DC">
              <w:rPr>
                <w:rFonts w:ascii="Times New Roman" w:hAnsi="Times New Roman" w:cs="Times New Roman"/>
                <w:sz w:val="20"/>
                <w:szCs w:val="20"/>
              </w:rPr>
              <w:t xml:space="preserve"> </w:t>
            </w:r>
            <w:r w:rsidR="0027218C" w:rsidRPr="006469DC">
              <w:rPr>
                <w:rFonts w:ascii="Times New Roman" w:hAnsi="Times New Roman" w:cs="Times New Roman"/>
                <w:sz w:val="20"/>
                <w:szCs w:val="20"/>
              </w:rPr>
              <w:t xml:space="preserve">is used </w:t>
            </w:r>
            <w:r w:rsidR="00921057" w:rsidRPr="006469DC">
              <w:rPr>
                <w:rFonts w:ascii="Times New Roman" w:hAnsi="Times New Roman" w:cs="Times New Roman"/>
                <w:sz w:val="20"/>
                <w:szCs w:val="20"/>
              </w:rPr>
              <w:t>to compare the significance of the AUC of the different models</w:t>
            </w:r>
            <w:r w:rsidR="0027218C" w:rsidRPr="006469DC">
              <w:rPr>
                <w:rFonts w:ascii="Times New Roman" w:hAnsi="Times New Roman" w:cs="Times New Roman"/>
                <w:sz w:val="20"/>
                <w:szCs w:val="20"/>
              </w:rPr>
              <w:t xml:space="preserve"> before and after adding the governance variables.</w:t>
            </w:r>
            <w:r w:rsidR="0027218C" w:rsidRPr="006469DC">
              <w:rPr>
                <w:rFonts w:asciiTheme="majorBidi" w:hAnsiTheme="majorBidi" w:cstheme="majorBidi"/>
                <w:color w:val="000000"/>
                <w:sz w:val="20"/>
                <w:szCs w:val="20"/>
              </w:rPr>
              <w:t xml:space="preserve"> </w:t>
            </w:r>
          </w:p>
          <w:p w14:paraId="128F892D" w14:textId="5BE40EB1" w:rsidR="009C55FE" w:rsidRPr="006469DC" w:rsidRDefault="0027218C" w:rsidP="00260D7D">
            <w:pPr>
              <w:tabs>
                <w:tab w:val="left" w:pos="567"/>
              </w:tabs>
              <w:jc w:val="both"/>
              <w:rPr>
                <w:rFonts w:asciiTheme="majorBidi" w:hAnsiTheme="majorBidi" w:cstheme="majorBidi"/>
                <w:color w:val="000000"/>
                <w:sz w:val="20"/>
                <w:szCs w:val="20"/>
              </w:rPr>
            </w:pPr>
            <w:r w:rsidRPr="006469DC">
              <w:rPr>
                <w:rFonts w:asciiTheme="majorBidi" w:hAnsiTheme="majorBidi" w:cstheme="majorBidi"/>
                <w:color w:val="000000"/>
                <w:sz w:val="20"/>
                <w:szCs w:val="20"/>
              </w:rPr>
              <w:t>*Significant at the 10% level. **Significant at the 5% level. ***Significant at the 1% level.</w:t>
            </w:r>
          </w:p>
          <w:p w14:paraId="278E5193" w14:textId="77777777" w:rsidR="009C55FE" w:rsidRPr="0006207B" w:rsidRDefault="009C55FE" w:rsidP="00260D7D">
            <w:pPr>
              <w:tabs>
                <w:tab w:val="left" w:pos="567"/>
              </w:tabs>
              <w:jc w:val="center"/>
              <w:rPr>
                <w:rFonts w:asciiTheme="majorBidi" w:hAnsiTheme="majorBidi" w:cstheme="majorBidi"/>
                <w:b/>
                <w:bCs/>
                <w:color w:val="000000"/>
                <w:sz w:val="12"/>
                <w:szCs w:val="12"/>
              </w:rPr>
            </w:pPr>
          </w:p>
        </w:tc>
      </w:tr>
      <w:tr w:rsidR="00971EAB" w14:paraId="641DFE1B" w14:textId="77777777" w:rsidTr="006C1288">
        <w:trPr>
          <w:trHeight w:val="295"/>
          <w:jc w:val="center"/>
        </w:trPr>
        <w:tc>
          <w:tcPr>
            <w:tcW w:w="14040" w:type="dxa"/>
            <w:gridSpan w:val="9"/>
            <w:tcBorders>
              <w:top w:val="single" w:sz="6" w:space="0" w:color="auto"/>
              <w:left w:val="nil"/>
              <w:bottom w:val="nil"/>
              <w:right w:val="nil"/>
            </w:tcBorders>
            <w:vAlign w:val="center"/>
          </w:tcPr>
          <w:p w14:paraId="31960A82" w14:textId="77777777" w:rsidR="00971EAB" w:rsidRPr="001E51FF" w:rsidRDefault="00971EAB" w:rsidP="00260D7D">
            <w:pPr>
              <w:tabs>
                <w:tab w:val="left" w:pos="567"/>
              </w:tabs>
              <w:jc w:val="center"/>
              <w:rPr>
                <w:rFonts w:asciiTheme="majorBidi" w:hAnsiTheme="majorBidi" w:cstheme="majorBidi"/>
                <w:b/>
                <w:bCs/>
                <w:color w:val="000000"/>
                <w:sz w:val="20"/>
                <w:szCs w:val="20"/>
              </w:rPr>
            </w:pPr>
            <w:r w:rsidRPr="001E51FF">
              <w:rPr>
                <w:rFonts w:asciiTheme="majorBidi" w:hAnsiTheme="majorBidi" w:cstheme="majorBidi"/>
                <w:b/>
                <w:bCs/>
                <w:color w:val="000000"/>
                <w:sz w:val="20"/>
                <w:szCs w:val="20"/>
              </w:rPr>
              <w:t>Panel A: Performance of the Different Prediction Models Before Adding the Governance Variables</w:t>
            </w:r>
          </w:p>
        </w:tc>
      </w:tr>
      <w:tr w:rsidR="007C031E" w14:paraId="34B6E4D2" w14:textId="77777777" w:rsidTr="006C1288">
        <w:trPr>
          <w:trHeight w:val="295"/>
          <w:jc w:val="center"/>
        </w:trPr>
        <w:tc>
          <w:tcPr>
            <w:tcW w:w="3600" w:type="dxa"/>
            <w:tcBorders>
              <w:top w:val="nil"/>
              <w:left w:val="nil"/>
              <w:bottom w:val="single" w:sz="4" w:space="0" w:color="auto"/>
              <w:right w:val="nil"/>
            </w:tcBorders>
            <w:vAlign w:val="center"/>
          </w:tcPr>
          <w:p w14:paraId="6DAA4CB0" w14:textId="77777777" w:rsidR="007C031E" w:rsidRPr="00C57F00" w:rsidRDefault="007C031E" w:rsidP="00260D7D">
            <w:pPr>
              <w:tabs>
                <w:tab w:val="left" w:pos="567"/>
              </w:tabs>
              <w:rPr>
                <w:rFonts w:asciiTheme="majorBidi" w:hAnsiTheme="majorBidi" w:cstheme="majorBidi"/>
                <w:color w:val="000000"/>
                <w:sz w:val="20"/>
                <w:szCs w:val="20"/>
              </w:rPr>
            </w:pPr>
          </w:p>
        </w:tc>
        <w:tc>
          <w:tcPr>
            <w:tcW w:w="1491" w:type="dxa"/>
            <w:tcBorders>
              <w:top w:val="nil"/>
              <w:left w:val="nil"/>
              <w:bottom w:val="single" w:sz="4" w:space="0" w:color="auto"/>
              <w:right w:val="nil"/>
            </w:tcBorders>
            <w:vAlign w:val="center"/>
          </w:tcPr>
          <w:p w14:paraId="394CF7F2" w14:textId="77777777" w:rsidR="007C031E" w:rsidRPr="00C57F00" w:rsidRDefault="007C031E" w:rsidP="00260D7D">
            <w:pPr>
              <w:tabs>
                <w:tab w:val="left" w:pos="567"/>
              </w:tabs>
              <w:jc w:val="center"/>
              <w:rPr>
                <w:rFonts w:asciiTheme="majorBidi" w:hAnsiTheme="majorBidi" w:cstheme="majorBidi"/>
                <w:color w:val="000000"/>
                <w:sz w:val="20"/>
                <w:szCs w:val="20"/>
              </w:rPr>
            </w:pPr>
            <w:r w:rsidRPr="00C57F00">
              <w:rPr>
                <w:rFonts w:asciiTheme="majorBidi" w:hAnsiTheme="majorBidi" w:cstheme="majorBidi"/>
                <w:color w:val="000000"/>
                <w:sz w:val="20"/>
                <w:szCs w:val="20"/>
              </w:rPr>
              <w:t>ALT</w:t>
            </w:r>
          </w:p>
        </w:tc>
        <w:tc>
          <w:tcPr>
            <w:tcW w:w="1491" w:type="dxa"/>
            <w:tcBorders>
              <w:top w:val="nil"/>
              <w:left w:val="nil"/>
              <w:bottom w:val="single" w:sz="4" w:space="0" w:color="auto"/>
              <w:right w:val="nil"/>
            </w:tcBorders>
            <w:vAlign w:val="center"/>
          </w:tcPr>
          <w:p w14:paraId="58D0CA11" w14:textId="77777777" w:rsidR="007C031E" w:rsidRPr="00C57F00" w:rsidRDefault="007C031E" w:rsidP="00260D7D">
            <w:pPr>
              <w:tabs>
                <w:tab w:val="left" w:pos="567"/>
              </w:tabs>
              <w:jc w:val="center"/>
              <w:rPr>
                <w:rFonts w:asciiTheme="majorBidi" w:hAnsiTheme="majorBidi" w:cstheme="majorBidi"/>
                <w:color w:val="000000"/>
                <w:sz w:val="20"/>
                <w:szCs w:val="20"/>
              </w:rPr>
            </w:pPr>
            <w:r w:rsidRPr="00C57F00">
              <w:rPr>
                <w:rFonts w:asciiTheme="majorBidi" w:hAnsiTheme="majorBidi" w:cstheme="majorBidi"/>
                <w:color w:val="000000"/>
                <w:sz w:val="20"/>
                <w:szCs w:val="20"/>
              </w:rPr>
              <w:t>OHL</w:t>
            </w:r>
          </w:p>
        </w:tc>
        <w:tc>
          <w:tcPr>
            <w:tcW w:w="1492" w:type="dxa"/>
            <w:tcBorders>
              <w:top w:val="nil"/>
              <w:left w:val="nil"/>
              <w:bottom w:val="single" w:sz="4" w:space="0" w:color="auto"/>
              <w:right w:val="nil"/>
            </w:tcBorders>
            <w:vAlign w:val="center"/>
          </w:tcPr>
          <w:p w14:paraId="5CE4CF22" w14:textId="77777777" w:rsidR="007C031E" w:rsidRPr="00C57F00" w:rsidRDefault="007C031E" w:rsidP="00260D7D">
            <w:pPr>
              <w:tabs>
                <w:tab w:val="left" w:pos="567"/>
              </w:tabs>
              <w:jc w:val="center"/>
              <w:rPr>
                <w:rFonts w:asciiTheme="majorBidi" w:hAnsiTheme="majorBidi" w:cstheme="majorBidi"/>
                <w:color w:val="000000"/>
                <w:sz w:val="20"/>
                <w:szCs w:val="20"/>
              </w:rPr>
            </w:pPr>
            <w:r w:rsidRPr="00C57F00">
              <w:rPr>
                <w:rFonts w:asciiTheme="majorBidi" w:hAnsiTheme="majorBidi" w:cstheme="majorBidi"/>
                <w:color w:val="000000"/>
                <w:sz w:val="20"/>
                <w:szCs w:val="20"/>
              </w:rPr>
              <w:t>ZMJ</w:t>
            </w:r>
          </w:p>
        </w:tc>
        <w:tc>
          <w:tcPr>
            <w:tcW w:w="1491" w:type="dxa"/>
            <w:tcBorders>
              <w:top w:val="nil"/>
              <w:left w:val="nil"/>
              <w:bottom w:val="single" w:sz="4" w:space="0" w:color="auto"/>
              <w:right w:val="nil"/>
            </w:tcBorders>
            <w:vAlign w:val="center"/>
          </w:tcPr>
          <w:p w14:paraId="50EB26D7" w14:textId="77777777" w:rsidR="007C031E" w:rsidRPr="00C57F00" w:rsidRDefault="007C031E" w:rsidP="00260D7D">
            <w:pPr>
              <w:tabs>
                <w:tab w:val="left" w:pos="567"/>
              </w:tabs>
              <w:jc w:val="center"/>
              <w:rPr>
                <w:rFonts w:asciiTheme="majorBidi" w:hAnsiTheme="majorBidi" w:cstheme="majorBidi"/>
                <w:color w:val="000000"/>
                <w:sz w:val="20"/>
                <w:szCs w:val="20"/>
              </w:rPr>
            </w:pPr>
            <w:r w:rsidRPr="00C57F00">
              <w:rPr>
                <w:rFonts w:asciiTheme="majorBidi" w:hAnsiTheme="majorBidi" w:cstheme="majorBidi"/>
                <w:color w:val="000000"/>
                <w:sz w:val="20"/>
                <w:szCs w:val="20"/>
              </w:rPr>
              <w:t>SHW</w:t>
            </w:r>
          </w:p>
        </w:tc>
        <w:tc>
          <w:tcPr>
            <w:tcW w:w="1492" w:type="dxa"/>
            <w:tcBorders>
              <w:top w:val="nil"/>
              <w:left w:val="nil"/>
              <w:bottom w:val="single" w:sz="4" w:space="0" w:color="auto"/>
              <w:right w:val="nil"/>
            </w:tcBorders>
            <w:vAlign w:val="center"/>
          </w:tcPr>
          <w:p w14:paraId="683DD7A0" w14:textId="77777777" w:rsidR="007C031E" w:rsidRPr="00C57F00" w:rsidRDefault="007C031E" w:rsidP="00260D7D">
            <w:pPr>
              <w:tabs>
                <w:tab w:val="left" w:pos="567"/>
              </w:tabs>
              <w:jc w:val="center"/>
              <w:rPr>
                <w:rFonts w:asciiTheme="majorBidi" w:hAnsiTheme="majorBidi" w:cstheme="majorBidi"/>
                <w:color w:val="000000"/>
                <w:sz w:val="20"/>
                <w:szCs w:val="20"/>
              </w:rPr>
            </w:pPr>
            <w:r w:rsidRPr="00C57F00">
              <w:rPr>
                <w:rFonts w:asciiTheme="majorBidi" w:hAnsiTheme="majorBidi" w:cstheme="majorBidi"/>
                <w:color w:val="000000"/>
                <w:sz w:val="20"/>
                <w:szCs w:val="20"/>
              </w:rPr>
              <w:t>BSH</w:t>
            </w:r>
          </w:p>
        </w:tc>
        <w:tc>
          <w:tcPr>
            <w:tcW w:w="1491" w:type="dxa"/>
            <w:tcBorders>
              <w:top w:val="nil"/>
              <w:left w:val="nil"/>
              <w:bottom w:val="single" w:sz="4" w:space="0" w:color="auto"/>
              <w:right w:val="nil"/>
            </w:tcBorders>
            <w:vAlign w:val="center"/>
          </w:tcPr>
          <w:p w14:paraId="278606F1" w14:textId="77777777" w:rsidR="007C031E" w:rsidRPr="00C57F00" w:rsidRDefault="007C031E" w:rsidP="00260D7D">
            <w:pPr>
              <w:tabs>
                <w:tab w:val="left" w:pos="567"/>
              </w:tabs>
              <w:jc w:val="center"/>
              <w:rPr>
                <w:rFonts w:asciiTheme="majorBidi" w:hAnsiTheme="majorBidi" w:cstheme="majorBidi"/>
                <w:color w:val="000000"/>
                <w:sz w:val="20"/>
                <w:szCs w:val="20"/>
              </w:rPr>
            </w:pPr>
            <w:r w:rsidRPr="00C57F00">
              <w:rPr>
                <w:rFonts w:asciiTheme="majorBidi" w:hAnsiTheme="majorBidi" w:cstheme="majorBidi"/>
                <w:color w:val="000000"/>
                <w:sz w:val="20"/>
                <w:szCs w:val="20"/>
              </w:rPr>
              <w:t>PRM</w:t>
            </w:r>
          </w:p>
        </w:tc>
        <w:tc>
          <w:tcPr>
            <w:tcW w:w="1492" w:type="dxa"/>
            <w:gridSpan w:val="2"/>
            <w:tcBorders>
              <w:top w:val="nil"/>
              <w:left w:val="nil"/>
              <w:bottom w:val="single" w:sz="4" w:space="0" w:color="auto"/>
              <w:right w:val="nil"/>
            </w:tcBorders>
            <w:vAlign w:val="center"/>
          </w:tcPr>
          <w:p w14:paraId="5BC52204" w14:textId="77777777" w:rsidR="007C031E" w:rsidRPr="00C57F00" w:rsidRDefault="007C031E" w:rsidP="00260D7D">
            <w:pPr>
              <w:tabs>
                <w:tab w:val="left" w:pos="567"/>
              </w:tabs>
              <w:jc w:val="center"/>
              <w:rPr>
                <w:rFonts w:asciiTheme="majorBidi" w:hAnsiTheme="majorBidi" w:cstheme="majorBidi"/>
                <w:color w:val="000000"/>
                <w:sz w:val="20"/>
                <w:szCs w:val="20"/>
              </w:rPr>
            </w:pPr>
            <w:r w:rsidRPr="00C57F00">
              <w:rPr>
                <w:rFonts w:asciiTheme="majorBidi" w:hAnsiTheme="majorBidi" w:cstheme="majorBidi"/>
                <w:color w:val="000000"/>
                <w:sz w:val="20"/>
                <w:szCs w:val="20"/>
              </w:rPr>
              <w:t>ALM</w:t>
            </w:r>
          </w:p>
        </w:tc>
      </w:tr>
      <w:tr w:rsidR="007C031E" w14:paraId="74F7BEF1" w14:textId="77777777" w:rsidTr="00C40424">
        <w:trPr>
          <w:trHeight w:val="360"/>
          <w:jc w:val="center"/>
        </w:trPr>
        <w:tc>
          <w:tcPr>
            <w:tcW w:w="3600" w:type="dxa"/>
            <w:tcBorders>
              <w:top w:val="single" w:sz="4" w:space="0" w:color="auto"/>
              <w:left w:val="nil"/>
              <w:bottom w:val="nil"/>
              <w:right w:val="nil"/>
            </w:tcBorders>
            <w:vAlign w:val="center"/>
          </w:tcPr>
          <w:p w14:paraId="67751F4F" w14:textId="77777777" w:rsidR="007C031E" w:rsidRPr="00C57F00" w:rsidRDefault="007C031E" w:rsidP="00260D7D">
            <w:pPr>
              <w:tabs>
                <w:tab w:val="left" w:pos="567"/>
              </w:tabs>
              <w:rPr>
                <w:rFonts w:asciiTheme="majorBidi" w:hAnsiTheme="majorBidi" w:cstheme="majorBidi"/>
                <w:b/>
                <w:bCs/>
                <w:sz w:val="20"/>
                <w:szCs w:val="20"/>
              </w:rPr>
            </w:pPr>
            <w:r w:rsidRPr="00C57F00">
              <w:rPr>
                <w:rFonts w:asciiTheme="majorBidi" w:hAnsiTheme="majorBidi" w:cstheme="majorBidi"/>
                <w:b/>
                <w:bCs/>
                <w:sz w:val="20"/>
                <w:szCs w:val="20"/>
              </w:rPr>
              <w:t>Prediction &amp; Classification</w:t>
            </w:r>
          </w:p>
        </w:tc>
        <w:tc>
          <w:tcPr>
            <w:tcW w:w="1491" w:type="dxa"/>
            <w:tcBorders>
              <w:top w:val="single" w:sz="4" w:space="0" w:color="auto"/>
              <w:left w:val="nil"/>
              <w:bottom w:val="nil"/>
              <w:right w:val="nil"/>
            </w:tcBorders>
            <w:vAlign w:val="center"/>
          </w:tcPr>
          <w:p w14:paraId="133EFD6F" w14:textId="77777777" w:rsidR="007C031E" w:rsidRPr="00971EAB" w:rsidRDefault="007C031E" w:rsidP="00260D7D">
            <w:pPr>
              <w:tabs>
                <w:tab w:val="left" w:pos="567"/>
              </w:tabs>
              <w:jc w:val="center"/>
              <w:rPr>
                <w:rFonts w:asciiTheme="majorBidi" w:hAnsiTheme="majorBidi" w:cstheme="majorBidi"/>
                <w:sz w:val="20"/>
                <w:szCs w:val="20"/>
              </w:rPr>
            </w:pPr>
          </w:p>
        </w:tc>
        <w:tc>
          <w:tcPr>
            <w:tcW w:w="1491" w:type="dxa"/>
            <w:tcBorders>
              <w:top w:val="single" w:sz="4" w:space="0" w:color="auto"/>
              <w:left w:val="nil"/>
              <w:bottom w:val="nil"/>
              <w:right w:val="nil"/>
            </w:tcBorders>
            <w:vAlign w:val="center"/>
          </w:tcPr>
          <w:p w14:paraId="728D35BB" w14:textId="77777777" w:rsidR="007C031E" w:rsidRPr="00971EAB" w:rsidRDefault="007C031E" w:rsidP="00260D7D">
            <w:pPr>
              <w:tabs>
                <w:tab w:val="left" w:pos="567"/>
              </w:tabs>
              <w:jc w:val="center"/>
              <w:rPr>
                <w:rFonts w:asciiTheme="majorBidi" w:hAnsiTheme="majorBidi" w:cstheme="majorBidi"/>
                <w:sz w:val="20"/>
                <w:szCs w:val="20"/>
              </w:rPr>
            </w:pPr>
          </w:p>
        </w:tc>
        <w:tc>
          <w:tcPr>
            <w:tcW w:w="1492" w:type="dxa"/>
            <w:tcBorders>
              <w:top w:val="single" w:sz="4" w:space="0" w:color="auto"/>
              <w:left w:val="nil"/>
              <w:bottom w:val="nil"/>
              <w:right w:val="nil"/>
            </w:tcBorders>
            <w:vAlign w:val="center"/>
          </w:tcPr>
          <w:p w14:paraId="2E533FCB" w14:textId="77777777" w:rsidR="007C031E" w:rsidRPr="00971EAB" w:rsidRDefault="007C031E" w:rsidP="00260D7D">
            <w:pPr>
              <w:tabs>
                <w:tab w:val="left" w:pos="567"/>
              </w:tabs>
              <w:jc w:val="center"/>
              <w:rPr>
                <w:rFonts w:asciiTheme="majorBidi" w:hAnsiTheme="majorBidi" w:cstheme="majorBidi"/>
                <w:sz w:val="20"/>
                <w:szCs w:val="20"/>
              </w:rPr>
            </w:pPr>
          </w:p>
        </w:tc>
        <w:tc>
          <w:tcPr>
            <w:tcW w:w="1491" w:type="dxa"/>
            <w:tcBorders>
              <w:top w:val="single" w:sz="4" w:space="0" w:color="auto"/>
              <w:left w:val="nil"/>
              <w:bottom w:val="nil"/>
              <w:right w:val="nil"/>
            </w:tcBorders>
            <w:vAlign w:val="center"/>
          </w:tcPr>
          <w:p w14:paraId="4AC32823" w14:textId="77777777" w:rsidR="007C031E" w:rsidRPr="00971EAB" w:rsidRDefault="007C031E" w:rsidP="00260D7D">
            <w:pPr>
              <w:tabs>
                <w:tab w:val="left" w:pos="567"/>
              </w:tabs>
              <w:jc w:val="center"/>
              <w:rPr>
                <w:rFonts w:asciiTheme="majorBidi" w:hAnsiTheme="majorBidi" w:cstheme="majorBidi"/>
                <w:sz w:val="20"/>
                <w:szCs w:val="20"/>
              </w:rPr>
            </w:pPr>
          </w:p>
        </w:tc>
        <w:tc>
          <w:tcPr>
            <w:tcW w:w="1492" w:type="dxa"/>
            <w:tcBorders>
              <w:top w:val="single" w:sz="4" w:space="0" w:color="auto"/>
              <w:left w:val="nil"/>
              <w:bottom w:val="nil"/>
              <w:right w:val="nil"/>
            </w:tcBorders>
            <w:vAlign w:val="center"/>
          </w:tcPr>
          <w:p w14:paraId="3BE794F1" w14:textId="77777777" w:rsidR="007C031E" w:rsidRPr="00971EAB" w:rsidRDefault="007C031E" w:rsidP="00260D7D">
            <w:pPr>
              <w:tabs>
                <w:tab w:val="left" w:pos="567"/>
              </w:tabs>
              <w:jc w:val="center"/>
              <w:rPr>
                <w:rFonts w:asciiTheme="majorBidi" w:hAnsiTheme="majorBidi" w:cstheme="majorBidi"/>
                <w:sz w:val="20"/>
                <w:szCs w:val="20"/>
              </w:rPr>
            </w:pPr>
          </w:p>
        </w:tc>
        <w:tc>
          <w:tcPr>
            <w:tcW w:w="1491" w:type="dxa"/>
            <w:tcBorders>
              <w:top w:val="single" w:sz="4" w:space="0" w:color="auto"/>
              <w:left w:val="nil"/>
              <w:bottom w:val="nil"/>
              <w:right w:val="nil"/>
            </w:tcBorders>
            <w:vAlign w:val="center"/>
          </w:tcPr>
          <w:p w14:paraId="3E49AD4E" w14:textId="77777777" w:rsidR="007C031E" w:rsidRPr="00971EAB" w:rsidRDefault="007C031E" w:rsidP="00260D7D">
            <w:pPr>
              <w:tabs>
                <w:tab w:val="left" w:pos="567"/>
              </w:tabs>
              <w:jc w:val="center"/>
              <w:rPr>
                <w:rFonts w:asciiTheme="majorBidi" w:hAnsiTheme="majorBidi" w:cstheme="majorBidi"/>
                <w:sz w:val="20"/>
                <w:szCs w:val="20"/>
              </w:rPr>
            </w:pPr>
          </w:p>
        </w:tc>
        <w:tc>
          <w:tcPr>
            <w:tcW w:w="1492" w:type="dxa"/>
            <w:gridSpan w:val="2"/>
            <w:tcBorders>
              <w:top w:val="single" w:sz="4" w:space="0" w:color="auto"/>
              <w:left w:val="nil"/>
              <w:bottom w:val="nil"/>
              <w:right w:val="nil"/>
            </w:tcBorders>
            <w:vAlign w:val="center"/>
          </w:tcPr>
          <w:p w14:paraId="2B8A5551" w14:textId="77777777" w:rsidR="007C031E" w:rsidRPr="00971EAB" w:rsidRDefault="007C031E" w:rsidP="00260D7D">
            <w:pPr>
              <w:tabs>
                <w:tab w:val="left" w:pos="567"/>
              </w:tabs>
              <w:jc w:val="center"/>
              <w:rPr>
                <w:rFonts w:asciiTheme="majorBidi" w:hAnsiTheme="majorBidi" w:cstheme="majorBidi"/>
                <w:sz w:val="20"/>
                <w:szCs w:val="20"/>
              </w:rPr>
            </w:pPr>
          </w:p>
        </w:tc>
      </w:tr>
      <w:tr w:rsidR="00D870FD" w14:paraId="4E265D28" w14:textId="77777777" w:rsidTr="006C1288">
        <w:trPr>
          <w:trHeight w:val="97"/>
          <w:jc w:val="center"/>
        </w:trPr>
        <w:tc>
          <w:tcPr>
            <w:tcW w:w="3600" w:type="dxa"/>
            <w:tcBorders>
              <w:top w:val="nil"/>
              <w:left w:val="nil"/>
              <w:bottom w:val="nil"/>
              <w:right w:val="nil"/>
            </w:tcBorders>
            <w:vAlign w:val="center"/>
          </w:tcPr>
          <w:p w14:paraId="5F651E6E" w14:textId="77777777" w:rsidR="00D870FD" w:rsidRPr="00971EAB" w:rsidRDefault="00D870FD"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Accuracy Ratio</w:t>
            </w:r>
          </w:p>
        </w:tc>
        <w:tc>
          <w:tcPr>
            <w:tcW w:w="1491" w:type="dxa"/>
            <w:tcBorders>
              <w:top w:val="nil"/>
              <w:left w:val="nil"/>
              <w:bottom w:val="nil"/>
              <w:right w:val="nil"/>
            </w:tcBorders>
            <w:vAlign w:val="center"/>
          </w:tcPr>
          <w:p w14:paraId="454D5DF8" w14:textId="77777777" w:rsidR="00D870FD" w:rsidRPr="00C32776" w:rsidRDefault="00D870FD" w:rsidP="00260D7D">
            <w:pPr>
              <w:tabs>
                <w:tab w:val="left" w:pos="567"/>
              </w:tabs>
              <w:jc w:val="center"/>
              <w:rPr>
                <w:rFonts w:asciiTheme="majorBidi" w:hAnsiTheme="majorBidi" w:cstheme="majorBidi"/>
                <w:sz w:val="20"/>
                <w:szCs w:val="20"/>
              </w:rPr>
            </w:pPr>
            <w:r w:rsidRPr="00C32776">
              <w:rPr>
                <w:rFonts w:asciiTheme="majorBidi" w:hAnsiTheme="majorBidi" w:cstheme="majorBidi"/>
                <w:sz w:val="20"/>
                <w:szCs w:val="20"/>
              </w:rPr>
              <w:t>0.</w:t>
            </w:r>
            <w:r>
              <w:rPr>
                <w:rFonts w:asciiTheme="majorBidi" w:hAnsiTheme="majorBidi" w:cstheme="majorBidi"/>
                <w:sz w:val="20"/>
                <w:szCs w:val="20"/>
              </w:rPr>
              <w:t>8</w:t>
            </w:r>
            <w:r w:rsidRPr="00C32776">
              <w:rPr>
                <w:rFonts w:asciiTheme="majorBidi" w:hAnsiTheme="majorBidi" w:cstheme="majorBidi"/>
                <w:sz w:val="20"/>
                <w:szCs w:val="20"/>
              </w:rPr>
              <w:t>7</w:t>
            </w:r>
          </w:p>
        </w:tc>
        <w:tc>
          <w:tcPr>
            <w:tcW w:w="1491" w:type="dxa"/>
            <w:tcBorders>
              <w:top w:val="nil"/>
              <w:left w:val="nil"/>
              <w:bottom w:val="nil"/>
              <w:right w:val="nil"/>
            </w:tcBorders>
            <w:vAlign w:val="center"/>
          </w:tcPr>
          <w:p w14:paraId="441ABE2C" w14:textId="77777777" w:rsidR="00D870FD" w:rsidRPr="00A238D9" w:rsidRDefault="00D870FD" w:rsidP="00260D7D">
            <w:pPr>
              <w:tabs>
                <w:tab w:val="left" w:pos="567"/>
              </w:tabs>
              <w:jc w:val="center"/>
              <w:rPr>
                <w:rFonts w:asciiTheme="majorBidi" w:hAnsiTheme="majorBidi" w:cstheme="majorBidi"/>
                <w:sz w:val="20"/>
                <w:szCs w:val="20"/>
              </w:rPr>
            </w:pPr>
            <w:r w:rsidRPr="00A238D9">
              <w:rPr>
                <w:rFonts w:asciiTheme="majorBidi" w:hAnsiTheme="majorBidi" w:cstheme="majorBidi"/>
                <w:sz w:val="20"/>
                <w:szCs w:val="20"/>
              </w:rPr>
              <w:t>0.76</w:t>
            </w:r>
          </w:p>
        </w:tc>
        <w:tc>
          <w:tcPr>
            <w:tcW w:w="1492" w:type="dxa"/>
            <w:tcBorders>
              <w:top w:val="nil"/>
              <w:left w:val="nil"/>
              <w:bottom w:val="nil"/>
              <w:right w:val="nil"/>
            </w:tcBorders>
            <w:vAlign w:val="center"/>
          </w:tcPr>
          <w:p w14:paraId="50FE77F9" w14:textId="77777777" w:rsidR="00D870FD" w:rsidRPr="00527C24" w:rsidRDefault="00D870FD" w:rsidP="00260D7D">
            <w:pPr>
              <w:tabs>
                <w:tab w:val="left" w:pos="567"/>
              </w:tabs>
              <w:jc w:val="center"/>
              <w:rPr>
                <w:rFonts w:asciiTheme="majorBidi" w:hAnsiTheme="majorBidi" w:cstheme="majorBidi"/>
                <w:sz w:val="20"/>
                <w:szCs w:val="20"/>
              </w:rPr>
            </w:pPr>
            <w:r w:rsidRPr="00527C24">
              <w:rPr>
                <w:rFonts w:asciiTheme="majorBidi" w:hAnsiTheme="majorBidi" w:cstheme="majorBidi"/>
                <w:sz w:val="20"/>
                <w:szCs w:val="20"/>
              </w:rPr>
              <w:t>0.</w:t>
            </w:r>
            <w:r>
              <w:rPr>
                <w:rFonts w:asciiTheme="majorBidi" w:hAnsiTheme="majorBidi" w:cstheme="majorBidi"/>
                <w:sz w:val="20"/>
                <w:szCs w:val="20"/>
              </w:rPr>
              <w:t>8</w:t>
            </w:r>
            <w:r w:rsidRPr="00527C24">
              <w:rPr>
                <w:rFonts w:asciiTheme="majorBidi" w:hAnsiTheme="majorBidi" w:cstheme="majorBidi"/>
                <w:sz w:val="20"/>
                <w:szCs w:val="20"/>
              </w:rPr>
              <w:t>7</w:t>
            </w:r>
          </w:p>
        </w:tc>
        <w:tc>
          <w:tcPr>
            <w:tcW w:w="1491" w:type="dxa"/>
            <w:tcBorders>
              <w:top w:val="nil"/>
              <w:left w:val="nil"/>
              <w:bottom w:val="nil"/>
              <w:right w:val="nil"/>
            </w:tcBorders>
            <w:shd w:val="clear" w:color="auto" w:fill="auto"/>
            <w:vAlign w:val="center"/>
          </w:tcPr>
          <w:p w14:paraId="4D4D6B11" w14:textId="77777777" w:rsidR="00D870FD" w:rsidRPr="00242D0B" w:rsidRDefault="00D870FD" w:rsidP="00260D7D">
            <w:pPr>
              <w:tabs>
                <w:tab w:val="left" w:pos="567"/>
              </w:tabs>
              <w:jc w:val="center"/>
              <w:rPr>
                <w:rFonts w:asciiTheme="majorBidi" w:hAnsiTheme="majorBidi" w:cstheme="majorBidi"/>
                <w:sz w:val="20"/>
                <w:szCs w:val="20"/>
              </w:rPr>
            </w:pPr>
            <w:r w:rsidRPr="00242D0B">
              <w:rPr>
                <w:rFonts w:asciiTheme="majorBidi" w:hAnsiTheme="majorBidi" w:cstheme="majorBidi"/>
                <w:sz w:val="20"/>
                <w:szCs w:val="20"/>
              </w:rPr>
              <w:t>0.7</w:t>
            </w:r>
            <w:r w:rsidR="003A2177">
              <w:rPr>
                <w:rFonts w:asciiTheme="majorBidi" w:hAnsiTheme="majorBidi" w:cstheme="majorBidi"/>
                <w:sz w:val="20"/>
                <w:szCs w:val="20"/>
              </w:rPr>
              <w:t>9</w:t>
            </w:r>
          </w:p>
        </w:tc>
        <w:tc>
          <w:tcPr>
            <w:tcW w:w="1492" w:type="dxa"/>
            <w:tcBorders>
              <w:top w:val="nil"/>
              <w:left w:val="nil"/>
              <w:bottom w:val="nil"/>
              <w:right w:val="nil"/>
            </w:tcBorders>
            <w:vAlign w:val="center"/>
          </w:tcPr>
          <w:p w14:paraId="2E113C53" w14:textId="77777777" w:rsidR="00D870FD" w:rsidRPr="00527C24" w:rsidRDefault="00D870FD" w:rsidP="00260D7D">
            <w:pPr>
              <w:tabs>
                <w:tab w:val="left" w:pos="567"/>
              </w:tabs>
              <w:jc w:val="center"/>
              <w:rPr>
                <w:rFonts w:asciiTheme="majorBidi" w:hAnsiTheme="majorBidi" w:cstheme="majorBidi"/>
                <w:sz w:val="20"/>
                <w:szCs w:val="20"/>
              </w:rPr>
            </w:pPr>
            <w:r w:rsidRPr="00527C24">
              <w:rPr>
                <w:rFonts w:asciiTheme="majorBidi" w:hAnsiTheme="majorBidi" w:cstheme="majorBidi"/>
                <w:sz w:val="20"/>
                <w:szCs w:val="20"/>
              </w:rPr>
              <w:t>0.72</w:t>
            </w:r>
          </w:p>
        </w:tc>
        <w:tc>
          <w:tcPr>
            <w:tcW w:w="1491" w:type="dxa"/>
            <w:tcBorders>
              <w:top w:val="nil"/>
              <w:left w:val="nil"/>
              <w:bottom w:val="nil"/>
              <w:right w:val="nil"/>
            </w:tcBorders>
            <w:vAlign w:val="center"/>
          </w:tcPr>
          <w:p w14:paraId="66440B20" w14:textId="77777777" w:rsidR="00D870FD" w:rsidRPr="00E91099" w:rsidRDefault="00D870FD" w:rsidP="00260D7D">
            <w:pPr>
              <w:tabs>
                <w:tab w:val="left" w:pos="567"/>
              </w:tabs>
              <w:jc w:val="center"/>
              <w:rPr>
                <w:rFonts w:asciiTheme="majorBidi" w:hAnsiTheme="majorBidi" w:cstheme="majorBidi"/>
                <w:sz w:val="20"/>
                <w:szCs w:val="20"/>
              </w:rPr>
            </w:pPr>
            <w:r w:rsidRPr="00E91099">
              <w:rPr>
                <w:rFonts w:asciiTheme="majorBidi" w:hAnsiTheme="majorBidi" w:cstheme="majorBidi"/>
                <w:sz w:val="20"/>
                <w:szCs w:val="20"/>
              </w:rPr>
              <w:t>0.81</w:t>
            </w:r>
          </w:p>
        </w:tc>
        <w:tc>
          <w:tcPr>
            <w:tcW w:w="1492" w:type="dxa"/>
            <w:gridSpan w:val="2"/>
            <w:tcBorders>
              <w:top w:val="nil"/>
              <w:left w:val="nil"/>
              <w:bottom w:val="nil"/>
              <w:right w:val="nil"/>
            </w:tcBorders>
            <w:vAlign w:val="center"/>
          </w:tcPr>
          <w:p w14:paraId="5B6BB5B2" w14:textId="77777777" w:rsidR="00D870FD" w:rsidRPr="00C32776" w:rsidRDefault="00D870FD" w:rsidP="00260D7D">
            <w:pPr>
              <w:tabs>
                <w:tab w:val="left" w:pos="567"/>
              </w:tabs>
              <w:jc w:val="center"/>
              <w:rPr>
                <w:rFonts w:asciiTheme="majorBidi" w:hAnsiTheme="majorBidi" w:cstheme="majorBidi"/>
                <w:sz w:val="20"/>
                <w:szCs w:val="20"/>
              </w:rPr>
            </w:pPr>
            <w:r w:rsidRPr="00C32776">
              <w:rPr>
                <w:rFonts w:asciiTheme="majorBidi" w:hAnsiTheme="majorBidi" w:cstheme="majorBidi"/>
                <w:sz w:val="20"/>
                <w:szCs w:val="20"/>
              </w:rPr>
              <w:t>0.</w:t>
            </w:r>
            <w:r>
              <w:rPr>
                <w:rFonts w:asciiTheme="majorBidi" w:hAnsiTheme="majorBidi" w:cstheme="majorBidi"/>
                <w:sz w:val="20"/>
                <w:szCs w:val="20"/>
              </w:rPr>
              <w:t>8</w:t>
            </w:r>
            <w:r w:rsidRPr="00C32776">
              <w:rPr>
                <w:rFonts w:asciiTheme="majorBidi" w:hAnsiTheme="majorBidi" w:cstheme="majorBidi"/>
                <w:sz w:val="20"/>
                <w:szCs w:val="20"/>
              </w:rPr>
              <w:t>7</w:t>
            </w:r>
          </w:p>
        </w:tc>
      </w:tr>
      <w:tr w:rsidR="00D870FD" w14:paraId="78B0AC0E" w14:textId="77777777" w:rsidTr="00E91099">
        <w:trPr>
          <w:trHeight w:val="360"/>
          <w:jc w:val="center"/>
        </w:trPr>
        <w:tc>
          <w:tcPr>
            <w:tcW w:w="3600" w:type="dxa"/>
            <w:tcBorders>
              <w:top w:val="nil"/>
              <w:left w:val="nil"/>
              <w:bottom w:val="nil"/>
              <w:right w:val="nil"/>
            </w:tcBorders>
            <w:vAlign w:val="center"/>
          </w:tcPr>
          <w:p w14:paraId="30D0AC29" w14:textId="77777777" w:rsidR="00D870FD" w:rsidRPr="00971EAB" w:rsidRDefault="00D870FD" w:rsidP="00260D7D">
            <w:pPr>
              <w:tabs>
                <w:tab w:val="left" w:pos="567"/>
              </w:tabs>
              <w:rPr>
                <w:rFonts w:asciiTheme="majorBidi" w:hAnsiTheme="majorBidi" w:cstheme="majorBidi"/>
                <w:sz w:val="20"/>
                <w:szCs w:val="20"/>
              </w:rPr>
            </w:pPr>
            <w:r>
              <w:rPr>
                <w:rFonts w:asciiTheme="majorBidi" w:hAnsiTheme="majorBidi" w:cstheme="majorBidi"/>
                <w:sz w:val="20"/>
                <w:szCs w:val="20"/>
              </w:rPr>
              <w:t xml:space="preserve">Specifity </w:t>
            </w:r>
            <w:r w:rsidRPr="00971EAB">
              <w:rPr>
                <w:rFonts w:asciiTheme="majorBidi" w:hAnsiTheme="majorBidi" w:cstheme="majorBidi"/>
                <w:sz w:val="20"/>
                <w:szCs w:val="20"/>
              </w:rPr>
              <w:t>(Sensitivity)</w:t>
            </w:r>
          </w:p>
        </w:tc>
        <w:tc>
          <w:tcPr>
            <w:tcW w:w="1491" w:type="dxa"/>
            <w:tcBorders>
              <w:top w:val="nil"/>
              <w:left w:val="nil"/>
              <w:bottom w:val="nil"/>
              <w:right w:val="nil"/>
            </w:tcBorders>
            <w:vAlign w:val="center"/>
          </w:tcPr>
          <w:p w14:paraId="5069788F" w14:textId="77777777" w:rsidR="00D870FD" w:rsidRPr="00C32776" w:rsidRDefault="00D870FD" w:rsidP="00260D7D">
            <w:pPr>
              <w:tabs>
                <w:tab w:val="left" w:pos="567"/>
              </w:tabs>
              <w:jc w:val="center"/>
              <w:rPr>
                <w:rFonts w:asciiTheme="majorBidi" w:hAnsiTheme="majorBidi" w:cstheme="majorBidi"/>
                <w:sz w:val="20"/>
                <w:szCs w:val="20"/>
              </w:rPr>
            </w:pPr>
            <w:r w:rsidRPr="00C32776">
              <w:rPr>
                <w:rFonts w:asciiTheme="majorBidi" w:hAnsiTheme="majorBidi" w:cstheme="majorBidi"/>
                <w:sz w:val="20"/>
                <w:szCs w:val="20"/>
              </w:rPr>
              <w:t>0.</w:t>
            </w:r>
            <w:r>
              <w:rPr>
                <w:rFonts w:asciiTheme="majorBidi" w:hAnsiTheme="majorBidi" w:cstheme="majorBidi"/>
                <w:sz w:val="20"/>
                <w:szCs w:val="20"/>
              </w:rPr>
              <w:t>87</w:t>
            </w:r>
            <w:r w:rsidRPr="00C32776">
              <w:rPr>
                <w:rFonts w:asciiTheme="majorBidi" w:hAnsiTheme="majorBidi" w:cstheme="majorBidi"/>
                <w:sz w:val="20"/>
                <w:szCs w:val="20"/>
              </w:rPr>
              <w:t xml:space="preserve"> (0.4</w:t>
            </w:r>
            <w:r>
              <w:rPr>
                <w:rFonts w:asciiTheme="majorBidi" w:hAnsiTheme="majorBidi" w:cstheme="majorBidi"/>
                <w:sz w:val="20"/>
                <w:szCs w:val="20"/>
              </w:rPr>
              <w:t>4</w:t>
            </w:r>
            <w:r w:rsidRPr="00C32776">
              <w:rPr>
                <w:rFonts w:asciiTheme="majorBidi" w:hAnsiTheme="majorBidi" w:cstheme="majorBidi"/>
                <w:sz w:val="20"/>
                <w:szCs w:val="20"/>
              </w:rPr>
              <w:t>)</w:t>
            </w:r>
          </w:p>
        </w:tc>
        <w:tc>
          <w:tcPr>
            <w:tcW w:w="1491" w:type="dxa"/>
            <w:tcBorders>
              <w:top w:val="nil"/>
              <w:left w:val="nil"/>
              <w:bottom w:val="nil"/>
              <w:right w:val="nil"/>
            </w:tcBorders>
            <w:vAlign w:val="center"/>
          </w:tcPr>
          <w:p w14:paraId="7942F3B7" w14:textId="77777777" w:rsidR="00D870FD" w:rsidRPr="00A238D9" w:rsidRDefault="00D870FD" w:rsidP="00260D7D">
            <w:pPr>
              <w:tabs>
                <w:tab w:val="left" w:pos="567"/>
              </w:tabs>
              <w:jc w:val="center"/>
              <w:rPr>
                <w:rFonts w:asciiTheme="majorBidi" w:hAnsiTheme="majorBidi" w:cstheme="majorBidi"/>
                <w:sz w:val="20"/>
                <w:szCs w:val="20"/>
              </w:rPr>
            </w:pPr>
            <w:r w:rsidRPr="00A238D9">
              <w:rPr>
                <w:rFonts w:asciiTheme="majorBidi" w:hAnsiTheme="majorBidi" w:cstheme="majorBidi"/>
                <w:sz w:val="20"/>
                <w:szCs w:val="20"/>
              </w:rPr>
              <w:t>0.76 (0.47)</w:t>
            </w:r>
          </w:p>
        </w:tc>
        <w:tc>
          <w:tcPr>
            <w:tcW w:w="1492" w:type="dxa"/>
            <w:tcBorders>
              <w:top w:val="nil"/>
              <w:left w:val="nil"/>
              <w:bottom w:val="nil"/>
              <w:right w:val="nil"/>
            </w:tcBorders>
            <w:vAlign w:val="center"/>
          </w:tcPr>
          <w:p w14:paraId="188CB7A8" w14:textId="77777777" w:rsidR="00D870FD" w:rsidRPr="00527C24" w:rsidRDefault="00D870FD" w:rsidP="00260D7D">
            <w:pPr>
              <w:tabs>
                <w:tab w:val="left" w:pos="567"/>
              </w:tabs>
              <w:jc w:val="center"/>
              <w:rPr>
                <w:rFonts w:asciiTheme="majorBidi" w:hAnsiTheme="majorBidi" w:cstheme="majorBidi"/>
                <w:sz w:val="20"/>
                <w:szCs w:val="20"/>
              </w:rPr>
            </w:pPr>
            <w:r w:rsidRPr="00527C24">
              <w:rPr>
                <w:rFonts w:asciiTheme="majorBidi" w:hAnsiTheme="majorBidi" w:cstheme="majorBidi"/>
                <w:sz w:val="20"/>
                <w:szCs w:val="20"/>
              </w:rPr>
              <w:t>0.</w:t>
            </w:r>
            <w:r>
              <w:rPr>
                <w:rFonts w:asciiTheme="majorBidi" w:hAnsiTheme="majorBidi" w:cstheme="majorBidi"/>
                <w:sz w:val="20"/>
                <w:szCs w:val="20"/>
              </w:rPr>
              <w:t>8</w:t>
            </w:r>
            <w:r w:rsidRPr="00527C24">
              <w:rPr>
                <w:rFonts w:asciiTheme="majorBidi" w:hAnsiTheme="majorBidi" w:cstheme="majorBidi"/>
                <w:sz w:val="20"/>
                <w:szCs w:val="20"/>
              </w:rPr>
              <w:t>7 (0.4</w:t>
            </w:r>
            <w:r>
              <w:rPr>
                <w:rFonts w:asciiTheme="majorBidi" w:hAnsiTheme="majorBidi" w:cstheme="majorBidi"/>
                <w:sz w:val="20"/>
                <w:szCs w:val="20"/>
              </w:rPr>
              <w:t>8</w:t>
            </w:r>
            <w:r w:rsidRPr="00527C24">
              <w:rPr>
                <w:rFonts w:asciiTheme="majorBidi" w:hAnsiTheme="majorBidi" w:cstheme="majorBidi"/>
                <w:sz w:val="20"/>
                <w:szCs w:val="20"/>
              </w:rPr>
              <w:t>)</w:t>
            </w:r>
          </w:p>
        </w:tc>
        <w:tc>
          <w:tcPr>
            <w:tcW w:w="1491" w:type="dxa"/>
            <w:tcBorders>
              <w:top w:val="nil"/>
              <w:left w:val="nil"/>
              <w:bottom w:val="nil"/>
              <w:right w:val="nil"/>
            </w:tcBorders>
            <w:shd w:val="clear" w:color="auto" w:fill="auto"/>
            <w:vAlign w:val="center"/>
          </w:tcPr>
          <w:p w14:paraId="696E6B64" w14:textId="77777777" w:rsidR="00D870FD" w:rsidRPr="00242D0B" w:rsidRDefault="00D870FD" w:rsidP="00260D7D">
            <w:pPr>
              <w:tabs>
                <w:tab w:val="left" w:pos="567"/>
              </w:tabs>
              <w:jc w:val="center"/>
              <w:rPr>
                <w:rFonts w:asciiTheme="majorBidi" w:hAnsiTheme="majorBidi" w:cstheme="majorBidi"/>
                <w:sz w:val="20"/>
                <w:szCs w:val="20"/>
              </w:rPr>
            </w:pPr>
            <w:r w:rsidRPr="00242D0B">
              <w:rPr>
                <w:rFonts w:asciiTheme="majorBidi" w:hAnsiTheme="majorBidi" w:cstheme="majorBidi"/>
                <w:sz w:val="20"/>
                <w:szCs w:val="20"/>
              </w:rPr>
              <w:t>0.7</w:t>
            </w:r>
            <w:r w:rsidR="003A2177">
              <w:rPr>
                <w:rFonts w:asciiTheme="majorBidi" w:hAnsiTheme="majorBidi" w:cstheme="majorBidi"/>
                <w:sz w:val="20"/>
                <w:szCs w:val="20"/>
              </w:rPr>
              <w:t>9</w:t>
            </w:r>
            <w:r w:rsidRPr="00242D0B">
              <w:rPr>
                <w:rFonts w:asciiTheme="majorBidi" w:hAnsiTheme="majorBidi" w:cstheme="majorBidi"/>
                <w:sz w:val="20"/>
                <w:szCs w:val="20"/>
              </w:rPr>
              <w:t xml:space="preserve"> (0.75)</w:t>
            </w:r>
          </w:p>
        </w:tc>
        <w:tc>
          <w:tcPr>
            <w:tcW w:w="1492" w:type="dxa"/>
            <w:tcBorders>
              <w:top w:val="nil"/>
              <w:left w:val="nil"/>
              <w:bottom w:val="nil"/>
              <w:right w:val="nil"/>
            </w:tcBorders>
            <w:vAlign w:val="center"/>
          </w:tcPr>
          <w:p w14:paraId="4C1AC07B" w14:textId="77777777" w:rsidR="00D870FD" w:rsidRPr="00527C24" w:rsidRDefault="00D870FD" w:rsidP="00260D7D">
            <w:pPr>
              <w:tabs>
                <w:tab w:val="left" w:pos="567"/>
              </w:tabs>
              <w:jc w:val="center"/>
              <w:rPr>
                <w:rFonts w:asciiTheme="majorBidi" w:hAnsiTheme="majorBidi" w:cstheme="majorBidi"/>
                <w:sz w:val="20"/>
                <w:szCs w:val="20"/>
              </w:rPr>
            </w:pPr>
            <w:r w:rsidRPr="00527C24">
              <w:rPr>
                <w:rFonts w:asciiTheme="majorBidi" w:hAnsiTheme="majorBidi" w:cstheme="majorBidi"/>
                <w:sz w:val="20"/>
                <w:szCs w:val="20"/>
              </w:rPr>
              <w:t>0.72 (0.80)</w:t>
            </w:r>
          </w:p>
        </w:tc>
        <w:tc>
          <w:tcPr>
            <w:tcW w:w="1491" w:type="dxa"/>
            <w:tcBorders>
              <w:top w:val="nil"/>
              <w:left w:val="nil"/>
              <w:bottom w:val="nil"/>
              <w:right w:val="nil"/>
            </w:tcBorders>
            <w:vAlign w:val="center"/>
          </w:tcPr>
          <w:p w14:paraId="395710C4" w14:textId="77777777" w:rsidR="00D870FD" w:rsidRPr="00E91099" w:rsidRDefault="00D870FD" w:rsidP="00260D7D">
            <w:pPr>
              <w:tabs>
                <w:tab w:val="left" w:pos="567"/>
              </w:tabs>
              <w:jc w:val="center"/>
              <w:rPr>
                <w:rFonts w:asciiTheme="majorBidi" w:hAnsiTheme="majorBidi" w:cstheme="majorBidi"/>
                <w:sz w:val="20"/>
                <w:szCs w:val="20"/>
              </w:rPr>
            </w:pPr>
            <w:r w:rsidRPr="00E91099">
              <w:rPr>
                <w:rFonts w:asciiTheme="majorBidi" w:hAnsiTheme="majorBidi" w:cstheme="majorBidi"/>
                <w:sz w:val="20"/>
                <w:szCs w:val="20"/>
              </w:rPr>
              <w:t>0.81 (0.7</w:t>
            </w:r>
            <w:r>
              <w:rPr>
                <w:rFonts w:asciiTheme="majorBidi" w:hAnsiTheme="majorBidi" w:cstheme="majorBidi"/>
                <w:sz w:val="20"/>
                <w:szCs w:val="20"/>
              </w:rPr>
              <w:t>9</w:t>
            </w:r>
            <w:r w:rsidRPr="00E91099">
              <w:rPr>
                <w:rFonts w:asciiTheme="majorBidi" w:hAnsiTheme="majorBidi" w:cstheme="majorBidi"/>
                <w:sz w:val="20"/>
                <w:szCs w:val="20"/>
              </w:rPr>
              <w:t>)</w:t>
            </w:r>
          </w:p>
        </w:tc>
        <w:tc>
          <w:tcPr>
            <w:tcW w:w="1492" w:type="dxa"/>
            <w:gridSpan w:val="2"/>
            <w:tcBorders>
              <w:top w:val="nil"/>
              <w:left w:val="nil"/>
              <w:bottom w:val="nil"/>
              <w:right w:val="nil"/>
            </w:tcBorders>
            <w:vAlign w:val="center"/>
          </w:tcPr>
          <w:p w14:paraId="5C2B0020" w14:textId="77777777" w:rsidR="00D870FD" w:rsidRPr="00C32776" w:rsidRDefault="00D870FD" w:rsidP="00260D7D">
            <w:pPr>
              <w:tabs>
                <w:tab w:val="left" w:pos="567"/>
              </w:tabs>
              <w:jc w:val="center"/>
              <w:rPr>
                <w:rFonts w:asciiTheme="majorBidi" w:hAnsiTheme="majorBidi" w:cstheme="majorBidi"/>
                <w:sz w:val="20"/>
                <w:szCs w:val="20"/>
              </w:rPr>
            </w:pPr>
            <w:r w:rsidRPr="00C32776">
              <w:rPr>
                <w:rFonts w:asciiTheme="majorBidi" w:hAnsiTheme="majorBidi" w:cstheme="majorBidi"/>
                <w:sz w:val="20"/>
                <w:szCs w:val="20"/>
              </w:rPr>
              <w:t>0.</w:t>
            </w:r>
            <w:r>
              <w:rPr>
                <w:rFonts w:asciiTheme="majorBidi" w:hAnsiTheme="majorBidi" w:cstheme="majorBidi"/>
                <w:sz w:val="20"/>
                <w:szCs w:val="20"/>
              </w:rPr>
              <w:t>87</w:t>
            </w:r>
            <w:r w:rsidRPr="00C32776">
              <w:rPr>
                <w:rFonts w:asciiTheme="majorBidi" w:hAnsiTheme="majorBidi" w:cstheme="majorBidi"/>
                <w:sz w:val="20"/>
                <w:szCs w:val="20"/>
              </w:rPr>
              <w:t xml:space="preserve"> (0.4</w:t>
            </w:r>
            <w:r>
              <w:rPr>
                <w:rFonts w:asciiTheme="majorBidi" w:hAnsiTheme="majorBidi" w:cstheme="majorBidi"/>
                <w:sz w:val="20"/>
                <w:szCs w:val="20"/>
              </w:rPr>
              <w:t>4</w:t>
            </w:r>
            <w:r w:rsidRPr="00C32776">
              <w:rPr>
                <w:rFonts w:asciiTheme="majorBidi" w:hAnsiTheme="majorBidi" w:cstheme="majorBidi"/>
                <w:sz w:val="20"/>
                <w:szCs w:val="20"/>
              </w:rPr>
              <w:t>)</w:t>
            </w:r>
          </w:p>
        </w:tc>
      </w:tr>
      <w:tr w:rsidR="00D870FD" w14:paraId="1CA86B8A" w14:textId="77777777" w:rsidTr="00E91099">
        <w:trPr>
          <w:trHeight w:val="360"/>
          <w:jc w:val="center"/>
        </w:trPr>
        <w:tc>
          <w:tcPr>
            <w:tcW w:w="3600" w:type="dxa"/>
            <w:tcBorders>
              <w:top w:val="nil"/>
              <w:left w:val="nil"/>
              <w:bottom w:val="nil"/>
              <w:right w:val="nil"/>
            </w:tcBorders>
            <w:vAlign w:val="center"/>
          </w:tcPr>
          <w:p w14:paraId="2CC58C86" w14:textId="77777777" w:rsidR="00D870FD" w:rsidRPr="00971EAB" w:rsidRDefault="00D870FD"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Type I</w:t>
            </w:r>
            <w:r>
              <w:rPr>
                <w:rFonts w:asciiTheme="majorBidi" w:hAnsiTheme="majorBidi" w:cstheme="majorBidi"/>
                <w:sz w:val="20"/>
                <w:szCs w:val="20"/>
              </w:rPr>
              <w:t>I</w:t>
            </w:r>
            <w:r w:rsidRPr="00971EAB">
              <w:rPr>
                <w:rFonts w:asciiTheme="majorBidi" w:hAnsiTheme="majorBidi" w:cstheme="majorBidi"/>
                <w:sz w:val="20"/>
                <w:szCs w:val="20"/>
              </w:rPr>
              <w:t xml:space="preserve"> Error (Type I Error)</w:t>
            </w:r>
          </w:p>
        </w:tc>
        <w:tc>
          <w:tcPr>
            <w:tcW w:w="1491" w:type="dxa"/>
            <w:tcBorders>
              <w:top w:val="nil"/>
              <w:left w:val="nil"/>
              <w:bottom w:val="nil"/>
              <w:right w:val="nil"/>
            </w:tcBorders>
            <w:vAlign w:val="center"/>
          </w:tcPr>
          <w:p w14:paraId="31ACB8D6" w14:textId="77777777" w:rsidR="00D870FD" w:rsidRPr="00C32776" w:rsidRDefault="00D870FD" w:rsidP="00260D7D">
            <w:pPr>
              <w:tabs>
                <w:tab w:val="left" w:pos="567"/>
              </w:tabs>
              <w:jc w:val="center"/>
              <w:rPr>
                <w:rFonts w:asciiTheme="majorBidi" w:hAnsiTheme="majorBidi" w:cstheme="majorBidi"/>
                <w:sz w:val="20"/>
                <w:szCs w:val="20"/>
              </w:rPr>
            </w:pPr>
            <w:r w:rsidRPr="00C32776">
              <w:rPr>
                <w:rFonts w:asciiTheme="majorBidi" w:hAnsiTheme="majorBidi" w:cstheme="majorBidi"/>
                <w:sz w:val="20"/>
                <w:szCs w:val="20"/>
              </w:rPr>
              <w:t>0.</w:t>
            </w:r>
            <w:r>
              <w:rPr>
                <w:rFonts w:asciiTheme="majorBidi" w:hAnsiTheme="majorBidi" w:cstheme="majorBidi"/>
                <w:sz w:val="20"/>
                <w:szCs w:val="20"/>
              </w:rPr>
              <w:t>13</w:t>
            </w:r>
            <w:r w:rsidRPr="00C32776">
              <w:rPr>
                <w:rFonts w:asciiTheme="majorBidi" w:hAnsiTheme="majorBidi" w:cstheme="majorBidi"/>
                <w:sz w:val="20"/>
                <w:szCs w:val="20"/>
              </w:rPr>
              <w:t xml:space="preserve"> (0.56)</w:t>
            </w:r>
          </w:p>
        </w:tc>
        <w:tc>
          <w:tcPr>
            <w:tcW w:w="1491" w:type="dxa"/>
            <w:tcBorders>
              <w:top w:val="nil"/>
              <w:left w:val="nil"/>
              <w:bottom w:val="nil"/>
              <w:right w:val="nil"/>
            </w:tcBorders>
            <w:vAlign w:val="center"/>
          </w:tcPr>
          <w:p w14:paraId="4A3BC082" w14:textId="77777777" w:rsidR="00D870FD" w:rsidRPr="00A238D9" w:rsidRDefault="00D870FD" w:rsidP="00260D7D">
            <w:pPr>
              <w:tabs>
                <w:tab w:val="left" w:pos="567"/>
              </w:tabs>
              <w:jc w:val="center"/>
              <w:rPr>
                <w:rFonts w:asciiTheme="majorBidi" w:hAnsiTheme="majorBidi" w:cstheme="majorBidi"/>
                <w:sz w:val="20"/>
                <w:szCs w:val="20"/>
              </w:rPr>
            </w:pPr>
            <w:r w:rsidRPr="00A238D9">
              <w:rPr>
                <w:rFonts w:asciiTheme="majorBidi" w:hAnsiTheme="majorBidi" w:cstheme="majorBidi"/>
                <w:sz w:val="20"/>
                <w:szCs w:val="20"/>
              </w:rPr>
              <w:t>0.23 (0.52)</w:t>
            </w:r>
          </w:p>
        </w:tc>
        <w:tc>
          <w:tcPr>
            <w:tcW w:w="1492" w:type="dxa"/>
            <w:tcBorders>
              <w:top w:val="nil"/>
              <w:left w:val="nil"/>
              <w:bottom w:val="nil"/>
              <w:right w:val="nil"/>
            </w:tcBorders>
            <w:vAlign w:val="center"/>
          </w:tcPr>
          <w:p w14:paraId="7155221A" w14:textId="77777777" w:rsidR="00D870FD" w:rsidRPr="00527C24" w:rsidRDefault="00D870FD" w:rsidP="00260D7D">
            <w:pPr>
              <w:tabs>
                <w:tab w:val="left" w:pos="567"/>
              </w:tabs>
              <w:jc w:val="center"/>
              <w:rPr>
                <w:rFonts w:asciiTheme="majorBidi" w:hAnsiTheme="majorBidi" w:cstheme="majorBidi"/>
                <w:sz w:val="20"/>
                <w:szCs w:val="20"/>
              </w:rPr>
            </w:pPr>
            <w:r w:rsidRPr="00527C24">
              <w:rPr>
                <w:rFonts w:asciiTheme="majorBidi" w:hAnsiTheme="majorBidi" w:cstheme="majorBidi"/>
                <w:sz w:val="20"/>
                <w:szCs w:val="20"/>
              </w:rPr>
              <w:t>0.</w:t>
            </w:r>
            <w:r>
              <w:rPr>
                <w:rFonts w:asciiTheme="majorBidi" w:hAnsiTheme="majorBidi" w:cstheme="majorBidi"/>
                <w:sz w:val="20"/>
                <w:szCs w:val="20"/>
              </w:rPr>
              <w:t>13</w:t>
            </w:r>
            <w:r w:rsidRPr="00527C24">
              <w:rPr>
                <w:rFonts w:asciiTheme="majorBidi" w:hAnsiTheme="majorBidi" w:cstheme="majorBidi"/>
                <w:sz w:val="20"/>
                <w:szCs w:val="20"/>
              </w:rPr>
              <w:t xml:space="preserve"> (0.52)</w:t>
            </w:r>
          </w:p>
        </w:tc>
        <w:tc>
          <w:tcPr>
            <w:tcW w:w="1491" w:type="dxa"/>
            <w:tcBorders>
              <w:top w:val="nil"/>
              <w:left w:val="nil"/>
              <w:bottom w:val="nil"/>
              <w:right w:val="nil"/>
            </w:tcBorders>
            <w:vAlign w:val="center"/>
          </w:tcPr>
          <w:p w14:paraId="6A0A2858" w14:textId="77777777" w:rsidR="00D870FD" w:rsidRPr="00242D0B" w:rsidRDefault="00D870FD" w:rsidP="00260D7D">
            <w:pPr>
              <w:tabs>
                <w:tab w:val="left" w:pos="567"/>
              </w:tabs>
              <w:jc w:val="center"/>
              <w:rPr>
                <w:rFonts w:asciiTheme="majorBidi" w:hAnsiTheme="majorBidi" w:cstheme="majorBidi"/>
                <w:sz w:val="20"/>
                <w:szCs w:val="20"/>
              </w:rPr>
            </w:pPr>
            <w:r w:rsidRPr="00242D0B">
              <w:rPr>
                <w:rFonts w:asciiTheme="majorBidi" w:hAnsiTheme="majorBidi" w:cstheme="majorBidi"/>
                <w:sz w:val="20"/>
                <w:szCs w:val="20"/>
              </w:rPr>
              <w:t>0.2</w:t>
            </w:r>
            <w:r w:rsidR="003A2177">
              <w:rPr>
                <w:rFonts w:asciiTheme="majorBidi" w:hAnsiTheme="majorBidi" w:cstheme="majorBidi"/>
                <w:sz w:val="20"/>
                <w:szCs w:val="20"/>
              </w:rPr>
              <w:t>1</w:t>
            </w:r>
            <w:r w:rsidRPr="00242D0B">
              <w:rPr>
                <w:rFonts w:asciiTheme="majorBidi" w:hAnsiTheme="majorBidi" w:cstheme="majorBidi"/>
                <w:sz w:val="20"/>
                <w:szCs w:val="20"/>
              </w:rPr>
              <w:t xml:space="preserve"> (0.2</w:t>
            </w:r>
            <w:r>
              <w:rPr>
                <w:rFonts w:asciiTheme="majorBidi" w:hAnsiTheme="majorBidi" w:cstheme="majorBidi"/>
                <w:sz w:val="20"/>
                <w:szCs w:val="20"/>
              </w:rPr>
              <w:t>5</w:t>
            </w:r>
            <w:r w:rsidRPr="00242D0B">
              <w:rPr>
                <w:rFonts w:asciiTheme="majorBidi" w:hAnsiTheme="majorBidi" w:cstheme="majorBidi"/>
                <w:sz w:val="20"/>
                <w:szCs w:val="20"/>
              </w:rPr>
              <w:t>)</w:t>
            </w:r>
          </w:p>
        </w:tc>
        <w:tc>
          <w:tcPr>
            <w:tcW w:w="1492" w:type="dxa"/>
            <w:tcBorders>
              <w:top w:val="nil"/>
              <w:left w:val="nil"/>
              <w:bottom w:val="nil"/>
              <w:right w:val="nil"/>
            </w:tcBorders>
            <w:vAlign w:val="center"/>
          </w:tcPr>
          <w:p w14:paraId="22BA9D33" w14:textId="77777777" w:rsidR="00D870FD" w:rsidRPr="00527C24" w:rsidRDefault="00D870FD" w:rsidP="00260D7D">
            <w:pPr>
              <w:tabs>
                <w:tab w:val="left" w:pos="567"/>
              </w:tabs>
              <w:jc w:val="center"/>
              <w:rPr>
                <w:rFonts w:asciiTheme="majorBidi" w:hAnsiTheme="majorBidi" w:cstheme="majorBidi"/>
                <w:sz w:val="20"/>
                <w:szCs w:val="20"/>
              </w:rPr>
            </w:pPr>
            <w:r w:rsidRPr="00527C24">
              <w:rPr>
                <w:rFonts w:asciiTheme="majorBidi" w:hAnsiTheme="majorBidi" w:cstheme="majorBidi"/>
                <w:sz w:val="20"/>
                <w:szCs w:val="20"/>
              </w:rPr>
              <w:t>0.27 (0.19)</w:t>
            </w:r>
          </w:p>
        </w:tc>
        <w:tc>
          <w:tcPr>
            <w:tcW w:w="1491" w:type="dxa"/>
            <w:tcBorders>
              <w:top w:val="nil"/>
              <w:left w:val="nil"/>
              <w:bottom w:val="nil"/>
              <w:right w:val="nil"/>
            </w:tcBorders>
            <w:vAlign w:val="center"/>
          </w:tcPr>
          <w:p w14:paraId="6C2D7036" w14:textId="77777777" w:rsidR="00D870FD" w:rsidRPr="00E91099" w:rsidRDefault="00D870FD" w:rsidP="00260D7D">
            <w:pPr>
              <w:tabs>
                <w:tab w:val="left" w:pos="567"/>
              </w:tabs>
              <w:jc w:val="center"/>
              <w:rPr>
                <w:rFonts w:asciiTheme="majorBidi" w:hAnsiTheme="majorBidi" w:cstheme="majorBidi"/>
                <w:sz w:val="20"/>
                <w:szCs w:val="20"/>
              </w:rPr>
            </w:pPr>
            <w:r w:rsidRPr="00E91099">
              <w:rPr>
                <w:rFonts w:asciiTheme="majorBidi" w:hAnsiTheme="majorBidi" w:cstheme="majorBidi"/>
                <w:sz w:val="20"/>
                <w:szCs w:val="20"/>
              </w:rPr>
              <w:t>0.1</w:t>
            </w:r>
            <w:r>
              <w:rPr>
                <w:rFonts w:asciiTheme="majorBidi" w:hAnsiTheme="majorBidi" w:cstheme="majorBidi"/>
                <w:sz w:val="20"/>
                <w:szCs w:val="20"/>
              </w:rPr>
              <w:t>9</w:t>
            </w:r>
            <w:r w:rsidRPr="00E91099">
              <w:rPr>
                <w:rFonts w:asciiTheme="majorBidi" w:hAnsiTheme="majorBidi" w:cstheme="majorBidi"/>
                <w:sz w:val="20"/>
                <w:szCs w:val="20"/>
              </w:rPr>
              <w:t xml:space="preserve"> (0.21)</w:t>
            </w:r>
          </w:p>
        </w:tc>
        <w:tc>
          <w:tcPr>
            <w:tcW w:w="1492" w:type="dxa"/>
            <w:gridSpan w:val="2"/>
            <w:tcBorders>
              <w:top w:val="nil"/>
              <w:left w:val="nil"/>
              <w:bottom w:val="nil"/>
              <w:right w:val="nil"/>
            </w:tcBorders>
            <w:vAlign w:val="center"/>
          </w:tcPr>
          <w:p w14:paraId="2636BAC9" w14:textId="77777777" w:rsidR="00D870FD" w:rsidRPr="00C32776" w:rsidRDefault="00D870FD" w:rsidP="00260D7D">
            <w:pPr>
              <w:tabs>
                <w:tab w:val="left" w:pos="567"/>
              </w:tabs>
              <w:jc w:val="center"/>
              <w:rPr>
                <w:rFonts w:asciiTheme="majorBidi" w:hAnsiTheme="majorBidi" w:cstheme="majorBidi"/>
                <w:sz w:val="20"/>
                <w:szCs w:val="20"/>
              </w:rPr>
            </w:pPr>
            <w:r w:rsidRPr="00C32776">
              <w:rPr>
                <w:rFonts w:asciiTheme="majorBidi" w:hAnsiTheme="majorBidi" w:cstheme="majorBidi"/>
                <w:sz w:val="20"/>
                <w:szCs w:val="20"/>
              </w:rPr>
              <w:t>0.</w:t>
            </w:r>
            <w:r>
              <w:rPr>
                <w:rFonts w:asciiTheme="majorBidi" w:hAnsiTheme="majorBidi" w:cstheme="majorBidi"/>
                <w:sz w:val="20"/>
                <w:szCs w:val="20"/>
              </w:rPr>
              <w:t>13</w:t>
            </w:r>
            <w:r w:rsidRPr="00C32776">
              <w:rPr>
                <w:rFonts w:asciiTheme="majorBidi" w:hAnsiTheme="majorBidi" w:cstheme="majorBidi"/>
                <w:sz w:val="20"/>
                <w:szCs w:val="20"/>
              </w:rPr>
              <w:t xml:space="preserve"> (0.56)</w:t>
            </w:r>
          </w:p>
        </w:tc>
      </w:tr>
      <w:tr w:rsidR="00D870FD" w14:paraId="545A0AF2" w14:textId="77777777" w:rsidTr="006C1288">
        <w:trPr>
          <w:trHeight w:val="267"/>
          <w:jc w:val="center"/>
        </w:trPr>
        <w:tc>
          <w:tcPr>
            <w:tcW w:w="3600" w:type="dxa"/>
            <w:tcBorders>
              <w:top w:val="nil"/>
              <w:left w:val="nil"/>
              <w:bottom w:val="nil"/>
              <w:right w:val="nil"/>
            </w:tcBorders>
            <w:vAlign w:val="center"/>
          </w:tcPr>
          <w:p w14:paraId="043261A8" w14:textId="77777777" w:rsidR="00D870FD" w:rsidRPr="00971EAB" w:rsidRDefault="00D870FD"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Misclassification Cost</w:t>
            </w:r>
          </w:p>
        </w:tc>
        <w:tc>
          <w:tcPr>
            <w:tcW w:w="1491" w:type="dxa"/>
            <w:tcBorders>
              <w:top w:val="nil"/>
              <w:left w:val="nil"/>
              <w:bottom w:val="nil"/>
              <w:right w:val="nil"/>
            </w:tcBorders>
            <w:vAlign w:val="center"/>
          </w:tcPr>
          <w:p w14:paraId="1BD91950" w14:textId="77777777" w:rsidR="00D870FD" w:rsidRPr="00C32776" w:rsidRDefault="00D870FD" w:rsidP="00260D7D">
            <w:pPr>
              <w:tabs>
                <w:tab w:val="left" w:pos="567"/>
              </w:tabs>
              <w:jc w:val="center"/>
              <w:rPr>
                <w:rFonts w:asciiTheme="majorBidi" w:hAnsiTheme="majorBidi" w:cstheme="majorBidi"/>
                <w:sz w:val="20"/>
                <w:szCs w:val="20"/>
              </w:rPr>
            </w:pPr>
            <w:r w:rsidRPr="00C32776">
              <w:rPr>
                <w:rFonts w:asciiTheme="majorBidi" w:hAnsiTheme="majorBidi" w:cstheme="majorBidi"/>
                <w:sz w:val="20"/>
                <w:szCs w:val="20"/>
              </w:rPr>
              <w:t>0.</w:t>
            </w:r>
            <w:r>
              <w:rPr>
                <w:rFonts w:asciiTheme="majorBidi" w:hAnsiTheme="majorBidi" w:cstheme="majorBidi"/>
                <w:sz w:val="20"/>
                <w:szCs w:val="20"/>
              </w:rPr>
              <w:t>1</w:t>
            </w:r>
            <w:r w:rsidRPr="00C32776">
              <w:rPr>
                <w:rFonts w:asciiTheme="majorBidi" w:hAnsiTheme="majorBidi" w:cstheme="majorBidi"/>
                <w:sz w:val="20"/>
                <w:szCs w:val="20"/>
              </w:rPr>
              <w:t>3</w:t>
            </w:r>
          </w:p>
        </w:tc>
        <w:tc>
          <w:tcPr>
            <w:tcW w:w="1491" w:type="dxa"/>
            <w:tcBorders>
              <w:top w:val="nil"/>
              <w:left w:val="nil"/>
              <w:bottom w:val="nil"/>
              <w:right w:val="nil"/>
            </w:tcBorders>
            <w:vAlign w:val="center"/>
          </w:tcPr>
          <w:p w14:paraId="72ACDD23" w14:textId="77777777" w:rsidR="00D870FD" w:rsidRPr="00A238D9" w:rsidRDefault="00D870FD" w:rsidP="00260D7D">
            <w:pPr>
              <w:tabs>
                <w:tab w:val="left" w:pos="567"/>
              </w:tabs>
              <w:jc w:val="center"/>
              <w:rPr>
                <w:rFonts w:asciiTheme="majorBidi" w:hAnsiTheme="majorBidi" w:cstheme="majorBidi"/>
                <w:sz w:val="20"/>
                <w:szCs w:val="20"/>
              </w:rPr>
            </w:pPr>
            <w:r w:rsidRPr="00A238D9">
              <w:rPr>
                <w:rFonts w:asciiTheme="majorBidi" w:hAnsiTheme="majorBidi" w:cstheme="majorBidi"/>
                <w:sz w:val="20"/>
                <w:szCs w:val="20"/>
              </w:rPr>
              <w:t>0.24</w:t>
            </w:r>
          </w:p>
        </w:tc>
        <w:tc>
          <w:tcPr>
            <w:tcW w:w="1492" w:type="dxa"/>
            <w:tcBorders>
              <w:top w:val="nil"/>
              <w:left w:val="nil"/>
              <w:bottom w:val="nil"/>
              <w:right w:val="nil"/>
            </w:tcBorders>
            <w:vAlign w:val="center"/>
          </w:tcPr>
          <w:p w14:paraId="6CAC8811" w14:textId="77777777" w:rsidR="00D870FD" w:rsidRPr="00527C24" w:rsidRDefault="00D870FD" w:rsidP="00260D7D">
            <w:pPr>
              <w:tabs>
                <w:tab w:val="left" w:pos="567"/>
              </w:tabs>
              <w:jc w:val="center"/>
              <w:rPr>
                <w:rFonts w:asciiTheme="majorBidi" w:hAnsiTheme="majorBidi" w:cstheme="majorBidi"/>
                <w:sz w:val="20"/>
                <w:szCs w:val="20"/>
              </w:rPr>
            </w:pPr>
            <w:r w:rsidRPr="00527C24">
              <w:rPr>
                <w:rFonts w:asciiTheme="majorBidi" w:hAnsiTheme="majorBidi" w:cstheme="majorBidi"/>
                <w:sz w:val="20"/>
                <w:szCs w:val="20"/>
              </w:rPr>
              <w:t>0</w:t>
            </w:r>
            <w:r>
              <w:rPr>
                <w:rFonts w:asciiTheme="majorBidi" w:hAnsiTheme="majorBidi" w:cstheme="majorBidi"/>
                <w:sz w:val="20"/>
                <w:szCs w:val="20"/>
              </w:rPr>
              <w:t>.1</w:t>
            </w:r>
            <w:r w:rsidRPr="00527C24">
              <w:rPr>
                <w:rFonts w:asciiTheme="majorBidi" w:hAnsiTheme="majorBidi" w:cstheme="majorBidi"/>
                <w:sz w:val="20"/>
                <w:szCs w:val="20"/>
              </w:rPr>
              <w:t>3</w:t>
            </w:r>
          </w:p>
        </w:tc>
        <w:tc>
          <w:tcPr>
            <w:tcW w:w="1491" w:type="dxa"/>
            <w:tcBorders>
              <w:top w:val="nil"/>
              <w:left w:val="nil"/>
              <w:bottom w:val="nil"/>
              <w:right w:val="nil"/>
            </w:tcBorders>
            <w:vAlign w:val="center"/>
          </w:tcPr>
          <w:p w14:paraId="31ECD3DC" w14:textId="77777777" w:rsidR="00D870FD" w:rsidRPr="00242D0B" w:rsidRDefault="00D870FD" w:rsidP="00260D7D">
            <w:pPr>
              <w:tabs>
                <w:tab w:val="left" w:pos="567"/>
              </w:tabs>
              <w:jc w:val="center"/>
              <w:rPr>
                <w:rFonts w:asciiTheme="majorBidi" w:hAnsiTheme="majorBidi" w:cstheme="majorBidi"/>
                <w:sz w:val="20"/>
                <w:szCs w:val="20"/>
              </w:rPr>
            </w:pPr>
            <w:r w:rsidRPr="00242D0B">
              <w:rPr>
                <w:rFonts w:asciiTheme="majorBidi" w:hAnsiTheme="majorBidi" w:cstheme="majorBidi"/>
                <w:sz w:val="20"/>
                <w:szCs w:val="20"/>
              </w:rPr>
              <w:t>0.2</w:t>
            </w:r>
            <w:r w:rsidR="003A2177">
              <w:rPr>
                <w:rFonts w:asciiTheme="majorBidi" w:hAnsiTheme="majorBidi" w:cstheme="majorBidi"/>
                <w:sz w:val="20"/>
                <w:szCs w:val="20"/>
              </w:rPr>
              <w:t>1</w:t>
            </w:r>
          </w:p>
        </w:tc>
        <w:tc>
          <w:tcPr>
            <w:tcW w:w="1492" w:type="dxa"/>
            <w:tcBorders>
              <w:top w:val="nil"/>
              <w:left w:val="nil"/>
              <w:bottom w:val="nil"/>
              <w:right w:val="nil"/>
            </w:tcBorders>
            <w:vAlign w:val="center"/>
          </w:tcPr>
          <w:p w14:paraId="6588771C" w14:textId="77777777" w:rsidR="00D870FD" w:rsidRPr="00527C24" w:rsidRDefault="00D870FD" w:rsidP="00260D7D">
            <w:pPr>
              <w:tabs>
                <w:tab w:val="left" w:pos="567"/>
              </w:tabs>
              <w:jc w:val="center"/>
              <w:rPr>
                <w:rFonts w:asciiTheme="majorBidi" w:hAnsiTheme="majorBidi" w:cstheme="majorBidi"/>
                <w:sz w:val="20"/>
                <w:szCs w:val="20"/>
              </w:rPr>
            </w:pPr>
            <w:r w:rsidRPr="00527C24">
              <w:rPr>
                <w:rFonts w:asciiTheme="majorBidi" w:hAnsiTheme="majorBidi" w:cstheme="majorBidi"/>
                <w:sz w:val="20"/>
                <w:szCs w:val="20"/>
              </w:rPr>
              <w:t>0.28</w:t>
            </w:r>
          </w:p>
        </w:tc>
        <w:tc>
          <w:tcPr>
            <w:tcW w:w="1491" w:type="dxa"/>
            <w:tcBorders>
              <w:top w:val="nil"/>
              <w:left w:val="nil"/>
              <w:bottom w:val="nil"/>
              <w:right w:val="nil"/>
            </w:tcBorders>
            <w:shd w:val="clear" w:color="auto" w:fill="auto"/>
            <w:vAlign w:val="center"/>
          </w:tcPr>
          <w:p w14:paraId="3F4E655B" w14:textId="77777777" w:rsidR="00D870FD" w:rsidRPr="00E91099" w:rsidRDefault="00D870FD" w:rsidP="00260D7D">
            <w:pPr>
              <w:tabs>
                <w:tab w:val="left" w:pos="567"/>
              </w:tabs>
              <w:jc w:val="center"/>
              <w:rPr>
                <w:rFonts w:asciiTheme="majorBidi" w:hAnsiTheme="majorBidi" w:cstheme="majorBidi"/>
                <w:sz w:val="20"/>
                <w:szCs w:val="20"/>
              </w:rPr>
            </w:pPr>
            <w:r w:rsidRPr="00E91099">
              <w:rPr>
                <w:rFonts w:asciiTheme="majorBidi" w:hAnsiTheme="majorBidi" w:cstheme="majorBidi"/>
                <w:sz w:val="20"/>
                <w:szCs w:val="20"/>
              </w:rPr>
              <w:t>0.19</w:t>
            </w:r>
          </w:p>
        </w:tc>
        <w:tc>
          <w:tcPr>
            <w:tcW w:w="1492" w:type="dxa"/>
            <w:gridSpan w:val="2"/>
            <w:tcBorders>
              <w:top w:val="nil"/>
              <w:left w:val="nil"/>
              <w:bottom w:val="nil"/>
              <w:right w:val="nil"/>
            </w:tcBorders>
            <w:vAlign w:val="center"/>
          </w:tcPr>
          <w:p w14:paraId="3D933B63" w14:textId="77777777" w:rsidR="00D870FD" w:rsidRPr="00C32776" w:rsidRDefault="00D870FD" w:rsidP="00260D7D">
            <w:pPr>
              <w:tabs>
                <w:tab w:val="left" w:pos="567"/>
              </w:tabs>
              <w:jc w:val="center"/>
              <w:rPr>
                <w:rFonts w:asciiTheme="majorBidi" w:hAnsiTheme="majorBidi" w:cstheme="majorBidi"/>
                <w:sz w:val="20"/>
                <w:szCs w:val="20"/>
              </w:rPr>
            </w:pPr>
            <w:r w:rsidRPr="00C32776">
              <w:rPr>
                <w:rFonts w:asciiTheme="majorBidi" w:hAnsiTheme="majorBidi" w:cstheme="majorBidi"/>
                <w:sz w:val="20"/>
                <w:szCs w:val="20"/>
              </w:rPr>
              <w:t>0.</w:t>
            </w:r>
            <w:r>
              <w:rPr>
                <w:rFonts w:asciiTheme="majorBidi" w:hAnsiTheme="majorBidi" w:cstheme="majorBidi"/>
                <w:sz w:val="20"/>
                <w:szCs w:val="20"/>
              </w:rPr>
              <w:t>1</w:t>
            </w:r>
            <w:r w:rsidRPr="00C32776">
              <w:rPr>
                <w:rFonts w:asciiTheme="majorBidi" w:hAnsiTheme="majorBidi" w:cstheme="majorBidi"/>
                <w:sz w:val="20"/>
                <w:szCs w:val="20"/>
              </w:rPr>
              <w:t>3</w:t>
            </w:r>
          </w:p>
        </w:tc>
      </w:tr>
      <w:tr w:rsidR="00D870FD" w14:paraId="4A82527B" w14:textId="77777777" w:rsidTr="00E91099">
        <w:trPr>
          <w:trHeight w:val="360"/>
          <w:jc w:val="center"/>
        </w:trPr>
        <w:tc>
          <w:tcPr>
            <w:tcW w:w="3600" w:type="dxa"/>
            <w:tcBorders>
              <w:top w:val="nil"/>
              <w:left w:val="nil"/>
              <w:bottom w:val="nil"/>
              <w:right w:val="nil"/>
            </w:tcBorders>
            <w:vAlign w:val="center"/>
          </w:tcPr>
          <w:p w14:paraId="1D62D8C8" w14:textId="77777777" w:rsidR="00D870FD" w:rsidRPr="00971EAB" w:rsidRDefault="00D870FD"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Area Under the Curve - AUC</w:t>
            </w:r>
          </w:p>
        </w:tc>
        <w:tc>
          <w:tcPr>
            <w:tcW w:w="1491" w:type="dxa"/>
            <w:tcBorders>
              <w:top w:val="nil"/>
              <w:left w:val="nil"/>
              <w:bottom w:val="nil"/>
              <w:right w:val="nil"/>
            </w:tcBorders>
            <w:vAlign w:val="center"/>
          </w:tcPr>
          <w:p w14:paraId="74233596"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0.71</w:t>
            </w:r>
          </w:p>
        </w:tc>
        <w:tc>
          <w:tcPr>
            <w:tcW w:w="1491" w:type="dxa"/>
            <w:tcBorders>
              <w:top w:val="nil"/>
              <w:left w:val="nil"/>
              <w:bottom w:val="nil"/>
              <w:right w:val="nil"/>
            </w:tcBorders>
            <w:vAlign w:val="center"/>
          </w:tcPr>
          <w:p w14:paraId="05CBBFE5"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w:t>
            </w:r>
            <w:r w:rsidR="00F960CA">
              <w:rPr>
                <w:rFonts w:asciiTheme="majorBidi" w:hAnsiTheme="majorBidi" w:cstheme="majorBidi"/>
                <w:sz w:val="20"/>
                <w:szCs w:val="20"/>
              </w:rPr>
              <w:t>91</w:t>
            </w:r>
          </w:p>
        </w:tc>
        <w:tc>
          <w:tcPr>
            <w:tcW w:w="1492" w:type="dxa"/>
            <w:tcBorders>
              <w:top w:val="nil"/>
              <w:left w:val="nil"/>
              <w:bottom w:val="nil"/>
              <w:right w:val="nil"/>
            </w:tcBorders>
            <w:vAlign w:val="center"/>
          </w:tcPr>
          <w:p w14:paraId="748D662A"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0.90</w:t>
            </w:r>
          </w:p>
        </w:tc>
        <w:tc>
          <w:tcPr>
            <w:tcW w:w="1491" w:type="dxa"/>
            <w:tcBorders>
              <w:top w:val="nil"/>
              <w:left w:val="nil"/>
              <w:bottom w:val="nil"/>
              <w:right w:val="nil"/>
            </w:tcBorders>
            <w:vAlign w:val="center"/>
          </w:tcPr>
          <w:p w14:paraId="6F955F60"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0.89</w:t>
            </w:r>
          </w:p>
        </w:tc>
        <w:tc>
          <w:tcPr>
            <w:tcW w:w="1492" w:type="dxa"/>
            <w:tcBorders>
              <w:top w:val="nil"/>
              <w:left w:val="nil"/>
              <w:bottom w:val="nil"/>
              <w:right w:val="nil"/>
            </w:tcBorders>
            <w:vAlign w:val="center"/>
          </w:tcPr>
          <w:p w14:paraId="5078EB79"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0.90</w:t>
            </w:r>
          </w:p>
        </w:tc>
        <w:tc>
          <w:tcPr>
            <w:tcW w:w="1491" w:type="dxa"/>
            <w:tcBorders>
              <w:top w:val="nil"/>
              <w:left w:val="nil"/>
              <w:bottom w:val="nil"/>
              <w:right w:val="nil"/>
            </w:tcBorders>
            <w:shd w:val="clear" w:color="auto" w:fill="auto"/>
            <w:vAlign w:val="center"/>
          </w:tcPr>
          <w:p w14:paraId="49EE55B3" w14:textId="77777777" w:rsidR="00D870FD" w:rsidRPr="00E91099" w:rsidRDefault="009C4DCB"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0.86</w:t>
            </w:r>
          </w:p>
        </w:tc>
        <w:tc>
          <w:tcPr>
            <w:tcW w:w="1492" w:type="dxa"/>
            <w:gridSpan w:val="2"/>
            <w:tcBorders>
              <w:top w:val="nil"/>
              <w:left w:val="nil"/>
              <w:bottom w:val="nil"/>
              <w:right w:val="nil"/>
            </w:tcBorders>
            <w:vAlign w:val="center"/>
          </w:tcPr>
          <w:p w14:paraId="575A9E93"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0.71</w:t>
            </w:r>
          </w:p>
        </w:tc>
      </w:tr>
      <w:tr w:rsidR="00D870FD" w14:paraId="49C84313" w14:textId="77777777" w:rsidTr="006C1288">
        <w:trPr>
          <w:trHeight w:val="263"/>
          <w:jc w:val="center"/>
        </w:trPr>
        <w:tc>
          <w:tcPr>
            <w:tcW w:w="3600" w:type="dxa"/>
            <w:tcBorders>
              <w:top w:val="nil"/>
              <w:left w:val="nil"/>
              <w:bottom w:val="nil"/>
              <w:right w:val="nil"/>
            </w:tcBorders>
            <w:vAlign w:val="center"/>
          </w:tcPr>
          <w:p w14:paraId="04A313CD" w14:textId="77777777" w:rsidR="00D870FD" w:rsidRPr="00971EAB" w:rsidRDefault="00D870FD" w:rsidP="00260D7D">
            <w:pPr>
              <w:tabs>
                <w:tab w:val="left" w:pos="567"/>
              </w:tabs>
              <w:rPr>
                <w:rFonts w:asciiTheme="majorBidi" w:hAnsiTheme="majorBidi" w:cstheme="majorBidi"/>
                <w:sz w:val="20"/>
                <w:szCs w:val="20"/>
              </w:rPr>
            </w:pPr>
            <w:r>
              <w:rPr>
                <w:rFonts w:asciiTheme="majorBidi" w:hAnsiTheme="majorBidi" w:cstheme="majorBidi"/>
                <w:sz w:val="20"/>
                <w:szCs w:val="20"/>
              </w:rPr>
              <w:t>Out-of-sample Forecast Accuracy</w:t>
            </w:r>
          </w:p>
        </w:tc>
        <w:tc>
          <w:tcPr>
            <w:tcW w:w="1491" w:type="dxa"/>
            <w:tcBorders>
              <w:top w:val="nil"/>
              <w:left w:val="nil"/>
              <w:bottom w:val="nil"/>
              <w:right w:val="nil"/>
            </w:tcBorders>
            <w:vAlign w:val="center"/>
          </w:tcPr>
          <w:p w14:paraId="7F3B4E26"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0.75</w:t>
            </w:r>
          </w:p>
        </w:tc>
        <w:tc>
          <w:tcPr>
            <w:tcW w:w="1491" w:type="dxa"/>
            <w:tcBorders>
              <w:top w:val="nil"/>
              <w:left w:val="nil"/>
              <w:bottom w:val="nil"/>
              <w:right w:val="nil"/>
            </w:tcBorders>
            <w:vAlign w:val="center"/>
          </w:tcPr>
          <w:p w14:paraId="21320E3A"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0.65</w:t>
            </w:r>
          </w:p>
        </w:tc>
        <w:tc>
          <w:tcPr>
            <w:tcW w:w="1492" w:type="dxa"/>
            <w:tcBorders>
              <w:top w:val="nil"/>
              <w:left w:val="nil"/>
              <w:bottom w:val="nil"/>
              <w:right w:val="nil"/>
            </w:tcBorders>
            <w:vAlign w:val="center"/>
          </w:tcPr>
          <w:p w14:paraId="18589BD1"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0.78</w:t>
            </w:r>
          </w:p>
        </w:tc>
        <w:tc>
          <w:tcPr>
            <w:tcW w:w="1491" w:type="dxa"/>
            <w:tcBorders>
              <w:top w:val="nil"/>
              <w:left w:val="nil"/>
              <w:bottom w:val="nil"/>
              <w:right w:val="nil"/>
            </w:tcBorders>
            <w:vAlign w:val="center"/>
          </w:tcPr>
          <w:p w14:paraId="1A5E651D"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0.69</w:t>
            </w:r>
          </w:p>
        </w:tc>
        <w:tc>
          <w:tcPr>
            <w:tcW w:w="1492" w:type="dxa"/>
            <w:tcBorders>
              <w:top w:val="nil"/>
              <w:left w:val="nil"/>
              <w:bottom w:val="nil"/>
              <w:right w:val="nil"/>
            </w:tcBorders>
            <w:vAlign w:val="center"/>
          </w:tcPr>
          <w:p w14:paraId="3259C840"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0.65</w:t>
            </w:r>
          </w:p>
        </w:tc>
        <w:tc>
          <w:tcPr>
            <w:tcW w:w="1491" w:type="dxa"/>
            <w:tcBorders>
              <w:top w:val="nil"/>
              <w:left w:val="nil"/>
              <w:bottom w:val="nil"/>
              <w:right w:val="nil"/>
            </w:tcBorders>
            <w:shd w:val="clear" w:color="auto" w:fill="auto"/>
            <w:vAlign w:val="center"/>
          </w:tcPr>
          <w:p w14:paraId="39641A5D" w14:textId="77777777" w:rsidR="00D870FD" w:rsidRPr="00971EAB" w:rsidRDefault="00525657"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0.72</w:t>
            </w:r>
          </w:p>
        </w:tc>
        <w:tc>
          <w:tcPr>
            <w:tcW w:w="1492" w:type="dxa"/>
            <w:gridSpan w:val="2"/>
            <w:tcBorders>
              <w:top w:val="nil"/>
              <w:left w:val="nil"/>
              <w:bottom w:val="nil"/>
              <w:right w:val="nil"/>
            </w:tcBorders>
            <w:vAlign w:val="center"/>
          </w:tcPr>
          <w:p w14:paraId="505436D4"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0.75</w:t>
            </w:r>
          </w:p>
        </w:tc>
      </w:tr>
      <w:tr w:rsidR="00D870FD" w14:paraId="3DF25F12" w14:textId="77777777" w:rsidTr="006C1288">
        <w:trPr>
          <w:trHeight w:val="183"/>
          <w:jc w:val="center"/>
        </w:trPr>
        <w:tc>
          <w:tcPr>
            <w:tcW w:w="3600" w:type="dxa"/>
            <w:tcBorders>
              <w:top w:val="nil"/>
              <w:left w:val="nil"/>
              <w:bottom w:val="nil"/>
              <w:right w:val="nil"/>
            </w:tcBorders>
            <w:vAlign w:val="center"/>
          </w:tcPr>
          <w:p w14:paraId="22C20480" w14:textId="77777777" w:rsidR="00D870FD" w:rsidRPr="001E51FF" w:rsidRDefault="00D870FD" w:rsidP="00260D7D">
            <w:pPr>
              <w:tabs>
                <w:tab w:val="left" w:pos="567"/>
              </w:tabs>
              <w:rPr>
                <w:rFonts w:asciiTheme="majorBidi" w:hAnsiTheme="majorBidi" w:cstheme="majorBidi"/>
                <w:sz w:val="20"/>
                <w:szCs w:val="20"/>
              </w:rPr>
            </w:pPr>
            <w:r w:rsidRPr="001E51FF">
              <w:rPr>
                <w:rFonts w:asciiTheme="majorBidi" w:hAnsiTheme="majorBidi" w:cstheme="majorBidi"/>
                <w:sz w:val="20"/>
                <w:szCs w:val="20"/>
              </w:rPr>
              <w:t>Information Content</w:t>
            </w:r>
          </w:p>
        </w:tc>
        <w:tc>
          <w:tcPr>
            <w:tcW w:w="1491" w:type="dxa"/>
            <w:tcBorders>
              <w:top w:val="nil"/>
              <w:left w:val="nil"/>
              <w:bottom w:val="nil"/>
              <w:right w:val="nil"/>
            </w:tcBorders>
            <w:vAlign w:val="center"/>
          </w:tcPr>
          <w:p w14:paraId="083358C0" w14:textId="77777777" w:rsidR="00D870FD" w:rsidRPr="00971EAB" w:rsidRDefault="00D870FD" w:rsidP="00260D7D">
            <w:pPr>
              <w:tabs>
                <w:tab w:val="left" w:pos="567"/>
              </w:tabs>
              <w:jc w:val="center"/>
              <w:rPr>
                <w:rFonts w:asciiTheme="majorBidi" w:hAnsiTheme="majorBidi" w:cstheme="majorBidi"/>
                <w:sz w:val="20"/>
                <w:szCs w:val="20"/>
              </w:rPr>
            </w:pPr>
          </w:p>
        </w:tc>
        <w:tc>
          <w:tcPr>
            <w:tcW w:w="1491" w:type="dxa"/>
            <w:tcBorders>
              <w:top w:val="nil"/>
              <w:left w:val="nil"/>
              <w:bottom w:val="nil"/>
              <w:right w:val="nil"/>
            </w:tcBorders>
            <w:vAlign w:val="center"/>
          </w:tcPr>
          <w:p w14:paraId="34E084B5" w14:textId="77777777" w:rsidR="00D870FD" w:rsidRPr="00971EAB" w:rsidRDefault="00D870FD" w:rsidP="00260D7D">
            <w:pPr>
              <w:tabs>
                <w:tab w:val="left" w:pos="567"/>
              </w:tabs>
              <w:jc w:val="center"/>
              <w:rPr>
                <w:rFonts w:asciiTheme="majorBidi" w:hAnsiTheme="majorBidi" w:cstheme="majorBidi"/>
                <w:sz w:val="20"/>
                <w:szCs w:val="20"/>
              </w:rPr>
            </w:pPr>
          </w:p>
        </w:tc>
        <w:tc>
          <w:tcPr>
            <w:tcW w:w="1492" w:type="dxa"/>
            <w:tcBorders>
              <w:top w:val="nil"/>
              <w:left w:val="nil"/>
              <w:bottom w:val="nil"/>
              <w:right w:val="nil"/>
            </w:tcBorders>
            <w:vAlign w:val="center"/>
          </w:tcPr>
          <w:p w14:paraId="244FEE1F" w14:textId="77777777" w:rsidR="00D870FD" w:rsidRPr="00971EAB" w:rsidRDefault="00D870FD" w:rsidP="00260D7D">
            <w:pPr>
              <w:tabs>
                <w:tab w:val="left" w:pos="567"/>
              </w:tabs>
              <w:jc w:val="center"/>
              <w:rPr>
                <w:rFonts w:asciiTheme="majorBidi" w:hAnsiTheme="majorBidi" w:cstheme="majorBidi"/>
                <w:sz w:val="20"/>
                <w:szCs w:val="20"/>
              </w:rPr>
            </w:pPr>
          </w:p>
        </w:tc>
        <w:tc>
          <w:tcPr>
            <w:tcW w:w="1491" w:type="dxa"/>
            <w:tcBorders>
              <w:top w:val="nil"/>
              <w:left w:val="nil"/>
              <w:bottom w:val="nil"/>
              <w:right w:val="nil"/>
            </w:tcBorders>
            <w:vAlign w:val="center"/>
          </w:tcPr>
          <w:p w14:paraId="296ED0FD" w14:textId="77777777" w:rsidR="00D870FD" w:rsidRPr="00971EAB" w:rsidRDefault="00D870FD" w:rsidP="00260D7D">
            <w:pPr>
              <w:tabs>
                <w:tab w:val="left" w:pos="567"/>
              </w:tabs>
              <w:jc w:val="center"/>
              <w:rPr>
                <w:rFonts w:asciiTheme="majorBidi" w:hAnsiTheme="majorBidi" w:cstheme="majorBidi"/>
                <w:sz w:val="20"/>
                <w:szCs w:val="20"/>
              </w:rPr>
            </w:pPr>
          </w:p>
        </w:tc>
        <w:tc>
          <w:tcPr>
            <w:tcW w:w="1492" w:type="dxa"/>
            <w:tcBorders>
              <w:top w:val="nil"/>
              <w:left w:val="nil"/>
              <w:bottom w:val="nil"/>
              <w:right w:val="nil"/>
            </w:tcBorders>
            <w:vAlign w:val="center"/>
          </w:tcPr>
          <w:p w14:paraId="1B543674" w14:textId="77777777" w:rsidR="00D870FD" w:rsidRPr="00971EAB" w:rsidRDefault="00D870FD" w:rsidP="00260D7D">
            <w:pPr>
              <w:tabs>
                <w:tab w:val="left" w:pos="567"/>
              </w:tabs>
              <w:jc w:val="center"/>
              <w:rPr>
                <w:rFonts w:asciiTheme="majorBidi" w:hAnsiTheme="majorBidi" w:cstheme="majorBidi"/>
                <w:sz w:val="20"/>
                <w:szCs w:val="20"/>
              </w:rPr>
            </w:pPr>
          </w:p>
        </w:tc>
        <w:tc>
          <w:tcPr>
            <w:tcW w:w="1491" w:type="dxa"/>
            <w:tcBorders>
              <w:top w:val="nil"/>
              <w:left w:val="nil"/>
              <w:bottom w:val="nil"/>
              <w:right w:val="nil"/>
            </w:tcBorders>
            <w:shd w:val="clear" w:color="auto" w:fill="auto"/>
            <w:vAlign w:val="center"/>
          </w:tcPr>
          <w:p w14:paraId="08B9D0FE" w14:textId="77777777" w:rsidR="00D870FD" w:rsidRPr="00971EAB" w:rsidRDefault="00D870FD" w:rsidP="00260D7D">
            <w:pPr>
              <w:tabs>
                <w:tab w:val="left" w:pos="567"/>
              </w:tabs>
              <w:jc w:val="center"/>
              <w:rPr>
                <w:rFonts w:asciiTheme="majorBidi" w:hAnsiTheme="majorBidi" w:cstheme="majorBidi"/>
                <w:sz w:val="20"/>
                <w:szCs w:val="20"/>
              </w:rPr>
            </w:pPr>
          </w:p>
        </w:tc>
        <w:tc>
          <w:tcPr>
            <w:tcW w:w="1492" w:type="dxa"/>
            <w:gridSpan w:val="2"/>
            <w:tcBorders>
              <w:top w:val="nil"/>
              <w:left w:val="nil"/>
              <w:bottom w:val="nil"/>
              <w:right w:val="nil"/>
            </w:tcBorders>
            <w:vAlign w:val="center"/>
          </w:tcPr>
          <w:p w14:paraId="5B935360" w14:textId="77777777" w:rsidR="00D870FD" w:rsidRPr="00971EAB" w:rsidRDefault="00D870FD" w:rsidP="00260D7D">
            <w:pPr>
              <w:tabs>
                <w:tab w:val="left" w:pos="567"/>
              </w:tabs>
              <w:jc w:val="center"/>
              <w:rPr>
                <w:rFonts w:asciiTheme="majorBidi" w:hAnsiTheme="majorBidi" w:cstheme="majorBidi"/>
                <w:sz w:val="20"/>
                <w:szCs w:val="20"/>
              </w:rPr>
            </w:pPr>
          </w:p>
        </w:tc>
      </w:tr>
      <w:tr w:rsidR="00D870FD" w14:paraId="68D87151" w14:textId="77777777" w:rsidTr="00F30C48">
        <w:trPr>
          <w:trHeight w:val="360"/>
          <w:jc w:val="center"/>
        </w:trPr>
        <w:tc>
          <w:tcPr>
            <w:tcW w:w="3600" w:type="dxa"/>
            <w:tcBorders>
              <w:top w:val="nil"/>
              <w:left w:val="nil"/>
              <w:bottom w:val="nil"/>
              <w:right w:val="nil"/>
            </w:tcBorders>
            <w:vAlign w:val="center"/>
          </w:tcPr>
          <w:p w14:paraId="1635FD2C" w14:textId="77777777" w:rsidR="00D870FD" w:rsidRPr="00971EAB" w:rsidRDefault="00D870FD"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Akaike Information Criterion - AIC</w:t>
            </w:r>
          </w:p>
        </w:tc>
        <w:tc>
          <w:tcPr>
            <w:tcW w:w="1491" w:type="dxa"/>
            <w:tcBorders>
              <w:top w:val="nil"/>
              <w:left w:val="nil"/>
              <w:bottom w:val="nil"/>
              <w:right w:val="nil"/>
            </w:tcBorders>
            <w:vAlign w:val="center"/>
          </w:tcPr>
          <w:p w14:paraId="303E4D56" w14:textId="77777777" w:rsidR="00D870FD" w:rsidRPr="00971EAB" w:rsidRDefault="00D870FD" w:rsidP="00260D7D">
            <w:pPr>
              <w:tabs>
                <w:tab w:val="left" w:pos="567"/>
              </w:tabs>
              <w:jc w:val="center"/>
              <w:rPr>
                <w:rFonts w:asciiTheme="majorBidi" w:hAnsiTheme="majorBidi" w:cstheme="majorBidi"/>
                <w:sz w:val="20"/>
                <w:szCs w:val="20"/>
              </w:rPr>
            </w:pPr>
          </w:p>
        </w:tc>
        <w:tc>
          <w:tcPr>
            <w:tcW w:w="1491" w:type="dxa"/>
            <w:tcBorders>
              <w:top w:val="nil"/>
              <w:left w:val="nil"/>
              <w:bottom w:val="nil"/>
              <w:right w:val="nil"/>
            </w:tcBorders>
            <w:vAlign w:val="center"/>
          </w:tcPr>
          <w:p w14:paraId="6129B99A"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1225.943</w:t>
            </w:r>
          </w:p>
        </w:tc>
        <w:tc>
          <w:tcPr>
            <w:tcW w:w="1492" w:type="dxa"/>
            <w:tcBorders>
              <w:top w:val="nil"/>
              <w:left w:val="nil"/>
              <w:bottom w:val="nil"/>
              <w:right w:val="nil"/>
            </w:tcBorders>
            <w:vAlign w:val="center"/>
          </w:tcPr>
          <w:p w14:paraId="18C22F3A"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1484.312</w:t>
            </w:r>
          </w:p>
        </w:tc>
        <w:tc>
          <w:tcPr>
            <w:tcW w:w="1491" w:type="dxa"/>
            <w:tcBorders>
              <w:top w:val="nil"/>
              <w:left w:val="nil"/>
              <w:bottom w:val="nil"/>
              <w:right w:val="nil"/>
            </w:tcBorders>
            <w:vAlign w:val="center"/>
          </w:tcPr>
          <w:p w14:paraId="6C9A7539"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1587.549</w:t>
            </w:r>
          </w:p>
        </w:tc>
        <w:tc>
          <w:tcPr>
            <w:tcW w:w="1492" w:type="dxa"/>
            <w:tcBorders>
              <w:top w:val="nil"/>
              <w:left w:val="nil"/>
              <w:bottom w:val="nil"/>
              <w:right w:val="nil"/>
            </w:tcBorders>
            <w:vAlign w:val="center"/>
          </w:tcPr>
          <w:p w14:paraId="7C8FEB89"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1764.693</w:t>
            </w:r>
          </w:p>
        </w:tc>
        <w:tc>
          <w:tcPr>
            <w:tcW w:w="1491" w:type="dxa"/>
            <w:tcBorders>
              <w:top w:val="nil"/>
              <w:left w:val="nil"/>
              <w:bottom w:val="nil"/>
              <w:right w:val="nil"/>
            </w:tcBorders>
            <w:shd w:val="clear" w:color="auto" w:fill="auto"/>
            <w:vAlign w:val="center"/>
          </w:tcPr>
          <w:p w14:paraId="384BF343" w14:textId="77777777" w:rsidR="00D870FD" w:rsidRPr="00971EAB" w:rsidRDefault="00D870FD" w:rsidP="00260D7D">
            <w:pPr>
              <w:tabs>
                <w:tab w:val="left" w:pos="567"/>
              </w:tabs>
              <w:jc w:val="center"/>
              <w:rPr>
                <w:rFonts w:asciiTheme="majorBidi" w:hAnsiTheme="majorBidi" w:cstheme="majorBidi"/>
                <w:sz w:val="20"/>
                <w:szCs w:val="20"/>
              </w:rPr>
            </w:pPr>
          </w:p>
        </w:tc>
        <w:tc>
          <w:tcPr>
            <w:tcW w:w="1492" w:type="dxa"/>
            <w:gridSpan w:val="2"/>
            <w:tcBorders>
              <w:top w:val="nil"/>
              <w:left w:val="nil"/>
              <w:bottom w:val="nil"/>
              <w:right w:val="nil"/>
            </w:tcBorders>
            <w:vAlign w:val="center"/>
          </w:tcPr>
          <w:p w14:paraId="54C01AFE" w14:textId="77777777" w:rsidR="00D870FD" w:rsidRPr="00971EAB" w:rsidRDefault="00D870FD" w:rsidP="00260D7D">
            <w:pPr>
              <w:tabs>
                <w:tab w:val="left" w:pos="567"/>
              </w:tabs>
              <w:jc w:val="center"/>
              <w:rPr>
                <w:rFonts w:asciiTheme="majorBidi" w:hAnsiTheme="majorBidi" w:cstheme="majorBidi"/>
                <w:sz w:val="20"/>
                <w:szCs w:val="20"/>
              </w:rPr>
            </w:pPr>
          </w:p>
        </w:tc>
      </w:tr>
      <w:tr w:rsidR="004A2C97" w:rsidRPr="00971EAB" w14:paraId="7A6E9160" w14:textId="77777777" w:rsidTr="006C1288">
        <w:trPr>
          <w:trHeight w:val="288"/>
          <w:jc w:val="center"/>
        </w:trPr>
        <w:tc>
          <w:tcPr>
            <w:tcW w:w="3600" w:type="dxa"/>
            <w:tcBorders>
              <w:top w:val="nil"/>
              <w:left w:val="nil"/>
              <w:bottom w:val="single" w:sz="8" w:space="0" w:color="auto"/>
              <w:right w:val="nil"/>
            </w:tcBorders>
            <w:vAlign w:val="center"/>
          </w:tcPr>
          <w:p w14:paraId="5280119B" w14:textId="77777777" w:rsidR="004A2C97" w:rsidRPr="001E51FF" w:rsidRDefault="004A2C97" w:rsidP="00260D7D">
            <w:pPr>
              <w:tabs>
                <w:tab w:val="left" w:pos="567"/>
              </w:tabs>
              <w:rPr>
                <w:rFonts w:asciiTheme="majorBidi" w:hAnsiTheme="majorBidi" w:cstheme="majorBidi"/>
                <w:sz w:val="20"/>
                <w:szCs w:val="20"/>
              </w:rPr>
            </w:pPr>
            <w:r w:rsidRPr="001E51FF">
              <w:rPr>
                <w:rFonts w:asciiTheme="majorBidi" w:hAnsiTheme="majorBidi" w:cstheme="majorBidi"/>
                <w:sz w:val="20"/>
                <w:szCs w:val="20"/>
              </w:rPr>
              <w:t>Non-Bankrupt (Bankrupt) firm-years</w:t>
            </w:r>
          </w:p>
        </w:tc>
        <w:tc>
          <w:tcPr>
            <w:tcW w:w="1491" w:type="dxa"/>
            <w:tcBorders>
              <w:top w:val="nil"/>
              <w:left w:val="nil"/>
              <w:bottom w:val="single" w:sz="8" w:space="0" w:color="auto"/>
              <w:right w:val="nil"/>
            </w:tcBorders>
            <w:vAlign w:val="center"/>
          </w:tcPr>
          <w:p w14:paraId="163057B4" w14:textId="77777777" w:rsidR="004A2C97" w:rsidRPr="001E51FF" w:rsidRDefault="004A2C97" w:rsidP="00260D7D">
            <w:pPr>
              <w:tabs>
                <w:tab w:val="left" w:pos="567"/>
              </w:tabs>
              <w:jc w:val="center"/>
              <w:rPr>
                <w:rFonts w:asciiTheme="majorBidi" w:hAnsiTheme="majorBidi" w:cstheme="majorBidi"/>
                <w:sz w:val="20"/>
                <w:szCs w:val="20"/>
              </w:rPr>
            </w:pPr>
            <w:r w:rsidRPr="001E51FF">
              <w:rPr>
                <w:rFonts w:asciiTheme="majorBidi" w:hAnsiTheme="majorBidi" w:cstheme="majorBidi"/>
                <w:sz w:val="20"/>
                <w:szCs w:val="20"/>
              </w:rPr>
              <w:t>21,575 (146)</w:t>
            </w:r>
          </w:p>
        </w:tc>
        <w:tc>
          <w:tcPr>
            <w:tcW w:w="1491" w:type="dxa"/>
            <w:tcBorders>
              <w:top w:val="nil"/>
              <w:left w:val="nil"/>
              <w:bottom w:val="single" w:sz="8" w:space="0" w:color="auto"/>
              <w:right w:val="nil"/>
            </w:tcBorders>
            <w:vAlign w:val="center"/>
          </w:tcPr>
          <w:p w14:paraId="57A1598C" w14:textId="77777777" w:rsidR="004A2C97" w:rsidRPr="001E51FF" w:rsidRDefault="004A2C97" w:rsidP="00260D7D">
            <w:pPr>
              <w:tabs>
                <w:tab w:val="left" w:pos="567"/>
              </w:tabs>
              <w:jc w:val="center"/>
              <w:rPr>
                <w:rFonts w:asciiTheme="majorBidi" w:hAnsiTheme="majorBidi" w:cstheme="majorBidi"/>
                <w:sz w:val="20"/>
                <w:szCs w:val="20"/>
              </w:rPr>
            </w:pPr>
            <w:r w:rsidRPr="001E51FF">
              <w:rPr>
                <w:rFonts w:asciiTheme="majorBidi" w:hAnsiTheme="majorBidi" w:cstheme="majorBidi"/>
                <w:sz w:val="20"/>
                <w:szCs w:val="20"/>
              </w:rPr>
              <w:t>21,575 (146)</w:t>
            </w:r>
          </w:p>
        </w:tc>
        <w:tc>
          <w:tcPr>
            <w:tcW w:w="1492" w:type="dxa"/>
            <w:tcBorders>
              <w:top w:val="nil"/>
              <w:left w:val="nil"/>
              <w:bottom w:val="single" w:sz="8" w:space="0" w:color="auto"/>
              <w:right w:val="nil"/>
            </w:tcBorders>
            <w:vAlign w:val="center"/>
          </w:tcPr>
          <w:p w14:paraId="63F542CC" w14:textId="77777777" w:rsidR="004A2C97" w:rsidRPr="001E51FF" w:rsidRDefault="004A2C97" w:rsidP="00260D7D">
            <w:pPr>
              <w:tabs>
                <w:tab w:val="left" w:pos="567"/>
              </w:tabs>
              <w:jc w:val="center"/>
              <w:rPr>
                <w:rFonts w:asciiTheme="majorBidi" w:hAnsiTheme="majorBidi" w:cstheme="majorBidi"/>
                <w:sz w:val="20"/>
                <w:szCs w:val="20"/>
              </w:rPr>
            </w:pPr>
            <w:r w:rsidRPr="001E51FF">
              <w:rPr>
                <w:rFonts w:asciiTheme="majorBidi" w:hAnsiTheme="majorBidi" w:cstheme="majorBidi"/>
                <w:sz w:val="20"/>
                <w:szCs w:val="20"/>
              </w:rPr>
              <w:t>21,575 (146)</w:t>
            </w:r>
          </w:p>
        </w:tc>
        <w:tc>
          <w:tcPr>
            <w:tcW w:w="1491" w:type="dxa"/>
            <w:tcBorders>
              <w:top w:val="nil"/>
              <w:left w:val="nil"/>
              <w:bottom w:val="single" w:sz="8" w:space="0" w:color="auto"/>
              <w:right w:val="nil"/>
            </w:tcBorders>
            <w:vAlign w:val="center"/>
          </w:tcPr>
          <w:p w14:paraId="53107E60" w14:textId="77777777" w:rsidR="004A2C97" w:rsidRPr="001E51FF" w:rsidRDefault="004A2C97" w:rsidP="00260D7D">
            <w:pPr>
              <w:tabs>
                <w:tab w:val="left" w:pos="567"/>
              </w:tabs>
              <w:jc w:val="center"/>
              <w:rPr>
                <w:rFonts w:asciiTheme="majorBidi" w:hAnsiTheme="majorBidi" w:cstheme="majorBidi"/>
                <w:sz w:val="20"/>
                <w:szCs w:val="20"/>
              </w:rPr>
            </w:pPr>
            <w:r w:rsidRPr="001E51FF">
              <w:rPr>
                <w:rFonts w:asciiTheme="majorBidi" w:hAnsiTheme="majorBidi" w:cstheme="majorBidi"/>
                <w:sz w:val="20"/>
                <w:szCs w:val="20"/>
              </w:rPr>
              <w:t>21,575 (146)</w:t>
            </w:r>
          </w:p>
        </w:tc>
        <w:tc>
          <w:tcPr>
            <w:tcW w:w="1492" w:type="dxa"/>
            <w:tcBorders>
              <w:top w:val="nil"/>
              <w:left w:val="nil"/>
              <w:bottom w:val="single" w:sz="8" w:space="0" w:color="auto"/>
              <w:right w:val="nil"/>
            </w:tcBorders>
            <w:vAlign w:val="center"/>
          </w:tcPr>
          <w:p w14:paraId="3ACD02CA" w14:textId="77777777" w:rsidR="004A2C97" w:rsidRPr="001E51FF" w:rsidRDefault="004A2C97" w:rsidP="00260D7D">
            <w:pPr>
              <w:tabs>
                <w:tab w:val="left" w:pos="567"/>
              </w:tabs>
              <w:jc w:val="center"/>
              <w:rPr>
                <w:rFonts w:asciiTheme="majorBidi" w:hAnsiTheme="majorBidi" w:cstheme="majorBidi"/>
                <w:sz w:val="20"/>
                <w:szCs w:val="20"/>
              </w:rPr>
            </w:pPr>
            <w:r w:rsidRPr="001E51FF">
              <w:rPr>
                <w:rFonts w:asciiTheme="majorBidi" w:hAnsiTheme="majorBidi" w:cstheme="majorBidi"/>
                <w:sz w:val="20"/>
                <w:szCs w:val="20"/>
              </w:rPr>
              <w:t>21,575 (146)</w:t>
            </w:r>
          </w:p>
        </w:tc>
        <w:tc>
          <w:tcPr>
            <w:tcW w:w="1491" w:type="dxa"/>
            <w:tcBorders>
              <w:top w:val="nil"/>
              <w:left w:val="nil"/>
              <w:bottom w:val="single" w:sz="8" w:space="0" w:color="auto"/>
              <w:right w:val="nil"/>
            </w:tcBorders>
            <w:vAlign w:val="center"/>
          </w:tcPr>
          <w:p w14:paraId="65F0D805" w14:textId="77777777" w:rsidR="004A2C97" w:rsidRPr="001E51FF" w:rsidRDefault="004A2C97" w:rsidP="00260D7D">
            <w:pPr>
              <w:tabs>
                <w:tab w:val="left" w:pos="567"/>
              </w:tabs>
              <w:jc w:val="center"/>
              <w:rPr>
                <w:rFonts w:asciiTheme="majorBidi" w:hAnsiTheme="majorBidi" w:cstheme="majorBidi"/>
                <w:sz w:val="20"/>
                <w:szCs w:val="20"/>
              </w:rPr>
            </w:pPr>
            <w:r w:rsidRPr="001E51FF">
              <w:rPr>
                <w:rFonts w:asciiTheme="majorBidi" w:hAnsiTheme="majorBidi" w:cstheme="majorBidi"/>
                <w:sz w:val="20"/>
                <w:szCs w:val="20"/>
              </w:rPr>
              <w:t>1,460 (146)</w:t>
            </w:r>
          </w:p>
        </w:tc>
        <w:tc>
          <w:tcPr>
            <w:tcW w:w="1492" w:type="dxa"/>
            <w:gridSpan w:val="2"/>
            <w:tcBorders>
              <w:top w:val="nil"/>
              <w:left w:val="nil"/>
              <w:bottom w:val="single" w:sz="8" w:space="0" w:color="auto"/>
              <w:right w:val="nil"/>
            </w:tcBorders>
            <w:vAlign w:val="center"/>
          </w:tcPr>
          <w:p w14:paraId="4FBBA50C" w14:textId="77777777" w:rsidR="004A2C97" w:rsidRDefault="004A2C97" w:rsidP="00260D7D">
            <w:pPr>
              <w:tabs>
                <w:tab w:val="left" w:pos="567"/>
              </w:tabs>
              <w:jc w:val="center"/>
              <w:rPr>
                <w:rFonts w:asciiTheme="majorBidi" w:hAnsiTheme="majorBidi" w:cstheme="majorBidi"/>
                <w:sz w:val="20"/>
                <w:szCs w:val="20"/>
              </w:rPr>
            </w:pPr>
            <w:r w:rsidRPr="001E51FF">
              <w:rPr>
                <w:rFonts w:asciiTheme="majorBidi" w:hAnsiTheme="majorBidi" w:cstheme="majorBidi"/>
                <w:sz w:val="20"/>
                <w:szCs w:val="20"/>
              </w:rPr>
              <w:t>21,575 (146)</w:t>
            </w:r>
          </w:p>
          <w:p w14:paraId="639C3372" w14:textId="75DA38A2" w:rsidR="006C1288" w:rsidRPr="001E51FF" w:rsidRDefault="006C1288" w:rsidP="00260D7D">
            <w:pPr>
              <w:tabs>
                <w:tab w:val="left" w:pos="567"/>
              </w:tabs>
              <w:jc w:val="center"/>
              <w:rPr>
                <w:rFonts w:asciiTheme="majorBidi" w:hAnsiTheme="majorBidi" w:cstheme="majorBidi"/>
                <w:sz w:val="20"/>
                <w:szCs w:val="20"/>
              </w:rPr>
            </w:pPr>
          </w:p>
        </w:tc>
      </w:tr>
      <w:tr w:rsidR="00D870FD" w14:paraId="72EE1F54" w14:textId="77777777" w:rsidTr="006C1288">
        <w:trPr>
          <w:trHeight w:val="295"/>
          <w:jc w:val="center"/>
        </w:trPr>
        <w:tc>
          <w:tcPr>
            <w:tcW w:w="14040" w:type="dxa"/>
            <w:gridSpan w:val="9"/>
            <w:tcBorders>
              <w:top w:val="single" w:sz="8" w:space="0" w:color="auto"/>
              <w:left w:val="nil"/>
              <w:bottom w:val="nil"/>
              <w:right w:val="nil"/>
            </w:tcBorders>
            <w:vAlign w:val="center"/>
          </w:tcPr>
          <w:p w14:paraId="5C07BBFD" w14:textId="77777777" w:rsidR="006C1288" w:rsidRDefault="006C1288" w:rsidP="00260D7D">
            <w:pPr>
              <w:tabs>
                <w:tab w:val="left" w:pos="567"/>
              </w:tabs>
              <w:jc w:val="center"/>
              <w:rPr>
                <w:rFonts w:asciiTheme="majorBidi" w:hAnsiTheme="majorBidi" w:cstheme="majorBidi"/>
                <w:b/>
                <w:bCs/>
                <w:color w:val="000000"/>
                <w:sz w:val="20"/>
                <w:szCs w:val="20"/>
              </w:rPr>
            </w:pPr>
          </w:p>
          <w:p w14:paraId="7ECBFE77" w14:textId="6CB7A37C" w:rsidR="00D870FD" w:rsidRPr="001E51FF" w:rsidRDefault="00D870FD" w:rsidP="00260D7D">
            <w:pPr>
              <w:tabs>
                <w:tab w:val="left" w:pos="567"/>
              </w:tabs>
              <w:jc w:val="center"/>
              <w:rPr>
                <w:rFonts w:asciiTheme="majorBidi" w:hAnsiTheme="majorBidi" w:cstheme="majorBidi"/>
                <w:b/>
                <w:bCs/>
                <w:color w:val="000000"/>
                <w:sz w:val="20"/>
                <w:szCs w:val="20"/>
              </w:rPr>
            </w:pPr>
            <w:r w:rsidRPr="001E51FF">
              <w:rPr>
                <w:rFonts w:asciiTheme="majorBidi" w:hAnsiTheme="majorBidi" w:cstheme="majorBidi"/>
                <w:b/>
                <w:bCs/>
                <w:color w:val="000000"/>
                <w:sz w:val="20"/>
                <w:szCs w:val="20"/>
              </w:rPr>
              <w:t>Panel B: Performance of the Different Prediction Models After Adding the Governance Variables</w:t>
            </w:r>
          </w:p>
        </w:tc>
      </w:tr>
      <w:tr w:rsidR="00D870FD" w14:paraId="50C2BD51" w14:textId="77777777" w:rsidTr="006C1288">
        <w:trPr>
          <w:trHeight w:val="295"/>
          <w:jc w:val="center"/>
        </w:trPr>
        <w:tc>
          <w:tcPr>
            <w:tcW w:w="3600" w:type="dxa"/>
            <w:tcBorders>
              <w:top w:val="nil"/>
              <w:left w:val="nil"/>
              <w:bottom w:val="single" w:sz="12" w:space="0" w:color="auto"/>
              <w:right w:val="nil"/>
            </w:tcBorders>
            <w:vAlign w:val="center"/>
          </w:tcPr>
          <w:p w14:paraId="3434BC59" w14:textId="77777777" w:rsidR="00D870FD" w:rsidRPr="00971EAB" w:rsidRDefault="00D870FD" w:rsidP="00260D7D">
            <w:pPr>
              <w:tabs>
                <w:tab w:val="left" w:pos="567"/>
              </w:tabs>
              <w:rPr>
                <w:rFonts w:asciiTheme="majorBidi" w:hAnsiTheme="majorBidi" w:cstheme="majorBidi"/>
                <w:b/>
                <w:bCs/>
                <w:color w:val="000000"/>
                <w:sz w:val="20"/>
                <w:szCs w:val="20"/>
              </w:rPr>
            </w:pPr>
          </w:p>
        </w:tc>
        <w:tc>
          <w:tcPr>
            <w:tcW w:w="1491" w:type="dxa"/>
            <w:tcBorders>
              <w:top w:val="nil"/>
              <w:left w:val="nil"/>
              <w:bottom w:val="single" w:sz="12" w:space="0" w:color="auto"/>
              <w:right w:val="nil"/>
            </w:tcBorders>
            <w:vAlign w:val="center"/>
          </w:tcPr>
          <w:p w14:paraId="662A6C49" w14:textId="77777777" w:rsidR="00D870FD" w:rsidRPr="00C57F00" w:rsidRDefault="00D870FD" w:rsidP="00260D7D">
            <w:pPr>
              <w:tabs>
                <w:tab w:val="left" w:pos="567"/>
              </w:tabs>
              <w:jc w:val="center"/>
              <w:rPr>
                <w:rFonts w:asciiTheme="majorBidi" w:hAnsiTheme="majorBidi" w:cstheme="majorBidi"/>
                <w:color w:val="000000"/>
                <w:sz w:val="20"/>
                <w:szCs w:val="20"/>
              </w:rPr>
            </w:pPr>
            <w:r w:rsidRPr="00C57F00">
              <w:rPr>
                <w:rFonts w:asciiTheme="majorBidi" w:hAnsiTheme="majorBidi" w:cstheme="majorBidi"/>
                <w:color w:val="000000"/>
                <w:sz w:val="20"/>
                <w:szCs w:val="20"/>
              </w:rPr>
              <w:t>ALT</w:t>
            </w:r>
          </w:p>
        </w:tc>
        <w:tc>
          <w:tcPr>
            <w:tcW w:w="1491" w:type="dxa"/>
            <w:tcBorders>
              <w:top w:val="nil"/>
              <w:left w:val="nil"/>
              <w:bottom w:val="single" w:sz="12" w:space="0" w:color="auto"/>
              <w:right w:val="nil"/>
            </w:tcBorders>
            <w:vAlign w:val="center"/>
          </w:tcPr>
          <w:p w14:paraId="04891114" w14:textId="77777777" w:rsidR="00D870FD" w:rsidRPr="00C57F00" w:rsidRDefault="00D870FD" w:rsidP="00260D7D">
            <w:pPr>
              <w:tabs>
                <w:tab w:val="left" w:pos="567"/>
              </w:tabs>
              <w:jc w:val="center"/>
              <w:rPr>
                <w:rFonts w:asciiTheme="majorBidi" w:hAnsiTheme="majorBidi" w:cstheme="majorBidi"/>
                <w:color w:val="000000"/>
                <w:sz w:val="20"/>
                <w:szCs w:val="20"/>
              </w:rPr>
            </w:pPr>
            <w:r w:rsidRPr="00C57F00">
              <w:rPr>
                <w:rFonts w:asciiTheme="majorBidi" w:hAnsiTheme="majorBidi" w:cstheme="majorBidi"/>
                <w:color w:val="000000"/>
                <w:sz w:val="20"/>
                <w:szCs w:val="20"/>
              </w:rPr>
              <w:t>OHL</w:t>
            </w:r>
          </w:p>
        </w:tc>
        <w:tc>
          <w:tcPr>
            <w:tcW w:w="1492" w:type="dxa"/>
            <w:tcBorders>
              <w:top w:val="nil"/>
              <w:left w:val="nil"/>
              <w:bottom w:val="single" w:sz="12" w:space="0" w:color="auto"/>
              <w:right w:val="nil"/>
            </w:tcBorders>
            <w:vAlign w:val="center"/>
          </w:tcPr>
          <w:p w14:paraId="1960D69A" w14:textId="77777777" w:rsidR="00D870FD" w:rsidRPr="00C57F00" w:rsidRDefault="00D870FD" w:rsidP="00260D7D">
            <w:pPr>
              <w:tabs>
                <w:tab w:val="left" w:pos="567"/>
              </w:tabs>
              <w:jc w:val="center"/>
              <w:rPr>
                <w:rFonts w:asciiTheme="majorBidi" w:hAnsiTheme="majorBidi" w:cstheme="majorBidi"/>
                <w:color w:val="000000"/>
                <w:sz w:val="20"/>
                <w:szCs w:val="20"/>
              </w:rPr>
            </w:pPr>
            <w:r w:rsidRPr="00C57F00">
              <w:rPr>
                <w:rFonts w:asciiTheme="majorBidi" w:hAnsiTheme="majorBidi" w:cstheme="majorBidi"/>
                <w:color w:val="000000"/>
                <w:sz w:val="20"/>
                <w:szCs w:val="20"/>
              </w:rPr>
              <w:t>ZMJ</w:t>
            </w:r>
          </w:p>
        </w:tc>
        <w:tc>
          <w:tcPr>
            <w:tcW w:w="1491" w:type="dxa"/>
            <w:tcBorders>
              <w:top w:val="nil"/>
              <w:left w:val="nil"/>
              <w:bottom w:val="single" w:sz="12" w:space="0" w:color="auto"/>
              <w:right w:val="nil"/>
            </w:tcBorders>
            <w:vAlign w:val="center"/>
          </w:tcPr>
          <w:p w14:paraId="33159D79" w14:textId="77777777" w:rsidR="00D870FD" w:rsidRPr="00C57F00" w:rsidRDefault="00D870FD" w:rsidP="00260D7D">
            <w:pPr>
              <w:tabs>
                <w:tab w:val="left" w:pos="567"/>
              </w:tabs>
              <w:jc w:val="center"/>
              <w:rPr>
                <w:rFonts w:asciiTheme="majorBidi" w:hAnsiTheme="majorBidi" w:cstheme="majorBidi"/>
                <w:color w:val="000000"/>
                <w:sz w:val="20"/>
                <w:szCs w:val="20"/>
              </w:rPr>
            </w:pPr>
            <w:r w:rsidRPr="00C57F00">
              <w:rPr>
                <w:rFonts w:asciiTheme="majorBidi" w:hAnsiTheme="majorBidi" w:cstheme="majorBidi"/>
                <w:color w:val="000000"/>
                <w:sz w:val="20"/>
                <w:szCs w:val="20"/>
              </w:rPr>
              <w:t>SHW</w:t>
            </w:r>
          </w:p>
        </w:tc>
        <w:tc>
          <w:tcPr>
            <w:tcW w:w="1492" w:type="dxa"/>
            <w:tcBorders>
              <w:top w:val="nil"/>
              <w:left w:val="nil"/>
              <w:bottom w:val="single" w:sz="12" w:space="0" w:color="auto"/>
              <w:right w:val="nil"/>
            </w:tcBorders>
            <w:vAlign w:val="center"/>
          </w:tcPr>
          <w:p w14:paraId="5F470864" w14:textId="77777777" w:rsidR="00D870FD" w:rsidRPr="00C57F00" w:rsidRDefault="00D870FD" w:rsidP="00260D7D">
            <w:pPr>
              <w:tabs>
                <w:tab w:val="left" w:pos="567"/>
              </w:tabs>
              <w:jc w:val="center"/>
              <w:rPr>
                <w:rFonts w:asciiTheme="majorBidi" w:hAnsiTheme="majorBidi" w:cstheme="majorBidi"/>
                <w:color w:val="000000"/>
                <w:sz w:val="20"/>
                <w:szCs w:val="20"/>
              </w:rPr>
            </w:pPr>
            <w:r w:rsidRPr="00C57F00">
              <w:rPr>
                <w:rFonts w:asciiTheme="majorBidi" w:hAnsiTheme="majorBidi" w:cstheme="majorBidi"/>
                <w:color w:val="000000"/>
                <w:sz w:val="20"/>
                <w:szCs w:val="20"/>
              </w:rPr>
              <w:t>BSH</w:t>
            </w:r>
          </w:p>
        </w:tc>
        <w:tc>
          <w:tcPr>
            <w:tcW w:w="1491" w:type="dxa"/>
            <w:tcBorders>
              <w:top w:val="nil"/>
              <w:left w:val="nil"/>
              <w:bottom w:val="single" w:sz="12" w:space="0" w:color="auto"/>
              <w:right w:val="nil"/>
            </w:tcBorders>
            <w:vAlign w:val="center"/>
          </w:tcPr>
          <w:p w14:paraId="4319D193" w14:textId="77777777" w:rsidR="00D870FD" w:rsidRPr="00C57F00" w:rsidRDefault="00D870FD" w:rsidP="00260D7D">
            <w:pPr>
              <w:tabs>
                <w:tab w:val="left" w:pos="567"/>
              </w:tabs>
              <w:jc w:val="center"/>
              <w:rPr>
                <w:rFonts w:asciiTheme="majorBidi" w:hAnsiTheme="majorBidi" w:cstheme="majorBidi"/>
                <w:color w:val="000000"/>
                <w:sz w:val="20"/>
                <w:szCs w:val="20"/>
              </w:rPr>
            </w:pPr>
            <w:r w:rsidRPr="00C57F00">
              <w:rPr>
                <w:rFonts w:asciiTheme="majorBidi" w:hAnsiTheme="majorBidi" w:cstheme="majorBidi"/>
                <w:color w:val="000000"/>
                <w:sz w:val="20"/>
                <w:szCs w:val="20"/>
              </w:rPr>
              <w:t>PRM</w:t>
            </w:r>
          </w:p>
        </w:tc>
        <w:tc>
          <w:tcPr>
            <w:tcW w:w="1492" w:type="dxa"/>
            <w:gridSpan w:val="2"/>
            <w:tcBorders>
              <w:top w:val="nil"/>
              <w:left w:val="nil"/>
              <w:bottom w:val="single" w:sz="12" w:space="0" w:color="auto"/>
              <w:right w:val="nil"/>
            </w:tcBorders>
            <w:vAlign w:val="center"/>
          </w:tcPr>
          <w:p w14:paraId="5089C7CC" w14:textId="77777777" w:rsidR="00D870FD" w:rsidRPr="00C57F00" w:rsidRDefault="00D870FD" w:rsidP="00260D7D">
            <w:pPr>
              <w:tabs>
                <w:tab w:val="left" w:pos="567"/>
              </w:tabs>
              <w:jc w:val="center"/>
              <w:rPr>
                <w:rFonts w:asciiTheme="majorBidi" w:hAnsiTheme="majorBidi" w:cstheme="majorBidi"/>
                <w:color w:val="000000"/>
                <w:sz w:val="20"/>
                <w:szCs w:val="20"/>
              </w:rPr>
            </w:pPr>
            <w:r w:rsidRPr="00C57F00">
              <w:rPr>
                <w:rFonts w:asciiTheme="majorBidi" w:hAnsiTheme="majorBidi" w:cstheme="majorBidi"/>
                <w:color w:val="000000"/>
                <w:sz w:val="20"/>
                <w:szCs w:val="20"/>
              </w:rPr>
              <w:t>ALM</w:t>
            </w:r>
          </w:p>
        </w:tc>
      </w:tr>
      <w:tr w:rsidR="00D870FD" w14:paraId="4F7DD5BD" w14:textId="77777777" w:rsidTr="00F30C48">
        <w:trPr>
          <w:trHeight w:val="360"/>
          <w:jc w:val="center"/>
        </w:trPr>
        <w:tc>
          <w:tcPr>
            <w:tcW w:w="3600" w:type="dxa"/>
            <w:tcBorders>
              <w:top w:val="single" w:sz="12" w:space="0" w:color="auto"/>
              <w:left w:val="nil"/>
              <w:bottom w:val="nil"/>
              <w:right w:val="nil"/>
            </w:tcBorders>
            <w:vAlign w:val="center"/>
          </w:tcPr>
          <w:p w14:paraId="59E5AEF5" w14:textId="77777777" w:rsidR="00D870FD" w:rsidRPr="00C57F00" w:rsidRDefault="00D870FD" w:rsidP="00260D7D">
            <w:pPr>
              <w:tabs>
                <w:tab w:val="left" w:pos="567"/>
              </w:tabs>
              <w:rPr>
                <w:rFonts w:asciiTheme="majorBidi" w:hAnsiTheme="majorBidi" w:cstheme="majorBidi"/>
                <w:b/>
                <w:bCs/>
                <w:sz w:val="20"/>
                <w:szCs w:val="20"/>
              </w:rPr>
            </w:pPr>
            <w:r w:rsidRPr="00C57F00">
              <w:rPr>
                <w:rFonts w:asciiTheme="majorBidi" w:hAnsiTheme="majorBidi" w:cstheme="majorBidi"/>
                <w:b/>
                <w:bCs/>
                <w:sz w:val="20"/>
                <w:szCs w:val="20"/>
              </w:rPr>
              <w:t>Prediction &amp; Classification</w:t>
            </w:r>
          </w:p>
        </w:tc>
        <w:tc>
          <w:tcPr>
            <w:tcW w:w="1491" w:type="dxa"/>
            <w:tcBorders>
              <w:top w:val="single" w:sz="12" w:space="0" w:color="auto"/>
              <w:left w:val="nil"/>
              <w:bottom w:val="nil"/>
              <w:right w:val="nil"/>
            </w:tcBorders>
            <w:vAlign w:val="center"/>
          </w:tcPr>
          <w:p w14:paraId="5B75C15F" w14:textId="77777777" w:rsidR="00D870FD" w:rsidRPr="00971EAB" w:rsidRDefault="00D870FD" w:rsidP="00260D7D">
            <w:pPr>
              <w:tabs>
                <w:tab w:val="left" w:pos="567"/>
              </w:tabs>
              <w:jc w:val="center"/>
              <w:rPr>
                <w:rFonts w:asciiTheme="majorBidi" w:hAnsiTheme="majorBidi" w:cstheme="majorBidi"/>
                <w:sz w:val="20"/>
                <w:szCs w:val="20"/>
              </w:rPr>
            </w:pPr>
          </w:p>
        </w:tc>
        <w:tc>
          <w:tcPr>
            <w:tcW w:w="1491" w:type="dxa"/>
            <w:tcBorders>
              <w:top w:val="single" w:sz="12" w:space="0" w:color="auto"/>
              <w:left w:val="nil"/>
              <w:bottom w:val="nil"/>
              <w:right w:val="nil"/>
            </w:tcBorders>
            <w:vAlign w:val="center"/>
          </w:tcPr>
          <w:p w14:paraId="4F884795" w14:textId="77777777" w:rsidR="00D870FD" w:rsidRPr="00971EAB" w:rsidRDefault="00D870FD" w:rsidP="00260D7D">
            <w:pPr>
              <w:tabs>
                <w:tab w:val="left" w:pos="567"/>
              </w:tabs>
              <w:jc w:val="center"/>
              <w:rPr>
                <w:rFonts w:asciiTheme="majorBidi" w:hAnsiTheme="majorBidi" w:cstheme="majorBidi"/>
                <w:sz w:val="20"/>
                <w:szCs w:val="20"/>
              </w:rPr>
            </w:pPr>
          </w:p>
        </w:tc>
        <w:tc>
          <w:tcPr>
            <w:tcW w:w="1492" w:type="dxa"/>
            <w:tcBorders>
              <w:top w:val="single" w:sz="12" w:space="0" w:color="auto"/>
              <w:left w:val="nil"/>
              <w:bottom w:val="nil"/>
              <w:right w:val="nil"/>
            </w:tcBorders>
            <w:vAlign w:val="center"/>
          </w:tcPr>
          <w:p w14:paraId="3A2EF273" w14:textId="77777777" w:rsidR="00D870FD" w:rsidRPr="00971EAB" w:rsidRDefault="00D870FD" w:rsidP="00260D7D">
            <w:pPr>
              <w:tabs>
                <w:tab w:val="left" w:pos="567"/>
              </w:tabs>
              <w:jc w:val="center"/>
              <w:rPr>
                <w:rFonts w:asciiTheme="majorBidi" w:hAnsiTheme="majorBidi" w:cstheme="majorBidi"/>
                <w:sz w:val="20"/>
                <w:szCs w:val="20"/>
              </w:rPr>
            </w:pPr>
          </w:p>
        </w:tc>
        <w:tc>
          <w:tcPr>
            <w:tcW w:w="1491" w:type="dxa"/>
            <w:tcBorders>
              <w:top w:val="single" w:sz="12" w:space="0" w:color="auto"/>
              <w:left w:val="nil"/>
              <w:bottom w:val="nil"/>
              <w:right w:val="nil"/>
            </w:tcBorders>
            <w:vAlign w:val="center"/>
          </w:tcPr>
          <w:p w14:paraId="3617FF05" w14:textId="77777777" w:rsidR="00D870FD" w:rsidRPr="00971EAB" w:rsidRDefault="00D870FD" w:rsidP="00260D7D">
            <w:pPr>
              <w:tabs>
                <w:tab w:val="left" w:pos="567"/>
              </w:tabs>
              <w:jc w:val="center"/>
              <w:rPr>
                <w:rFonts w:asciiTheme="majorBidi" w:hAnsiTheme="majorBidi" w:cstheme="majorBidi"/>
                <w:sz w:val="20"/>
                <w:szCs w:val="20"/>
              </w:rPr>
            </w:pPr>
          </w:p>
        </w:tc>
        <w:tc>
          <w:tcPr>
            <w:tcW w:w="1492" w:type="dxa"/>
            <w:tcBorders>
              <w:top w:val="single" w:sz="12" w:space="0" w:color="auto"/>
              <w:left w:val="nil"/>
              <w:bottom w:val="nil"/>
              <w:right w:val="nil"/>
            </w:tcBorders>
            <w:vAlign w:val="center"/>
          </w:tcPr>
          <w:p w14:paraId="519F231B" w14:textId="77777777" w:rsidR="00D870FD" w:rsidRPr="00971EAB" w:rsidRDefault="00D870FD" w:rsidP="00260D7D">
            <w:pPr>
              <w:tabs>
                <w:tab w:val="left" w:pos="567"/>
              </w:tabs>
              <w:jc w:val="center"/>
              <w:rPr>
                <w:rFonts w:asciiTheme="majorBidi" w:hAnsiTheme="majorBidi" w:cstheme="majorBidi"/>
                <w:sz w:val="20"/>
                <w:szCs w:val="20"/>
              </w:rPr>
            </w:pPr>
          </w:p>
        </w:tc>
        <w:tc>
          <w:tcPr>
            <w:tcW w:w="1491" w:type="dxa"/>
            <w:tcBorders>
              <w:top w:val="single" w:sz="12" w:space="0" w:color="auto"/>
              <w:left w:val="nil"/>
              <w:bottom w:val="nil"/>
              <w:right w:val="nil"/>
            </w:tcBorders>
            <w:vAlign w:val="center"/>
          </w:tcPr>
          <w:p w14:paraId="611296CD" w14:textId="77777777" w:rsidR="00D870FD" w:rsidRPr="00971EAB" w:rsidRDefault="00D870FD" w:rsidP="00260D7D">
            <w:pPr>
              <w:tabs>
                <w:tab w:val="left" w:pos="567"/>
              </w:tabs>
              <w:jc w:val="center"/>
              <w:rPr>
                <w:rFonts w:asciiTheme="majorBidi" w:hAnsiTheme="majorBidi" w:cstheme="majorBidi"/>
                <w:sz w:val="20"/>
                <w:szCs w:val="20"/>
              </w:rPr>
            </w:pPr>
          </w:p>
        </w:tc>
        <w:tc>
          <w:tcPr>
            <w:tcW w:w="1492" w:type="dxa"/>
            <w:gridSpan w:val="2"/>
            <w:tcBorders>
              <w:top w:val="single" w:sz="12" w:space="0" w:color="auto"/>
              <w:left w:val="nil"/>
              <w:bottom w:val="nil"/>
              <w:right w:val="nil"/>
            </w:tcBorders>
            <w:vAlign w:val="center"/>
          </w:tcPr>
          <w:p w14:paraId="21302811" w14:textId="77777777" w:rsidR="00D870FD" w:rsidRPr="00971EAB" w:rsidRDefault="00D870FD" w:rsidP="00260D7D">
            <w:pPr>
              <w:tabs>
                <w:tab w:val="left" w:pos="567"/>
              </w:tabs>
              <w:jc w:val="center"/>
              <w:rPr>
                <w:rFonts w:asciiTheme="majorBidi" w:hAnsiTheme="majorBidi" w:cstheme="majorBidi"/>
                <w:sz w:val="20"/>
                <w:szCs w:val="20"/>
              </w:rPr>
            </w:pPr>
          </w:p>
        </w:tc>
      </w:tr>
      <w:tr w:rsidR="00D870FD" w14:paraId="0CD84A2C" w14:textId="77777777" w:rsidTr="001E51FF">
        <w:trPr>
          <w:trHeight w:val="155"/>
          <w:jc w:val="center"/>
        </w:trPr>
        <w:tc>
          <w:tcPr>
            <w:tcW w:w="3600" w:type="dxa"/>
            <w:tcBorders>
              <w:top w:val="nil"/>
              <w:left w:val="nil"/>
              <w:bottom w:val="nil"/>
              <w:right w:val="nil"/>
            </w:tcBorders>
            <w:vAlign w:val="center"/>
          </w:tcPr>
          <w:p w14:paraId="297D8B07" w14:textId="77777777" w:rsidR="00D870FD" w:rsidRPr="00971EAB" w:rsidRDefault="00D870FD"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Accuracy Ratio</w:t>
            </w:r>
          </w:p>
        </w:tc>
        <w:tc>
          <w:tcPr>
            <w:tcW w:w="1491" w:type="dxa"/>
            <w:tcBorders>
              <w:top w:val="nil"/>
              <w:left w:val="nil"/>
              <w:bottom w:val="nil"/>
              <w:right w:val="nil"/>
            </w:tcBorders>
            <w:vAlign w:val="bottom"/>
          </w:tcPr>
          <w:p w14:paraId="504B5D70" w14:textId="77777777" w:rsidR="00D870FD" w:rsidRPr="003323BA" w:rsidRDefault="00D870FD" w:rsidP="00260D7D">
            <w:pPr>
              <w:tabs>
                <w:tab w:val="left" w:pos="567"/>
              </w:tabs>
              <w:jc w:val="center"/>
              <w:rPr>
                <w:rFonts w:asciiTheme="majorBidi" w:hAnsiTheme="majorBidi" w:cstheme="majorBidi"/>
                <w:sz w:val="20"/>
                <w:szCs w:val="20"/>
              </w:rPr>
            </w:pPr>
            <w:r w:rsidRPr="003323BA">
              <w:rPr>
                <w:rFonts w:asciiTheme="majorBidi" w:hAnsiTheme="majorBidi" w:cstheme="majorBidi"/>
                <w:sz w:val="20"/>
                <w:szCs w:val="20"/>
              </w:rPr>
              <w:t>0.</w:t>
            </w:r>
            <w:r>
              <w:rPr>
                <w:rFonts w:asciiTheme="majorBidi" w:hAnsiTheme="majorBidi" w:cstheme="majorBidi"/>
                <w:sz w:val="20"/>
                <w:szCs w:val="20"/>
              </w:rPr>
              <w:t>89</w:t>
            </w:r>
          </w:p>
        </w:tc>
        <w:tc>
          <w:tcPr>
            <w:tcW w:w="1491" w:type="dxa"/>
            <w:tcBorders>
              <w:top w:val="nil"/>
              <w:left w:val="nil"/>
              <w:bottom w:val="nil"/>
              <w:right w:val="nil"/>
            </w:tcBorders>
            <w:vAlign w:val="bottom"/>
          </w:tcPr>
          <w:p w14:paraId="764C7FFB" w14:textId="77777777" w:rsidR="00D870FD" w:rsidRPr="003323BA" w:rsidRDefault="00D870FD" w:rsidP="00260D7D">
            <w:pPr>
              <w:tabs>
                <w:tab w:val="left" w:pos="567"/>
              </w:tabs>
              <w:jc w:val="center"/>
              <w:rPr>
                <w:rFonts w:asciiTheme="majorBidi" w:hAnsiTheme="majorBidi" w:cstheme="majorBidi"/>
                <w:sz w:val="20"/>
                <w:szCs w:val="20"/>
              </w:rPr>
            </w:pPr>
            <w:r w:rsidRPr="003323BA">
              <w:rPr>
                <w:rFonts w:asciiTheme="majorBidi" w:hAnsiTheme="majorBidi" w:cstheme="majorBidi"/>
                <w:sz w:val="20"/>
                <w:szCs w:val="20"/>
              </w:rPr>
              <w:t>0.78</w:t>
            </w:r>
          </w:p>
        </w:tc>
        <w:tc>
          <w:tcPr>
            <w:tcW w:w="1492" w:type="dxa"/>
            <w:tcBorders>
              <w:top w:val="nil"/>
              <w:left w:val="nil"/>
              <w:bottom w:val="nil"/>
              <w:right w:val="nil"/>
            </w:tcBorders>
            <w:vAlign w:val="bottom"/>
          </w:tcPr>
          <w:p w14:paraId="6FD6A868" w14:textId="77777777" w:rsidR="00D870FD" w:rsidRPr="00A238D9" w:rsidRDefault="00D870FD" w:rsidP="00260D7D">
            <w:pPr>
              <w:tabs>
                <w:tab w:val="left" w:pos="567"/>
              </w:tabs>
              <w:jc w:val="center"/>
              <w:rPr>
                <w:rFonts w:asciiTheme="majorBidi" w:hAnsiTheme="majorBidi" w:cstheme="majorBidi"/>
                <w:sz w:val="20"/>
                <w:szCs w:val="20"/>
              </w:rPr>
            </w:pPr>
            <w:r w:rsidRPr="00A238D9">
              <w:rPr>
                <w:rFonts w:asciiTheme="majorBidi" w:hAnsiTheme="majorBidi" w:cstheme="majorBidi"/>
                <w:sz w:val="20"/>
                <w:szCs w:val="20"/>
              </w:rPr>
              <w:t>0.</w:t>
            </w:r>
            <w:r>
              <w:rPr>
                <w:rFonts w:asciiTheme="majorBidi" w:hAnsiTheme="majorBidi" w:cstheme="majorBidi"/>
                <w:sz w:val="20"/>
                <w:szCs w:val="20"/>
              </w:rPr>
              <w:t>8</w:t>
            </w:r>
            <w:r w:rsidRPr="00A238D9">
              <w:rPr>
                <w:rFonts w:asciiTheme="majorBidi" w:hAnsiTheme="majorBidi" w:cstheme="majorBidi"/>
                <w:sz w:val="20"/>
                <w:szCs w:val="20"/>
              </w:rPr>
              <w:t>8</w:t>
            </w:r>
          </w:p>
        </w:tc>
        <w:tc>
          <w:tcPr>
            <w:tcW w:w="1491" w:type="dxa"/>
            <w:tcBorders>
              <w:top w:val="nil"/>
              <w:left w:val="nil"/>
              <w:bottom w:val="nil"/>
              <w:right w:val="nil"/>
            </w:tcBorders>
            <w:shd w:val="clear" w:color="auto" w:fill="auto"/>
            <w:vAlign w:val="bottom"/>
          </w:tcPr>
          <w:p w14:paraId="19079119" w14:textId="77777777" w:rsidR="00D870FD" w:rsidRPr="00A3027A" w:rsidRDefault="00D870FD" w:rsidP="00260D7D">
            <w:pPr>
              <w:tabs>
                <w:tab w:val="left" w:pos="567"/>
              </w:tabs>
              <w:jc w:val="center"/>
              <w:rPr>
                <w:rFonts w:asciiTheme="majorBidi" w:hAnsiTheme="majorBidi" w:cstheme="majorBidi"/>
                <w:sz w:val="20"/>
                <w:szCs w:val="20"/>
              </w:rPr>
            </w:pPr>
            <w:r w:rsidRPr="00A3027A">
              <w:rPr>
                <w:rFonts w:asciiTheme="majorBidi" w:hAnsiTheme="majorBidi" w:cstheme="majorBidi"/>
                <w:sz w:val="20"/>
                <w:szCs w:val="20"/>
              </w:rPr>
              <w:t>0.97</w:t>
            </w:r>
          </w:p>
        </w:tc>
        <w:tc>
          <w:tcPr>
            <w:tcW w:w="1492" w:type="dxa"/>
            <w:tcBorders>
              <w:top w:val="nil"/>
              <w:left w:val="nil"/>
              <w:bottom w:val="nil"/>
              <w:right w:val="nil"/>
            </w:tcBorders>
            <w:vAlign w:val="bottom"/>
          </w:tcPr>
          <w:p w14:paraId="52563489" w14:textId="77777777" w:rsidR="00D870FD" w:rsidRPr="00892687" w:rsidRDefault="00D870FD" w:rsidP="00260D7D">
            <w:pPr>
              <w:tabs>
                <w:tab w:val="left" w:pos="567"/>
              </w:tabs>
              <w:jc w:val="center"/>
              <w:rPr>
                <w:rFonts w:asciiTheme="majorBidi" w:hAnsiTheme="majorBidi" w:cstheme="majorBidi"/>
                <w:sz w:val="20"/>
                <w:szCs w:val="20"/>
              </w:rPr>
            </w:pPr>
            <w:r w:rsidRPr="00892687">
              <w:rPr>
                <w:rFonts w:asciiTheme="majorBidi" w:hAnsiTheme="majorBidi" w:cstheme="majorBidi"/>
                <w:sz w:val="20"/>
                <w:szCs w:val="20"/>
              </w:rPr>
              <w:t>0.94</w:t>
            </w:r>
          </w:p>
        </w:tc>
        <w:tc>
          <w:tcPr>
            <w:tcW w:w="1491" w:type="dxa"/>
            <w:tcBorders>
              <w:top w:val="nil"/>
              <w:left w:val="nil"/>
              <w:bottom w:val="nil"/>
              <w:right w:val="nil"/>
            </w:tcBorders>
            <w:vAlign w:val="bottom"/>
          </w:tcPr>
          <w:p w14:paraId="502A5E69" w14:textId="77777777" w:rsidR="00D870FD" w:rsidRPr="00E91099" w:rsidRDefault="00D870FD" w:rsidP="00260D7D">
            <w:pPr>
              <w:tabs>
                <w:tab w:val="left" w:pos="567"/>
              </w:tabs>
              <w:jc w:val="center"/>
              <w:rPr>
                <w:rFonts w:asciiTheme="majorBidi" w:hAnsiTheme="majorBidi" w:cstheme="majorBidi"/>
                <w:sz w:val="20"/>
                <w:szCs w:val="20"/>
              </w:rPr>
            </w:pPr>
            <w:r w:rsidRPr="00E91099">
              <w:rPr>
                <w:rFonts w:asciiTheme="majorBidi" w:hAnsiTheme="majorBidi" w:cstheme="majorBidi"/>
                <w:sz w:val="20"/>
                <w:szCs w:val="20"/>
              </w:rPr>
              <w:t>0.83</w:t>
            </w:r>
          </w:p>
        </w:tc>
        <w:tc>
          <w:tcPr>
            <w:tcW w:w="1492" w:type="dxa"/>
            <w:gridSpan w:val="2"/>
            <w:tcBorders>
              <w:top w:val="nil"/>
              <w:left w:val="nil"/>
              <w:bottom w:val="nil"/>
              <w:right w:val="nil"/>
            </w:tcBorders>
            <w:vAlign w:val="bottom"/>
          </w:tcPr>
          <w:p w14:paraId="0474B88A" w14:textId="77777777" w:rsidR="00D870FD" w:rsidRPr="003323BA" w:rsidRDefault="00D870FD" w:rsidP="00260D7D">
            <w:pPr>
              <w:tabs>
                <w:tab w:val="left" w:pos="567"/>
              </w:tabs>
              <w:jc w:val="center"/>
              <w:rPr>
                <w:rFonts w:asciiTheme="majorBidi" w:hAnsiTheme="majorBidi" w:cstheme="majorBidi"/>
                <w:sz w:val="20"/>
                <w:szCs w:val="20"/>
              </w:rPr>
            </w:pPr>
            <w:r w:rsidRPr="003323BA">
              <w:rPr>
                <w:rFonts w:asciiTheme="majorBidi" w:hAnsiTheme="majorBidi" w:cstheme="majorBidi"/>
                <w:sz w:val="20"/>
                <w:szCs w:val="20"/>
              </w:rPr>
              <w:t>0.</w:t>
            </w:r>
            <w:r>
              <w:rPr>
                <w:rFonts w:asciiTheme="majorBidi" w:hAnsiTheme="majorBidi" w:cstheme="majorBidi"/>
                <w:sz w:val="20"/>
                <w:szCs w:val="20"/>
              </w:rPr>
              <w:t>89</w:t>
            </w:r>
          </w:p>
        </w:tc>
      </w:tr>
      <w:tr w:rsidR="00D870FD" w14:paraId="38A6EB1E" w14:textId="77777777" w:rsidTr="001E51FF">
        <w:trPr>
          <w:trHeight w:val="215"/>
          <w:jc w:val="center"/>
        </w:trPr>
        <w:tc>
          <w:tcPr>
            <w:tcW w:w="3600" w:type="dxa"/>
            <w:tcBorders>
              <w:top w:val="nil"/>
              <w:left w:val="nil"/>
              <w:bottom w:val="nil"/>
              <w:right w:val="nil"/>
            </w:tcBorders>
            <w:vAlign w:val="center"/>
          </w:tcPr>
          <w:p w14:paraId="60A22AC3" w14:textId="77777777" w:rsidR="00D870FD" w:rsidRPr="00971EAB" w:rsidRDefault="00D870FD" w:rsidP="00260D7D">
            <w:pPr>
              <w:tabs>
                <w:tab w:val="left" w:pos="567"/>
              </w:tabs>
              <w:rPr>
                <w:rFonts w:asciiTheme="majorBidi" w:hAnsiTheme="majorBidi" w:cstheme="majorBidi"/>
                <w:sz w:val="20"/>
                <w:szCs w:val="20"/>
              </w:rPr>
            </w:pPr>
            <w:r>
              <w:rPr>
                <w:rFonts w:asciiTheme="majorBidi" w:hAnsiTheme="majorBidi" w:cstheme="majorBidi"/>
                <w:sz w:val="20"/>
                <w:szCs w:val="20"/>
              </w:rPr>
              <w:t xml:space="preserve">Specifity </w:t>
            </w:r>
            <w:r w:rsidRPr="00971EAB">
              <w:rPr>
                <w:rFonts w:asciiTheme="majorBidi" w:hAnsiTheme="majorBidi" w:cstheme="majorBidi"/>
                <w:sz w:val="20"/>
                <w:szCs w:val="20"/>
              </w:rPr>
              <w:t>(Sensitivity)</w:t>
            </w:r>
          </w:p>
        </w:tc>
        <w:tc>
          <w:tcPr>
            <w:tcW w:w="1491" w:type="dxa"/>
            <w:tcBorders>
              <w:top w:val="nil"/>
              <w:left w:val="nil"/>
              <w:bottom w:val="nil"/>
              <w:right w:val="nil"/>
            </w:tcBorders>
            <w:vAlign w:val="bottom"/>
          </w:tcPr>
          <w:p w14:paraId="484F5E32" w14:textId="77777777" w:rsidR="00D870FD" w:rsidRPr="003323BA" w:rsidRDefault="00D870FD" w:rsidP="00260D7D">
            <w:pPr>
              <w:tabs>
                <w:tab w:val="left" w:pos="567"/>
              </w:tabs>
              <w:jc w:val="center"/>
              <w:rPr>
                <w:rFonts w:asciiTheme="majorBidi" w:hAnsiTheme="majorBidi" w:cstheme="majorBidi"/>
                <w:sz w:val="20"/>
                <w:szCs w:val="20"/>
              </w:rPr>
            </w:pPr>
            <w:r w:rsidRPr="003323BA">
              <w:rPr>
                <w:rFonts w:asciiTheme="majorBidi" w:hAnsiTheme="majorBidi" w:cstheme="majorBidi"/>
                <w:sz w:val="20"/>
                <w:szCs w:val="20"/>
              </w:rPr>
              <w:t>0.</w:t>
            </w:r>
            <w:r>
              <w:rPr>
                <w:rFonts w:asciiTheme="majorBidi" w:hAnsiTheme="majorBidi" w:cstheme="majorBidi"/>
                <w:sz w:val="20"/>
                <w:szCs w:val="20"/>
              </w:rPr>
              <w:t>89</w:t>
            </w:r>
            <w:r w:rsidRPr="003323BA">
              <w:rPr>
                <w:rFonts w:asciiTheme="majorBidi" w:hAnsiTheme="majorBidi" w:cstheme="majorBidi"/>
                <w:sz w:val="20"/>
                <w:szCs w:val="20"/>
              </w:rPr>
              <w:t xml:space="preserve"> (0.5</w:t>
            </w:r>
            <w:r>
              <w:rPr>
                <w:rFonts w:asciiTheme="majorBidi" w:hAnsiTheme="majorBidi" w:cstheme="majorBidi"/>
                <w:sz w:val="20"/>
                <w:szCs w:val="20"/>
              </w:rPr>
              <w:t>3</w:t>
            </w:r>
            <w:r w:rsidRPr="003323BA">
              <w:rPr>
                <w:rFonts w:asciiTheme="majorBidi" w:hAnsiTheme="majorBidi" w:cstheme="majorBidi"/>
                <w:sz w:val="20"/>
                <w:szCs w:val="20"/>
              </w:rPr>
              <w:t>)</w:t>
            </w:r>
          </w:p>
        </w:tc>
        <w:tc>
          <w:tcPr>
            <w:tcW w:w="1491" w:type="dxa"/>
            <w:tcBorders>
              <w:top w:val="nil"/>
              <w:left w:val="nil"/>
              <w:bottom w:val="nil"/>
              <w:right w:val="nil"/>
            </w:tcBorders>
            <w:vAlign w:val="bottom"/>
          </w:tcPr>
          <w:p w14:paraId="27DD7876" w14:textId="77777777" w:rsidR="00D870FD" w:rsidRPr="003323BA" w:rsidRDefault="00D870FD" w:rsidP="00260D7D">
            <w:pPr>
              <w:tabs>
                <w:tab w:val="left" w:pos="567"/>
              </w:tabs>
              <w:jc w:val="center"/>
              <w:rPr>
                <w:rFonts w:asciiTheme="majorBidi" w:hAnsiTheme="majorBidi" w:cstheme="majorBidi"/>
                <w:sz w:val="20"/>
                <w:szCs w:val="20"/>
              </w:rPr>
            </w:pPr>
            <w:r w:rsidRPr="003323BA">
              <w:rPr>
                <w:rFonts w:asciiTheme="majorBidi" w:hAnsiTheme="majorBidi" w:cstheme="majorBidi"/>
                <w:sz w:val="20"/>
                <w:szCs w:val="20"/>
              </w:rPr>
              <w:t>0.7</w:t>
            </w:r>
            <w:r>
              <w:rPr>
                <w:rFonts w:asciiTheme="majorBidi" w:hAnsiTheme="majorBidi" w:cstheme="majorBidi"/>
                <w:sz w:val="20"/>
                <w:szCs w:val="20"/>
              </w:rPr>
              <w:t>8</w:t>
            </w:r>
            <w:r w:rsidRPr="003323BA">
              <w:rPr>
                <w:rFonts w:asciiTheme="majorBidi" w:hAnsiTheme="majorBidi" w:cstheme="majorBidi"/>
                <w:sz w:val="20"/>
                <w:szCs w:val="20"/>
              </w:rPr>
              <w:t xml:space="preserve"> (0.5</w:t>
            </w:r>
            <w:r>
              <w:rPr>
                <w:rFonts w:asciiTheme="majorBidi" w:hAnsiTheme="majorBidi" w:cstheme="majorBidi"/>
                <w:sz w:val="20"/>
                <w:szCs w:val="20"/>
              </w:rPr>
              <w:t>2</w:t>
            </w:r>
            <w:r w:rsidRPr="003323BA">
              <w:rPr>
                <w:rFonts w:asciiTheme="majorBidi" w:hAnsiTheme="majorBidi" w:cstheme="majorBidi"/>
                <w:sz w:val="20"/>
                <w:szCs w:val="20"/>
              </w:rPr>
              <w:t>)</w:t>
            </w:r>
          </w:p>
        </w:tc>
        <w:tc>
          <w:tcPr>
            <w:tcW w:w="1492" w:type="dxa"/>
            <w:tcBorders>
              <w:top w:val="nil"/>
              <w:left w:val="nil"/>
              <w:bottom w:val="nil"/>
              <w:right w:val="nil"/>
            </w:tcBorders>
            <w:vAlign w:val="bottom"/>
          </w:tcPr>
          <w:p w14:paraId="7663079A" w14:textId="77777777" w:rsidR="00D870FD" w:rsidRPr="00A238D9" w:rsidRDefault="00D870FD" w:rsidP="00260D7D">
            <w:pPr>
              <w:tabs>
                <w:tab w:val="left" w:pos="567"/>
              </w:tabs>
              <w:jc w:val="center"/>
              <w:rPr>
                <w:rFonts w:asciiTheme="majorBidi" w:hAnsiTheme="majorBidi" w:cstheme="majorBidi"/>
                <w:sz w:val="20"/>
                <w:szCs w:val="20"/>
              </w:rPr>
            </w:pPr>
            <w:r w:rsidRPr="00A238D9">
              <w:rPr>
                <w:rFonts w:asciiTheme="majorBidi" w:hAnsiTheme="majorBidi" w:cstheme="majorBidi"/>
                <w:sz w:val="20"/>
                <w:szCs w:val="20"/>
              </w:rPr>
              <w:t>0.</w:t>
            </w:r>
            <w:r>
              <w:rPr>
                <w:rFonts w:asciiTheme="majorBidi" w:hAnsiTheme="majorBidi" w:cstheme="majorBidi"/>
                <w:sz w:val="20"/>
                <w:szCs w:val="20"/>
              </w:rPr>
              <w:t>8</w:t>
            </w:r>
            <w:r w:rsidRPr="00A238D9">
              <w:rPr>
                <w:rFonts w:asciiTheme="majorBidi" w:hAnsiTheme="majorBidi" w:cstheme="majorBidi"/>
                <w:sz w:val="20"/>
                <w:szCs w:val="20"/>
              </w:rPr>
              <w:t>8 (0.5</w:t>
            </w:r>
            <w:r>
              <w:rPr>
                <w:rFonts w:asciiTheme="majorBidi" w:hAnsiTheme="majorBidi" w:cstheme="majorBidi"/>
                <w:sz w:val="20"/>
                <w:szCs w:val="20"/>
              </w:rPr>
              <w:t>5</w:t>
            </w:r>
            <w:r w:rsidRPr="00A238D9">
              <w:rPr>
                <w:rFonts w:asciiTheme="majorBidi" w:hAnsiTheme="majorBidi" w:cstheme="majorBidi"/>
                <w:sz w:val="20"/>
                <w:szCs w:val="20"/>
              </w:rPr>
              <w:t>)</w:t>
            </w:r>
          </w:p>
        </w:tc>
        <w:tc>
          <w:tcPr>
            <w:tcW w:w="1491" w:type="dxa"/>
            <w:tcBorders>
              <w:top w:val="nil"/>
              <w:left w:val="nil"/>
              <w:bottom w:val="nil"/>
              <w:right w:val="nil"/>
            </w:tcBorders>
            <w:shd w:val="clear" w:color="auto" w:fill="auto"/>
            <w:vAlign w:val="bottom"/>
          </w:tcPr>
          <w:p w14:paraId="50279CC0" w14:textId="77777777" w:rsidR="00D870FD" w:rsidRPr="00A3027A" w:rsidRDefault="00D870FD" w:rsidP="00260D7D">
            <w:pPr>
              <w:tabs>
                <w:tab w:val="left" w:pos="567"/>
              </w:tabs>
              <w:jc w:val="center"/>
              <w:rPr>
                <w:rFonts w:asciiTheme="majorBidi" w:hAnsiTheme="majorBidi" w:cstheme="majorBidi"/>
                <w:sz w:val="20"/>
                <w:szCs w:val="20"/>
              </w:rPr>
            </w:pPr>
            <w:r w:rsidRPr="00A3027A">
              <w:rPr>
                <w:rFonts w:asciiTheme="majorBidi" w:hAnsiTheme="majorBidi" w:cstheme="majorBidi"/>
                <w:sz w:val="20"/>
                <w:szCs w:val="20"/>
              </w:rPr>
              <w:t>0.9</w:t>
            </w:r>
            <w:r w:rsidR="003A2177">
              <w:rPr>
                <w:rFonts w:asciiTheme="majorBidi" w:hAnsiTheme="majorBidi" w:cstheme="majorBidi"/>
                <w:sz w:val="20"/>
                <w:szCs w:val="20"/>
              </w:rPr>
              <w:t>7</w:t>
            </w:r>
            <w:r w:rsidRPr="00A3027A">
              <w:rPr>
                <w:rFonts w:asciiTheme="majorBidi" w:hAnsiTheme="majorBidi" w:cstheme="majorBidi"/>
                <w:sz w:val="20"/>
                <w:szCs w:val="20"/>
              </w:rPr>
              <w:t xml:space="preserve"> (0.8</w:t>
            </w:r>
            <w:r>
              <w:rPr>
                <w:rFonts w:asciiTheme="majorBidi" w:hAnsiTheme="majorBidi" w:cstheme="majorBidi"/>
                <w:sz w:val="20"/>
                <w:szCs w:val="20"/>
              </w:rPr>
              <w:t>1</w:t>
            </w:r>
            <w:r w:rsidRPr="00A3027A">
              <w:rPr>
                <w:rFonts w:asciiTheme="majorBidi" w:hAnsiTheme="majorBidi" w:cstheme="majorBidi"/>
                <w:sz w:val="20"/>
                <w:szCs w:val="20"/>
              </w:rPr>
              <w:t>)</w:t>
            </w:r>
          </w:p>
        </w:tc>
        <w:tc>
          <w:tcPr>
            <w:tcW w:w="1492" w:type="dxa"/>
            <w:tcBorders>
              <w:top w:val="nil"/>
              <w:left w:val="nil"/>
              <w:bottom w:val="nil"/>
              <w:right w:val="nil"/>
            </w:tcBorders>
            <w:vAlign w:val="bottom"/>
          </w:tcPr>
          <w:p w14:paraId="1AB54AB1" w14:textId="77777777" w:rsidR="00D870FD" w:rsidRPr="00892687" w:rsidRDefault="00D870FD" w:rsidP="00260D7D">
            <w:pPr>
              <w:tabs>
                <w:tab w:val="left" w:pos="567"/>
              </w:tabs>
              <w:jc w:val="center"/>
              <w:rPr>
                <w:rFonts w:asciiTheme="majorBidi" w:hAnsiTheme="majorBidi" w:cstheme="majorBidi"/>
                <w:sz w:val="20"/>
                <w:szCs w:val="20"/>
              </w:rPr>
            </w:pPr>
            <w:r w:rsidRPr="00892687">
              <w:rPr>
                <w:rFonts w:asciiTheme="majorBidi" w:hAnsiTheme="majorBidi" w:cstheme="majorBidi"/>
                <w:sz w:val="20"/>
                <w:szCs w:val="20"/>
              </w:rPr>
              <w:t>0.9</w:t>
            </w:r>
            <w:r>
              <w:rPr>
                <w:rFonts w:asciiTheme="majorBidi" w:hAnsiTheme="majorBidi" w:cstheme="majorBidi"/>
                <w:sz w:val="20"/>
                <w:szCs w:val="20"/>
              </w:rPr>
              <w:t>4</w:t>
            </w:r>
            <w:r w:rsidRPr="00892687">
              <w:rPr>
                <w:rFonts w:asciiTheme="majorBidi" w:hAnsiTheme="majorBidi" w:cstheme="majorBidi"/>
                <w:sz w:val="20"/>
                <w:szCs w:val="20"/>
              </w:rPr>
              <w:t xml:space="preserve"> (0.8</w:t>
            </w:r>
            <w:r>
              <w:rPr>
                <w:rFonts w:asciiTheme="majorBidi" w:hAnsiTheme="majorBidi" w:cstheme="majorBidi"/>
                <w:sz w:val="20"/>
                <w:szCs w:val="20"/>
              </w:rPr>
              <w:t>6</w:t>
            </w:r>
            <w:r w:rsidRPr="00892687">
              <w:rPr>
                <w:rFonts w:asciiTheme="majorBidi" w:hAnsiTheme="majorBidi" w:cstheme="majorBidi"/>
                <w:sz w:val="20"/>
                <w:szCs w:val="20"/>
              </w:rPr>
              <w:t>)</w:t>
            </w:r>
          </w:p>
        </w:tc>
        <w:tc>
          <w:tcPr>
            <w:tcW w:w="1491" w:type="dxa"/>
            <w:tcBorders>
              <w:top w:val="nil"/>
              <w:left w:val="nil"/>
              <w:bottom w:val="nil"/>
              <w:right w:val="nil"/>
            </w:tcBorders>
            <w:vAlign w:val="bottom"/>
          </w:tcPr>
          <w:p w14:paraId="37FF3314" w14:textId="77777777" w:rsidR="00D870FD" w:rsidRPr="00E91099" w:rsidRDefault="00D870FD" w:rsidP="00260D7D">
            <w:pPr>
              <w:tabs>
                <w:tab w:val="left" w:pos="567"/>
              </w:tabs>
              <w:jc w:val="center"/>
              <w:rPr>
                <w:rFonts w:asciiTheme="majorBidi" w:hAnsiTheme="majorBidi" w:cstheme="majorBidi"/>
                <w:sz w:val="20"/>
                <w:szCs w:val="20"/>
              </w:rPr>
            </w:pPr>
            <w:r w:rsidRPr="00E91099">
              <w:rPr>
                <w:rFonts w:asciiTheme="majorBidi" w:hAnsiTheme="majorBidi" w:cstheme="majorBidi"/>
                <w:sz w:val="20"/>
                <w:szCs w:val="20"/>
              </w:rPr>
              <w:t>0.83 (0.82)</w:t>
            </w:r>
          </w:p>
        </w:tc>
        <w:tc>
          <w:tcPr>
            <w:tcW w:w="1492" w:type="dxa"/>
            <w:gridSpan w:val="2"/>
            <w:tcBorders>
              <w:top w:val="nil"/>
              <w:left w:val="nil"/>
              <w:bottom w:val="nil"/>
              <w:right w:val="nil"/>
            </w:tcBorders>
            <w:vAlign w:val="bottom"/>
          </w:tcPr>
          <w:p w14:paraId="54576ABE" w14:textId="77777777" w:rsidR="00D870FD" w:rsidRPr="003323BA" w:rsidRDefault="00D870FD" w:rsidP="00260D7D">
            <w:pPr>
              <w:tabs>
                <w:tab w:val="left" w:pos="567"/>
              </w:tabs>
              <w:jc w:val="center"/>
              <w:rPr>
                <w:rFonts w:asciiTheme="majorBidi" w:hAnsiTheme="majorBidi" w:cstheme="majorBidi"/>
                <w:sz w:val="20"/>
                <w:szCs w:val="20"/>
              </w:rPr>
            </w:pPr>
            <w:r w:rsidRPr="003323BA">
              <w:rPr>
                <w:rFonts w:asciiTheme="majorBidi" w:hAnsiTheme="majorBidi" w:cstheme="majorBidi"/>
                <w:sz w:val="20"/>
                <w:szCs w:val="20"/>
              </w:rPr>
              <w:t>0.</w:t>
            </w:r>
            <w:r>
              <w:rPr>
                <w:rFonts w:asciiTheme="majorBidi" w:hAnsiTheme="majorBidi" w:cstheme="majorBidi"/>
                <w:sz w:val="20"/>
                <w:szCs w:val="20"/>
              </w:rPr>
              <w:t>89</w:t>
            </w:r>
            <w:r w:rsidRPr="003323BA">
              <w:rPr>
                <w:rFonts w:asciiTheme="majorBidi" w:hAnsiTheme="majorBidi" w:cstheme="majorBidi"/>
                <w:sz w:val="20"/>
                <w:szCs w:val="20"/>
              </w:rPr>
              <w:t xml:space="preserve"> (0.5</w:t>
            </w:r>
            <w:r>
              <w:rPr>
                <w:rFonts w:asciiTheme="majorBidi" w:hAnsiTheme="majorBidi" w:cstheme="majorBidi"/>
                <w:sz w:val="20"/>
                <w:szCs w:val="20"/>
              </w:rPr>
              <w:t>3</w:t>
            </w:r>
            <w:r w:rsidRPr="003323BA">
              <w:rPr>
                <w:rFonts w:asciiTheme="majorBidi" w:hAnsiTheme="majorBidi" w:cstheme="majorBidi"/>
                <w:sz w:val="20"/>
                <w:szCs w:val="20"/>
              </w:rPr>
              <w:t>)</w:t>
            </w:r>
          </w:p>
        </w:tc>
      </w:tr>
      <w:tr w:rsidR="00D870FD" w14:paraId="67F2F02F" w14:textId="77777777" w:rsidTr="0048653A">
        <w:trPr>
          <w:trHeight w:val="360"/>
          <w:jc w:val="center"/>
        </w:trPr>
        <w:tc>
          <w:tcPr>
            <w:tcW w:w="3600" w:type="dxa"/>
            <w:tcBorders>
              <w:top w:val="nil"/>
              <w:left w:val="nil"/>
              <w:bottom w:val="nil"/>
              <w:right w:val="nil"/>
            </w:tcBorders>
            <w:vAlign w:val="center"/>
          </w:tcPr>
          <w:p w14:paraId="7696AD8B" w14:textId="77777777" w:rsidR="00D870FD" w:rsidRPr="00971EAB" w:rsidRDefault="00D870FD"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Type I</w:t>
            </w:r>
            <w:r>
              <w:rPr>
                <w:rFonts w:asciiTheme="majorBidi" w:hAnsiTheme="majorBidi" w:cstheme="majorBidi"/>
                <w:sz w:val="20"/>
                <w:szCs w:val="20"/>
              </w:rPr>
              <w:t>I</w:t>
            </w:r>
            <w:r w:rsidRPr="00971EAB">
              <w:rPr>
                <w:rFonts w:asciiTheme="majorBidi" w:hAnsiTheme="majorBidi" w:cstheme="majorBidi"/>
                <w:sz w:val="20"/>
                <w:szCs w:val="20"/>
              </w:rPr>
              <w:t xml:space="preserve"> Error (Type I Error)</w:t>
            </w:r>
          </w:p>
        </w:tc>
        <w:tc>
          <w:tcPr>
            <w:tcW w:w="1491" w:type="dxa"/>
            <w:tcBorders>
              <w:top w:val="nil"/>
              <w:left w:val="nil"/>
              <w:bottom w:val="nil"/>
              <w:right w:val="nil"/>
            </w:tcBorders>
            <w:vAlign w:val="bottom"/>
          </w:tcPr>
          <w:p w14:paraId="0D8CB0EC" w14:textId="77777777" w:rsidR="00D870FD" w:rsidRPr="003323BA" w:rsidRDefault="00D870FD" w:rsidP="00260D7D">
            <w:pPr>
              <w:tabs>
                <w:tab w:val="left" w:pos="567"/>
              </w:tabs>
              <w:jc w:val="center"/>
              <w:rPr>
                <w:rFonts w:asciiTheme="majorBidi" w:hAnsiTheme="majorBidi" w:cstheme="majorBidi"/>
                <w:sz w:val="20"/>
                <w:szCs w:val="20"/>
              </w:rPr>
            </w:pPr>
            <w:r w:rsidRPr="003323BA">
              <w:rPr>
                <w:rFonts w:asciiTheme="majorBidi" w:hAnsiTheme="majorBidi" w:cstheme="majorBidi"/>
                <w:sz w:val="20"/>
                <w:szCs w:val="20"/>
              </w:rPr>
              <w:t>0.</w:t>
            </w:r>
            <w:r>
              <w:rPr>
                <w:rFonts w:asciiTheme="majorBidi" w:hAnsiTheme="majorBidi" w:cstheme="majorBidi"/>
                <w:sz w:val="20"/>
                <w:szCs w:val="20"/>
              </w:rPr>
              <w:t>11</w:t>
            </w:r>
            <w:r w:rsidRPr="003323BA">
              <w:rPr>
                <w:rFonts w:asciiTheme="majorBidi" w:hAnsiTheme="majorBidi" w:cstheme="majorBidi"/>
                <w:sz w:val="20"/>
                <w:szCs w:val="20"/>
              </w:rPr>
              <w:t xml:space="preserve"> (0.4</w:t>
            </w:r>
            <w:r>
              <w:rPr>
                <w:rFonts w:asciiTheme="majorBidi" w:hAnsiTheme="majorBidi" w:cstheme="majorBidi"/>
                <w:sz w:val="20"/>
                <w:szCs w:val="20"/>
              </w:rPr>
              <w:t>7</w:t>
            </w:r>
            <w:r w:rsidRPr="003323BA">
              <w:rPr>
                <w:rFonts w:asciiTheme="majorBidi" w:hAnsiTheme="majorBidi" w:cstheme="majorBidi"/>
                <w:sz w:val="20"/>
                <w:szCs w:val="20"/>
              </w:rPr>
              <w:t>)</w:t>
            </w:r>
          </w:p>
        </w:tc>
        <w:tc>
          <w:tcPr>
            <w:tcW w:w="1491" w:type="dxa"/>
            <w:tcBorders>
              <w:top w:val="nil"/>
              <w:left w:val="nil"/>
              <w:bottom w:val="nil"/>
              <w:right w:val="nil"/>
            </w:tcBorders>
            <w:vAlign w:val="bottom"/>
          </w:tcPr>
          <w:p w14:paraId="696C1849" w14:textId="77777777" w:rsidR="00D870FD" w:rsidRPr="003323BA" w:rsidRDefault="00D870FD" w:rsidP="00260D7D">
            <w:pPr>
              <w:tabs>
                <w:tab w:val="left" w:pos="567"/>
              </w:tabs>
              <w:jc w:val="center"/>
              <w:rPr>
                <w:rFonts w:asciiTheme="majorBidi" w:hAnsiTheme="majorBidi" w:cstheme="majorBidi"/>
                <w:sz w:val="20"/>
                <w:szCs w:val="20"/>
              </w:rPr>
            </w:pPr>
            <w:r w:rsidRPr="003323BA">
              <w:rPr>
                <w:rFonts w:asciiTheme="majorBidi" w:hAnsiTheme="majorBidi" w:cstheme="majorBidi"/>
                <w:sz w:val="20"/>
                <w:szCs w:val="20"/>
              </w:rPr>
              <w:t>0.22 (0.48)</w:t>
            </w:r>
          </w:p>
        </w:tc>
        <w:tc>
          <w:tcPr>
            <w:tcW w:w="1492" w:type="dxa"/>
            <w:tcBorders>
              <w:top w:val="nil"/>
              <w:left w:val="nil"/>
              <w:bottom w:val="nil"/>
              <w:right w:val="nil"/>
            </w:tcBorders>
            <w:vAlign w:val="bottom"/>
          </w:tcPr>
          <w:p w14:paraId="72EC9E74" w14:textId="77777777" w:rsidR="00D870FD" w:rsidRPr="00A238D9" w:rsidRDefault="00D870FD" w:rsidP="00260D7D">
            <w:pPr>
              <w:tabs>
                <w:tab w:val="left" w:pos="567"/>
              </w:tabs>
              <w:jc w:val="center"/>
              <w:rPr>
                <w:rFonts w:asciiTheme="majorBidi" w:hAnsiTheme="majorBidi" w:cstheme="majorBidi"/>
                <w:sz w:val="20"/>
                <w:szCs w:val="20"/>
              </w:rPr>
            </w:pPr>
            <w:r w:rsidRPr="00A238D9">
              <w:rPr>
                <w:rFonts w:asciiTheme="majorBidi" w:hAnsiTheme="majorBidi" w:cstheme="majorBidi"/>
                <w:sz w:val="20"/>
                <w:szCs w:val="20"/>
              </w:rPr>
              <w:t>0.</w:t>
            </w:r>
            <w:r>
              <w:rPr>
                <w:rFonts w:asciiTheme="majorBidi" w:hAnsiTheme="majorBidi" w:cstheme="majorBidi"/>
                <w:sz w:val="20"/>
                <w:szCs w:val="20"/>
              </w:rPr>
              <w:t>12</w:t>
            </w:r>
            <w:r w:rsidRPr="00A238D9">
              <w:rPr>
                <w:rFonts w:asciiTheme="majorBidi" w:hAnsiTheme="majorBidi" w:cstheme="majorBidi"/>
                <w:sz w:val="20"/>
                <w:szCs w:val="20"/>
              </w:rPr>
              <w:t xml:space="preserve"> (0.45)</w:t>
            </w:r>
          </w:p>
        </w:tc>
        <w:tc>
          <w:tcPr>
            <w:tcW w:w="1491" w:type="dxa"/>
            <w:tcBorders>
              <w:top w:val="nil"/>
              <w:left w:val="nil"/>
              <w:bottom w:val="nil"/>
              <w:right w:val="nil"/>
            </w:tcBorders>
            <w:vAlign w:val="bottom"/>
          </w:tcPr>
          <w:p w14:paraId="7A87C498" w14:textId="77777777" w:rsidR="00D870FD" w:rsidRPr="00A3027A" w:rsidRDefault="00D870FD" w:rsidP="00260D7D">
            <w:pPr>
              <w:tabs>
                <w:tab w:val="left" w:pos="567"/>
              </w:tabs>
              <w:jc w:val="center"/>
              <w:rPr>
                <w:rFonts w:asciiTheme="majorBidi" w:hAnsiTheme="majorBidi" w:cstheme="majorBidi"/>
                <w:sz w:val="20"/>
                <w:szCs w:val="20"/>
              </w:rPr>
            </w:pPr>
            <w:r w:rsidRPr="00A3027A">
              <w:rPr>
                <w:rFonts w:asciiTheme="majorBidi" w:hAnsiTheme="majorBidi" w:cstheme="majorBidi"/>
                <w:sz w:val="20"/>
                <w:szCs w:val="20"/>
              </w:rPr>
              <w:t>0.0</w:t>
            </w:r>
            <w:r w:rsidR="003A2177">
              <w:rPr>
                <w:rFonts w:asciiTheme="majorBidi" w:hAnsiTheme="majorBidi" w:cstheme="majorBidi"/>
                <w:sz w:val="20"/>
                <w:szCs w:val="20"/>
              </w:rPr>
              <w:t>3</w:t>
            </w:r>
            <w:r w:rsidRPr="00A3027A">
              <w:rPr>
                <w:rFonts w:asciiTheme="majorBidi" w:hAnsiTheme="majorBidi" w:cstheme="majorBidi"/>
                <w:sz w:val="20"/>
                <w:szCs w:val="20"/>
              </w:rPr>
              <w:t xml:space="preserve"> (0.19)</w:t>
            </w:r>
          </w:p>
        </w:tc>
        <w:tc>
          <w:tcPr>
            <w:tcW w:w="1492" w:type="dxa"/>
            <w:tcBorders>
              <w:top w:val="nil"/>
              <w:left w:val="nil"/>
              <w:bottom w:val="nil"/>
              <w:right w:val="nil"/>
            </w:tcBorders>
            <w:vAlign w:val="bottom"/>
          </w:tcPr>
          <w:p w14:paraId="458DF02F" w14:textId="77777777" w:rsidR="00D870FD" w:rsidRPr="00892687" w:rsidRDefault="00D870FD" w:rsidP="00260D7D">
            <w:pPr>
              <w:tabs>
                <w:tab w:val="left" w:pos="567"/>
              </w:tabs>
              <w:jc w:val="center"/>
              <w:rPr>
                <w:rFonts w:asciiTheme="majorBidi" w:hAnsiTheme="majorBidi" w:cstheme="majorBidi"/>
                <w:sz w:val="20"/>
                <w:szCs w:val="20"/>
              </w:rPr>
            </w:pPr>
            <w:r w:rsidRPr="00892687">
              <w:rPr>
                <w:rFonts w:asciiTheme="majorBidi" w:hAnsiTheme="majorBidi" w:cstheme="majorBidi"/>
                <w:sz w:val="20"/>
                <w:szCs w:val="20"/>
              </w:rPr>
              <w:t>0.06 (0.14)</w:t>
            </w:r>
          </w:p>
        </w:tc>
        <w:tc>
          <w:tcPr>
            <w:tcW w:w="1491" w:type="dxa"/>
            <w:tcBorders>
              <w:top w:val="nil"/>
              <w:left w:val="nil"/>
              <w:bottom w:val="nil"/>
              <w:right w:val="nil"/>
            </w:tcBorders>
            <w:vAlign w:val="bottom"/>
          </w:tcPr>
          <w:p w14:paraId="71440361" w14:textId="77777777" w:rsidR="00D870FD" w:rsidRPr="00E91099" w:rsidRDefault="00D870FD" w:rsidP="00260D7D">
            <w:pPr>
              <w:tabs>
                <w:tab w:val="left" w:pos="567"/>
              </w:tabs>
              <w:jc w:val="center"/>
              <w:rPr>
                <w:rFonts w:asciiTheme="majorBidi" w:hAnsiTheme="majorBidi" w:cstheme="majorBidi"/>
                <w:sz w:val="20"/>
                <w:szCs w:val="20"/>
              </w:rPr>
            </w:pPr>
            <w:r w:rsidRPr="00E91099">
              <w:rPr>
                <w:rFonts w:asciiTheme="majorBidi" w:hAnsiTheme="majorBidi" w:cstheme="majorBidi"/>
                <w:sz w:val="20"/>
                <w:szCs w:val="20"/>
              </w:rPr>
              <w:t>0.1</w:t>
            </w:r>
            <w:r w:rsidR="00B815F1">
              <w:rPr>
                <w:rFonts w:asciiTheme="majorBidi" w:hAnsiTheme="majorBidi" w:cstheme="majorBidi"/>
                <w:sz w:val="20"/>
                <w:szCs w:val="20"/>
              </w:rPr>
              <w:t>9</w:t>
            </w:r>
            <w:r w:rsidRPr="00E91099">
              <w:rPr>
                <w:rFonts w:asciiTheme="majorBidi" w:hAnsiTheme="majorBidi" w:cstheme="majorBidi"/>
                <w:sz w:val="20"/>
                <w:szCs w:val="20"/>
              </w:rPr>
              <w:t xml:space="preserve"> (0.</w:t>
            </w:r>
            <w:r w:rsidR="00B815F1">
              <w:rPr>
                <w:rFonts w:asciiTheme="majorBidi" w:hAnsiTheme="majorBidi" w:cstheme="majorBidi"/>
                <w:sz w:val="20"/>
                <w:szCs w:val="20"/>
              </w:rPr>
              <w:t>35</w:t>
            </w:r>
            <w:r w:rsidRPr="00E91099">
              <w:rPr>
                <w:rFonts w:asciiTheme="majorBidi" w:hAnsiTheme="majorBidi" w:cstheme="majorBidi"/>
                <w:sz w:val="20"/>
                <w:szCs w:val="20"/>
              </w:rPr>
              <w:t>)</w:t>
            </w:r>
          </w:p>
        </w:tc>
        <w:tc>
          <w:tcPr>
            <w:tcW w:w="1492" w:type="dxa"/>
            <w:gridSpan w:val="2"/>
            <w:tcBorders>
              <w:top w:val="nil"/>
              <w:left w:val="nil"/>
              <w:bottom w:val="nil"/>
              <w:right w:val="nil"/>
            </w:tcBorders>
            <w:vAlign w:val="bottom"/>
          </w:tcPr>
          <w:p w14:paraId="594284F1" w14:textId="77777777" w:rsidR="00D870FD" w:rsidRPr="003323BA" w:rsidRDefault="00D870FD" w:rsidP="00260D7D">
            <w:pPr>
              <w:tabs>
                <w:tab w:val="left" w:pos="567"/>
              </w:tabs>
              <w:jc w:val="center"/>
              <w:rPr>
                <w:rFonts w:asciiTheme="majorBidi" w:hAnsiTheme="majorBidi" w:cstheme="majorBidi"/>
                <w:sz w:val="20"/>
                <w:szCs w:val="20"/>
              </w:rPr>
            </w:pPr>
            <w:r w:rsidRPr="003323BA">
              <w:rPr>
                <w:rFonts w:asciiTheme="majorBidi" w:hAnsiTheme="majorBidi" w:cstheme="majorBidi"/>
                <w:sz w:val="20"/>
                <w:szCs w:val="20"/>
              </w:rPr>
              <w:t>0.</w:t>
            </w:r>
            <w:r>
              <w:rPr>
                <w:rFonts w:asciiTheme="majorBidi" w:hAnsiTheme="majorBidi" w:cstheme="majorBidi"/>
                <w:sz w:val="20"/>
                <w:szCs w:val="20"/>
              </w:rPr>
              <w:t>11</w:t>
            </w:r>
            <w:r w:rsidRPr="003323BA">
              <w:rPr>
                <w:rFonts w:asciiTheme="majorBidi" w:hAnsiTheme="majorBidi" w:cstheme="majorBidi"/>
                <w:sz w:val="20"/>
                <w:szCs w:val="20"/>
              </w:rPr>
              <w:t xml:space="preserve"> (0.4</w:t>
            </w:r>
            <w:r>
              <w:rPr>
                <w:rFonts w:asciiTheme="majorBidi" w:hAnsiTheme="majorBidi" w:cstheme="majorBidi"/>
                <w:sz w:val="20"/>
                <w:szCs w:val="20"/>
              </w:rPr>
              <w:t>7</w:t>
            </w:r>
            <w:r w:rsidRPr="003323BA">
              <w:rPr>
                <w:rFonts w:asciiTheme="majorBidi" w:hAnsiTheme="majorBidi" w:cstheme="majorBidi"/>
                <w:sz w:val="20"/>
                <w:szCs w:val="20"/>
              </w:rPr>
              <w:t>)</w:t>
            </w:r>
          </w:p>
        </w:tc>
      </w:tr>
      <w:tr w:rsidR="00D870FD" w14:paraId="5238C5FE" w14:textId="77777777" w:rsidTr="001E51FF">
        <w:trPr>
          <w:trHeight w:val="60"/>
          <w:jc w:val="center"/>
        </w:trPr>
        <w:tc>
          <w:tcPr>
            <w:tcW w:w="3600" w:type="dxa"/>
            <w:tcBorders>
              <w:top w:val="nil"/>
              <w:left w:val="nil"/>
              <w:bottom w:val="nil"/>
              <w:right w:val="nil"/>
            </w:tcBorders>
            <w:vAlign w:val="center"/>
          </w:tcPr>
          <w:p w14:paraId="6DF524B8" w14:textId="77777777" w:rsidR="00D870FD" w:rsidRPr="00971EAB" w:rsidRDefault="00D870FD"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Misclassification Cost</w:t>
            </w:r>
          </w:p>
        </w:tc>
        <w:tc>
          <w:tcPr>
            <w:tcW w:w="1491" w:type="dxa"/>
            <w:tcBorders>
              <w:top w:val="nil"/>
              <w:left w:val="nil"/>
              <w:bottom w:val="nil"/>
              <w:right w:val="nil"/>
            </w:tcBorders>
            <w:vAlign w:val="bottom"/>
          </w:tcPr>
          <w:p w14:paraId="708EAB64" w14:textId="77777777" w:rsidR="00D870FD" w:rsidRPr="003323BA" w:rsidRDefault="00D870FD" w:rsidP="00260D7D">
            <w:pPr>
              <w:tabs>
                <w:tab w:val="left" w:pos="567"/>
              </w:tabs>
              <w:jc w:val="center"/>
              <w:rPr>
                <w:rFonts w:asciiTheme="majorBidi" w:hAnsiTheme="majorBidi" w:cstheme="majorBidi"/>
                <w:sz w:val="20"/>
                <w:szCs w:val="20"/>
              </w:rPr>
            </w:pPr>
            <w:r w:rsidRPr="003323BA">
              <w:rPr>
                <w:rFonts w:asciiTheme="majorBidi" w:hAnsiTheme="majorBidi" w:cstheme="majorBidi"/>
                <w:sz w:val="20"/>
                <w:szCs w:val="20"/>
              </w:rPr>
              <w:t>0.</w:t>
            </w:r>
            <w:r>
              <w:rPr>
                <w:rFonts w:asciiTheme="majorBidi" w:hAnsiTheme="majorBidi" w:cstheme="majorBidi"/>
                <w:sz w:val="20"/>
                <w:szCs w:val="20"/>
              </w:rPr>
              <w:t>11</w:t>
            </w:r>
          </w:p>
        </w:tc>
        <w:tc>
          <w:tcPr>
            <w:tcW w:w="1491" w:type="dxa"/>
            <w:tcBorders>
              <w:top w:val="nil"/>
              <w:left w:val="nil"/>
              <w:bottom w:val="nil"/>
              <w:right w:val="nil"/>
            </w:tcBorders>
            <w:vAlign w:val="bottom"/>
          </w:tcPr>
          <w:p w14:paraId="2C52019B" w14:textId="77777777" w:rsidR="00D870FD" w:rsidRPr="003323BA" w:rsidRDefault="00D870FD" w:rsidP="00260D7D">
            <w:pPr>
              <w:tabs>
                <w:tab w:val="left" w:pos="567"/>
              </w:tabs>
              <w:jc w:val="center"/>
              <w:rPr>
                <w:rFonts w:asciiTheme="majorBidi" w:hAnsiTheme="majorBidi" w:cstheme="majorBidi"/>
                <w:sz w:val="20"/>
                <w:szCs w:val="20"/>
              </w:rPr>
            </w:pPr>
            <w:r w:rsidRPr="003323BA">
              <w:rPr>
                <w:rFonts w:asciiTheme="majorBidi" w:hAnsiTheme="majorBidi" w:cstheme="majorBidi"/>
                <w:sz w:val="20"/>
                <w:szCs w:val="20"/>
              </w:rPr>
              <w:t>0.22</w:t>
            </w:r>
          </w:p>
        </w:tc>
        <w:tc>
          <w:tcPr>
            <w:tcW w:w="1492" w:type="dxa"/>
            <w:tcBorders>
              <w:top w:val="nil"/>
              <w:left w:val="nil"/>
              <w:bottom w:val="nil"/>
              <w:right w:val="nil"/>
            </w:tcBorders>
            <w:vAlign w:val="bottom"/>
          </w:tcPr>
          <w:p w14:paraId="61146EE6" w14:textId="77777777" w:rsidR="00D870FD" w:rsidRPr="00A238D9" w:rsidRDefault="00D870FD" w:rsidP="00260D7D">
            <w:pPr>
              <w:tabs>
                <w:tab w:val="left" w:pos="567"/>
              </w:tabs>
              <w:jc w:val="center"/>
              <w:rPr>
                <w:rFonts w:asciiTheme="majorBidi" w:hAnsiTheme="majorBidi" w:cstheme="majorBidi"/>
                <w:sz w:val="20"/>
                <w:szCs w:val="20"/>
              </w:rPr>
            </w:pPr>
            <w:r w:rsidRPr="00A238D9">
              <w:rPr>
                <w:rFonts w:asciiTheme="majorBidi" w:hAnsiTheme="majorBidi" w:cstheme="majorBidi"/>
                <w:sz w:val="20"/>
                <w:szCs w:val="20"/>
              </w:rPr>
              <w:t>0.</w:t>
            </w:r>
            <w:r>
              <w:rPr>
                <w:rFonts w:asciiTheme="majorBidi" w:hAnsiTheme="majorBidi" w:cstheme="majorBidi"/>
                <w:sz w:val="20"/>
                <w:szCs w:val="20"/>
              </w:rPr>
              <w:t>1</w:t>
            </w:r>
            <w:r w:rsidRPr="00A238D9">
              <w:rPr>
                <w:rFonts w:asciiTheme="majorBidi" w:hAnsiTheme="majorBidi" w:cstheme="majorBidi"/>
                <w:sz w:val="20"/>
                <w:szCs w:val="20"/>
              </w:rPr>
              <w:t>2</w:t>
            </w:r>
          </w:p>
        </w:tc>
        <w:tc>
          <w:tcPr>
            <w:tcW w:w="1491" w:type="dxa"/>
            <w:tcBorders>
              <w:top w:val="nil"/>
              <w:left w:val="nil"/>
              <w:bottom w:val="nil"/>
              <w:right w:val="nil"/>
            </w:tcBorders>
            <w:vAlign w:val="bottom"/>
          </w:tcPr>
          <w:p w14:paraId="67EF545B" w14:textId="77777777" w:rsidR="00D870FD" w:rsidRPr="00A3027A" w:rsidRDefault="00D870FD" w:rsidP="00260D7D">
            <w:pPr>
              <w:tabs>
                <w:tab w:val="left" w:pos="567"/>
              </w:tabs>
              <w:jc w:val="center"/>
              <w:rPr>
                <w:rFonts w:asciiTheme="majorBidi" w:hAnsiTheme="majorBidi" w:cstheme="majorBidi"/>
                <w:sz w:val="20"/>
                <w:szCs w:val="20"/>
              </w:rPr>
            </w:pPr>
            <w:r w:rsidRPr="00A3027A">
              <w:rPr>
                <w:rFonts w:asciiTheme="majorBidi" w:hAnsiTheme="majorBidi" w:cstheme="majorBidi"/>
                <w:sz w:val="20"/>
                <w:szCs w:val="20"/>
              </w:rPr>
              <w:t>0.03</w:t>
            </w:r>
          </w:p>
        </w:tc>
        <w:tc>
          <w:tcPr>
            <w:tcW w:w="1492" w:type="dxa"/>
            <w:tcBorders>
              <w:top w:val="nil"/>
              <w:left w:val="nil"/>
              <w:bottom w:val="nil"/>
              <w:right w:val="nil"/>
            </w:tcBorders>
            <w:vAlign w:val="bottom"/>
          </w:tcPr>
          <w:p w14:paraId="638408FD" w14:textId="77777777" w:rsidR="00D870FD" w:rsidRPr="00892687" w:rsidRDefault="00D870FD" w:rsidP="00260D7D">
            <w:pPr>
              <w:tabs>
                <w:tab w:val="left" w:pos="567"/>
              </w:tabs>
              <w:jc w:val="center"/>
              <w:rPr>
                <w:rFonts w:asciiTheme="majorBidi" w:hAnsiTheme="majorBidi" w:cstheme="majorBidi"/>
                <w:sz w:val="20"/>
                <w:szCs w:val="20"/>
              </w:rPr>
            </w:pPr>
            <w:r w:rsidRPr="00892687">
              <w:rPr>
                <w:rFonts w:asciiTheme="majorBidi" w:hAnsiTheme="majorBidi" w:cstheme="majorBidi"/>
                <w:sz w:val="20"/>
                <w:szCs w:val="20"/>
              </w:rPr>
              <w:t>0.06</w:t>
            </w:r>
          </w:p>
        </w:tc>
        <w:tc>
          <w:tcPr>
            <w:tcW w:w="1491" w:type="dxa"/>
            <w:tcBorders>
              <w:top w:val="nil"/>
              <w:left w:val="nil"/>
              <w:bottom w:val="nil"/>
              <w:right w:val="nil"/>
            </w:tcBorders>
            <w:shd w:val="clear" w:color="auto" w:fill="auto"/>
            <w:vAlign w:val="bottom"/>
          </w:tcPr>
          <w:p w14:paraId="5B59BB42" w14:textId="77777777" w:rsidR="00D870FD" w:rsidRPr="00E91099" w:rsidRDefault="00D870FD" w:rsidP="00260D7D">
            <w:pPr>
              <w:tabs>
                <w:tab w:val="left" w:pos="567"/>
              </w:tabs>
              <w:jc w:val="center"/>
              <w:rPr>
                <w:rFonts w:asciiTheme="majorBidi" w:hAnsiTheme="majorBidi" w:cstheme="majorBidi"/>
                <w:sz w:val="20"/>
                <w:szCs w:val="20"/>
              </w:rPr>
            </w:pPr>
            <w:r w:rsidRPr="00E91099">
              <w:rPr>
                <w:rFonts w:asciiTheme="majorBidi" w:hAnsiTheme="majorBidi" w:cstheme="majorBidi"/>
                <w:sz w:val="20"/>
                <w:szCs w:val="20"/>
              </w:rPr>
              <w:t>0.17</w:t>
            </w:r>
          </w:p>
        </w:tc>
        <w:tc>
          <w:tcPr>
            <w:tcW w:w="1492" w:type="dxa"/>
            <w:gridSpan w:val="2"/>
            <w:tcBorders>
              <w:top w:val="nil"/>
              <w:left w:val="nil"/>
              <w:bottom w:val="nil"/>
              <w:right w:val="nil"/>
            </w:tcBorders>
            <w:vAlign w:val="bottom"/>
          </w:tcPr>
          <w:p w14:paraId="1C71BBA7" w14:textId="77777777" w:rsidR="00D870FD" w:rsidRPr="003323BA" w:rsidRDefault="00D870FD" w:rsidP="00260D7D">
            <w:pPr>
              <w:tabs>
                <w:tab w:val="left" w:pos="567"/>
              </w:tabs>
              <w:jc w:val="center"/>
              <w:rPr>
                <w:rFonts w:asciiTheme="majorBidi" w:hAnsiTheme="majorBidi" w:cstheme="majorBidi"/>
                <w:sz w:val="20"/>
                <w:szCs w:val="20"/>
              </w:rPr>
            </w:pPr>
            <w:r w:rsidRPr="003323BA">
              <w:rPr>
                <w:rFonts w:asciiTheme="majorBidi" w:hAnsiTheme="majorBidi" w:cstheme="majorBidi"/>
                <w:sz w:val="20"/>
                <w:szCs w:val="20"/>
              </w:rPr>
              <w:t>0.</w:t>
            </w:r>
            <w:r>
              <w:rPr>
                <w:rFonts w:asciiTheme="majorBidi" w:hAnsiTheme="majorBidi" w:cstheme="majorBidi"/>
                <w:sz w:val="20"/>
                <w:szCs w:val="20"/>
              </w:rPr>
              <w:t>11</w:t>
            </w:r>
          </w:p>
        </w:tc>
      </w:tr>
      <w:tr w:rsidR="00D870FD" w14:paraId="0B82A9C3" w14:textId="77777777" w:rsidTr="00F30C48">
        <w:trPr>
          <w:trHeight w:val="360"/>
          <w:jc w:val="center"/>
        </w:trPr>
        <w:tc>
          <w:tcPr>
            <w:tcW w:w="3600" w:type="dxa"/>
            <w:tcBorders>
              <w:top w:val="nil"/>
              <w:left w:val="nil"/>
              <w:bottom w:val="nil"/>
              <w:right w:val="nil"/>
            </w:tcBorders>
            <w:vAlign w:val="center"/>
          </w:tcPr>
          <w:p w14:paraId="67107052" w14:textId="77777777" w:rsidR="00D870FD" w:rsidRPr="00971EAB" w:rsidRDefault="00D870FD"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Area Under the Curve - AUC</w:t>
            </w:r>
          </w:p>
        </w:tc>
        <w:tc>
          <w:tcPr>
            <w:tcW w:w="1491" w:type="dxa"/>
            <w:tcBorders>
              <w:top w:val="nil"/>
              <w:left w:val="nil"/>
              <w:bottom w:val="nil"/>
              <w:right w:val="nil"/>
            </w:tcBorders>
            <w:vAlign w:val="center"/>
          </w:tcPr>
          <w:p w14:paraId="7CB1EBD4"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0.75</w:t>
            </w:r>
          </w:p>
        </w:tc>
        <w:tc>
          <w:tcPr>
            <w:tcW w:w="1491" w:type="dxa"/>
            <w:tcBorders>
              <w:top w:val="nil"/>
              <w:left w:val="nil"/>
              <w:bottom w:val="nil"/>
              <w:right w:val="nil"/>
            </w:tcBorders>
            <w:vAlign w:val="center"/>
          </w:tcPr>
          <w:p w14:paraId="50B10F63"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0.9</w:t>
            </w:r>
            <w:r w:rsidR="00CE7A4C">
              <w:rPr>
                <w:rFonts w:asciiTheme="majorBidi" w:hAnsiTheme="majorBidi" w:cstheme="majorBidi"/>
                <w:sz w:val="20"/>
                <w:szCs w:val="20"/>
              </w:rPr>
              <w:t>3</w:t>
            </w:r>
          </w:p>
        </w:tc>
        <w:tc>
          <w:tcPr>
            <w:tcW w:w="1492" w:type="dxa"/>
            <w:tcBorders>
              <w:top w:val="nil"/>
              <w:left w:val="nil"/>
              <w:bottom w:val="nil"/>
              <w:right w:val="nil"/>
            </w:tcBorders>
            <w:vAlign w:val="center"/>
          </w:tcPr>
          <w:p w14:paraId="33A82E0B"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0.92</w:t>
            </w:r>
          </w:p>
        </w:tc>
        <w:tc>
          <w:tcPr>
            <w:tcW w:w="1491" w:type="dxa"/>
            <w:tcBorders>
              <w:top w:val="nil"/>
              <w:left w:val="nil"/>
              <w:bottom w:val="nil"/>
              <w:right w:val="nil"/>
            </w:tcBorders>
            <w:vAlign w:val="center"/>
          </w:tcPr>
          <w:p w14:paraId="55FB371C"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0.9</w:t>
            </w:r>
            <w:r w:rsidR="00CE7A4C">
              <w:rPr>
                <w:rFonts w:asciiTheme="majorBidi" w:hAnsiTheme="majorBidi" w:cstheme="majorBidi"/>
                <w:sz w:val="20"/>
                <w:szCs w:val="20"/>
              </w:rPr>
              <w:t>4</w:t>
            </w:r>
          </w:p>
        </w:tc>
        <w:tc>
          <w:tcPr>
            <w:tcW w:w="1492" w:type="dxa"/>
            <w:tcBorders>
              <w:top w:val="nil"/>
              <w:left w:val="nil"/>
              <w:bottom w:val="nil"/>
              <w:right w:val="nil"/>
            </w:tcBorders>
            <w:vAlign w:val="center"/>
          </w:tcPr>
          <w:p w14:paraId="217E0238"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0.92</w:t>
            </w:r>
          </w:p>
        </w:tc>
        <w:tc>
          <w:tcPr>
            <w:tcW w:w="1491" w:type="dxa"/>
            <w:tcBorders>
              <w:top w:val="nil"/>
              <w:left w:val="nil"/>
              <w:bottom w:val="nil"/>
              <w:right w:val="nil"/>
            </w:tcBorders>
            <w:shd w:val="clear" w:color="auto" w:fill="auto"/>
            <w:vAlign w:val="center"/>
          </w:tcPr>
          <w:p w14:paraId="7A27D809" w14:textId="77777777" w:rsidR="00D870FD" w:rsidRPr="00971EAB" w:rsidRDefault="009C4DCB"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0.90</w:t>
            </w:r>
          </w:p>
        </w:tc>
        <w:tc>
          <w:tcPr>
            <w:tcW w:w="1492" w:type="dxa"/>
            <w:gridSpan w:val="2"/>
            <w:tcBorders>
              <w:top w:val="nil"/>
              <w:left w:val="nil"/>
              <w:bottom w:val="nil"/>
              <w:right w:val="nil"/>
            </w:tcBorders>
            <w:vAlign w:val="center"/>
          </w:tcPr>
          <w:p w14:paraId="6597CC3A"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0.75</w:t>
            </w:r>
          </w:p>
        </w:tc>
      </w:tr>
      <w:tr w:rsidR="00D870FD" w14:paraId="6E678682" w14:textId="77777777" w:rsidTr="001E51FF">
        <w:trPr>
          <w:trHeight w:val="193"/>
          <w:jc w:val="center"/>
        </w:trPr>
        <w:tc>
          <w:tcPr>
            <w:tcW w:w="3600" w:type="dxa"/>
            <w:tcBorders>
              <w:top w:val="nil"/>
              <w:left w:val="nil"/>
              <w:bottom w:val="nil"/>
              <w:right w:val="nil"/>
            </w:tcBorders>
            <w:vAlign w:val="center"/>
          </w:tcPr>
          <w:p w14:paraId="2EB74567" w14:textId="77777777" w:rsidR="00D870FD" w:rsidRPr="00971EAB" w:rsidRDefault="00D870FD" w:rsidP="00260D7D">
            <w:pPr>
              <w:tabs>
                <w:tab w:val="left" w:pos="567"/>
              </w:tabs>
              <w:rPr>
                <w:rFonts w:asciiTheme="majorBidi" w:hAnsiTheme="majorBidi" w:cstheme="majorBidi"/>
                <w:sz w:val="20"/>
                <w:szCs w:val="20"/>
              </w:rPr>
            </w:pPr>
            <w:r>
              <w:rPr>
                <w:rFonts w:asciiTheme="majorBidi" w:hAnsiTheme="majorBidi" w:cstheme="majorBidi"/>
                <w:sz w:val="20"/>
                <w:szCs w:val="20"/>
              </w:rPr>
              <w:t>Out-of-sample Forecast Accuracy</w:t>
            </w:r>
          </w:p>
        </w:tc>
        <w:tc>
          <w:tcPr>
            <w:tcW w:w="1491" w:type="dxa"/>
            <w:tcBorders>
              <w:top w:val="nil"/>
              <w:left w:val="nil"/>
              <w:bottom w:val="nil"/>
              <w:right w:val="nil"/>
            </w:tcBorders>
            <w:vAlign w:val="center"/>
          </w:tcPr>
          <w:p w14:paraId="47EE56A9"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0.79</w:t>
            </w:r>
          </w:p>
        </w:tc>
        <w:tc>
          <w:tcPr>
            <w:tcW w:w="1491" w:type="dxa"/>
            <w:tcBorders>
              <w:top w:val="nil"/>
              <w:left w:val="nil"/>
              <w:bottom w:val="nil"/>
              <w:right w:val="nil"/>
            </w:tcBorders>
            <w:vAlign w:val="center"/>
          </w:tcPr>
          <w:p w14:paraId="1D7F6DDC"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0.69</w:t>
            </w:r>
          </w:p>
        </w:tc>
        <w:tc>
          <w:tcPr>
            <w:tcW w:w="1492" w:type="dxa"/>
            <w:tcBorders>
              <w:top w:val="nil"/>
              <w:left w:val="nil"/>
              <w:bottom w:val="nil"/>
              <w:right w:val="nil"/>
            </w:tcBorders>
            <w:vAlign w:val="center"/>
          </w:tcPr>
          <w:p w14:paraId="3CA649F1"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0.82</w:t>
            </w:r>
          </w:p>
        </w:tc>
        <w:tc>
          <w:tcPr>
            <w:tcW w:w="1491" w:type="dxa"/>
            <w:tcBorders>
              <w:top w:val="nil"/>
              <w:left w:val="nil"/>
              <w:bottom w:val="nil"/>
              <w:right w:val="nil"/>
            </w:tcBorders>
            <w:vAlign w:val="center"/>
          </w:tcPr>
          <w:p w14:paraId="526F8528"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0.86</w:t>
            </w:r>
          </w:p>
        </w:tc>
        <w:tc>
          <w:tcPr>
            <w:tcW w:w="1492" w:type="dxa"/>
            <w:tcBorders>
              <w:top w:val="nil"/>
              <w:left w:val="nil"/>
              <w:bottom w:val="nil"/>
              <w:right w:val="nil"/>
            </w:tcBorders>
            <w:vAlign w:val="center"/>
          </w:tcPr>
          <w:p w14:paraId="1B542ADF"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0.79</w:t>
            </w:r>
          </w:p>
        </w:tc>
        <w:tc>
          <w:tcPr>
            <w:tcW w:w="1491" w:type="dxa"/>
            <w:tcBorders>
              <w:top w:val="nil"/>
              <w:left w:val="nil"/>
              <w:bottom w:val="nil"/>
              <w:right w:val="nil"/>
            </w:tcBorders>
            <w:shd w:val="clear" w:color="auto" w:fill="auto"/>
            <w:vAlign w:val="center"/>
          </w:tcPr>
          <w:p w14:paraId="06FD709A" w14:textId="77777777" w:rsidR="00D870FD" w:rsidRPr="00971EAB" w:rsidRDefault="00525657"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0.75</w:t>
            </w:r>
          </w:p>
        </w:tc>
        <w:tc>
          <w:tcPr>
            <w:tcW w:w="1492" w:type="dxa"/>
            <w:gridSpan w:val="2"/>
            <w:tcBorders>
              <w:top w:val="nil"/>
              <w:left w:val="nil"/>
              <w:bottom w:val="nil"/>
              <w:right w:val="nil"/>
            </w:tcBorders>
            <w:vAlign w:val="center"/>
          </w:tcPr>
          <w:p w14:paraId="43D57147"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0.79</w:t>
            </w:r>
          </w:p>
        </w:tc>
      </w:tr>
      <w:tr w:rsidR="00D870FD" w14:paraId="16905E72" w14:textId="77777777" w:rsidTr="006C1288">
        <w:trPr>
          <w:trHeight w:val="360"/>
          <w:jc w:val="center"/>
        </w:trPr>
        <w:tc>
          <w:tcPr>
            <w:tcW w:w="3600" w:type="dxa"/>
            <w:tcBorders>
              <w:top w:val="nil"/>
              <w:left w:val="nil"/>
              <w:bottom w:val="nil"/>
              <w:right w:val="nil"/>
            </w:tcBorders>
            <w:vAlign w:val="center"/>
          </w:tcPr>
          <w:p w14:paraId="14A021A4" w14:textId="77777777" w:rsidR="00D870FD" w:rsidRPr="00C57F00" w:rsidRDefault="00D870FD" w:rsidP="00260D7D">
            <w:pPr>
              <w:tabs>
                <w:tab w:val="left" w:pos="567"/>
              </w:tabs>
              <w:rPr>
                <w:rFonts w:asciiTheme="majorBidi" w:hAnsiTheme="majorBidi" w:cstheme="majorBidi"/>
                <w:b/>
                <w:bCs/>
                <w:sz w:val="20"/>
                <w:szCs w:val="20"/>
              </w:rPr>
            </w:pPr>
            <w:r w:rsidRPr="00C57F00">
              <w:rPr>
                <w:rFonts w:asciiTheme="majorBidi" w:hAnsiTheme="majorBidi" w:cstheme="majorBidi"/>
                <w:b/>
                <w:bCs/>
                <w:sz w:val="20"/>
                <w:szCs w:val="20"/>
              </w:rPr>
              <w:t>Information Content</w:t>
            </w:r>
          </w:p>
        </w:tc>
        <w:tc>
          <w:tcPr>
            <w:tcW w:w="1491" w:type="dxa"/>
            <w:tcBorders>
              <w:top w:val="nil"/>
              <w:left w:val="nil"/>
              <w:bottom w:val="nil"/>
              <w:right w:val="nil"/>
            </w:tcBorders>
            <w:vAlign w:val="center"/>
          </w:tcPr>
          <w:p w14:paraId="5E374028" w14:textId="77777777" w:rsidR="00D870FD" w:rsidRPr="00971EAB" w:rsidRDefault="00D870FD" w:rsidP="00260D7D">
            <w:pPr>
              <w:tabs>
                <w:tab w:val="left" w:pos="567"/>
              </w:tabs>
              <w:jc w:val="center"/>
              <w:rPr>
                <w:rFonts w:asciiTheme="majorBidi" w:hAnsiTheme="majorBidi" w:cstheme="majorBidi"/>
                <w:sz w:val="20"/>
                <w:szCs w:val="20"/>
              </w:rPr>
            </w:pPr>
          </w:p>
        </w:tc>
        <w:tc>
          <w:tcPr>
            <w:tcW w:w="1491" w:type="dxa"/>
            <w:tcBorders>
              <w:top w:val="nil"/>
              <w:left w:val="nil"/>
              <w:bottom w:val="nil"/>
              <w:right w:val="nil"/>
            </w:tcBorders>
            <w:vAlign w:val="center"/>
          </w:tcPr>
          <w:p w14:paraId="08A5257D" w14:textId="77777777" w:rsidR="00D870FD" w:rsidRPr="00971EAB" w:rsidRDefault="00D870FD" w:rsidP="00260D7D">
            <w:pPr>
              <w:tabs>
                <w:tab w:val="left" w:pos="567"/>
              </w:tabs>
              <w:jc w:val="center"/>
              <w:rPr>
                <w:rFonts w:asciiTheme="majorBidi" w:hAnsiTheme="majorBidi" w:cstheme="majorBidi"/>
                <w:sz w:val="20"/>
                <w:szCs w:val="20"/>
              </w:rPr>
            </w:pPr>
          </w:p>
        </w:tc>
        <w:tc>
          <w:tcPr>
            <w:tcW w:w="1492" w:type="dxa"/>
            <w:tcBorders>
              <w:top w:val="nil"/>
              <w:left w:val="nil"/>
              <w:bottom w:val="nil"/>
              <w:right w:val="nil"/>
            </w:tcBorders>
            <w:vAlign w:val="center"/>
          </w:tcPr>
          <w:p w14:paraId="429BCF8D" w14:textId="77777777" w:rsidR="00D870FD" w:rsidRPr="00971EAB" w:rsidRDefault="00D870FD" w:rsidP="00260D7D">
            <w:pPr>
              <w:tabs>
                <w:tab w:val="left" w:pos="567"/>
              </w:tabs>
              <w:jc w:val="center"/>
              <w:rPr>
                <w:rFonts w:asciiTheme="majorBidi" w:hAnsiTheme="majorBidi" w:cstheme="majorBidi"/>
                <w:sz w:val="20"/>
                <w:szCs w:val="20"/>
              </w:rPr>
            </w:pPr>
          </w:p>
        </w:tc>
        <w:tc>
          <w:tcPr>
            <w:tcW w:w="1491" w:type="dxa"/>
            <w:tcBorders>
              <w:top w:val="nil"/>
              <w:left w:val="nil"/>
              <w:bottom w:val="nil"/>
              <w:right w:val="nil"/>
            </w:tcBorders>
            <w:vAlign w:val="center"/>
          </w:tcPr>
          <w:p w14:paraId="6E763554" w14:textId="77777777" w:rsidR="00D870FD" w:rsidRPr="00971EAB" w:rsidRDefault="00D870FD" w:rsidP="00260D7D">
            <w:pPr>
              <w:tabs>
                <w:tab w:val="left" w:pos="567"/>
              </w:tabs>
              <w:jc w:val="center"/>
              <w:rPr>
                <w:rFonts w:asciiTheme="majorBidi" w:hAnsiTheme="majorBidi" w:cstheme="majorBidi"/>
                <w:sz w:val="20"/>
                <w:szCs w:val="20"/>
              </w:rPr>
            </w:pPr>
          </w:p>
        </w:tc>
        <w:tc>
          <w:tcPr>
            <w:tcW w:w="1492" w:type="dxa"/>
            <w:tcBorders>
              <w:top w:val="nil"/>
              <w:left w:val="nil"/>
              <w:bottom w:val="nil"/>
              <w:right w:val="nil"/>
            </w:tcBorders>
            <w:vAlign w:val="center"/>
          </w:tcPr>
          <w:p w14:paraId="47E8C0F1" w14:textId="77777777" w:rsidR="00D870FD" w:rsidRPr="00971EAB" w:rsidRDefault="00D870FD" w:rsidP="00260D7D">
            <w:pPr>
              <w:tabs>
                <w:tab w:val="left" w:pos="567"/>
              </w:tabs>
              <w:jc w:val="center"/>
              <w:rPr>
                <w:rFonts w:asciiTheme="majorBidi" w:hAnsiTheme="majorBidi" w:cstheme="majorBidi"/>
                <w:sz w:val="20"/>
                <w:szCs w:val="20"/>
              </w:rPr>
            </w:pPr>
          </w:p>
        </w:tc>
        <w:tc>
          <w:tcPr>
            <w:tcW w:w="1491" w:type="dxa"/>
            <w:tcBorders>
              <w:top w:val="nil"/>
              <w:left w:val="nil"/>
              <w:bottom w:val="nil"/>
              <w:right w:val="nil"/>
            </w:tcBorders>
            <w:shd w:val="clear" w:color="auto" w:fill="auto"/>
            <w:vAlign w:val="center"/>
          </w:tcPr>
          <w:p w14:paraId="473EA6E8" w14:textId="77777777" w:rsidR="00D870FD" w:rsidRPr="00971EAB" w:rsidRDefault="00D870FD" w:rsidP="00260D7D">
            <w:pPr>
              <w:tabs>
                <w:tab w:val="left" w:pos="567"/>
              </w:tabs>
              <w:jc w:val="center"/>
              <w:rPr>
                <w:rFonts w:asciiTheme="majorBidi" w:hAnsiTheme="majorBidi" w:cstheme="majorBidi"/>
                <w:sz w:val="20"/>
                <w:szCs w:val="20"/>
              </w:rPr>
            </w:pPr>
          </w:p>
        </w:tc>
        <w:tc>
          <w:tcPr>
            <w:tcW w:w="1492" w:type="dxa"/>
            <w:gridSpan w:val="2"/>
            <w:tcBorders>
              <w:top w:val="nil"/>
              <w:left w:val="nil"/>
              <w:bottom w:val="nil"/>
              <w:right w:val="nil"/>
            </w:tcBorders>
            <w:vAlign w:val="center"/>
          </w:tcPr>
          <w:p w14:paraId="4995E574" w14:textId="77777777" w:rsidR="00D870FD" w:rsidRPr="00971EAB" w:rsidRDefault="00D870FD" w:rsidP="00260D7D">
            <w:pPr>
              <w:tabs>
                <w:tab w:val="left" w:pos="567"/>
              </w:tabs>
              <w:jc w:val="center"/>
              <w:rPr>
                <w:rFonts w:asciiTheme="majorBidi" w:hAnsiTheme="majorBidi" w:cstheme="majorBidi"/>
                <w:sz w:val="20"/>
                <w:szCs w:val="20"/>
              </w:rPr>
            </w:pPr>
          </w:p>
        </w:tc>
      </w:tr>
      <w:tr w:rsidR="00D870FD" w14:paraId="14D09F02" w14:textId="77777777" w:rsidTr="006C1288">
        <w:trPr>
          <w:trHeight w:val="360"/>
          <w:jc w:val="center"/>
        </w:trPr>
        <w:tc>
          <w:tcPr>
            <w:tcW w:w="3600" w:type="dxa"/>
            <w:tcBorders>
              <w:top w:val="nil"/>
              <w:left w:val="nil"/>
              <w:bottom w:val="nil"/>
              <w:right w:val="nil"/>
            </w:tcBorders>
            <w:vAlign w:val="center"/>
          </w:tcPr>
          <w:p w14:paraId="3B8403F2" w14:textId="77777777" w:rsidR="00D870FD" w:rsidRPr="00971EAB" w:rsidRDefault="00D870FD"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Akaike Information Criterion - AIC</w:t>
            </w:r>
          </w:p>
        </w:tc>
        <w:tc>
          <w:tcPr>
            <w:tcW w:w="1491" w:type="dxa"/>
            <w:tcBorders>
              <w:top w:val="nil"/>
              <w:left w:val="nil"/>
              <w:bottom w:val="nil"/>
              <w:right w:val="nil"/>
            </w:tcBorders>
            <w:vAlign w:val="center"/>
          </w:tcPr>
          <w:p w14:paraId="52982E29" w14:textId="77777777" w:rsidR="00D870FD" w:rsidRPr="00971EAB" w:rsidRDefault="00D870FD" w:rsidP="00260D7D">
            <w:pPr>
              <w:tabs>
                <w:tab w:val="left" w:pos="567"/>
              </w:tabs>
              <w:jc w:val="center"/>
              <w:rPr>
                <w:rFonts w:asciiTheme="majorBidi" w:hAnsiTheme="majorBidi" w:cstheme="majorBidi"/>
                <w:sz w:val="20"/>
                <w:szCs w:val="20"/>
              </w:rPr>
            </w:pPr>
          </w:p>
        </w:tc>
        <w:tc>
          <w:tcPr>
            <w:tcW w:w="1491" w:type="dxa"/>
            <w:tcBorders>
              <w:top w:val="nil"/>
              <w:left w:val="nil"/>
              <w:bottom w:val="nil"/>
              <w:right w:val="nil"/>
            </w:tcBorders>
            <w:vAlign w:val="center"/>
          </w:tcPr>
          <w:p w14:paraId="332FAD2B"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1205.345</w:t>
            </w:r>
          </w:p>
        </w:tc>
        <w:tc>
          <w:tcPr>
            <w:tcW w:w="1492" w:type="dxa"/>
            <w:tcBorders>
              <w:top w:val="nil"/>
              <w:left w:val="nil"/>
              <w:bottom w:val="nil"/>
              <w:right w:val="nil"/>
            </w:tcBorders>
            <w:vAlign w:val="center"/>
          </w:tcPr>
          <w:p w14:paraId="47130F08"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1429.592</w:t>
            </w:r>
          </w:p>
        </w:tc>
        <w:tc>
          <w:tcPr>
            <w:tcW w:w="1491" w:type="dxa"/>
            <w:tcBorders>
              <w:top w:val="nil"/>
              <w:left w:val="nil"/>
              <w:bottom w:val="nil"/>
              <w:right w:val="nil"/>
            </w:tcBorders>
            <w:vAlign w:val="center"/>
          </w:tcPr>
          <w:p w14:paraId="41347987"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1541.342</w:t>
            </w:r>
          </w:p>
        </w:tc>
        <w:tc>
          <w:tcPr>
            <w:tcW w:w="1492" w:type="dxa"/>
            <w:tcBorders>
              <w:top w:val="nil"/>
              <w:left w:val="nil"/>
              <w:bottom w:val="nil"/>
              <w:right w:val="nil"/>
            </w:tcBorders>
            <w:vAlign w:val="center"/>
          </w:tcPr>
          <w:p w14:paraId="1526FECC" w14:textId="77777777" w:rsidR="00D870FD" w:rsidRPr="00971EAB" w:rsidRDefault="00D870FD"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1738.817</w:t>
            </w:r>
          </w:p>
        </w:tc>
        <w:tc>
          <w:tcPr>
            <w:tcW w:w="1491" w:type="dxa"/>
            <w:tcBorders>
              <w:top w:val="nil"/>
              <w:left w:val="nil"/>
              <w:bottom w:val="nil"/>
              <w:right w:val="nil"/>
            </w:tcBorders>
            <w:shd w:val="clear" w:color="auto" w:fill="auto"/>
            <w:vAlign w:val="center"/>
          </w:tcPr>
          <w:p w14:paraId="140987EB" w14:textId="77777777" w:rsidR="00D870FD" w:rsidRPr="00971EAB" w:rsidRDefault="00D870FD" w:rsidP="00260D7D">
            <w:pPr>
              <w:tabs>
                <w:tab w:val="left" w:pos="567"/>
              </w:tabs>
              <w:jc w:val="center"/>
              <w:rPr>
                <w:rFonts w:asciiTheme="majorBidi" w:hAnsiTheme="majorBidi" w:cstheme="majorBidi"/>
                <w:sz w:val="20"/>
                <w:szCs w:val="20"/>
              </w:rPr>
            </w:pPr>
          </w:p>
        </w:tc>
        <w:tc>
          <w:tcPr>
            <w:tcW w:w="1492" w:type="dxa"/>
            <w:gridSpan w:val="2"/>
            <w:tcBorders>
              <w:top w:val="nil"/>
              <w:left w:val="nil"/>
              <w:bottom w:val="nil"/>
              <w:right w:val="nil"/>
            </w:tcBorders>
            <w:vAlign w:val="center"/>
          </w:tcPr>
          <w:p w14:paraId="4CAFF180" w14:textId="77777777" w:rsidR="00D870FD" w:rsidRPr="00971EAB" w:rsidRDefault="00D870FD" w:rsidP="00260D7D">
            <w:pPr>
              <w:tabs>
                <w:tab w:val="left" w:pos="567"/>
              </w:tabs>
              <w:jc w:val="center"/>
              <w:rPr>
                <w:rFonts w:asciiTheme="majorBidi" w:hAnsiTheme="majorBidi" w:cstheme="majorBidi"/>
                <w:sz w:val="20"/>
                <w:szCs w:val="20"/>
              </w:rPr>
            </w:pPr>
          </w:p>
        </w:tc>
      </w:tr>
      <w:tr w:rsidR="00D870FD" w:rsidRPr="00C52CB9" w14:paraId="0D61F17D" w14:textId="77777777" w:rsidTr="006C1288">
        <w:trPr>
          <w:trHeight w:val="80"/>
          <w:jc w:val="center"/>
        </w:trPr>
        <w:tc>
          <w:tcPr>
            <w:tcW w:w="3600" w:type="dxa"/>
            <w:tcBorders>
              <w:top w:val="nil"/>
              <w:left w:val="nil"/>
              <w:bottom w:val="single" w:sz="4" w:space="0" w:color="auto"/>
              <w:right w:val="nil"/>
            </w:tcBorders>
            <w:vAlign w:val="center"/>
          </w:tcPr>
          <w:p w14:paraId="2270CB99" w14:textId="77777777" w:rsidR="00D870FD" w:rsidRPr="00971EAB" w:rsidRDefault="00D870FD" w:rsidP="00260D7D">
            <w:pPr>
              <w:tabs>
                <w:tab w:val="left" w:pos="567"/>
              </w:tabs>
              <w:rPr>
                <w:rFonts w:asciiTheme="majorBidi" w:hAnsiTheme="majorBidi" w:cstheme="majorBidi"/>
                <w:sz w:val="6"/>
                <w:szCs w:val="6"/>
              </w:rPr>
            </w:pPr>
          </w:p>
        </w:tc>
        <w:tc>
          <w:tcPr>
            <w:tcW w:w="1491" w:type="dxa"/>
            <w:tcBorders>
              <w:top w:val="nil"/>
              <w:left w:val="nil"/>
              <w:bottom w:val="single" w:sz="4" w:space="0" w:color="auto"/>
              <w:right w:val="nil"/>
            </w:tcBorders>
            <w:vAlign w:val="center"/>
          </w:tcPr>
          <w:p w14:paraId="5C3F6514" w14:textId="77777777" w:rsidR="00D870FD" w:rsidRPr="00971EAB" w:rsidRDefault="00D870FD" w:rsidP="00260D7D">
            <w:pPr>
              <w:tabs>
                <w:tab w:val="left" w:pos="567"/>
              </w:tabs>
              <w:jc w:val="center"/>
              <w:rPr>
                <w:rFonts w:asciiTheme="majorBidi" w:hAnsiTheme="majorBidi" w:cstheme="majorBidi"/>
                <w:sz w:val="6"/>
                <w:szCs w:val="6"/>
              </w:rPr>
            </w:pPr>
          </w:p>
        </w:tc>
        <w:tc>
          <w:tcPr>
            <w:tcW w:w="1491" w:type="dxa"/>
            <w:tcBorders>
              <w:top w:val="nil"/>
              <w:left w:val="nil"/>
              <w:bottom w:val="single" w:sz="4" w:space="0" w:color="auto"/>
              <w:right w:val="nil"/>
            </w:tcBorders>
            <w:vAlign w:val="center"/>
          </w:tcPr>
          <w:p w14:paraId="07158876" w14:textId="77777777" w:rsidR="00D870FD" w:rsidRPr="00971EAB" w:rsidRDefault="00D870FD" w:rsidP="00260D7D">
            <w:pPr>
              <w:tabs>
                <w:tab w:val="left" w:pos="567"/>
              </w:tabs>
              <w:jc w:val="center"/>
              <w:rPr>
                <w:rFonts w:asciiTheme="majorBidi" w:hAnsiTheme="majorBidi" w:cstheme="majorBidi"/>
                <w:sz w:val="6"/>
                <w:szCs w:val="6"/>
              </w:rPr>
            </w:pPr>
          </w:p>
        </w:tc>
        <w:tc>
          <w:tcPr>
            <w:tcW w:w="1492" w:type="dxa"/>
            <w:tcBorders>
              <w:top w:val="nil"/>
              <w:left w:val="nil"/>
              <w:bottom w:val="single" w:sz="4" w:space="0" w:color="auto"/>
              <w:right w:val="nil"/>
            </w:tcBorders>
            <w:vAlign w:val="center"/>
          </w:tcPr>
          <w:p w14:paraId="6020C253" w14:textId="77777777" w:rsidR="00D870FD" w:rsidRPr="00971EAB" w:rsidRDefault="00D870FD" w:rsidP="00260D7D">
            <w:pPr>
              <w:tabs>
                <w:tab w:val="left" w:pos="567"/>
              </w:tabs>
              <w:jc w:val="center"/>
              <w:rPr>
                <w:rFonts w:asciiTheme="majorBidi" w:hAnsiTheme="majorBidi" w:cstheme="majorBidi"/>
                <w:sz w:val="6"/>
                <w:szCs w:val="6"/>
              </w:rPr>
            </w:pPr>
          </w:p>
        </w:tc>
        <w:tc>
          <w:tcPr>
            <w:tcW w:w="1491" w:type="dxa"/>
            <w:tcBorders>
              <w:top w:val="nil"/>
              <w:left w:val="nil"/>
              <w:bottom w:val="single" w:sz="4" w:space="0" w:color="auto"/>
              <w:right w:val="nil"/>
            </w:tcBorders>
            <w:vAlign w:val="center"/>
          </w:tcPr>
          <w:p w14:paraId="63CBD17A" w14:textId="77777777" w:rsidR="00D870FD" w:rsidRPr="00971EAB" w:rsidRDefault="00D870FD" w:rsidP="00260D7D">
            <w:pPr>
              <w:tabs>
                <w:tab w:val="left" w:pos="567"/>
              </w:tabs>
              <w:jc w:val="center"/>
              <w:rPr>
                <w:rFonts w:asciiTheme="majorBidi" w:hAnsiTheme="majorBidi" w:cstheme="majorBidi"/>
                <w:sz w:val="6"/>
                <w:szCs w:val="6"/>
              </w:rPr>
            </w:pPr>
          </w:p>
        </w:tc>
        <w:tc>
          <w:tcPr>
            <w:tcW w:w="1492" w:type="dxa"/>
            <w:tcBorders>
              <w:top w:val="nil"/>
              <w:left w:val="nil"/>
              <w:bottom w:val="single" w:sz="4" w:space="0" w:color="auto"/>
              <w:right w:val="nil"/>
            </w:tcBorders>
            <w:vAlign w:val="center"/>
          </w:tcPr>
          <w:p w14:paraId="1D3021AB" w14:textId="77777777" w:rsidR="00D870FD" w:rsidRPr="00971EAB" w:rsidRDefault="00D870FD" w:rsidP="00260D7D">
            <w:pPr>
              <w:tabs>
                <w:tab w:val="left" w:pos="567"/>
              </w:tabs>
              <w:jc w:val="center"/>
              <w:rPr>
                <w:rFonts w:asciiTheme="majorBidi" w:hAnsiTheme="majorBidi" w:cstheme="majorBidi"/>
                <w:sz w:val="6"/>
                <w:szCs w:val="6"/>
              </w:rPr>
            </w:pPr>
          </w:p>
        </w:tc>
        <w:tc>
          <w:tcPr>
            <w:tcW w:w="1491" w:type="dxa"/>
            <w:tcBorders>
              <w:top w:val="nil"/>
              <w:left w:val="nil"/>
              <w:bottom w:val="single" w:sz="4" w:space="0" w:color="auto"/>
              <w:right w:val="nil"/>
            </w:tcBorders>
            <w:vAlign w:val="center"/>
          </w:tcPr>
          <w:p w14:paraId="5A88699F" w14:textId="77777777" w:rsidR="00D870FD" w:rsidRPr="00971EAB" w:rsidRDefault="00D870FD" w:rsidP="00260D7D">
            <w:pPr>
              <w:tabs>
                <w:tab w:val="left" w:pos="567"/>
              </w:tabs>
              <w:jc w:val="center"/>
              <w:rPr>
                <w:rFonts w:asciiTheme="majorBidi" w:hAnsiTheme="majorBidi" w:cstheme="majorBidi"/>
                <w:sz w:val="6"/>
                <w:szCs w:val="6"/>
              </w:rPr>
            </w:pPr>
          </w:p>
        </w:tc>
        <w:tc>
          <w:tcPr>
            <w:tcW w:w="1492" w:type="dxa"/>
            <w:gridSpan w:val="2"/>
            <w:tcBorders>
              <w:top w:val="nil"/>
              <w:left w:val="nil"/>
              <w:bottom w:val="single" w:sz="4" w:space="0" w:color="auto"/>
              <w:right w:val="nil"/>
            </w:tcBorders>
            <w:vAlign w:val="center"/>
          </w:tcPr>
          <w:p w14:paraId="3E48E40F" w14:textId="77777777" w:rsidR="00D870FD" w:rsidRPr="00971EAB" w:rsidRDefault="00D870FD" w:rsidP="00260D7D">
            <w:pPr>
              <w:tabs>
                <w:tab w:val="left" w:pos="567"/>
              </w:tabs>
              <w:jc w:val="center"/>
              <w:rPr>
                <w:rFonts w:asciiTheme="majorBidi" w:hAnsiTheme="majorBidi" w:cstheme="majorBidi"/>
                <w:sz w:val="6"/>
                <w:szCs w:val="6"/>
              </w:rPr>
            </w:pPr>
          </w:p>
        </w:tc>
      </w:tr>
      <w:tr w:rsidR="00DF6B85" w:rsidRPr="00971EAB" w14:paraId="3F84A7DA" w14:textId="77777777" w:rsidTr="006C1288">
        <w:trPr>
          <w:trHeight w:val="295"/>
          <w:jc w:val="center"/>
        </w:trPr>
        <w:tc>
          <w:tcPr>
            <w:tcW w:w="14040" w:type="dxa"/>
            <w:gridSpan w:val="9"/>
            <w:tcBorders>
              <w:top w:val="single" w:sz="4" w:space="0" w:color="auto"/>
              <w:left w:val="nil"/>
              <w:bottom w:val="nil"/>
              <w:right w:val="nil"/>
            </w:tcBorders>
            <w:vAlign w:val="center"/>
          </w:tcPr>
          <w:p w14:paraId="0179FA51" w14:textId="77777777" w:rsidR="00DF6B85" w:rsidRPr="00971EAB" w:rsidRDefault="00DF6B85" w:rsidP="00260D7D">
            <w:pPr>
              <w:tabs>
                <w:tab w:val="left" w:pos="567"/>
              </w:tabs>
              <w:jc w:val="center"/>
              <w:rPr>
                <w:rFonts w:asciiTheme="majorBidi" w:hAnsiTheme="majorBidi" w:cstheme="majorBidi"/>
                <w:b/>
                <w:bCs/>
                <w:color w:val="000000"/>
                <w:sz w:val="20"/>
                <w:szCs w:val="20"/>
              </w:rPr>
            </w:pPr>
            <w:r w:rsidRPr="00971EAB">
              <w:rPr>
                <w:rFonts w:asciiTheme="majorBidi" w:hAnsiTheme="majorBidi" w:cstheme="majorBidi"/>
                <w:b/>
                <w:bCs/>
                <w:color w:val="000000"/>
                <w:sz w:val="20"/>
                <w:szCs w:val="20"/>
              </w:rPr>
              <w:lastRenderedPageBreak/>
              <w:t xml:space="preserve">Panel </w:t>
            </w:r>
            <w:r>
              <w:rPr>
                <w:rFonts w:asciiTheme="majorBidi" w:hAnsiTheme="majorBidi" w:cstheme="majorBidi"/>
                <w:b/>
                <w:bCs/>
                <w:color w:val="000000"/>
                <w:sz w:val="20"/>
                <w:szCs w:val="20"/>
              </w:rPr>
              <w:t>C</w:t>
            </w:r>
            <w:r w:rsidRPr="00971EAB">
              <w:rPr>
                <w:rFonts w:asciiTheme="majorBidi" w:hAnsiTheme="majorBidi" w:cstheme="majorBidi"/>
                <w:b/>
                <w:bCs/>
                <w:color w:val="000000"/>
                <w:sz w:val="20"/>
                <w:szCs w:val="20"/>
              </w:rPr>
              <w:t xml:space="preserve">: </w:t>
            </w:r>
            <w:r>
              <w:rPr>
                <w:rFonts w:asciiTheme="majorBidi" w:hAnsiTheme="majorBidi" w:cstheme="majorBidi"/>
                <w:b/>
                <w:bCs/>
                <w:color w:val="000000"/>
                <w:sz w:val="20"/>
                <w:szCs w:val="20"/>
              </w:rPr>
              <w:t>Differences in the P</w:t>
            </w:r>
            <w:r w:rsidRPr="00971EAB">
              <w:rPr>
                <w:rFonts w:asciiTheme="majorBidi" w:hAnsiTheme="majorBidi" w:cstheme="majorBidi"/>
                <w:b/>
                <w:bCs/>
                <w:color w:val="000000"/>
                <w:sz w:val="20"/>
                <w:szCs w:val="20"/>
              </w:rPr>
              <w:t xml:space="preserve">erformance of the Different Prediction Models </w:t>
            </w:r>
            <w:r>
              <w:rPr>
                <w:rFonts w:asciiTheme="majorBidi" w:hAnsiTheme="majorBidi" w:cstheme="majorBidi"/>
                <w:b/>
                <w:bCs/>
                <w:color w:val="000000"/>
                <w:sz w:val="20"/>
                <w:szCs w:val="20"/>
              </w:rPr>
              <w:t xml:space="preserve">Before and </w:t>
            </w:r>
            <w:r w:rsidRPr="00971EAB">
              <w:rPr>
                <w:rFonts w:asciiTheme="majorBidi" w:hAnsiTheme="majorBidi" w:cstheme="majorBidi"/>
                <w:b/>
                <w:bCs/>
                <w:color w:val="000000"/>
                <w:sz w:val="20"/>
                <w:szCs w:val="20"/>
              </w:rPr>
              <w:t>After Adding the Governance Variables</w:t>
            </w:r>
            <w:r>
              <w:rPr>
                <w:rFonts w:asciiTheme="majorBidi" w:hAnsiTheme="majorBidi" w:cstheme="majorBidi"/>
                <w:b/>
                <w:bCs/>
                <w:color w:val="000000"/>
                <w:sz w:val="20"/>
                <w:szCs w:val="20"/>
              </w:rPr>
              <w:t xml:space="preserve"> (After minus Before)</w:t>
            </w:r>
          </w:p>
        </w:tc>
      </w:tr>
      <w:tr w:rsidR="00DF6B85" w:rsidRPr="00971EAB" w14:paraId="3AB4200C" w14:textId="77777777" w:rsidTr="006C1288">
        <w:trPr>
          <w:trHeight w:val="295"/>
          <w:jc w:val="center"/>
        </w:trPr>
        <w:tc>
          <w:tcPr>
            <w:tcW w:w="3600" w:type="dxa"/>
            <w:tcBorders>
              <w:top w:val="nil"/>
              <w:left w:val="nil"/>
              <w:bottom w:val="single" w:sz="6" w:space="0" w:color="auto"/>
              <w:right w:val="nil"/>
            </w:tcBorders>
            <w:vAlign w:val="center"/>
          </w:tcPr>
          <w:p w14:paraId="5F283966" w14:textId="77777777" w:rsidR="00DF6B85" w:rsidRPr="00971EAB" w:rsidRDefault="00DF6B85" w:rsidP="00260D7D">
            <w:pPr>
              <w:tabs>
                <w:tab w:val="left" w:pos="567"/>
              </w:tabs>
              <w:rPr>
                <w:rFonts w:asciiTheme="majorBidi" w:hAnsiTheme="majorBidi" w:cstheme="majorBidi"/>
                <w:b/>
                <w:bCs/>
                <w:color w:val="000000"/>
                <w:sz w:val="20"/>
                <w:szCs w:val="20"/>
              </w:rPr>
            </w:pPr>
          </w:p>
        </w:tc>
        <w:tc>
          <w:tcPr>
            <w:tcW w:w="1491" w:type="dxa"/>
            <w:tcBorders>
              <w:top w:val="nil"/>
              <w:left w:val="nil"/>
              <w:bottom w:val="single" w:sz="6" w:space="0" w:color="auto"/>
              <w:right w:val="nil"/>
            </w:tcBorders>
            <w:vAlign w:val="center"/>
          </w:tcPr>
          <w:p w14:paraId="252EF63E" w14:textId="77777777" w:rsidR="00DF6B85" w:rsidRPr="001E51FF" w:rsidRDefault="00DF6B85" w:rsidP="00260D7D">
            <w:pPr>
              <w:tabs>
                <w:tab w:val="left" w:pos="567"/>
              </w:tabs>
              <w:jc w:val="center"/>
              <w:rPr>
                <w:rFonts w:asciiTheme="majorBidi" w:hAnsiTheme="majorBidi" w:cstheme="majorBidi"/>
                <w:color w:val="000000"/>
                <w:sz w:val="20"/>
                <w:szCs w:val="20"/>
              </w:rPr>
            </w:pPr>
            <w:r w:rsidRPr="001E51FF">
              <w:rPr>
                <w:rFonts w:asciiTheme="majorBidi" w:hAnsiTheme="majorBidi" w:cstheme="majorBidi"/>
                <w:color w:val="000000"/>
                <w:sz w:val="20"/>
                <w:szCs w:val="20"/>
              </w:rPr>
              <w:t>ALT</w:t>
            </w:r>
          </w:p>
        </w:tc>
        <w:tc>
          <w:tcPr>
            <w:tcW w:w="1491" w:type="dxa"/>
            <w:tcBorders>
              <w:top w:val="nil"/>
              <w:left w:val="nil"/>
              <w:bottom w:val="single" w:sz="6" w:space="0" w:color="auto"/>
              <w:right w:val="nil"/>
            </w:tcBorders>
            <w:vAlign w:val="center"/>
          </w:tcPr>
          <w:p w14:paraId="15A9697D" w14:textId="77777777" w:rsidR="00DF6B85" w:rsidRPr="001E51FF" w:rsidRDefault="00DF6B85" w:rsidP="00260D7D">
            <w:pPr>
              <w:tabs>
                <w:tab w:val="left" w:pos="567"/>
              </w:tabs>
              <w:jc w:val="center"/>
              <w:rPr>
                <w:rFonts w:asciiTheme="majorBidi" w:hAnsiTheme="majorBidi" w:cstheme="majorBidi"/>
                <w:color w:val="000000"/>
                <w:sz w:val="20"/>
                <w:szCs w:val="20"/>
              </w:rPr>
            </w:pPr>
            <w:r w:rsidRPr="001E51FF">
              <w:rPr>
                <w:rFonts w:asciiTheme="majorBidi" w:hAnsiTheme="majorBidi" w:cstheme="majorBidi"/>
                <w:color w:val="000000"/>
                <w:sz w:val="20"/>
                <w:szCs w:val="20"/>
              </w:rPr>
              <w:t>OHL</w:t>
            </w:r>
          </w:p>
        </w:tc>
        <w:tc>
          <w:tcPr>
            <w:tcW w:w="1492" w:type="dxa"/>
            <w:tcBorders>
              <w:top w:val="nil"/>
              <w:left w:val="nil"/>
              <w:bottom w:val="single" w:sz="6" w:space="0" w:color="auto"/>
              <w:right w:val="nil"/>
            </w:tcBorders>
            <w:vAlign w:val="center"/>
          </w:tcPr>
          <w:p w14:paraId="1F40A665" w14:textId="77777777" w:rsidR="00DF6B85" w:rsidRPr="001E51FF" w:rsidRDefault="00DF6B85" w:rsidP="00260D7D">
            <w:pPr>
              <w:tabs>
                <w:tab w:val="left" w:pos="567"/>
              </w:tabs>
              <w:jc w:val="center"/>
              <w:rPr>
                <w:rFonts w:asciiTheme="majorBidi" w:hAnsiTheme="majorBidi" w:cstheme="majorBidi"/>
                <w:color w:val="000000"/>
                <w:sz w:val="20"/>
                <w:szCs w:val="20"/>
              </w:rPr>
            </w:pPr>
            <w:r w:rsidRPr="001E51FF">
              <w:rPr>
                <w:rFonts w:asciiTheme="majorBidi" w:hAnsiTheme="majorBidi" w:cstheme="majorBidi"/>
                <w:color w:val="000000"/>
                <w:sz w:val="20"/>
                <w:szCs w:val="20"/>
              </w:rPr>
              <w:t>ZMJ</w:t>
            </w:r>
          </w:p>
        </w:tc>
        <w:tc>
          <w:tcPr>
            <w:tcW w:w="1491" w:type="dxa"/>
            <w:tcBorders>
              <w:top w:val="nil"/>
              <w:left w:val="nil"/>
              <w:bottom w:val="single" w:sz="6" w:space="0" w:color="auto"/>
              <w:right w:val="nil"/>
            </w:tcBorders>
            <w:vAlign w:val="center"/>
          </w:tcPr>
          <w:p w14:paraId="0E3C3D32" w14:textId="77777777" w:rsidR="00DF6B85" w:rsidRPr="001E51FF" w:rsidRDefault="00DF6B85" w:rsidP="00260D7D">
            <w:pPr>
              <w:tabs>
                <w:tab w:val="left" w:pos="567"/>
              </w:tabs>
              <w:jc w:val="center"/>
              <w:rPr>
                <w:rFonts w:asciiTheme="majorBidi" w:hAnsiTheme="majorBidi" w:cstheme="majorBidi"/>
                <w:color w:val="000000"/>
                <w:sz w:val="20"/>
                <w:szCs w:val="20"/>
              </w:rPr>
            </w:pPr>
            <w:r w:rsidRPr="001E51FF">
              <w:rPr>
                <w:rFonts w:asciiTheme="majorBidi" w:hAnsiTheme="majorBidi" w:cstheme="majorBidi"/>
                <w:color w:val="000000"/>
                <w:sz w:val="20"/>
                <w:szCs w:val="20"/>
              </w:rPr>
              <w:t>SHW</w:t>
            </w:r>
          </w:p>
        </w:tc>
        <w:tc>
          <w:tcPr>
            <w:tcW w:w="1492" w:type="dxa"/>
            <w:tcBorders>
              <w:top w:val="nil"/>
              <w:left w:val="nil"/>
              <w:bottom w:val="single" w:sz="6" w:space="0" w:color="auto"/>
              <w:right w:val="nil"/>
            </w:tcBorders>
            <w:vAlign w:val="center"/>
          </w:tcPr>
          <w:p w14:paraId="38046C19" w14:textId="77777777" w:rsidR="00DF6B85" w:rsidRPr="001E51FF" w:rsidRDefault="00DF6B85" w:rsidP="00260D7D">
            <w:pPr>
              <w:tabs>
                <w:tab w:val="left" w:pos="567"/>
              </w:tabs>
              <w:jc w:val="center"/>
              <w:rPr>
                <w:rFonts w:asciiTheme="majorBidi" w:hAnsiTheme="majorBidi" w:cstheme="majorBidi"/>
                <w:color w:val="000000"/>
                <w:sz w:val="20"/>
                <w:szCs w:val="20"/>
              </w:rPr>
            </w:pPr>
            <w:r w:rsidRPr="001E51FF">
              <w:rPr>
                <w:rFonts w:asciiTheme="majorBidi" w:hAnsiTheme="majorBidi" w:cstheme="majorBidi"/>
                <w:color w:val="000000"/>
                <w:sz w:val="20"/>
                <w:szCs w:val="20"/>
              </w:rPr>
              <w:t>BSH</w:t>
            </w:r>
          </w:p>
        </w:tc>
        <w:tc>
          <w:tcPr>
            <w:tcW w:w="1491" w:type="dxa"/>
            <w:tcBorders>
              <w:top w:val="nil"/>
              <w:left w:val="nil"/>
              <w:bottom w:val="single" w:sz="6" w:space="0" w:color="auto"/>
              <w:right w:val="nil"/>
            </w:tcBorders>
            <w:vAlign w:val="center"/>
          </w:tcPr>
          <w:p w14:paraId="1CB3D91F" w14:textId="77777777" w:rsidR="00DF6B85" w:rsidRPr="001E51FF" w:rsidRDefault="00DF6B85" w:rsidP="00260D7D">
            <w:pPr>
              <w:tabs>
                <w:tab w:val="left" w:pos="567"/>
              </w:tabs>
              <w:jc w:val="center"/>
              <w:rPr>
                <w:rFonts w:asciiTheme="majorBidi" w:hAnsiTheme="majorBidi" w:cstheme="majorBidi"/>
                <w:color w:val="000000"/>
                <w:sz w:val="20"/>
                <w:szCs w:val="20"/>
              </w:rPr>
            </w:pPr>
            <w:r w:rsidRPr="001E51FF">
              <w:rPr>
                <w:rFonts w:asciiTheme="majorBidi" w:hAnsiTheme="majorBidi" w:cstheme="majorBidi"/>
                <w:color w:val="000000"/>
                <w:sz w:val="20"/>
                <w:szCs w:val="20"/>
              </w:rPr>
              <w:t>PRM</w:t>
            </w:r>
          </w:p>
        </w:tc>
        <w:tc>
          <w:tcPr>
            <w:tcW w:w="1492" w:type="dxa"/>
            <w:gridSpan w:val="2"/>
            <w:tcBorders>
              <w:top w:val="nil"/>
              <w:left w:val="nil"/>
              <w:bottom w:val="single" w:sz="6" w:space="0" w:color="auto"/>
              <w:right w:val="nil"/>
            </w:tcBorders>
            <w:vAlign w:val="center"/>
          </w:tcPr>
          <w:p w14:paraId="3A9D2C2A" w14:textId="77777777" w:rsidR="00DF6B85" w:rsidRPr="001E51FF" w:rsidRDefault="00DF6B85" w:rsidP="00260D7D">
            <w:pPr>
              <w:tabs>
                <w:tab w:val="left" w:pos="567"/>
              </w:tabs>
              <w:jc w:val="center"/>
              <w:rPr>
                <w:rFonts w:asciiTheme="majorBidi" w:hAnsiTheme="majorBidi" w:cstheme="majorBidi"/>
                <w:color w:val="000000"/>
                <w:sz w:val="20"/>
                <w:szCs w:val="20"/>
              </w:rPr>
            </w:pPr>
            <w:r w:rsidRPr="001E51FF">
              <w:rPr>
                <w:rFonts w:asciiTheme="majorBidi" w:hAnsiTheme="majorBidi" w:cstheme="majorBidi"/>
                <w:color w:val="000000"/>
                <w:sz w:val="20"/>
                <w:szCs w:val="20"/>
              </w:rPr>
              <w:t>ALM</w:t>
            </w:r>
          </w:p>
        </w:tc>
      </w:tr>
      <w:tr w:rsidR="00DF6B85" w:rsidRPr="00971EAB" w14:paraId="2C27FE99" w14:textId="77777777" w:rsidTr="00C01F80">
        <w:trPr>
          <w:trHeight w:val="360"/>
          <w:jc w:val="center"/>
        </w:trPr>
        <w:tc>
          <w:tcPr>
            <w:tcW w:w="3600" w:type="dxa"/>
            <w:tcBorders>
              <w:top w:val="single" w:sz="6" w:space="0" w:color="auto"/>
              <w:left w:val="nil"/>
              <w:bottom w:val="nil"/>
              <w:right w:val="nil"/>
            </w:tcBorders>
            <w:vAlign w:val="center"/>
          </w:tcPr>
          <w:p w14:paraId="2B3E4F91" w14:textId="77777777" w:rsidR="00DF6B85" w:rsidRPr="00C57F00" w:rsidRDefault="00DF6B85" w:rsidP="00260D7D">
            <w:pPr>
              <w:tabs>
                <w:tab w:val="left" w:pos="567"/>
              </w:tabs>
              <w:rPr>
                <w:rFonts w:asciiTheme="majorBidi" w:hAnsiTheme="majorBidi" w:cstheme="majorBidi"/>
                <w:b/>
                <w:bCs/>
                <w:sz w:val="20"/>
                <w:szCs w:val="20"/>
              </w:rPr>
            </w:pPr>
            <w:r w:rsidRPr="00C57F00">
              <w:rPr>
                <w:rFonts w:asciiTheme="majorBidi" w:hAnsiTheme="majorBidi" w:cstheme="majorBidi"/>
                <w:b/>
                <w:bCs/>
                <w:sz w:val="20"/>
                <w:szCs w:val="20"/>
              </w:rPr>
              <w:t>Prediction &amp; Classification</w:t>
            </w:r>
          </w:p>
        </w:tc>
        <w:tc>
          <w:tcPr>
            <w:tcW w:w="1491" w:type="dxa"/>
            <w:tcBorders>
              <w:top w:val="single" w:sz="6" w:space="0" w:color="auto"/>
              <w:left w:val="nil"/>
              <w:bottom w:val="nil"/>
              <w:right w:val="nil"/>
            </w:tcBorders>
            <w:vAlign w:val="center"/>
          </w:tcPr>
          <w:p w14:paraId="107F3409" w14:textId="77777777" w:rsidR="00DF6B85" w:rsidRPr="00971EAB" w:rsidRDefault="00DF6B85" w:rsidP="00260D7D">
            <w:pPr>
              <w:tabs>
                <w:tab w:val="left" w:pos="567"/>
              </w:tabs>
              <w:jc w:val="center"/>
              <w:rPr>
                <w:rFonts w:asciiTheme="majorBidi" w:hAnsiTheme="majorBidi" w:cstheme="majorBidi"/>
                <w:sz w:val="20"/>
                <w:szCs w:val="20"/>
              </w:rPr>
            </w:pPr>
          </w:p>
        </w:tc>
        <w:tc>
          <w:tcPr>
            <w:tcW w:w="1491" w:type="dxa"/>
            <w:tcBorders>
              <w:top w:val="single" w:sz="6" w:space="0" w:color="auto"/>
              <w:left w:val="nil"/>
              <w:bottom w:val="nil"/>
              <w:right w:val="nil"/>
            </w:tcBorders>
            <w:vAlign w:val="center"/>
          </w:tcPr>
          <w:p w14:paraId="7AFC063F" w14:textId="77777777" w:rsidR="00DF6B85" w:rsidRPr="00971EAB" w:rsidRDefault="00DF6B85" w:rsidP="00260D7D">
            <w:pPr>
              <w:tabs>
                <w:tab w:val="left" w:pos="567"/>
              </w:tabs>
              <w:jc w:val="center"/>
              <w:rPr>
                <w:rFonts w:asciiTheme="majorBidi" w:hAnsiTheme="majorBidi" w:cstheme="majorBidi"/>
                <w:sz w:val="20"/>
                <w:szCs w:val="20"/>
              </w:rPr>
            </w:pPr>
          </w:p>
        </w:tc>
        <w:tc>
          <w:tcPr>
            <w:tcW w:w="1492" w:type="dxa"/>
            <w:tcBorders>
              <w:top w:val="single" w:sz="6" w:space="0" w:color="auto"/>
              <w:left w:val="nil"/>
              <w:bottom w:val="nil"/>
              <w:right w:val="nil"/>
            </w:tcBorders>
            <w:vAlign w:val="center"/>
          </w:tcPr>
          <w:p w14:paraId="31889BF1" w14:textId="77777777" w:rsidR="00DF6B85" w:rsidRPr="00971EAB" w:rsidRDefault="00DF6B85" w:rsidP="00260D7D">
            <w:pPr>
              <w:tabs>
                <w:tab w:val="left" w:pos="567"/>
              </w:tabs>
              <w:jc w:val="center"/>
              <w:rPr>
                <w:rFonts w:asciiTheme="majorBidi" w:hAnsiTheme="majorBidi" w:cstheme="majorBidi"/>
                <w:sz w:val="20"/>
                <w:szCs w:val="20"/>
              </w:rPr>
            </w:pPr>
          </w:p>
        </w:tc>
        <w:tc>
          <w:tcPr>
            <w:tcW w:w="1491" w:type="dxa"/>
            <w:tcBorders>
              <w:top w:val="single" w:sz="6" w:space="0" w:color="auto"/>
              <w:left w:val="nil"/>
              <w:bottom w:val="nil"/>
              <w:right w:val="nil"/>
            </w:tcBorders>
            <w:vAlign w:val="center"/>
          </w:tcPr>
          <w:p w14:paraId="60D34C88" w14:textId="77777777" w:rsidR="00DF6B85" w:rsidRPr="00971EAB" w:rsidRDefault="00DF6B85" w:rsidP="00260D7D">
            <w:pPr>
              <w:tabs>
                <w:tab w:val="left" w:pos="567"/>
              </w:tabs>
              <w:jc w:val="center"/>
              <w:rPr>
                <w:rFonts w:asciiTheme="majorBidi" w:hAnsiTheme="majorBidi" w:cstheme="majorBidi"/>
                <w:sz w:val="20"/>
                <w:szCs w:val="20"/>
              </w:rPr>
            </w:pPr>
          </w:p>
        </w:tc>
        <w:tc>
          <w:tcPr>
            <w:tcW w:w="1492" w:type="dxa"/>
            <w:tcBorders>
              <w:top w:val="single" w:sz="6" w:space="0" w:color="auto"/>
              <w:left w:val="nil"/>
              <w:bottom w:val="nil"/>
              <w:right w:val="nil"/>
            </w:tcBorders>
            <w:vAlign w:val="center"/>
          </w:tcPr>
          <w:p w14:paraId="252BF166" w14:textId="77777777" w:rsidR="00DF6B85" w:rsidRPr="00971EAB" w:rsidRDefault="00DF6B85" w:rsidP="00260D7D">
            <w:pPr>
              <w:tabs>
                <w:tab w:val="left" w:pos="567"/>
              </w:tabs>
              <w:jc w:val="center"/>
              <w:rPr>
                <w:rFonts w:asciiTheme="majorBidi" w:hAnsiTheme="majorBidi" w:cstheme="majorBidi"/>
                <w:sz w:val="20"/>
                <w:szCs w:val="20"/>
              </w:rPr>
            </w:pPr>
          </w:p>
        </w:tc>
        <w:tc>
          <w:tcPr>
            <w:tcW w:w="1491" w:type="dxa"/>
            <w:tcBorders>
              <w:top w:val="single" w:sz="6" w:space="0" w:color="auto"/>
              <w:left w:val="nil"/>
              <w:bottom w:val="nil"/>
              <w:right w:val="nil"/>
            </w:tcBorders>
            <w:vAlign w:val="center"/>
          </w:tcPr>
          <w:p w14:paraId="21D8906D" w14:textId="77777777" w:rsidR="00DF6B85" w:rsidRPr="00971EAB" w:rsidRDefault="00DF6B85" w:rsidP="00260D7D">
            <w:pPr>
              <w:tabs>
                <w:tab w:val="left" w:pos="567"/>
              </w:tabs>
              <w:jc w:val="center"/>
              <w:rPr>
                <w:rFonts w:asciiTheme="majorBidi" w:hAnsiTheme="majorBidi" w:cstheme="majorBidi"/>
                <w:sz w:val="20"/>
                <w:szCs w:val="20"/>
              </w:rPr>
            </w:pPr>
          </w:p>
        </w:tc>
        <w:tc>
          <w:tcPr>
            <w:tcW w:w="1492" w:type="dxa"/>
            <w:gridSpan w:val="2"/>
            <w:tcBorders>
              <w:top w:val="single" w:sz="6" w:space="0" w:color="auto"/>
              <w:left w:val="nil"/>
              <w:bottom w:val="nil"/>
              <w:right w:val="nil"/>
            </w:tcBorders>
            <w:vAlign w:val="center"/>
          </w:tcPr>
          <w:p w14:paraId="0C296C2F" w14:textId="77777777" w:rsidR="00DF6B85" w:rsidRPr="00971EAB" w:rsidRDefault="00DF6B85" w:rsidP="00260D7D">
            <w:pPr>
              <w:tabs>
                <w:tab w:val="left" w:pos="567"/>
              </w:tabs>
              <w:jc w:val="center"/>
              <w:rPr>
                <w:rFonts w:asciiTheme="majorBidi" w:hAnsiTheme="majorBidi" w:cstheme="majorBidi"/>
                <w:sz w:val="20"/>
                <w:szCs w:val="20"/>
              </w:rPr>
            </w:pPr>
          </w:p>
        </w:tc>
      </w:tr>
      <w:tr w:rsidR="00DF6B85" w:rsidRPr="003323BA" w14:paraId="233F154F" w14:textId="77777777" w:rsidTr="007230D2">
        <w:trPr>
          <w:trHeight w:val="360"/>
          <w:jc w:val="center"/>
        </w:trPr>
        <w:tc>
          <w:tcPr>
            <w:tcW w:w="3600" w:type="dxa"/>
            <w:tcBorders>
              <w:top w:val="nil"/>
              <w:left w:val="nil"/>
              <w:bottom w:val="nil"/>
              <w:right w:val="nil"/>
            </w:tcBorders>
            <w:vAlign w:val="center"/>
          </w:tcPr>
          <w:p w14:paraId="155EFDEA" w14:textId="77777777" w:rsidR="00DF6B85" w:rsidRPr="00971EAB" w:rsidRDefault="00DF6B85"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Accuracy Ratio</w:t>
            </w:r>
          </w:p>
        </w:tc>
        <w:tc>
          <w:tcPr>
            <w:tcW w:w="1491" w:type="dxa"/>
            <w:tcBorders>
              <w:top w:val="nil"/>
              <w:left w:val="nil"/>
              <w:bottom w:val="nil"/>
              <w:right w:val="nil"/>
            </w:tcBorders>
            <w:vAlign w:val="bottom"/>
          </w:tcPr>
          <w:p w14:paraId="783FB4AC" w14:textId="77777777" w:rsidR="00DF6B85" w:rsidRPr="003323BA" w:rsidRDefault="008D2E00"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+0.02</w:t>
            </w:r>
          </w:p>
        </w:tc>
        <w:tc>
          <w:tcPr>
            <w:tcW w:w="1491" w:type="dxa"/>
            <w:tcBorders>
              <w:top w:val="nil"/>
              <w:left w:val="nil"/>
              <w:bottom w:val="nil"/>
              <w:right w:val="nil"/>
            </w:tcBorders>
            <w:vAlign w:val="bottom"/>
          </w:tcPr>
          <w:p w14:paraId="3F03334E" w14:textId="77777777" w:rsidR="00DF6B85" w:rsidRPr="003323BA" w:rsidRDefault="008D2E00"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+0.02</w:t>
            </w:r>
          </w:p>
        </w:tc>
        <w:tc>
          <w:tcPr>
            <w:tcW w:w="1492" w:type="dxa"/>
            <w:tcBorders>
              <w:top w:val="nil"/>
              <w:left w:val="nil"/>
              <w:bottom w:val="nil"/>
              <w:right w:val="nil"/>
            </w:tcBorders>
            <w:vAlign w:val="bottom"/>
          </w:tcPr>
          <w:p w14:paraId="78D404E2" w14:textId="77777777" w:rsidR="00DF6B85" w:rsidRPr="00A238D9" w:rsidRDefault="008D2E00"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+0.01</w:t>
            </w:r>
          </w:p>
        </w:tc>
        <w:tc>
          <w:tcPr>
            <w:tcW w:w="1491" w:type="dxa"/>
            <w:tcBorders>
              <w:top w:val="nil"/>
              <w:left w:val="nil"/>
              <w:bottom w:val="nil"/>
              <w:right w:val="nil"/>
            </w:tcBorders>
            <w:shd w:val="clear" w:color="auto" w:fill="auto"/>
            <w:vAlign w:val="bottom"/>
          </w:tcPr>
          <w:p w14:paraId="78CC523A" w14:textId="77777777" w:rsidR="00DF6B85" w:rsidRPr="00A3027A" w:rsidRDefault="008D2E00"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+0.18</w:t>
            </w:r>
          </w:p>
        </w:tc>
        <w:tc>
          <w:tcPr>
            <w:tcW w:w="1492" w:type="dxa"/>
            <w:tcBorders>
              <w:top w:val="nil"/>
              <w:left w:val="nil"/>
              <w:bottom w:val="nil"/>
              <w:right w:val="nil"/>
            </w:tcBorders>
            <w:vAlign w:val="bottom"/>
          </w:tcPr>
          <w:p w14:paraId="517B6C49" w14:textId="77777777" w:rsidR="00DF6B85" w:rsidRPr="00892687" w:rsidRDefault="008D2E00"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+0.22</w:t>
            </w:r>
          </w:p>
        </w:tc>
        <w:tc>
          <w:tcPr>
            <w:tcW w:w="1491" w:type="dxa"/>
            <w:tcBorders>
              <w:top w:val="nil"/>
              <w:left w:val="nil"/>
              <w:bottom w:val="nil"/>
              <w:right w:val="nil"/>
            </w:tcBorders>
            <w:vAlign w:val="bottom"/>
          </w:tcPr>
          <w:p w14:paraId="06F6180C" w14:textId="77777777" w:rsidR="00DF6B85" w:rsidRPr="00E91099" w:rsidRDefault="008D2E00"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+0.02</w:t>
            </w:r>
          </w:p>
        </w:tc>
        <w:tc>
          <w:tcPr>
            <w:tcW w:w="1492" w:type="dxa"/>
            <w:gridSpan w:val="2"/>
            <w:tcBorders>
              <w:top w:val="nil"/>
              <w:left w:val="nil"/>
              <w:bottom w:val="nil"/>
              <w:right w:val="nil"/>
            </w:tcBorders>
            <w:vAlign w:val="bottom"/>
          </w:tcPr>
          <w:p w14:paraId="2A052A93" w14:textId="77777777" w:rsidR="00DF6B85" w:rsidRPr="003323BA" w:rsidRDefault="008D2E00"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+0.02</w:t>
            </w:r>
          </w:p>
        </w:tc>
      </w:tr>
      <w:tr w:rsidR="008D2E00" w:rsidRPr="003323BA" w14:paraId="097780FC" w14:textId="77777777" w:rsidTr="007230D2">
        <w:trPr>
          <w:trHeight w:val="360"/>
          <w:jc w:val="center"/>
        </w:trPr>
        <w:tc>
          <w:tcPr>
            <w:tcW w:w="3600" w:type="dxa"/>
            <w:tcBorders>
              <w:top w:val="nil"/>
              <w:left w:val="nil"/>
              <w:bottom w:val="nil"/>
              <w:right w:val="nil"/>
            </w:tcBorders>
            <w:vAlign w:val="center"/>
          </w:tcPr>
          <w:p w14:paraId="46212B40" w14:textId="77777777" w:rsidR="008D2E00" w:rsidRPr="00971EAB" w:rsidRDefault="008D2E00" w:rsidP="00260D7D">
            <w:pPr>
              <w:tabs>
                <w:tab w:val="left" w:pos="567"/>
              </w:tabs>
              <w:rPr>
                <w:rFonts w:asciiTheme="majorBidi" w:hAnsiTheme="majorBidi" w:cstheme="majorBidi"/>
                <w:sz w:val="20"/>
                <w:szCs w:val="20"/>
              </w:rPr>
            </w:pPr>
            <w:r>
              <w:rPr>
                <w:rFonts w:asciiTheme="majorBidi" w:hAnsiTheme="majorBidi" w:cstheme="majorBidi"/>
                <w:sz w:val="20"/>
                <w:szCs w:val="20"/>
              </w:rPr>
              <w:t xml:space="preserve">Specifity </w:t>
            </w:r>
            <w:r w:rsidRPr="00971EAB">
              <w:rPr>
                <w:rFonts w:asciiTheme="majorBidi" w:hAnsiTheme="majorBidi" w:cstheme="majorBidi"/>
                <w:sz w:val="20"/>
                <w:szCs w:val="20"/>
              </w:rPr>
              <w:t>(Sensitivity)</w:t>
            </w:r>
          </w:p>
        </w:tc>
        <w:tc>
          <w:tcPr>
            <w:tcW w:w="1491" w:type="dxa"/>
            <w:tcBorders>
              <w:top w:val="nil"/>
              <w:left w:val="nil"/>
              <w:bottom w:val="nil"/>
              <w:right w:val="nil"/>
            </w:tcBorders>
            <w:vAlign w:val="center"/>
          </w:tcPr>
          <w:p w14:paraId="01850EE5" w14:textId="77777777" w:rsidR="008D2E00" w:rsidRPr="00C32776" w:rsidRDefault="008D2E00"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+0.02</w:t>
            </w:r>
            <w:r w:rsidRPr="00C32776">
              <w:rPr>
                <w:rFonts w:asciiTheme="majorBidi" w:hAnsiTheme="majorBidi" w:cstheme="majorBidi"/>
                <w:sz w:val="20"/>
                <w:szCs w:val="20"/>
              </w:rPr>
              <w:t xml:space="preserve"> (</w:t>
            </w:r>
            <w:r>
              <w:rPr>
                <w:rFonts w:asciiTheme="majorBidi" w:hAnsiTheme="majorBidi" w:cstheme="majorBidi"/>
                <w:sz w:val="20"/>
                <w:szCs w:val="20"/>
              </w:rPr>
              <w:t>+</w:t>
            </w:r>
            <w:r w:rsidRPr="00C32776">
              <w:rPr>
                <w:rFonts w:asciiTheme="majorBidi" w:hAnsiTheme="majorBidi" w:cstheme="majorBidi"/>
                <w:sz w:val="20"/>
                <w:szCs w:val="20"/>
              </w:rPr>
              <w:t>0.</w:t>
            </w:r>
            <w:r>
              <w:rPr>
                <w:rFonts w:asciiTheme="majorBidi" w:hAnsiTheme="majorBidi" w:cstheme="majorBidi"/>
                <w:sz w:val="20"/>
                <w:szCs w:val="20"/>
              </w:rPr>
              <w:t>09</w:t>
            </w:r>
            <w:r w:rsidRPr="00C32776">
              <w:rPr>
                <w:rFonts w:asciiTheme="majorBidi" w:hAnsiTheme="majorBidi" w:cstheme="majorBidi"/>
                <w:sz w:val="20"/>
                <w:szCs w:val="20"/>
              </w:rPr>
              <w:t>)</w:t>
            </w:r>
          </w:p>
        </w:tc>
        <w:tc>
          <w:tcPr>
            <w:tcW w:w="1491" w:type="dxa"/>
            <w:tcBorders>
              <w:top w:val="nil"/>
              <w:left w:val="nil"/>
              <w:bottom w:val="nil"/>
              <w:right w:val="nil"/>
            </w:tcBorders>
            <w:vAlign w:val="center"/>
          </w:tcPr>
          <w:p w14:paraId="68991618" w14:textId="77777777" w:rsidR="008D2E00" w:rsidRPr="00A238D9" w:rsidRDefault="008D2E00"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+0.02</w:t>
            </w:r>
            <w:r w:rsidRPr="00A238D9">
              <w:rPr>
                <w:rFonts w:asciiTheme="majorBidi" w:hAnsiTheme="majorBidi" w:cstheme="majorBidi"/>
                <w:sz w:val="20"/>
                <w:szCs w:val="20"/>
              </w:rPr>
              <w:t xml:space="preserve"> (</w:t>
            </w:r>
            <w:r>
              <w:rPr>
                <w:rFonts w:asciiTheme="majorBidi" w:hAnsiTheme="majorBidi" w:cstheme="majorBidi"/>
                <w:sz w:val="20"/>
                <w:szCs w:val="20"/>
              </w:rPr>
              <w:t>+</w:t>
            </w:r>
            <w:r w:rsidRPr="00A238D9">
              <w:rPr>
                <w:rFonts w:asciiTheme="majorBidi" w:hAnsiTheme="majorBidi" w:cstheme="majorBidi"/>
                <w:sz w:val="20"/>
                <w:szCs w:val="20"/>
              </w:rPr>
              <w:t>0.</w:t>
            </w:r>
            <w:r>
              <w:rPr>
                <w:rFonts w:asciiTheme="majorBidi" w:hAnsiTheme="majorBidi" w:cstheme="majorBidi"/>
                <w:sz w:val="20"/>
                <w:szCs w:val="20"/>
              </w:rPr>
              <w:t>05</w:t>
            </w:r>
            <w:r w:rsidRPr="00A238D9">
              <w:rPr>
                <w:rFonts w:asciiTheme="majorBidi" w:hAnsiTheme="majorBidi" w:cstheme="majorBidi"/>
                <w:sz w:val="20"/>
                <w:szCs w:val="20"/>
              </w:rPr>
              <w:t>)</w:t>
            </w:r>
          </w:p>
        </w:tc>
        <w:tc>
          <w:tcPr>
            <w:tcW w:w="1492" w:type="dxa"/>
            <w:tcBorders>
              <w:top w:val="nil"/>
              <w:left w:val="nil"/>
              <w:bottom w:val="nil"/>
              <w:right w:val="nil"/>
            </w:tcBorders>
            <w:vAlign w:val="center"/>
          </w:tcPr>
          <w:p w14:paraId="53F18BAF" w14:textId="77777777" w:rsidR="008D2E00" w:rsidRPr="00527C24" w:rsidRDefault="008D2E00"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527C24">
              <w:rPr>
                <w:rFonts w:asciiTheme="majorBidi" w:hAnsiTheme="majorBidi" w:cstheme="majorBidi"/>
                <w:sz w:val="20"/>
                <w:szCs w:val="20"/>
              </w:rPr>
              <w:t>0.</w:t>
            </w:r>
            <w:r>
              <w:rPr>
                <w:rFonts w:asciiTheme="majorBidi" w:hAnsiTheme="majorBidi" w:cstheme="majorBidi"/>
                <w:sz w:val="20"/>
                <w:szCs w:val="20"/>
              </w:rPr>
              <w:t>01</w:t>
            </w:r>
            <w:r w:rsidRPr="00527C24">
              <w:rPr>
                <w:rFonts w:asciiTheme="majorBidi" w:hAnsiTheme="majorBidi" w:cstheme="majorBidi"/>
                <w:sz w:val="20"/>
                <w:szCs w:val="20"/>
              </w:rPr>
              <w:t xml:space="preserve"> (</w:t>
            </w:r>
            <w:r>
              <w:rPr>
                <w:rFonts w:asciiTheme="majorBidi" w:hAnsiTheme="majorBidi" w:cstheme="majorBidi"/>
                <w:sz w:val="20"/>
                <w:szCs w:val="20"/>
              </w:rPr>
              <w:t>+</w:t>
            </w:r>
            <w:r w:rsidRPr="00527C24">
              <w:rPr>
                <w:rFonts w:asciiTheme="majorBidi" w:hAnsiTheme="majorBidi" w:cstheme="majorBidi"/>
                <w:sz w:val="20"/>
                <w:szCs w:val="20"/>
              </w:rPr>
              <w:t>0.</w:t>
            </w:r>
            <w:r>
              <w:rPr>
                <w:rFonts w:asciiTheme="majorBidi" w:hAnsiTheme="majorBidi" w:cstheme="majorBidi"/>
                <w:sz w:val="20"/>
                <w:szCs w:val="20"/>
              </w:rPr>
              <w:t>07</w:t>
            </w:r>
            <w:r w:rsidRPr="00527C24">
              <w:rPr>
                <w:rFonts w:asciiTheme="majorBidi" w:hAnsiTheme="majorBidi" w:cstheme="majorBidi"/>
                <w:sz w:val="20"/>
                <w:szCs w:val="20"/>
              </w:rPr>
              <w:t>)</w:t>
            </w:r>
          </w:p>
        </w:tc>
        <w:tc>
          <w:tcPr>
            <w:tcW w:w="1491" w:type="dxa"/>
            <w:tcBorders>
              <w:top w:val="nil"/>
              <w:left w:val="nil"/>
              <w:bottom w:val="nil"/>
              <w:right w:val="nil"/>
            </w:tcBorders>
            <w:shd w:val="clear" w:color="auto" w:fill="auto"/>
            <w:vAlign w:val="center"/>
          </w:tcPr>
          <w:p w14:paraId="74888C44" w14:textId="77777777" w:rsidR="008D2E00" w:rsidRPr="00242D0B" w:rsidRDefault="008D2E00"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242D0B">
              <w:rPr>
                <w:rFonts w:asciiTheme="majorBidi" w:hAnsiTheme="majorBidi" w:cstheme="majorBidi"/>
                <w:sz w:val="20"/>
                <w:szCs w:val="20"/>
              </w:rPr>
              <w:t>0.</w:t>
            </w:r>
            <w:r>
              <w:rPr>
                <w:rFonts w:asciiTheme="majorBidi" w:hAnsiTheme="majorBidi" w:cstheme="majorBidi"/>
                <w:sz w:val="20"/>
                <w:szCs w:val="20"/>
              </w:rPr>
              <w:t>18</w:t>
            </w:r>
            <w:r w:rsidRPr="00242D0B">
              <w:rPr>
                <w:rFonts w:asciiTheme="majorBidi" w:hAnsiTheme="majorBidi" w:cstheme="majorBidi"/>
                <w:sz w:val="20"/>
                <w:szCs w:val="20"/>
              </w:rPr>
              <w:t xml:space="preserve"> (</w:t>
            </w:r>
            <w:r>
              <w:rPr>
                <w:rFonts w:asciiTheme="majorBidi" w:hAnsiTheme="majorBidi" w:cstheme="majorBidi"/>
                <w:sz w:val="20"/>
                <w:szCs w:val="20"/>
              </w:rPr>
              <w:t>+</w:t>
            </w:r>
            <w:r w:rsidRPr="00242D0B">
              <w:rPr>
                <w:rFonts w:asciiTheme="majorBidi" w:hAnsiTheme="majorBidi" w:cstheme="majorBidi"/>
                <w:sz w:val="20"/>
                <w:szCs w:val="20"/>
              </w:rPr>
              <w:t>0.</w:t>
            </w:r>
            <w:r>
              <w:rPr>
                <w:rFonts w:asciiTheme="majorBidi" w:hAnsiTheme="majorBidi" w:cstheme="majorBidi"/>
                <w:sz w:val="20"/>
                <w:szCs w:val="20"/>
              </w:rPr>
              <w:t>06</w:t>
            </w:r>
            <w:r w:rsidRPr="00242D0B">
              <w:rPr>
                <w:rFonts w:asciiTheme="majorBidi" w:hAnsiTheme="majorBidi" w:cstheme="majorBidi"/>
                <w:sz w:val="20"/>
                <w:szCs w:val="20"/>
              </w:rPr>
              <w:t>)</w:t>
            </w:r>
          </w:p>
        </w:tc>
        <w:tc>
          <w:tcPr>
            <w:tcW w:w="1492" w:type="dxa"/>
            <w:tcBorders>
              <w:top w:val="nil"/>
              <w:left w:val="nil"/>
              <w:bottom w:val="nil"/>
              <w:right w:val="nil"/>
            </w:tcBorders>
            <w:vAlign w:val="center"/>
          </w:tcPr>
          <w:p w14:paraId="357A08C9" w14:textId="77777777" w:rsidR="008D2E00" w:rsidRPr="00527C24" w:rsidRDefault="008D2E00"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527C24">
              <w:rPr>
                <w:rFonts w:asciiTheme="majorBidi" w:hAnsiTheme="majorBidi" w:cstheme="majorBidi"/>
                <w:sz w:val="20"/>
                <w:szCs w:val="20"/>
              </w:rPr>
              <w:t>0.</w:t>
            </w:r>
            <w:r>
              <w:rPr>
                <w:rFonts w:asciiTheme="majorBidi" w:hAnsiTheme="majorBidi" w:cstheme="majorBidi"/>
                <w:sz w:val="20"/>
                <w:szCs w:val="20"/>
              </w:rPr>
              <w:t>22</w:t>
            </w:r>
            <w:r w:rsidRPr="00527C24">
              <w:rPr>
                <w:rFonts w:asciiTheme="majorBidi" w:hAnsiTheme="majorBidi" w:cstheme="majorBidi"/>
                <w:sz w:val="20"/>
                <w:szCs w:val="20"/>
              </w:rPr>
              <w:t xml:space="preserve"> (</w:t>
            </w:r>
            <w:r w:rsidR="00605845">
              <w:rPr>
                <w:rFonts w:asciiTheme="majorBidi" w:hAnsiTheme="majorBidi" w:cstheme="majorBidi"/>
                <w:sz w:val="20"/>
                <w:szCs w:val="20"/>
              </w:rPr>
              <w:t>+</w:t>
            </w:r>
            <w:r w:rsidRPr="00527C24">
              <w:rPr>
                <w:rFonts w:asciiTheme="majorBidi" w:hAnsiTheme="majorBidi" w:cstheme="majorBidi"/>
                <w:sz w:val="20"/>
                <w:szCs w:val="20"/>
              </w:rPr>
              <w:t>0.</w:t>
            </w:r>
            <w:r w:rsidR="00605845">
              <w:rPr>
                <w:rFonts w:asciiTheme="majorBidi" w:hAnsiTheme="majorBidi" w:cstheme="majorBidi"/>
                <w:sz w:val="20"/>
                <w:szCs w:val="20"/>
              </w:rPr>
              <w:t>06</w:t>
            </w:r>
            <w:r w:rsidRPr="00527C24">
              <w:rPr>
                <w:rFonts w:asciiTheme="majorBidi" w:hAnsiTheme="majorBidi" w:cstheme="majorBidi"/>
                <w:sz w:val="20"/>
                <w:szCs w:val="20"/>
              </w:rPr>
              <w:t>)</w:t>
            </w:r>
          </w:p>
        </w:tc>
        <w:tc>
          <w:tcPr>
            <w:tcW w:w="1491" w:type="dxa"/>
            <w:tcBorders>
              <w:top w:val="nil"/>
              <w:left w:val="nil"/>
              <w:bottom w:val="nil"/>
              <w:right w:val="nil"/>
            </w:tcBorders>
            <w:vAlign w:val="center"/>
          </w:tcPr>
          <w:p w14:paraId="25AFD911" w14:textId="77777777" w:rsidR="008D2E00" w:rsidRPr="00E91099" w:rsidRDefault="00605845"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+0.02</w:t>
            </w:r>
            <w:r w:rsidR="008D2E00" w:rsidRPr="00E91099">
              <w:rPr>
                <w:rFonts w:asciiTheme="majorBidi" w:hAnsiTheme="majorBidi" w:cstheme="majorBidi"/>
                <w:sz w:val="20"/>
                <w:szCs w:val="20"/>
              </w:rPr>
              <w:t xml:space="preserve"> (</w:t>
            </w:r>
            <w:r>
              <w:rPr>
                <w:rFonts w:asciiTheme="majorBidi" w:hAnsiTheme="majorBidi" w:cstheme="majorBidi"/>
                <w:sz w:val="20"/>
                <w:szCs w:val="20"/>
              </w:rPr>
              <w:t>+</w:t>
            </w:r>
            <w:r w:rsidR="008D2E00" w:rsidRPr="00E91099">
              <w:rPr>
                <w:rFonts w:asciiTheme="majorBidi" w:hAnsiTheme="majorBidi" w:cstheme="majorBidi"/>
                <w:sz w:val="20"/>
                <w:szCs w:val="20"/>
              </w:rPr>
              <w:t>0.</w:t>
            </w:r>
            <w:r>
              <w:rPr>
                <w:rFonts w:asciiTheme="majorBidi" w:hAnsiTheme="majorBidi" w:cstheme="majorBidi"/>
                <w:sz w:val="20"/>
                <w:szCs w:val="20"/>
              </w:rPr>
              <w:t>03</w:t>
            </w:r>
            <w:r w:rsidR="008D2E00" w:rsidRPr="00E91099">
              <w:rPr>
                <w:rFonts w:asciiTheme="majorBidi" w:hAnsiTheme="majorBidi" w:cstheme="majorBidi"/>
                <w:sz w:val="20"/>
                <w:szCs w:val="20"/>
              </w:rPr>
              <w:t>)</w:t>
            </w:r>
          </w:p>
        </w:tc>
        <w:tc>
          <w:tcPr>
            <w:tcW w:w="1492" w:type="dxa"/>
            <w:gridSpan w:val="2"/>
            <w:tcBorders>
              <w:top w:val="nil"/>
              <w:left w:val="nil"/>
              <w:bottom w:val="nil"/>
              <w:right w:val="nil"/>
            </w:tcBorders>
            <w:vAlign w:val="center"/>
          </w:tcPr>
          <w:p w14:paraId="6627370B" w14:textId="77777777" w:rsidR="008D2E00" w:rsidRPr="00C32776" w:rsidRDefault="00605845"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+0.02</w:t>
            </w:r>
            <w:r w:rsidR="008D2E00" w:rsidRPr="00C32776">
              <w:rPr>
                <w:rFonts w:asciiTheme="majorBidi" w:hAnsiTheme="majorBidi" w:cstheme="majorBidi"/>
                <w:sz w:val="20"/>
                <w:szCs w:val="20"/>
              </w:rPr>
              <w:t xml:space="preserve"> (</w:t>
            </w:r>
            <w:r>
              <w:rPr>
                <w:rFonts w:asciiTheme="majorBidi" w:hAnsiTheme="majorBidi" w:cstheme="majorBidi"/>
                <w:sz w:val="20"/>
                <w:szCs w:val="20"/>
              </w:rPr>
              <w:t>+</w:t>
            </w:r>
            <w:r w:rsidR="008D2E00" w:rsidRPr="00C32776">
              <w:rPr>
                <w:rFonts w:asciiTheme="majorBidi" w:hAnsiTheme="majorBidi" w:cstheme="majorBidi"/>
                <w:sz w:val="20"/>
                <w:szCs w:val="20"/>
              </w:rPr>
              <w:t>0.</w:t>
            </w:r>
            <w:r>
              <w:rPr>
                <w:rFonts w:asciiTheme="majorBidi" w:hAnsiTheme="majorBidi" w:cstheme="majorBidi"/>
                <w:sz w:val="20"/>
                <w:szCs w:val="20"/>
              </w:rPr>
              <w:t>09</w:t>
            </w:r>
            <w:r w:rsidR="008D2E00" w:rsidRPr="00C32776">
              <w:rPr>
                <w:rFonts w:asciiTheme="majorBidi" w:hAnsiTheme="majorBidi" w:cstheme="majorBidi"/>
                <w:sz w:val="20"/>
                <w:szCs w:val="20"/>
              </w:rPr>
              <w:t>)</w:t>
            </w:r>
          </w:p>
        </w:tc>
      </w:tr>
      <w:tr w:rsidR="00D2626A" w:rsidRPr="003323BA" w14:paraId="48839DE5" w14:textId="77777777" w:rsidTr="007230D2">
        <w:trPr>
          <w:trHeight w:val="360"/>
          <w:jc w:val="center"/>
        </w:trPr>
        <w:tc>
          <w:tcPr>
            <w:tcW w:w="3600" w:type="dxa"/>
            <w:tcBorders>
              <w:top w:val="nil"/>
              <w:left w:val="nil"/>
              <w:bottom w:val="nil"/>
              <w:right w:val="nil"/>
            </w:tcBorders>
            <w:vAlign w:val="center"/>
          </w:tcPr>
          <w:p w14:paraId="489BEACF" w14:textId="77777777" w:rsidR="00D2626A" w:rsidRPr="00971EAB" w:rsidRDefault="00D2626A"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Type I</w:t>
            </w:r>
            <w:r>
              <w:rPr>
                <w:rFonts w:asciiTheme="majorBidi" w:hAnsiTheme="majorBidi" w:cstheme="majorBidi"/>
                <w:sz w:val="20"/>
                <w:szCs w:val="20"/>
              </w:rPr>
              <w:t>I</w:t>
            </w:r>
            <w:r w:rsidRPr="00971EAB">
              <w:rPr>
                <w:rFonts w:asciiTheme="majorBidi" w:hAnsiTheme="majorBidi" w:cstheme="majorBidi"/>
                <w:sz w:val="20"/>
                <w:szCs w:val="20"/>
              </w:rPr>
              <w:t xml:space="preserve"> Error (Type I Error)</w:t>
            </w:r>
          </w:p>
        </w:tc>
        <w:tc>
          <w:tcPr>
            <w:tcW w:w="1491" w:type="dxa"/>
            <w:tcBorders>
              <w:top w:val="nil"/>
              <w:left w:val="nil"/>
              <w:bottom w:val="nil"/>
              <w:right w:val="nil"/>
            </w:tcBorders>
            <w:vAlign w:val="center"/>
          </w:tcPr>
          <w:p w14:paraId="208BE7EF" w14:textId="77777777" w:rsidR="00D2626A" w:rsidRPr="00C32776"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-0.02</w:t>
            </w:r>
            <w:r w:rsidRPr="00C32776">
              <w:rPr>
                <w:rFonts w:asciiTheme="majorBidi" w:hAnsiTheme="majorBidi" w:cstheme="majorBidi"/>
                <w:sz w:val="20"/>
                <w:szCs w:val="20"/>
              </w:rPr>
              <w:t xml:space="preserve"> (</w:t>
            </w:r>
            <w:r>
              <w:rPr>
                <w:rFonts w:asciiTheme="majorBidi" w:hAnsiTheme="majorBidi" w:cstheme="majorBidi"/>
                <w:sz w:val="20"/>
                <w:szCs w:val="20"/>
              </w:rPr>
              <w:t>-</w:t>
            </w:r>
            <w:r w:rsidRPr="00C32776">
              <w:rPr>
                <w:rFonts w:asciiTheme="majorBidi" w:hAnsiTheme="majorBidi" w:cstheme="majorBidi"/>
                <w:sz w:val="20"/>
                <w:szCs w:val="20"/>
              </w:rPr>
              <w:t>0.</w:t>
            </w:r>
            <w:r>
              <w:rPr>
                <w:rFonts w:asciiTheme="majorBidi" w:hAnsiTheme="majorBidi" w:cstheme="majorBidi"/>
                <w:sz w:val="20"/>
                <w:szCs w:val="20"/>
              </w:rPr>
              <w:t>09</w:t>
            </w:r>
            <w:r w:rsidRPr="00C32776">
              <w:rPr>
                <w:rFonts w:asciiTheme="majorBidi" w:hAnsiTheme="majorBidi" w:cstheme="majorBidi"/>
                <w:sz w:val="20"/>
                <w:szCs w:val="20"/>
              </w:rPr>
              <w:t>)</w:t>
            </w:r>
          </w:p>
        </w:tc>
        <w:tc>
          <w:tcPr>
            <w:tcW w:w="1491" w:type="dxa"/>
            <w:tcBorders>
              <w:top w:val="nil"/>
              <w:left w:val="nil"/>
              <w:bottom w:val="nil"/>
              <w:right w:val="nil"/>
            </w:tcBorders>
            <w:vAlign w:val="center"/>
          </w:tcPr>
          <w:p w14:paraId="324D8268" w14:textId="77777777" w:rsidR="00D2626A" w:rsidRPr="00A238D9"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A238D9">
              <w:rPr>
                <w:rFonts w:asciiTheme="majorBidi" w:hAnsiTheme="majorBidi" w:cstheme="majorBidi"/>
                <w:sz w:val="20"/>
                <w:szCs w:val="20"/>
              </w:rPr>
              <w:t>0.</w:t>
            </w:r>
            <w:r>
              <w:rPr>
                <w:rFonts w:asciiTheme="majorBidi" w:hAnsiTheme="majorBidi" w:cstheme="majorBidi"/>
                <w:sz w:val="20"/>
                <w:szCs w:val="20"/>
              </w:rPr>
              <w:t>01</w:t>
            </w:r>
            <w:r w:rsidRPr="00A238D9">
              <w:rPr>
                <w:rFonts w:asciiTheme="majorBidi" w:hAnsiTheme="majorBidi" w:cstheme="majorBidi"/>
                <w:sz w:val="20"/>
                <w:szCs w:val="20"/>
              </w:rPr>
              <w:t xml:space="preserve"> (</w:t>
            </w:r>
            <w:r>
              <w:rPr>
                <w:rFonts w:asciiTheme="majorBidi" w:hAnsiTheme="majorBidi" w:cstheme="majorBidi"/>
                <w:sz w:val="20"/>
                <w:szCs w:val="20"/>
              </w:rPr>
              <w:t>-</w:t>
            </w:r>
            <w:r w:rsidRPr="00A238D9">
              <w:rPr>
                <w:rFonts w:asciiTheme="majorBidi" w:hAnsiTheme="majorBidi" w:cstheme="majorBidi"/>
                <w:sz w:val="20"/>
                <w:szCs w:val="20"/>
              </w:rPr>
              <w:t>0.</w:t>
            </w:r>
            <w:r>
              <w:rPr>
                <w:rFonts w:asciiTheme="majorBidi" w:hAnsiTheme="majorBidi" w:cstheme="majorBidi"/>
                <w:sz w:val="20"/>
                <w:szCs w:val="20"/>
              </w:rPr>
              <w:t>05</w:t>
            </w:r>
            <w:r w:rsidRPr="00A238D9">
              <w:rPr>
                <w:rFonts w:asciiTheme="majorBidi" w:hAnsiTheme="majorBidi" w:cstheme="majorBidi"/>
                <w:sz w:val="20"/>
                <w:szCs w:val="20"/>
              </w:rPr>
              <w:t>)</w:t>
            </w:r>
          </w:p>
        </w:tc>
        <w:tc>
          <w:tcPr>
            <w:tcW w:w="1492" w:type="dxa"/>
            <w:tcBorders>
              <w:top w:val="nil"/>
              <w:left w:val="nil"/>
              <w:bottom w:val="nil"/>
              <w:right w:val="nil"/>
            </w:tcBorders>
            <w:vAlign w:val="center"/>
          </w:tcPr>
          <w:p w14:paraId="6290ADAA" w14:textId="77777777" w:rsidR="00D2626A" w:rsidRPr="00527C24"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-0.01</w:t>
            </w:r>
            <w:r w:rsidRPr="00527C24">
              <w:rPr>
                <w:rFonts w:asciiTheme="majorBidi" w:hAnsiTheme="majorBidi" w:cstheme="majorBidi"/>
                <w:sz w:val="20"/>
                <w:szCs w:val="20"/>
              </w:rPr>
              <w:t xml:space="preserve"> (</w:t>
            </w:r>
            <w:r>
              <w:rPr>
                <w:rFonts w:asciiTheme="majorBidi" w:hAnsiTheme="majorBidi" w:cstheme="majorBidi"/>
                <w:sz w:val="20"/>
                <w:szCs w:val="20"/>
              </w:rPr>
              <w:t>-</w:t>
            </w:r>
            <w:r w:rsidRPr="00527C24">
              <w:rPr>
                <w:rFonts w:asciiTheme="majorBidi" w:hAnsiTheme="majorBidi" w:cstheme="majorBidi"/>
                <w:sz w:val="20"/>
                <w:szCs w:val="20"/>
              </w:rPr>
              <w:t>0.</w:t>
            </w:r>
            <w:r>
              <w:rPr>
                <w:rFonts w:asciiTheme="majorBidi" w:hAnsiTheme="majorBidi" w:cstheme="majorBidi"/>
                <w:sz w:val="20"/>
                <w:szCs w:val="20"/>
              </w:rPr>
              <w:t>07</w:t>
            </w:r>
            <w:r w:rsidRPr="00527C24">
              <w:rPr>
                <w:rFonts w:asciiTheme="majorBidi" w:hAnsiTheme="majorBidi" w:cstheme="majorBidi"/>
                <w:sz w:val="20"/>
                <w:szCs w:val="20"/>
              </w:rPr>
              <w:t>)</w:t>
            </w:r>
          </w:p>
        </w:tc>
        <w:tc>
          <w:tcPr>
            <w:tcW w:w="1491" w:type="dxa"/>
            <w:tcBorders>
              <w:top w:val="nil"/>
              <w:left w:val="nil"/>
              <w:bottom w:val="nil"/>
              <w:right w:val="nil"/>
            </w:tcBorders>
            <w:vAlign w:val="center"/>
          </w:tcPr>
          <w:p w14:paraId="63634373" w14:textId="77777777" w:rsidR="00D2626A" w:rsidRPr="00242D0B"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242D0B">
              <w:rPr>
                <w:rFonts w:asciiTheme="majorBidi" w:hAnsiTheme="majorBidi" w:cstheme="majorBidi"/>
                <w:sz w:val="20"/>
                <w:szCs w:val="20"/>
              </w:rPr>
              <w:t>0.</w:t>
            </w:r>
            <w:r>
              <w:rPr>
                <w:rFonts w:asciiTheme="majorBidi" w:hAnsiTheme="majorBidi" w:cstheme="majorBidi"/>
                <w:sz w:val="20"/>
                <w:szCs w:val="20"/>
              </w:rPr>
              <w:t>18</w:t>
            </w:r>
            <w:r w:rsidRPr="00242D0B">
              <w:rPr>
                <w:rFonts w:asciiTheme="majorBidi" w:hAnsiTheme="majorBidi" w:cstheme="majorBidi"/>
                <w:sz w:val="20"/>
                <w:szCs w:val="20"/>
              </w:rPr>
              <w:t xml:space="preserve"> (</w:t>
            </w:r>
            <w:r>
              <w:rPr>
                <w:rFonts w:asciiTheme="majorBidi" w:hAnsiTheme="majorBidi" w:cstheme="majorBidi"/>
                <w:sz w:val="20"/>
                <w:szCs w:val="20"/>
              </w:rPr>
              <w:t>-</w:t>
            </w:r>
            <w:r w:rsidRPr="00242D0B">
              <w:rPr>
                <w:rFonts w:asciiTheme="majorBidi" w:hAnsiTheme="majorBidi" w:cstheme="majorBidi"/>
                <w:sz w:val="20"/>
                <w:szCs w:val="20"/>
              </w:rPr>
              <w:t>0.</w:t>
            </w:r>
            <w:r>
              <w:rPr>
                <w:rFonts w:asciiTheme="majorBidi" w:hAnsiTheme="majorBidi" w:cstheme="majorBidi"/>
                <w:sz w:val="20"/>
                <w:szCs w:val="20"/>
              </w:rPr>
              <w:t>06</w:t>
            </w:r>
            <w:r w:rsidRPr="00242D0B">
              <w:rPr>
                <w:rFonts w:asciiTheme="majorBidi" w:hAnsiTheme="majorBidi" w:cstheme="majorBidi"/>
                <w:sz w:val="20"/>
                <w:szCs w:val="20"/>
              </w:rPr>
              <w:t>)</w:t>
            </w:r>
          </w:p>
        </w:tc>
        <w:tc>
          <w:tcPr>
            <w:tcW w:w="1492" w:type="dxa"/>
            <w:tcBorders>
              <w:top w:val="nil"/>
              <w:left w:val="nil"/>
              <w:bottom w:val="nil"/>
              <w:right w:val="nil"/>
            </w:tcBorders>
            <w:vAlign w:val="center"/>
          </w:tcPr>
          <w:p w14:paraId="721F73CF" w14:textId="77777777" w:rsidR="00D2626A" w:rsidRPr="00527C24"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527C24">
              <w:rPr>
                <w:rFonts w:asciiTheme="majorBidi" w:hAnsiTheme="majorBidi" w:cstheme="majorBidi"/>
                <w:sz w:val="20"/>
                <w:szCs w:val="20"/>
              </w:rPr>
              <w:t>0.</w:t>
            </w:r>
            <w:r>
              <w:rPr>
                <w:rFonts w:asciiTheme="majorBidi" w:hAnsiTheme="majorBidi" w:cstheme="majorBidi"/>
                <w:sz w:val="20"/>
                <w:szCs w:val="20"/>
              </w:rPr>
              <w:t>22</w:t>
            </w:r>
            <w:r w:rsidRPr="00527C24">
              <w:rPr>
                <w:rFonts w:asciiTheme="majorBidi" w:hAnsiTheme="majorBidi" w:cstheme="majorBidi"/>
                <w:sz w:val="20"/>
                <w:szCs w:val="20"/>
              </w:rPr>
              <w:t xml:space="preserve"> (</w:t>
            </w:r>
            <w:r>
              <w:rPr>
                <w:rFonts w:asciiTheme="majorBidi" w:hAnsiTheme="majorBidi" w:cstheme="majorBidi"/>
                <w:sz w:val="20"/>
                <w:szCs w:val="20"/>
              </w:rPr>
              <w:t>-</w:t>
            </w:r>
            <w:r w:rsidRPr="00527C24">
              <w:rPr>
                <w:rFonts w:asciiTheme="majorBidi" w:hAnsiTheme="majorBidi" w:cstheme="majorBidi"/>
                <w:sz w:val="20"/>
                <w:szCs w:val="20"/>
              </w:rPr>
              <w:t>0.</w:t>
            </w:r>
            <w:r>
              <w:rPr>
                <w:rFonts w:asciiTheme="majorBidi" w:hAnsiTheme="majorBidi" w:cstheme="majorBidi"/>
                <w:sz w:val="20"/>
                <w:szCs w:val="20"/>
              </w:rPr>
              <w:t>06</w:t>
            </w:r>
            <w:r w:rsidRPr="00527C24">
              <w:rPr>
                <w:rFonts w:asciiTheme="majorBidi" w:hAnsiTheme="majorBidi" w:cstheme="majorBidi"/>
                <w:sz w:val="20"/>
                <w:szCs w:val="20"/>
              </w:rPr>
              <w:t>)</w:t>
            </w:r>
          </w:p>
        </w:tc>
        <w:tc>
          <w:tcPr>
            <w:tcW w:w="1491" w:type="dxa"/>
            <w:tcBorders>
              <w:top w:val="nil"/>
              <w:left w:val="nil"/>
              <w:bottom w:val="nil"/>
              <w:right w:val="nil"/>
            </w:tcBorders>
            <w:vAlign w:val="center"/>
          </w:tcPr>
          <w:p w14:paraId="3BAAAEA8" w14:textId="77777777" w:rsidR="00D2626A" w:rsidRPr="00E91099"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-0.02</w:t>
            </w:r>
            <w:r w:rsidRPr="00E91099">
              <w:rPr>
                <w:rFonts w:asciiTheme="majorBidi" w:hAnsiTheme="majorBidi" w:cstheme="majorBidi"/>
                <w:sz w:val="20"/>
                <w:szCs w:val="20"/>
              </w:rPr>
              <w:t xml:space="preserve"> (</w:t>
            </w:r>
            <w:r>
              <w:rPr>
                <w:rFonts w:asciiTheme="majorBidi" w:hAnsiTheme="majorBidi" w:cstheme="majorBidi"/>
                <w:sz w:val="20"/>
                <w:szCs w:val="20"/>
              </w:rPr>
              <w:t>-</w:t>
            </w:r>
            <w:r w:rsidRPr="00E91099">
              <w:rPr>
                <w:rFonts w:asciiTheme="majorBidi" w:hAnsiTheme="majorBidi" w:cstheme="majorBidi"/>
                <w:sz w:val="20"/>
                <w:szCs w:val="20"/>
              </w:rPr>
              <w:t>0.</w:t>
            </w:r>
            <w:r>
              <w:rPr>
                <w:rFonts w:asciiTheme="majorBidi" w:hAnsiTheme="majorBidi" w:cstheme="majorBidi"/>
                <w:sz w:val="20"/>
                <w:szCs w:val="20"/>
              </w:rPr>
              <w:t>03</w:t>
            </w:r>
            <w:r w:rsidRPr="00E91099">
              <w:rPr>
                <w:rFonts w:asciiTheme="majorBidi" w:hAnsiTheme="majorBidi" w:cstheme="majorBidi"/>
                <w:sz w:val="20"/>
                <w:szCs w:val="20"/>
              </w:rPr>
              <w:t>)</w:t>
            </w:r>
          </w:p>
        </w:tc>
        <w:tc>
          <w:tcPr>
            <w:tcW w:w="1492" w:type="dxa"/>
            <w:gridSpan w:val="2"/>
            <w:tcBorders>
              <w:top w:val="nil"/>
              <w:left w:val="nil"/>
              <w:bottom w:val="nil"/>
              <w:right w:val="nil"/>
            </w:tcBorders>
            <w:vAlign w:val="center"/>
          </w:tcPr>
          <w:p w14:paraId="1DFB3096" w14:textId="77777777" w:rsidR="00D2626A" w:rsidRPr="00C32776"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-0.02</w:t>
            </w:r>
            <w:r w:rsidRPr="00C32776">
              <w:rPr>
                <w:rFonts w:asciiTheme="majorBidi" w:hAnsiTheme="majorBidi" w:cstheme="majorBidi"/>
                <w:sz w:val="20"/>
                <w:szCs w:val="20"/>
              </w:rPr>
              <w:t xml:space="preserve"> (</w:t>
            </w:r>
            <w:r>
              <w:rPr>
                <w:rFonts w:asciiTheme="majorBidi" w:hAnsiTheme="majorBidi" w:cstheme="majorBidi"/>
                <w:sz w:val="20"/>
                <w:szCs w:val="20"/>
              </w:rPr>
              <w:t>-</w:t>
            </w:r>
            <w:r w:rsidRPr="00C32776">
              <w:rPr>
                <w:rFonts w:asciiTheme="majorBidi" w:hAnsiTheme="majorBidi" w:cstheme="majorBidi"/>
                <w:sz w:val="20"/>
                <w:szCs w:val="20"/>
              </w:rPr>
              <w:t>0.</w:t>
            </w:r>
            <w:r>
              <w:rPr>
                <w:rFonts w:asciiTheme="majorBidi" w:hAnsiTheme="majorBidi" w:cstheme="majorBidi"/>
                <w:sz w:val="20"/>
                <w:szCs w:val="20"/>
              </w:rPr>
              <w:t>09</w:t>
            </w:r>
            <w:r w:rsidRPr="00C32776">
              <w:rPr>
                <w:rFonts w:asciiTheme="majorBidi" w:hAnsiTheme="majorBidi" w:cstheme="majorBidi"/>
                <w:sz w:val="20"/>
                <w:szCs w:val="20"/>
              </w:rPr>
              <w:t>)</w:t>
            </w:r>
          </w:p>
        </w:tc>
      </w:tr>
      <w:tr w:rsidR="00D2626A" w:rsidRPr="003323BA" w14:paraId="13F9EA4C" w14:textId="77777777" w:rsidTr="007230D2">
        <w:trPr>
          <w:trHeight w:val="360"/>
          <w:jc w:val="center"/>
        </w:trPr>
        <w:tc>
          <w:tcPr>
            <w:tcW w:w="3600" w:type="dxa"/>
            <w:tcBorders>
              <w:top w:val="nil"/>
              <w:left w:val="nil"/>
              <w:bottom w:val="nil"/>
              <w:right w:val="nil"/>
            </w:tcBorders>
            <w:vAlign w:val="center"/>
          </w:tcPr>
          <w:p w14:paraId="7C4D24E4" w14:textId="77777777" w:rsidR="00D2626A" w:rsidRPr="00971EAB" w:rsidRDefault="00D2626A"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Misclassification Cost</w:t>
            </w:r>
          </w:p>
        </w:tc>
        <w:tc>
          <w:tcPr>
            <w:tcW w:w="1491" w:type="dxa"/>
            <w:tcBorders>
              <w:top w:val="nil"/>
              <w:left w:val="nil"/>
              <w:bottom w:val="nil"/>
              <w:right w:val="nil"/>
            </w:tcBorders>
            <w:vAlign w:val="bottom"/>
          </w:tcPr>
          <w:p w14:paraId="368D42B4" w14:textId="77777777" w:rsidR="00D2626A" w:rsidRPr="003323BA"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-0.02</w:t>
            </w:r>
          </w:p>
        </w:tc>
        <w:tc>
          <w:tcPr>
            <w:tcW w:w="1491" w:type="dxa"/>
            <w:tcBorders>
              <w:top w:val="nil"/>
              <w:left w:val="nil"/>
              <w:bottom w:val="nil"/>
              <w:right w:val="nil"/>
            </w:tcBorders>
            <w:vAlign w:val="bottom"/>
          </w:tcPr>
          <w:p w14:paraId="6444C13D" w14:textId="77777777" w:rsidR="00D2626A" w:rsidRPr="003323BA"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-0.02</w:t>
            </w:r>
          </w:p>
        </w:tc>
        <w:tc>
          <w:tcPr>
            <w:tcW w:w="1492" w:type="dxa"/>
            <w:tcBorders>
              <w:top w:val="nil"/>
              <w:left w:val="nil"/>
              <w:bottom w:val="nil"/>
              <w:right w:val="nil"/>
            </w:tcBorders>
            <w:vAlign w:val="bottom"/>
          </w:tcPr>
          <w:p w14:paraId="3CB636CC" w14:textId="77777777" w:rsidR="00D2626A" w:rsidRPr="00A238D9"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-0.01</w:t>
            </w:r>
          </w:p>
        </w:tc>
        <w:tc>
          <w:tcPr>
            <w:tcW w:w="1491" w:type="dxa"/>
            <w:tcBorders>
              <w:top w:val="nil"/>
              <w:left w:val="nil"/>
              <w:bottom w:val="nil"/>
              <w:right w:val="nil"/>
            </w:tcBorders>
            <w:vAlign w:val="bottom"/>
          </w:tcPr>
          <w:p w14:paraId="356110B1" w14:textId="77777777" w:rsidR="00D2626A" w:rsidRPr="00A3027A"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-0.18</w:t>
            </w:r>
          </w:p>
        </w:tc>
        <w:tc>
          <w:tcPr>
            <w:tcW w:w="1492" w:type="dxa"/>
            <w:tcBorders>
              <w:top w:val="nil"/>
              <w:left w:val="nil"/>
              <w:bottom w:val="nil"/>
              <w:right w:val="nil"/>
            </w:tcBorders>
            <w:vAlign w:val="bottom"/>
          </w:tcPr>
          <w:p w14:paraId="67CA354F" w14:textId="77777777" w:rsidR="00D2626A" w:rsidRPr="00892687"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-0.22</w:t>
            </w:r>
          </w:p>
        </w:tc>
        <w:tc>
          <w:tcPr>
            <w:tcW w:w="1491" w:type="dxa"/>
            <w:tcBorders>
              <w:top w:val="nil"/>
              <w:left w:val="nil"/>
              <w:bottom w:val="nil"/>
              <w:right w:val="nil"/>
            </w:tcBorders>
            <w:shd w:val="clear" w:color="auto" w:fill="auto"/>
            <w:vAlign w:val="bottom"/>
          </w:tcPr>
          <w:p w14:paraId="536BFDD3" w14:textId="77777777" w:rsidR="00D2626A" w:rsidRPr="00E91099"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-0.02</w:t>
            </w:r>
          </w:p>
        </w:tc>
        <w:tc>
          <w:tcPr>
            <w:tcW w:w="1492" w:type="dxa"/>
            <w:gridSpan w:val="2"/>
            <w:tcBorders>
              <w:top w:val="nil"/>
              <w:left w:val="nil"/>
              <w:bottom w:val="nil"/>
              <w:right w:val="nil"/>
            </w:tcBorders>
            <w:vAlign w:val="bottom"/>
          </w:tcPr>
          <w:p w14:paraId="70F57798" w14:textId="77777777" w:rsidR="00D2626A" w:rsidRPr="003323BA"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-0.02</w:t>
            </w:r>
          </w:p>
        </w:tc>
      </w:tr>
      <w:tr w:rsidR="00D2626A" w:rsidRPr="00971EAB" w14:paraId="562B5820" w14:textId="77777777" w:rsidTr="007230D2">
        <w:trPr>
          <w:trHeight w:val="360"/>
          <w:jc w:val="center"/>
        </w:trPr>
        <w:tc>
          <w:tcPr>
            <w:tcW w:w="3600" w:type="dxa"/>
            <w:tcBorders>
              <w:top w:val="nil"/>
              <w:left w:val="nil"/>
              <w:bottom w:val="nil"/>
              <w:right w:val="nil"/>
            </w:tcBorders>
            <w:vAlign w:val="center"/>
          </w:tcPr>
          <w:p w14:paraId="759E249F" w14:textId="77777777" w:rsidR="00D2626A" w:rsidRPr="00971EAB" w:rsidRDefault="00D2626A"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Area Under the Curve - AUC</w:t>
            </w:r>
          </w:p>
        </w:tc>
        <w:tc>
          <w:tcPr>
            <w:tcW w:w="1491" w:type="dxa"/>
            <w:tcBorders>
              <w:top w:val="nil"/>
              <w:left w:val="nil"/>
              <w:bottom w:val="nil"/>
              <w:right w:val="nil"/>
            </w:tcBorders>
            <w:vAlign w:val="center"/>
          </w:tcPr>
          <w:p w14:paraId="4EEFDEBF" w14:textId="77777777" w:rsidR="00D2626A" w:rsidRPr="00971EAB"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+0.04</w:t>
            </w:r>
          </w:p>
        </w:tc>
        <w:tc>
          <w:tcPr>
            <w:tcW w:w="1491" w:type="dxa"/>
            <w:tcBorders>
              <w:top w:val="nil"/>
              <w:left w:val="nil"/>
              <w:bottom w:val="nil"/>
              <w:right w:val="nil"/>
            </w:tcBorders>
            <w:vAlign w:val="center"/>
          </w:tcPr>
          <w:p w14:paraId="6341304F" w14:textId="77777777" w:rsidR="00D2626A" w:rsidRPr="00971EAB"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+0.02</w:t>
            </w:r>
          </w:p>
        </w:tc>
        <w:tc>
          <w:tcPr>
            <w:tcW w:w="1492" w:type="dxa"/>
            <w:tcBorders>
              <w:top w:val="nil"/>
              <w:left w:val="nil"/>
              <w:bottom w:val="nil"/>
              <w:right w:val="nil"/>
            </w:tcBorders>
            <w:vAlign w:val="center"/>
          </w:tcPr>
          <w:p w14:paraId="56E72841" w14:textId="77777777" w:rsidR="00D2626A" w:rsidRPr="00971EAB"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+0.02</w:t>
            </w:r>
          </w:p>
        </w:tc>
        <w:tc>
          <w:tcPr>
            <w:tcW w:w="1491" w:type="dxa"/>
            <w:tcBorders>
              <w:top w:val="nil"/>
              <w:left w:val="nil"/>
              <w:bottom w:val="nil"/>
              <w:right w:val="nil"/>
            </w:tcBorders>
            <w:vAlign w:val="center"/>
          </w:tcPr>
          <w:p w14:paraId="7D00327B" w14:textId="77777777" w:rsidR="00D2626A" w:rsidRPr="00971EAB"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+0.05</w:t>
            </w:r>
          </w:p>
        </w:tc>
        <w:tc>
          <w:tcPr>
            <w:tcW w:w="1492" w:type="dxa"/>
            <w:tcBorders>
              <w:top w:val="nil"/>
              <w:left w:val="nil"/>
              <w:bottom w:val="nil"/>
              <w:right w:val="nil"/>
            </w:tcBorders>
            <w:vAlign w:val="center"/>
          </w:tcPr>
          <w:p w14:paraId="0B9D95F8" w14:textId="77777777" w:rsidR="00D2626A" w:rsidRPr="00971EAB"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+0.02</w:t>
            </w:r>
          </w:p>
        </w:tc>
        <w:tc>
          <w:tcPr>
            <w:tcW w:w="1491" w:type="dxa"/>
            <w:tcBorders>
              <w:top w:val="nil"/>
              <w:left w:val="nil"/>
              <w:bottom w:val="nil"/>
              <w:right w:val="nil"/>
            </w:tcBorders>
            <w:shd w:val="clear" w:color="auto" w:fill="auto"/>
            <w:vAlign w:val="center"/>
          </w:tcPr>
          <w:p w14:paraId="378EF32E" w14:textId="77777777" w:rsidR="00D2626A" w:rsidRPr="00E91099"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+0.04</w:t>
            </w:r>
          </w:p>
        </w:tc>
        <w:tc>
          <w:tcPr>
            <w:tcW w:w="1492" w:type="dxa"/>
            <w:gridSpan w:val="2"/>
            <w:tcBorders>
              <w:top w:val="nil"/>
              <w:left w:val="nil"/>
              <w:bottom w:val="nil"/>
              <w:right w:val="nil"/>
            </w:tcBorders>
            <w:vAlign w:val="center"/>
          </w:tcPr>
          <w:p w14:paraId="02140C5F" w14:textId="77777777" w:rsidR="00D2626A" w:rsidRPr="00971EAB"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+0.04</w:t>
            </w:r>
          </w:p>
        </w:tc>
      </w:tr>
      <w:tr w:rsidR="00D2626A" w:rsidRPr="00971EAB" w14:paraId="41E36B9F" w14:textId="77777777" w:rsidTr="007230D2">
        <w:trPr>
          <w:trHeight w:val="360"/>
          <w:jc w:val="center"/>
        </w:trPr>
        <w:tc>
          <w:tcPr>
            <w:tcW w:w="3600" w:type="dxa"/>
            <w:tcBorders>
              <w:top w:val="nil"/>
              <w:left w:val="nil"/>
              <w:bottom w:val="nil"/>
              <w:right w:val="nil"/>
            </w:tcBorders>
            <w:vAlign w:val="center"/>
          </w:tcPr>
          <w:p w14:paraId="57E0A5A2" w14:textId="77777777" w:rsidR="00D2626A" w:rsidRPr="00971EAB" w:rsidRDefault="00D2626A" w:rsidP="00260D7D">
            <w:pPr>
              <w:tabs>
                <w:tab w:val="left" w:pos="567"/>
              </w:tabs>
              <w:rPr>
                <w:rFonts w:asciiTheme="majorBidi" w:hAnsiTheme="majorBidi" w:cstheme="majorBidi"/>
                <w:sz w:val="20"/>
                <w:szCs w:val="20"/>
              </w:rPr>
            </w:pPr>
            <w:r>
              <w:rPr>
                <w:rFonts w:asciiTheme="majorBidi" w:hAnsiTheme="majorBidi" w:cstheme="majorBidi"/>
                <w:sz w:val="20"/>
                <w:szCs w:val="20"/>
              </w:rPr>
              <w:t>Out-of-sample Forecast Accuracy</w:t>
            </w:r>
          </w:p>
        </w:tc>
        <w:tc>
          <w:tcPr>
            <w:tcW w:w="1491" w:type="dxa"/>
            <w:tcBorders>
              <w:top w:val="nil"/>
              <w:left w:val="nil"/>
              <w:bottom w:val="nil"/>
              <w:right w:val="nil"/>
            </w:tcBorders>
            <w:vAlign w:val="center"/>
          </w:tcPr>
          <w:p w14:paraId="603F18CF" w14:textId="77777777" w:rsidR="00D2626A" w:rsidRPr="00971EAB"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+0.04</w:t>
            </w:r>
          </w:p>
        </w:tc>
        <w:tc>
          <w:tcPr>
            <w:tcW w:w="1491" w:type="dxa"/>
            <w:tcBorders>
              <w:top w:val="nil"/>
              <w:left w:val="nil"/>
              <w:bottom w:val="nil"/>
              <w:right w:val="nil"/>
            </w:tcBorders>
            <w:vAlign w:val="center"/>
          </w:tcPr>
          <w:p w14:paraId="6FA798AF" w14:textId="77777777" w:rsidR="00D2626A" w:rsidRPr="00971EAB"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+0.04</w:t>
            </w:r>
          </w:p>
        </w:tc>
        <w:tc>
          <w:tcPr>
            <w:tcW w:w="1492" w:type="dxa"/>
            <w:tcBorders>
              <w:top w:val="nil"/>
              <w:left w:val="nil"/>
              <w:bottom w:val="nil"/>
              <w:right w:val="nil"/>
            </w:tcBorders>
            <w:vAlign w:val="center"/>
          </w:tcPr>
          <w:p w14:paraId="0B996977" w14:textId="77777777" w:rsidR="00D2626A" w:rsidRPr="00971EAB"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+0.05</w:t>
            </w:r>
          </w:p>
        </w:tc>
        <w:tc>
          <w:tcPr>
            <w:tcW w:w="1491" w:type="dxa"/>
            <w:tcBorders>
              <w:top w:val="nil"/>
              <w:left w:val="nil"/>
              <w:bottom w:val="nil"/>
              <w:right w:val="nil"/>
            </w:tcBorders>
            <w:vAlign w:val="center"/>
          </w:tcPr>
          <w:p w14:paraId="176F9F53" w14:textId="77777777" w:rsidR="00D2626A" w:rsidRPr="00971EAB"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+0.17</w:t>
            </w:r>
          </w:p>
        </w:tc>
        <w:tc>
          <w:tcPr>
            <w:tcW w:w="1492" w:type="dxa"/>
            <w:tcBorders>
              <w:top w:val="nil"/>
              <w:left w:val="nil"/>
              <w:bottom w:val="nil"/>
              <w:right w:val="nil"/>
            </w:tcBorders>
            <w:vAlign w:val="center"/>
          </w:tcPr>
          <w:p w14:paraId="303FE342" w14:textId="77777777" w:rsidR="00D2626A" w:rsidRPr="00971EAB"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+0.14</w:t>
            </w:r>
          </w:p>
        </w:tc>
        <w:tc>
          <w:tcPr>
            <w:tcW w:w="1491" w:type="dxa"/>
            <w:tcBorders>
              <w:top w:val="nil"/>
              <w:left w:val="nil"/>
              <w:bottom w:val="nil"/>
              <w:right w:val="nil"/>
            </w:tcBorders>
            <w:shd w:val="clear" w:color="auto" w:fill="auto"/>
            <w:vAlign w:val="center"/>
          </w:tcPr>
          <w:p w14:paraId="1DFE25FB" w14:textId="77777777" w:rsidR="00D2626A" w:rsidRPr="00971EAB"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+0.03</w:t>
            </w:r>
          </w:p>
        </w:tc>
        <w:tc>
          <w:tcPr>
            <w:tcW w:w="1492" w:type="dxa"/>
            <w:gridSpan w:val="2"/>
            <w:tcBorders>
              <w:top w:val="nil"/>
              <w:left w:val="nil"/>
              <w:bottom w:val="nil"/>
              <w:right w:val="nil"/>
            </w:tcBorders>
            <w:vAlign w:val="center"/>
          </w:tcPr>
          <w:p w14:paraId="3A03E134" w14:textId="77777777" w:rsidR="00D2626A" w:rsidRPr="00971EAB"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+0.04</w:t>
            </w:r>
          </w:p>
        </w:tc>
      </w:tr>
      <w:tr w:rsidR="00D2626A" w:rsidRPr="00971EAB" w14:paraId="02632439" w14:textId="77777777" w:rsidTr="007230D2">
        <w:trPr>
          <w:trHeight w:val="360"/>
          <w:jc w:val="center"/>
        </w:trPr>
        <w:tc>
          <w:tcPr>
            <w:tcW w:w="3600" w:type="dxa"/>
            <w:tcBorders>
              <w:top w:val="nil"/>
              <w:left w:val="nil"/>
              <w:bottom w:val="nil"/>
              <w:right w:val="nil"/>
            </w:tcBorders>
            <w:vAlign w:val="center"/>
          </w:tcPr>
          <w:p w14:paraId="4CA48389" w14:textId="77777777" w:rsidR="00D2626A" w:rsidRPr="001E51FF" w:rsidRDefault="00D2626A" w:rsidP="00260D7D">
            <w:pPr>
              <w:tabs>
                <w:tab w:val="left" w:pos="567"/>
              </w:tabs>
              <w:rPr>
                <w:rFonts w:asciiTheme="majorBidi" w:hAnsiTheme="majorBidi" w:cstheme="majorBidi"/>
                <w:sz w:val="20"/>
                <w:szCs w:val="20"/>
              </w:rPr>
            </w:pPr>
            <w:r w:rsidRPr="001E51FF">
              <w:rPr>
                <w:rFonts w:asciiTheme="majorBidi" w:hAnsiTheme="majorBidi" w:cstheme="majorBidi"/>
                <w:sz w:val="20"/>
                <w:szCs w:val="20"/>
              </w:rPr>
              <w:t>Information Content</w:t>
            </w:r>
          </w:p>
        </w:tc>
        <w:tc>
          <w:tcPr>
            <w:tcW w:w="1491" w:type="dxa"/>
            <w:tcBorders>
              <w:top w:val="nil"/>
              <w:left w:val="nil"/>
              <w:bottom w:val="nil"/>
              <w:right w:val="nil"/>
            </w:tcBorders>
            <w:vAlign w:val="center"/>
          </w:tcPr>
          <w:p w14:paraId="5E56F144" w14:textId="77777777" w:rsidR="00D2626A" w:rsidRPr="00971EAB" w:rsidRDefault="00D2626A" w:rsidP="00260D7D">
            <w:pPr>
              <w:tabs>
                <w:tab w:val="left" w:pos="567"/>
              </w:tabs>
              <w:jc w:val="center"/>
              <w:rPr>
                <w:rFonts w:asciiTheme="majorBidi" w:hAnsiTheme="majorBidi" w:cstheme="majorBidi"/>
                <w:sz w:val="20"/>
                <w:szCs w:val="20"/>
              </w:rPr>
            </w:pPr>
          </w:p>
        </w:tc>
        <w:tc>
          <w:tcPr>
            <w:tcW w:w="1491" w:type="dxa"/>
            <w:tcBorders>
              <w:top w:val="nil"/>
              <w:left w:val="nil"/>
              <w:bottom w:val="nil"/>
              <w:right w:val="nil"/>
            </w:tcBorders>
            <w:vAlign w:val="center"/>
          </w:tcPr>
          <w:p w14:paraId="48729704" w14:textId="77777777" w:rsidR="00D2626A" w:rsidRPr="00971EAB" w:rsidRDefault="00D2626A" w:rsidP="00260D7D">
            <w:pPr>
              <w:tabs>
                <w:tab w:val="left" w:pos="567"/>
              </w:tabs>
              <w:jc w:val="center"/>
              <w:rPr>
                <w:rFonts w:asciiTheme="majorBidi" w:hAnsiTheme="majorBidi" w:cstheme="majorBidi"/>
                <w:sz w:val="20"/>
                <w:szCs w:val="20"/>
              </w:rPr>
            </w:pPr>
          </w:p>
        </w:tc>
        <w:tc>
          <w:tcPr>
            <w:tcW w:w="1492" w:type="dxa"/>
            <w:tcBorders>
              <w:top w:val="nil"/>
              <w:left w:val="nil"/>
              <w:bottom w:val="nil"/>
              <w:right w:val="nil"/>
            </w:tcBorders>
            <w:vAlign w:val="center"/>
          </w:tcPr>
          <w:p w14:paraId="6F186212" w14:textId="77777777" w:rsidR="00D2626A" w:rsidRPr="00971EAB" w:rsidRDefault="00D2626A" w:rsidP="00260D7D">
            <w:pPr>
              <w:tabs>
                <w:tab w:val="left" w:pos="567"/>
              </w:tabs>
              <w:jc w:val="center"/>
              <w:rPr>
                <w:rFonts w:asciiTheme="majorBidi" w:hAnsiTheme="majorBidi" w:cstheme="majorBidi"/>
                <w:sz w:val="20"/>
                <w:szCs w:val="20"/>
              </w:rPr>
            </w:pPr>
          </w:p>
        </w:tc>
        <w:tc>
          <w:tcPr>
            <w:tcW w:w="1491" w:type="dxa"/>
            <w:tcBorders>
              <w:top w:val="nil"/>
              <w:left w:val="nil"/>
              <w:bottom w:val="nil"/>
              <w:right w:val="nil"/>
            </w:tcBorders>
            <w:vAlign w:val="center"/>
          </w:tcPr>
          <w:p w14:paraId="157742C7" w14:textId="77777777" w:rsidR="00D2626A" w:rsidRPr="00971EAB" w:rsidRDefault="00D2626A" w:rsidP="00260D7D">
            <w:pPr>
              <w:tabs>
                <w:tab w:val="left" w:pos="567"/>
              </w:tabs>
              <w:jc w:val="center"/>
              <w:rPr>
                <w:rFonts w:asciiTheme="majorBidi" w:hAnsiTheme="majorBidi" w:cstheme="majorBidi"/>
                <w:sz w:val="20"/>
                <w:szCs w:val="20"/>
              </w:rPr>
            </w:pPr>
          </w:p>
        </w:tc>
        <w:tc>
          <w:tcPr>
            <w:tcW w:w="1492" w:type="dxa"/>
            <w:tcBorders>
              <w:top w:val="nil"/>
              <w:left w:val="nil"/>
              <w:bottom w:val="nil"/>
              <w:right w:val="nil"/>
            </w:tcBorders>
            <w:vAlign w:val="center"/>
          </w:tcPr>
          <w:p w14:paraId="1B49980C" w14:textId="77777777" w:rsidR="00D2626A" w:rsidRPr="00971EAB" w:rsidRDefault="00D2626A" w:rsidP="00260D7D">
            <w:pPr>
              <w:tabs>
                <w:tab w:val="left" w:pos="567"/>
              </w:tabs>
              <w:jc w:val="center"/>
              <w:rPr>
                <w:rFonts w:asciiTheme="majorBidi" w:hAnsiTheme="majorBidi" w:cstheme="majorBidi"/>
                <w:sz w:val="20"/>
                <w:szCs w:val="20"/>
              </w:rPr>
            </w:pPr>
          </w:p>
        </w:tc>
        <w:tc>
          <w:tcPr>
            <w:tcW w:w="1491" w:type="dxa"/>
            <w:tcBorders>
              <w:top w:val="nil"/>
              <w:left w:val="nil"/>
              <w:bottom w:val="nil"/>
              <w:right w:val="nil"/>
            </w:tcBorders>
            <w:shd w:val="clear" w:color="auto" w:fill="auto"/>
            <w:vAlign w:val="center"/>
          </w:tcPr>
          <w:p w14:paraId="715AD055" w14:textId="77777777" w:rsidR="00D2626A" w:rsidRPr="00971EAB" w:rsidRDefault="00D2626A" w:rsidP="00260D7D">
            <w:pPr>
              <w:tabs>
                <w:tab w:val="left" w:pos="567"/>
              </w:tabs>
              <w:jc w:val="center"/>
              <w:rPr>
                <w:rFonts w:asciiTheme="majorBidi" w:hAnsiTheme="majorBidi" w:cstheme="majorBidi"/>
                <w:sz w:val="20"/>
                <w:szCs w:val="20"/>
              </w:rPr>
            </w:pPr>
          </w:p>
        </w:tc>
        <w:tc>
          <w:tcPr>
            <w:tcW w:w="1492" w:type="dxa"/>
            <w:gridSpan w:val="2"/>
            <w:tcBorders>
              <w:top w:val="nil"/>
              <w:left w:val="nil"/>
              <w:bottom w:val="nil"/>
              <w:right w:val="nil"/>
            </w:tcBorders>
            <w:vAlign w:val="center"/>
          </w:tcPr>
          <w:p w14:paraId="43F75420" w14:textId="77777777" w:rsidR="00D2626A" w:rsidRPr="00971EAB" w:rsidRDefault="00D2626A" w:rsidP="00260D7D">
            <w:pPr>
              <w:tabs>
                <w:tab w:val="left" w:pos="567"/>
              </w:tabs>
              <w:jc w:val="center"/>
              <w:rPr>
                <w:rFonts w:asciiTheme="majorBidi" w:hAnsiTheme="majorBidi" w:cstheme="majorBidi"/>
                <w:sz w:val="20"/>
                <w:szCs w:val="20"/>
              </w:rPr>
            </w:pPr>
          </w:p>
        </w:tc>
      </w:tr>
      <w:tr w:rsidR="00D2626A" w:rsidRPr="00971EAB" w14:paraId="654DC1EB" w14:textId="77777777" w:rsidTr="007230D2">
        <w:trPr>
          <w:trHeight w:val="360"/>
          <w:jc w:val="center"/>
        </w:trPr>
        <w:tc>
          <w:tcPr>
            <w:tcW w:w="3600" w:type="dxa"/>
            <w:tcBorders>
              <w:top w:val="nil"/>
              <w:left w:val="nil"/>
              <w:bottom w:val="nil"/>
              <w:right w:val="nil"/>
            </w:tcBorders>
            <w:vAlign w:val="center"/>
          </w:tcPr>
          <w:p w14:paraId="307154F5" w14:textId="77777777" w:rsidR="00D2626A" w:rsidRPr="00971EAB" w:rsidRDefault="00D2626A"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Akaike Information Criterion - AIC</w:t>
            </w:r>
          </w:p>
        </w:tc>
        <w:tc>
          <w:tcPr>
            <w:tcW w:w="1491" w:type="dxa"/>
            <w:tcBorders>
              <w:top w:val="nil"/>
              <w:left w:val="nil"/>
              <w:bottom w:val="nil"/>
              <w:right w:val="nil"/>
            </w:tcBorders>
            <w:vAlign w:val="center"/>
          </w:tcPr>
          <w:p w14:paraId="06D501F8" w14:textId="77777777" w:rsidR="00D2626A" w:rsidRPr="00971EAB" w:rsidRDefault="00D2626A" w:rsidP="00260D7D">
            <w:pPr>
              <w:tabs>
                <w:tab w:val="left" w:pos="567"/>
              </w:tabs>
              <w:jc w:val="center"/>
              <w:rPr>
                <w:rFonts w:asciiTheme="majorBidi" w:hAnsiTheme="majorBidi" w:cstheme="majorBidi"/>
                <w:sz w:val="20"/>
                <w:szCs w:val="20"/>
              </w:rPr>
            </w:pPr>
          </w:p>
        </w:tc>
        <w:tc>
          <w:tcPr>
            <w:tcW w:w="1491" w:type="dxa"/>
            <w:tcBorders>
              <w:top w:val="nil"/>
              <w:left w:val="nil"/>
              <w:bottom w:val="nil"/>
              <w:right w:val="nil"/>
            </w:tcBorders>
            <w:vAlign w:val="center"/>
          </w:tcPr>
          <w:p w14:paraId="34B92BBC" w14:textId="77777777" w:rsidR="00D2626A" w:rsidRPr="00971EAB"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-20.598</w:t>
            </w:r>
          </w:p>
        </w:tc>
        <w:tc>
          <w:tcPr>
            <w:tcW w:w="1492" w:type="dxa"/>
            <w:tcBorders>
              <w:top w:val="nil"/>
              <w:left w:val="nil"/>
              <w:bottom w:val="nil"/>
              <w:right w:val="nil"/>
            </w:tcBorders>
            <w:vAlign w:val="center"/>
          </w:tcPr>
          <w:p w14:paraId="3ECF9E51" w14:textId="77777777" w:rsidR="00D2626A" w:rsidRPr="00971EAB"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-54.720</w:t>
            </w:r>
          </w:p>
        </w:tc>
        <w:tc>
          <w:tcPr>
            <w:tcW w:w="1491" w:type="dxa"/>
            <w:tcBorders>
              <w:top w:val="nil"/>
              <w:left w:val="nil"/>
              <w:bottom w:val="nil"/>
              <w:right w:val="nil"/>
            </w:tcBorders>
            <w:vAlign w:val="center"/>
          </w:tcPr>
          <w:p w14:paraId="3DF96D28" w14:textId="77777777" w:rsidR="00D2626A" w:rsidRPr="00971EAB"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-46.207</w:t>
            </w:r>
          </w:p>
        </w:tc>
        <w:tc>
          <w:tcPr>
            <w:tcW w:w="1492" w:type="dxa"/>
            <w:tcBorders>
              <w:top w:val="nil"/>
              <w:left w:val="nil"/>
              <w:bottom w:val="nil"/>
              <w:right w:val="nil"/>
            </w:tcBorders>
            <w:vAlign w:val="center"/>
          </w:tcPr>
          <w:p w14:paraId="24DD684E" w14:textId="77777777" w:rsidR="00D2626A" w:rsidRPr="00971EAB" w:rsidRDefault="00D2626A"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-25.876</w:t>
            </w:r>
          </w:p>
        </w:tc>
        <w:tc>
          <w:tcPr>
            <w:tcW w:w="1491" w:type="dxa"/>
            <w:tcBorders>
              <w:top w:val="nil"/>
              <w:left w:val="nil"/>
              <w:bottom w:val="nil"/>
              <w:right w:val="nil"/>
            </w:tcBorders>
            <w:shd w:val="clear" w:color="auto" w:fill="auto"/>
            <w:vAlign w:val="center"/>
          </w:tcPr>
          <w:p w14:paraId="5CF74AD5" w14:textId="77777777" w:rsidR="00D2626A" w:rsidRPr="00971EAB" w:rsidRDefault="00D2626A" w:rsidP="00260D7D">
            <w:pPr>
              <w:tabs>
                <w:tab w:val="left" w:pos="567"/>
              </w:tabs>
              <w:jc w:val="center"/>
              <w:rPr>
                <w:rFonts w:asciiTheme="majorBidi" w:hAnsiTheme="majorBidi" w:cstheme="majorBidi"/>
                <w:sz w:val="20"/>
                <w:szCs w:val="20"/>
              </w:rPr>
            </w:pPr>
          </w:p>
        </w:tc>
        <w:tc>
          <w:tcPr>
            <w:tcW w:w="1492" w:type="dxa"/>
            <w:gridSpan w:val="2"/>
            <w:tcBorders>
              <w:top w:val="nil"/>
              <w:left w:val="nil"/>
              <w:bottom w:val="nil"/>
              <w:right w:val="nil"/>
            </w:tcBorders>
            <w:vAlign w:val="center"/>
          </w:tcPr>
          <w:p w14:paraId="15FEA6B2" w14:textId="77777777" w:rsidR="00D2626A" w:rsidRPr="00971EAB" w:rsidRDefault="00D2626A" w:rsidP="00260D7D">
            <w:pPr>
              <w:tabs>
                <w:tab w:val="left" w:pos="567"/>
              </w:tabs>
              <w:jc w:val="center"/>
              <w:rPr>
                <w:rFonts w:asciiTheme="majorBidi" w:hAnsiTheme="majorBidi" w:cstheme="majorBidi"/>
                <w:sz w:val="20"/>
                <w:szCs w:val="20"/>
              </w:rPr>
            </w:pPr>
          </w:p>
        </w:tc>
      </w:tr>
      <w:tr w:rsidR="00F922F5" w:rsidRPr="00C01F80" w14:paraId="54BD59EA" w14:textId="77777777" w:rsidTr="00C01F80">
        <w:trPr>
          <w:trHeight w:val="420"/>
          <w:jc w:val="center"/>
        </w:trPr>
        <w:tc>
          <w:tcPr>
            <w:tcW w:w="3600" w:type="dxa"/>
            <w:tcBorders>
              <w:top w:val="nil"/>
              <w:left w:val="nil"/>
              <w:bottom w:val="nil"/>
              <w:right w:val="nil"/>
            </w:tcBorders>
            <w:vAlign w:val="center"/>
          </w:tcPr>
          <w:p w14:paraId="73154A9B" w14:textId="77777777" w:rsidR="00F922F5" w:rsidRPr="00C01F80" w:rsidRDefault="00F922F5" w:rsidP="00260D7D">
            <w:pPr>
              <w:tabs>
                <w:tab w:val="left" w:pos="567"/>
              </w:tabs>
              <w:rPr>
                <w:rFonts w:asciiTheme="majorBidi" w:hAnsiTheme="majorBidi" w:cstheme="majorBidi"/>
                <w:sz w:val="20"/>
                <w:szCs w:val="20"/>
              </w:rPr>
            </w:pPr>
            <w:r w:rsidRPr="00C01F80">
              <w:rPr>
                <w:rFonts w:asciiTheme="majorBidi" w:hAnsiTheme="majorBidi" w:cstheme="majorBidi"/>
                <w:sz w:val="20"/>
                <w:szCs w:val="20"/>
              </w:rPr>
              <w:t>Hanley and McNeil (1983) Test</w:t>
            </w:r>
          </w:p>
        </w:tc>
        <w:tc>
          <w:tcPr>
            <w:tcW w:w="1491" w:type="dxa"/>
            <w:tcBorders>
              <w:top w:val="nil"/>
              <w:left w:val="nil"/>
              <w:bottom w:val="nil"/>
              <w:right w:val="nil"/>
            </w:tcBorders>
            <w:vAlign w:val="center"/>
          </w:tcPr>
          <w:p w14:paraId="12DC0E47" w14:textId="77777777" w:rsidR="00F922F5" w:rsidRPr="00C01F80" w:rsidRDefault="00F922F5" w:rsidP="00260D7D">
            <w:pPr>
              <w:tabs>
                <w:tab w:val="left" w:pos="567"/>
              </w:tabs>
              <w:jc w:val="center"/>
              <w:rPr>
                <w:rFonts w:asciiTheme="majorBidi" w:hAnsiTheme="majorBidi" w:cstheme="majorBidi"/>
                <w:sz w:val="20"/>
                <w:szCs w:val="20"/>
              </w:rPr>
            </w:pPr>
            <w:r w:rsidRPr="00C01F80">
              <w:rPr>
                <w:rFonts w:asciiTheme="majorBidi" w:hAnsiTheme="majorBidi" w:cstheme="majorBidi"/>
                <w:sz w:val="20"/>
                <w:szCs w:val="20"/>
              </w:rPr>
              <w:t>-1.659*</w:t>
            </w:r>
          </w:p>
        </w:tc>
        <w:tc>
          <w:tcPr>
            <w:tcW w:w="1491" w:type="dxa"/>
            <w:tcBorders>
              <w:top w:val="nil"/>
              <w:left w:val="nil"/>
              <w:bottom w:val="nil"/>
              <w:right w:val="nil"/>
            </w:tcBorders>
            <w:vAlign w:val="center"/>
          </w:tcPr>
          <w:p w14:paraId="1F1C77E9" w14:textId="77777777" w:rsidR="00F922F5" w:rsidRPr="00C01F80" w:rsidRDefault="00F922F5" w:rsidP="00260D7D">
            <w:pPr>
              <w:tabs>
                <w:tab w:val="left" w:pos="567"/>
              </w:tabs>
              <w:jc w:val="center"/>
              <w:rPr>
                <w:rFonts w:asciiTheme="majorBidi" w:hAnsiTheme="majorBidi" w:cstheme="majorBidi"/>
                <w:sz w:val="20"/>
                <w:szCs w:val="20"/>
              </w:rPr>
            </w:pPr>
            <w:r w:rsidRPr="00C01F80">
              <w:rPr>
                <w:rFonts w:asciiTheme="majorBidi" w:hAnsiTheme="majorBidi" w:cstheme="majorBidi"/>
                <w:sz w:val="20"/>
                <w:szCs w:val="20"/>
              </w:rPr>
              <w:t>-2.253**</w:t>
            </w:r>
          </w:p>
        </w:tc>
        <w:tc>
          <w:tcPr>
            <w:tcW w:w="1492" w:type="dxa"/>
            <w:tcBorders>
              <w:top w:val="nil"/>
              <w:left w:val="nil"/>
              <w:bottom w:val="nil"/>
              <w:right w:val="nil"/>
            </w:tcBorders>
            <w:vAlign w:val="center"/>
          </w:tcPr>
          <w:p w14:paraId="2230EF60" w14:textId="77777777" w:rsidR="00F922F5" w:rsidRPr="00C01F80" w:rsidRDefault="00F922F5" w:rsidP="00260D7D">
            <w:pPr>
              <w:tabs>
                <w:tab w:val="left" w:pos="567"/>
              </w:tabs>
              <w:jc w:val="center"/>
              <w:rPr>
                <w:rFonts w:asciiTheme="majorBidi" w:hAnsiTheme="majorBidi" w:cstheme="majorBidi"/>
                <w:sz w:val="20"/>
                <w:szCs w:val="20"/>
              </w:rPr>
            </w:pPr>
            <w:r w:rsidRPr="00C01F80">
              <w:rPr>
                <w:rFonts w:asciiTheme="majorBidi" w:hAnsiTheme="majorBidi" w:cstheme="majorBidi"/>
                <w:sz w:val="20"/>
                <w:szCs w:val="20"/>
              </w:rPr>
              <w:t>-2.031**</w:t>
            </w:r>
          </w:p>
        </w:tc>
        <w:tc>
          <w:tcPr>
            <w:tcW w:w="1491" w:type="dxa"/>
            <w:tcBorders>
              <w:top w:val="nil"/>
              <w:left w:val="nil"/>
              <w:bottom w:val="nil"/>
              <w:right w:val="nil"/>
            </w:tcBorders>
            <w:vAlign w:val="center"/>
          </w:tcPr>
          <w:p w14:paraId="4A5C0586" w14:textId="77777777" w:rsidR="00F922F5" w:rsidRPr="00C01F80" w:rsidRDefault="00F922F5" w:rsidP="00260D7D">
            <w:pPr>
              <w:tabs>
                <w:tab w:val="left" w:pos="567"/>
              </w:tabs>
              <w:jc w:val="center"/>
              <w:rPr>
                <w:rFonts w:asciiTheme="majorBidi" w:hAnsiTheme="majorBidi" w:cstheme="majorBidi"/>
                <w:sz w:val="20"/>
                <w:szCs w:val="20"/>
              </w:rPr>
            </w:pPr>
            <w:r w:rsidRPr="00C01F80">
              <w:rPr>
                <w:rFonts w:asciiTheme="majorBidi" w:hAnsiTheme="majorBidi" w:cstheme="majorBidi"/>
                <w:sz w:val="20"/>
                <w:szCs w:val="20"/>
              </w:rPr>
              <w:t>-5.220***</w:t>
            </w:r>
          </w:p>
        </w:tc>
        <w:tc>
          <w:tcPr>
            <w:tcW w:w="1492" w:type="dxa"/>
            <w:tcBorders>
              <w:top w:val="nil"/>
              <w:left w:val="nil"/>
              <w:bottom w:val="nil"/>
              <w:right w:val="nil"/>
            </w:tcBorders>
            <w:vAlign w:val="center"/>
          </w:tcPr>
          <w:p w14:paraId="474CC2BE" w14:textId="77777777" w:rsidR="00F922F5" w:rsidRPr="00C01F80" w:rsidRDefault="00F922F5" w:rsidP="00260D7D">
            <w:pPr>
              <w:tabs>
                <w:tab w:val="left" w:pos="567"/>
              </w:tabs>
              <w:jc w:val="center"/>
              <w:rPr>
                <w:rFonts w:asciiTheme="majorBidi" w:hAnsiTheme="majorBidi" w:cstheme="majorBidi"/>
                <w:sz w:val="20"/>
                <w:szCs w:val="20"/>
              </w:rPr>
            </w:pPr>
            <w:r w:rsidRPr="00C01F80">
              <w:rPr>
                <w:rFonts w:asciiTheme="majorBidi" w:hAnsiTheme="majorBidi" w:cstheme="majorBidi"/>
                <w:sz w:val="20"/>
                <w:szCs w:val="20"/>
              </w:rPr>
              <w:t>-2.031**</w:t>
            </w:r>
          </w:p>
        </w:tc>
        <w:tc>
          <w:tcPr>
            <w:tcW w:w="1491" w:type="dxa"/>
            <w:tcBorders>
              <w:top w:val="nil"/>
              <w:left w:val="nil"/>
              <w:bottom w:val="nil"/>
              <w:right w:val="nil"/>
            </w:tcBorders>
            <w:shd w:val="clear" w:color="auto" w:fill="auto"/>
            <w:vAlign w:val="center"/>
          </w:tcPr>
          <w:p w14:paraId="66D7BD6D" w14:textId="77777777" w:rsidR="00F922F5" w:rsidRPr="00C01F80" w:rsidRDefault="00F922F5" w:rsidP="00260D7D">
            <w:pPr>
              <w:tabs>
                <w:tab w:val="left" w:pos="567"/>
              </w:tabs>
              <w:jc w:val="center"/>
              <w:rPr>
                <w:rFonts w:asciiTheme="majorBidi" w:hAnsiTheme="majorBidi" w:cstheme="majorBidi"/>
                <w:sz w:val="20"/>
                <w:szCs w:val="20"/>
              </w:rPr>
            </w:pPr>
            <w:r w:rsidRPr="00C01F80">
              <w:rPr>
                <w:rFonts w:asciiTheme="majorBidi" w:hAnsiTheme="majorBidi" w:cstheme="majorBidi"/>
                <w:sz w:val="20"/>
                <w:szCs w:val="20"/>
              </w:rPr>
              <w:t>-2.666***</w:t>
            </w:r>
          </w:p>
        </w:tc>
        <w:tc>
          <w:tcPr>
            <w:tcW w:w="1492" w:type="dxa"/>
            <w:gridSpan w:val="2"/>
            <w:tcBorders>
              <w:top w:val="nil"/>
              <w:left w:val="nil"/>
              <w:bottom w:val="nil"/>
              <w:right w:val="nil"/>
            </w:tcBorders>
            <w:vAlign w:val="center"/>
          </w:tcPr>
          <w:p w14:paraId="7D8AE698" w14:textId="77777777" w:rsidR="00F922F5" w:rsidRPr="00C01F80" w:rsidRDefault="00F922F5" w:rsidP="00260D7D">
            <w:pPr>
              <w:tabs>
                <w:tab w:val="left" w:pos="567"/>
              </w:tabs>
              <w:jc w:val="center"/>
              <w:rPr>
                <w:rFonts w:asciiTheme="majorBidi" w:hAnsiTheme="majorBidi" w:cstheme="majorBidi"/>
                <w:sz w:val="20"/>
                <w:szCs w:val="20"/>
              </w:rPr>
            </w:pPr>
            <w:r w:rsidRPr="00C01F80">
              <w:rPr>
                <w:rFonts w:asciiTheme="majorBidi" w:hAnsiTheme="majorBidi" w:cstheme="majorBidi"/>
                <w:sz w:val="20"/>
                <w:szCs w:val="20"/>
              </w:rPr>
              <w:t>-1.659*</w:t>
            </w:r>
          </w:p>
        </w:tc>
      </w:tr>
      <w:tr w:rsidR="00F922F5" w:rsidRPr="00486141" w14:paraId="37F77D0B" w14:textId="77777777" w:rsidTr="00C01F80">
        <w:trPr>
          <w:trHeight w:val="80"/>
          <w:jc w:val="center"/>
        </w:trPr>
        <w:tc>
          <w:tcPr>
            <w:tcW w:w="3600" w:type="dxa"/>
            <w:tcBorders>
              <w:top w:val="nil"/>
              <w:left w:val="nil"/>
              <w:bottom w:val="single" w:sz="6" w:space="0" w:color="auto"/>
              <w:right w:val="nil"/>
            </w:tcBorders>
          </w:tcPr>
          <w:p w14:paraId="7F2F5A38" w14:textId="77777777" w:rsidR="00F922F5" w:rsidRPr="00486141" w:rsidRDefault="00F922F5" w:rsidP="00260D7D">
            <w:pPr>
              <w:tabs>
                <w:tab w:val="left" w:pos="567"/>
              </w:tabs>
              <w:rPr>
                <w:rFonts w:asciiTheme="majorBidi" w:hAnsiTheme="majorBidi" w:cstheme="majorBidi"/>
                <w:sz w:val="8"/>
                <w:szCs w:val="8"/>
              </w:rPr>
            </w:pPr>
          </w:p>
        </w:tc>
        <w:tc>
          <w:tcPr>
            <w:tcW w:w="1491" w:type="dxa"/>
            <w:tcBorders>
              <w:top w:val="nil"/>
              <w:left w:val="nil"/>
              <w:bottom w:val="single" w:sz="6" w:space="0" w:color="auto"/>
              <w:right w:val="nil"/>
            </w:tcBorders>
            <w:vAlign w:val="center"/>
          </w:tcPr>
          <w:p w14:paraId="56A50BFB" w14:textId="77777777" w:rsidR="00F922F5" w:rsidRPr="00486141" w:rsidRDefault="00F922F5" w:rsidP="00260D7D">
            <w:pPr>
              <w:tabs>
                <w:tab w:val="left" w:pos="567"/>
              </w:tabs>
              <w:jc w:val="center"/>
              <w:rPr>
                <w:rFonts w:asciiTheme="majorBidi" w:hAnsiTheme="majorBidi" w:cstheme="majorBidi"/>
                <w:sz w:val="8"/>
                <w:szCs w:val="8"/>
              </w:rPr>
            </w:pPr>
          </w:p>
        </w:tc>
        <w:tc>
          <w:tcPr>
            <w:tcW w:w="1491" w:type="dxa"/>
            <w:tcBorders>
              <w:top w:val="nil"/>
              <w:left w:val="nil"/>
              <w:bottom w:val="single" w:sz="6" w:space="0" w:color="auto"/>
              <w:right w:val="nil"/>
            </w:tcBorders>
            <w:vAlign w:val="center"/>
          </w:tcPr>
          <w:p w14:paraId="14C97CEB" w14:textId="77777777" w:rsidR="00F922F5" w:rsidRPr="00486141" w:rsidRDefault="00F922F5" w:rsidP="00260D7D">
            <w:pPr>
              <w:tabs>
                <w:tab w:val="left" w:pos="567"/>
              </w:tabs>
              <w:jc w:val="center"/>
              <w:rPr>
                <w:rFonts w:asciiTheme="majorBidi" w:hAnsiTheme="majorBidi" w:cstheme="majorBidi"/>
                <w:sz w:val="8"/>
                <w:szCs w:val="8"/>
              </w:rPr>
            </w:pPr>
          </w:p>
        </w:tc>
        <w:tc>
          <w:tcPr>
            <w:tcW w:w="1492" w:type="dxa"/>
            <w:tcBorders>
              <w:top w:val="nil"/>
              <w:left w:val="nil"/>
              <w:bottom w:val="single" w:sz="6" w:space="0" w:color="auto"/>
              <w:right w:val="nil"/>
            </w:tcBorders>
            <w:vAlign w:val="center"/>
          </w:tcPr>
          <w:p w14:paraId="10CA09F5" w14:textId="77777777" w:rsidR="00F922F5" w:rsidRPr="00486141" w:rsidRDefault="00F922F5" w:rsidP="00260D7D">
            <w:pPr>
              <w:tabs>
                <w:tab w:val="left" w:pos="567"/>
              </w:tabs>
              <w:jc w:val="center"/>
              <w:rPr>
                <w:rFonts w:asciiTheme="majorBidi" w:hAnsiTheme="majorBidi" w:cstheme="majorBidi"/>
                <w:sz w:val="8"/>
                <w:szCs w:val="8"/>
              </w:rPr>
            </w:pPr>
          </w:p>
        </w:tc>
        <w:tc>
          <w:tcPr>
            <w:tcW w:w="1491" w:type="dxa"/>
            <w:tcBorders>
              <w:top w:val="nil"/>
              <w:left w:val="nil"/>
              <w:bottom w:val="single" w:sz="6" w:space="0" w:color="auto"/>
              <w:right w:val="nil"/>
            </w:tcBorders>
            <w:vAlign w:val="center"/>
          </w:tcPr>
          <w:p w14:paraId="31ECB387" w14:textId="77777777" w:rsidR="00F922F5" w:rsidRPr="00486141" w:rsidRDefault="00F922F5" w:rsidP="00260D7D">
            <w:pPr>
              <w:tabs>
                <w:tab w:val="left" w:pos="567"/>
              </w:tabs>
              <w:jc w:val="center"/>
              <w:rPr>
                <w:rFonts w:asciiTheme="majorBidi" w:hAnsiTheme="majorBidi" w:cstheme="majorBidi"/>
                <w:sz w:val="8"/>
                <w:szCs w:val="8"/>
              </w:rPr>
            </w:pPr>
          </w:p>
        </w:tc>
        <w:tc>
          <w:tcPr>
            <w:tcW w:w="1492" w:type="dxa"/>
            <w:tcBorders>
              <w:top w:val="nil"/>
              <w:left w:val="nil"/>
              <w:bottom w:val="single" w:sz="6" w:space="0" w:color="auto"/>
              <w:right w:val="nil"/>
            </w:tcBorders>
            <w:vAlign w:val="center"/>
          </w:tcPr>
          <w:p w14:paraId="60B00C5F" w14:textId="77777777" w:rsidR="00F922F5" w:rsidRPr="00486141" w:rsidRDefault="00F922F5" w:rsidP="00260D7D">
            <w:pPr>
              <w:tabs>
                <w:tab w:val="left" w:pos="567"/>
              </w:tabs>
              <w:jc w:val="center"/>
              <w:rPr>
                <w:rFonts w:asciiTheme="majorBidi" w:hAnsiTheme="majorBidi" w:cstheme="majorBidi"/>
                <w:sz w:val="8"/>
                <w:szCs w:val="8"/>
              </w:rPr>
            </w:pPr>
          </w:p>
        </w:tc>
        <w:tc>
          <w:tcPr>
            <w:tcW w:w="1491" w:type="dxa"/>
            <w:tcBorders>
              <w:top w:val="nil"/>
              <w:left w:val="nil"/>
              <w:bottom w:val="single" w:sz="6" w:space="0" w:color="auto"/>
              <w:right w:val="nil"/>
            </w:tcBorders>
            <w:vAlign w:val="center"/>
          </w:tcPr>
          <w:p w14:paraId="5CD7798B" w14:textId="77777777" w:rsidR="00F922F5" w:rsidRPr="00486141" w:rsidRDefault="00F922F5" w:rsidP="00260D7D">
            <w:pPr>
              <w:tabs>
                <w:tab w:val="left" w:pos="567"/>
              </w:tabs>
              <w:jc w:val="center"/>
              <w:rPr>
                <w:rFonts w:asciiTheme="majorBidi" w:hAnsiTheme="majorBidi" w:cstheme="majorBidi"/>
                <w:sz w:val="8"/>
                <w:szCs w:val="8"/>
              </w:rPr>
            </w:pPr>
          </w:p>
        </w:tc>
        <w:tc>
          <w:tcPr>
            <w:tcW w:w="1492" w:type="dxa"/>
            <w:gridSpan w:val="2"/>
            <w:tcBorders>
              <w:top w:val="nil"/>
              <w:left w:val="nil"/>
              <w:bottom w:val="single" w:sz="6" w:space="0" w:color="auto"/>
              <w:right w:val="nil"/>
            </w:tcBorders>
            <w:vAlign w:val="center"/>
          </w:tcPr>
          <w:p w14:paraId="515EABF3" w14:textId="77777777" w:rsidR="00F922F5" w:rsidRPr="00486141" w:rsidRDefault="00F922F5" w:rsidP="00260D7D">
            <w:pPr>
              <w:tabs>
                <w:tab w:val="left" w:pos="567"/>
              </w:tabs>
              <w:jc w:val="center"/>
              <w:rPr>
                <w:rFonts w:asciiTheme="majorBidi" w:hAnsiTheme="majorBidi" w:cstheme="majorBidi"/>
                <w:sz w:val="8"/>
                <w:szCs w:val="8"/>
              </w:rPr>
            </w:pPr>
          </w:p>
        </w:tc>
      </w:tr>
    </w:tbl>
    <w:p w14:paraId="2C84DAD3" w14:textId="77777777" w:rsidR="00BD674C" w:rsidRDefault="00BD674C" w:rsidP="00260D7D">
      <w:pPr>
        <w:tabs>
          <w:tab w:val="left" w:pos="567"/>
        </w:tabs>
      </w:pPr>
      <w:r>
        <w:br w:type="page"/>
      </w:r>
    </w:p>
    <w:tbl>
      <w:tblPr>
        <w:tblStyle w:val="TableGrid"/>
        <w:tblW w:w="14040" w:type="dxa"/>
        <w:jc w:val="center"/>
        <w:tblLayout w:type="fixed"/>
        <w:tblLook w:val="04A0" w:firstRow="1" w:lastRow="0" w:firstColumn="1" w:lastColumn="0" w:noHBand="0" w:noVBand="1"/>
      </w:tblPr>
      <w:tblGrid>
        <w:gridCol w:w="3600"/>
        <w:gridCol w:w="652"/>
        <w:gridCol w:w="839"/>
        <w:gridCol w:w="559"/>
        <w:gridCol w:w="932"/>
        <w:gridCol w:w="466"/>
        <w:gridCol w:w="1026"/>
        <w:gridCol w:w="372"/>
        <w:gridCol w:w="1119"/>
        <w:gridCol w:w="280"/>
        <w:gridCol w:w="1212"/>
        <w:gridCol w:w="186"/>
        <w:gridCol w:w="1305"/>
        <w:gridCol w:w="93"/>
        <w:gridCol w:w="1374"/>
        <w:gridCol w:w="25"/>
      </w:tblGrid>
      <w:tr w:rsidR="00BD674C" w:rsidRPr="002E1EC0" w14:paraId="40B29F66" w14:textId="77777777" w:rsidTr="004D7D5B">
        <w:trPr>
          <w:gridAfter w:val="1"/>
          <w:wAfter w:w="25" w:type="dxa"/>
          <w:jc w:val="center"/>
        </w:trPr>
        <w:tc>
          <w:tcPr>
            <w:tcW w:w="14015" w:type="dxa"/>
            <w:gridSpan w:val="15"/>
            <w:tcBorders>
              <w:top w:val="nil"/>
              <w:left w:val="nil"/>
              <w:bottom w:val="single" w:sz="8" w:space="0" w:color="auto"/>
              <w:right w:val="nil"/>
            </w:tcBorders>
          </w:tcPr>
          <w:p w14:paraId="614F952E" w14:textId="26ABBC24" w:rsidR="00C40424" w:rsidRDefault="00BD674C" w:rsidP="00260D7D">
            <w:pPr>
              <w:tabs>
                <w:tab w:val="left" w:pos="567"/>
              </w:tabs>
              <w:jc w:val="center"/>
              <w:rPr>
                <w:rFonts w:asciiTheme="majorBidi" w:hAnsiTheme="majorBidi" w:cstheme="majorBidi"/>
                <w:b/>
                <w:bCs/>
                <w:color w:val="000000"/>
              </w:rPr>
            </w:pPr>
            <w:r>
              <w:rPr>
                <w:rFonts w:asciiTheme="majorBidi" w:hAnsiTheme="majorBidi" w:cstheme="majorBidi"/>
                <w:b/>
                <w:bCs/>
                <w:color w:val="000000"/>
                <w:sz w:val="24"/>
                <w:szCs w:val="24"/>
              </w:rPr>
              <w:lastRenderedPageBreak/>
              <w:t>T</w:t>
            </w:r>
            <w:r w:rsidRPr="00C40424">
              <w:rPr>
                <w:rFonts w:asciiTheme="majorBidi" w:hAnsiTheme="majorBidi" w:cstheme="majorBidi"/>
                <w:b/>
                <w:bCs/>
                <w:color w:val="000000"/>
              </w:rPr>
              <w:t>able 5</w:t>
            </w:r>
            <w:r w:rsidR="00C57F00" w:rsidRPr="00C40424">
              <w:rPr>
                <w:rFonts w:asciiTheme="majorBidi" w:hAnsiTheme="majorBidi" w:cstheme="majorBidi"/>
                <w:b/>
                <w:bCs/>
                <w:color w:val="000000"/>
              </w:rPr>
              <w:t xml:space="preserve">: </w:t>
            </w:r>
            <w:r w:rsidRPr="00C40424">
              <w:rPr>
                <w:rFonts w:asciiTheme="majorBidi" w:hAnsiTheme="majorBidi" w:cstheme="majorBidi"/>
                <w:b/>
                <w:bCs/>
                <w:color w:val="000000"/>
              </w:rPr>
              <w:t xml:space="preserve">The Performance of the Different Prediction Models including Governance </w:t>
            </w:r>
            <w:r w:rsidR="00410831">
              <w:rPr>
                <w:rFonts w:asciiTheme="majorBidi" w:hAnsiTheme="majorBidi" w:cstheme="majorBidi"/>
                <w:b/>
                <w:bCs/>
                <w:color w:val="000000"/>
              </w:rPr>
              <w:t>V</w:t>
            </w:r>
            <w:r w:rsidRPr="00C40424">
              <w:rPr>
                <w:rFonts w:asciiTheme="majorBidi" w:hAnsiTheme="majorBidi" w:cstheme="majorBidi"/>
                <w:b/>
                <w:bCs/>
                <w:color w:val="000000"/>
              </w:rPr>
              <w:t>ariables</w:t>
            </w:r>
          </w:p>
          <w:p w14:paraId="42500158" w14:textId="451AE6F8" w:rsidR="00BD674C" w:rsidRDefault="00BD674C" w:rsidP="00260D7D">
            <w:pPr>
              <w:tabs>
                <w:tab w:val="left" w:pos="567"/>
              </w:tabs>
              <w:jc w:val="center"/>
              <w:rPr>
                <w:rFonts w:asciiTheme="majorBidi" w:hAnsiTheme="majorBidi" w:cstheme="majorBidi"/>
                <w:b/>
                <w:bCs/>
                <w:color w:val="000000"/>
              </w:rPr>
            </w:pPr>
            <w:r w:rsidRPr="00C40424">
              <w:rPr>
                <w:rFonts w:asciiTheme="majorBidi" w:hAnsiTheme="majorBidi" w:cstheme="majorBidi"/>
                <w:b/>
                <w:bCs/>
                <w:color w:val="000000"/>
              </w:rPr>
              <w:t>Two- and Three-years Before Bankruptcy</w:t>
            </w:r>
          </w:p>
          <w:p w14:paraId="341B8918" w14:textId="77777777" w:rsidR="00C40424" w:rsidRPr="00C40424" w:rsidRDefault="00C40424" w:rsidP="00260D7D">
            <w:pPr>
              <w:tabs>
                <w:tab w:val="left" w:pos="567"/>
              </w:tabs>
              <w:jc w:val="center"/>
              <w:rPr>
                <w:rFonts w:asciiTheme="majorBidi" w:hAnsiTheme="majorBidi" w:cstheme="majorBidi"/>
                <w:b/>
                <w:bCs/>
                <w:color w:val="000000"/>
                <w:sz w:val="6"/>
                <w:szCs w:val="6"/>
              </w:rPr>
            </w:pPr>
          </w:p>
          <w:p w14:paraId="0DD9C26A" w14:textId="77777777" w:rsidR="00410831" w:rsidRDefault="007230D2" w:rsidP="00260D7D">
            <w:pPr>
              <w:tabs>
                <w:tab w:val="left" w:pos="567"/>
              </w:tabs>
              <w:jc w:val="both"/>
              <w:rPr>
                <w:rFonts w:asciiTheme="majorBidi" w:hAnsiTheme="majorBidi" w:cstheme="majorBidi"/>
                <w:color w:val="000000"/>
                <w:sz w:val="20"/>
                <w:szCs w:val="20"/>
              </w:rPr>
            </w:pPr>
            <w:r w:rsidRPr="006469DC">
              <w:rPr>
                <w:rFonts w:asciiTheme="majorBidi" w:hAnsiTheme="majorBidi" w:cstheme="majorBidi"/>
                <w:color w:val="000000"/>
                <w:sz w:val="20"/>
                <w:szCs w:val="20"/>
              </w:rPr>
              <w:t xml:space="preserve">Panels A and B present </w:t>
            </w:r>
            <w:r>
              <w:rPr>
                <w:rFonts w:asciiTheme="majorBidi" w:hAnsiTheme="majorBidi" w:cstheme="majorBidi"/>
                <w:color w:val="000000"/>
                <w:sz w:val="20"/>
                <w:szCs w:val="20"/>
              </w:rPr>
              <w:t>the d</w:t>
            </w:r>
            <w:r w:rsidRPr="00C83782">
              <w:rPr>
                <w:rFonts w:asciiTheme="majorBidi" w:hAnsiTheme="majorBidi" w:cstheme="majorBidi"/>
                <w:color w:val="000000"/>
                <w:sz w:val="20"/>
                <w:szCs w:val="20"/>
              </w:rPr>
              <w:t xml:space="preserve">ifferences in the </w:t>
            </w:r>
            <w:r>
              <w:rPr>
                <w:rFonts w:asciiTheme="majorBidi" w:hAnsiTheme="majorBidi" w:cstheme="majorBidi"/>
                <w:color w:val="000000"/>
                <w:sz w:val="20"/>
                <w:szCs w:val="20"/>
              </w:rPr>
              <w:t>p</w:t>
            </w:r>
            <w:r w:rsidRPr="00C83782">
              <w:rPr>
                <w:rFonts w:asciiTheme="majorBidi" w:hAnsiTheme="majorBidi" w:cstheme="majorBidi"/>
                <w:color w:val="000000"/>
                <w:sz w:val="20"/>
                <w:szCs w:val="20"/>
              </w:rPr>
              <w:t xml:space="preserve">erformance of the </w:t>
            </w:r>
            <w:r>
              <w:rPr>
                <w:rFonts w:asciiTheme="majorBidi" w:hAnsiTheme="majorBidi" w:cstheme="majorBidi"/>
                <w:color w:val="000000"/>
                <w:sz w:val="20"/>
                <w:szCs w:val="20"/>
              </w:rPr>
              <w:t>d</w:t>
            </w:r>
            <w:r w:rsidRPr="00C83782">
              <w:rPr>
                <w:rFonts w:asciiTheme="majorBidi" w:hAnsiTheme="majorBidi" w:cstheme="majorBidi"/>
                <w:color w:val="000000"/>
                <w:sz w:val="20"/>
                <w:szCs w:val="20"/>
              </w:rPr>
              <w:t xml:space="preserve">ifferent </w:t>
            </w:r>
            <w:r>
              <w:rPr>
                <w:rFonts w:asciiTheme="majorBidi" w:hAnsiTheme="majorBidi" w:cstheme="majorBidi"/>
                <w:color w:val="000000"/>
                <w:sz w:val="20"/>
                <w:szCs w:val="20"/>
              </w:rPr>
              <w:t>p</w:t>
            </w:r>
            <w:r w:rsidRPr="00C83782">
              <w:rPr>
                <w:rFonts w:asciiTheme="majorBidi" w:hAnsiTheme="majorBidi" w:cstheme="majorBidi"/>
                <w:color w:val="000000"/>
                <w:sz w:val="20"/>
                <w:szCs w:val="20"/>
              </w:rPr>
              <w:t xml:space="preserve">rediction </w:t>
            </w:r>
            <w:r>
              <w:rPr>
                <w:rFonts w:asciiTheme="majorBidi" w:hAnsiTheme="majorBidi" w:cstheme="majorBidi"/>
                <w:color w:val="000000"/>
                <w:sz w:val="20"/>
                <w:szCs w:val="20"/>
              </w:rPr>
              <w:t>m</w:t>
            </w:r>
            <w:r w:rsidRPr="00C83782">
              <w:rPr>
                <w:rFonts w:asciiTheme="majorBidi" w:hAnsiTheme="majorBidi" w:cstheme="majorBidi"/>
                <w:color w:val="000000"/>
                <w:sz w:val="20"/>
                <w:szCs w:val="20"/>
              </w:rPr>
              <w:t xml:space="preserve">odels </w:t>
            </w:r>
            <w:r>
              <w:rPr>
                <w:rFonts w:asciiTheme="majorBidi" w:hAnsiTheme="majorBidi" w:cstheme="majorBidi"/>
                <w:color w:val="000000"/>
                <w:sz w:val="20"/>
                <w:szCs w:val="20"/>
              </w:rPr>
              <w:t>b</w:t>
            </w:r>
            <w:r w:rsidRPr="00C83782">
              <w:rPr>
                <w:rFonts w:asciiTheme="majorBidi" w:hAnsiTheme="majorBidi" w:cstheme="majorBidi"/>
                <w:color w:val="000000"/>
                <w:sz w:val="20"/>
                <w:szCs w:val="20"/>
              </w:rPr>
              <w:t xml:space="preserve">efore and </w:t>
            </w:r>
            <w:r>
              <w:rPr>
                <w:rFonts w:asciiTheme="majorBidi" w:hAnsiTheme="majorBidi" w:cstheme="majorBidi"/>
                <w:color w:val="000000"/>
                <w:sz w:val="20"/>
                <w:szCs w:val="20"/>
              </w:rPr>
              <w:t>a</w:t>
            </w:r>
            <w:r w:rsidRPr="00C83782">
              <w:rPr>
                <w:rFonts w:asciiTheme="majorBidi" w:hAnsiTheme="majorBidi" w:cstheme="majorBidi"/>
                <w:color w:val="000000"/>
                <w:sz w:val="20"/>
                <w:szCs w:val="20"/>
              </w:rPr>
              <w:t xml:space="preserve">fter </w:t>
            </w:r>
            <w:r>
              <w:rPr>
                <w:rFonts w:asciiTheme="majorBidi" w:hAnsiTheme="majorBidi" w:cstheme="majorBidi"/>
                <w:color w:val="000000"/>
                <w:sz w:val="20"/>
                <w:szCs w:val="20"/>
              </w:rPr>
              <w:t>a</w:t>
            </w:r>
            <w:r w:rsidRPr="00C83782">
              <w:rPr>
                <w:rFonts w:asciiTheme="majorBidi" w:hAnsiTheme="majorBidi" w:cstheme="majorBidi"/>
                <w:color w:val="000000"/>
                <w:sz w:val="20"/>
                <w:szCs w:val="20"/>
              </w:rPr>
              <w:t xml:space="preserve">dding the </w:t>
            </w:r>
            <w:r>
              <w:rPr>
                <w:rFonts w:asciiTheme="majorBidi" w:hAnsiTheme="majorBidi" w:cstheme="majorBidi"/>
                <w:color w:val="000000"/>
                <w:sz w:val="20"/>
                <w:szCs w:val="20"/>
              </w:rPr>
              <w:t>g</w:t>
            </w:r>
            <w:r w:rsidRPr="00C83782">
              <w:rPr>
                <w:rFonts w:asciiTheme="majorBidi" w:hAnsiTheme="majorBidi" w:cstheme="majorBidi"/>
                <w:color w:val="000000"/>
                <w:sz w:val="20"/>
                <w:szCs w:val="20"/>
              </w:rPr>
              <w:t xml:space="preserve">overnance </w:t>
            </w:r>
            <w:r>
              <w:rPr>
                <w:rFonts w:asciiTheme="majorBidi" w:hAnsiTheme="majorBidi" w:cstheme="majorBidi"/>
                <w:color w:val="000000"/>
                <w:sz w:val="20"/>
                <w:szCs w:val="20"/>
              </w:rPr>
              <w:t>v</w:t>
            </w:r>
            <w:r w:rsidRPr="00C83782">
              <w:rPr>
                <w:rFonts w:asciiTheme="majorBidi" w:hAnsiTheme="majorBidi" w:cstheme="majorBidi"/>
                <w:color w:val="000000"/>
                <w:sz w:val="20"/>
                <w:szCs w:val="20"/>
              </w:rPr>
              <w:t>ariables (</w:t>
            </w:r>
            <w:r w:rsidRPr="007230D2">
              <w:rPr>
                <w:rFonts w:asciiTheme="majorBidi" w:hAnsiTheme="majorBidi" w:cstheme="majorBidi"/>
                <w:i/>
                <w:iCs/>
                <w:color w:val="000000"/>
                <w:sz w:val="20"/>
                <w:szCs w:val="20"/>
                <w:u w:val="single"/>
              </w:rPr>
              <w:t>After minus Before</w:t>
            </w:r>
            <w:r w:rsidRPr="00C83782">
              <w:rPr>
                <w:rFonts w:asciiTheme="majorBidi" w:hAnsiTheme="majorBidi" w:cstheme="majorBidi"/>
                <w:color w:val="000000"/>
                <w:sz w:val="20"/>
                <w:szCs w:val="20"/>
              </w:rPr>
              <w:t>)</w:t>
            </w:r>
            <w:r>
              <w:rPr>
                <w:rFonts w:asciiTheme="majorBidi" w:hAnsiTheme="majorBidi" w:cstheme="majorBidi"/>
                <w:color w:val="000000"/>
                <w:sz w:val="20"/>
                <w:szCs w:val="20"/>
              </w:rPr>
              <w:t xml:space="preserve">, </w:t>
            </w:r>
            <w:r w:rsidRPr="006469DC">
              <w:rPr>
                <w:rFonts w:asciiTheme="majorBidi" w:hAnsiTheme="majorBidi" w:cstheme="majorBidi"/>
                <w:color w:val="000000"/>
                <w:sz w:val="20"/>
                <w:szCs w:val="20"/>
              </w:rPr>
              <w:t>two- and three-years before bankruptcy, respectively</w:t>
            </w:r>
            <w:r>
              <w:rPr>
                <w:rFonts w:asciiTheme="majorBidi" w:hAnsiTheme="majorBidi" w:cstheme="majorBidi"/>
                <w:color w:val="000000"/>
                <w:sz w:val="20"/>
                <w:szCs w:val="20"/>
              </w:rPr>
              <w:t xml:space="preserve">. </w:t>
            </w:r>
            <w:r w:rsidR="00917710">
              <w:rPr>
                <w:rFonts w:asciiTheme="majorBidi" w:hAnsiTheme="majorBidi" w:cstheme="majorBidi"/>
                <w:color w:val="000000"/>
                <w:sz w:val="20"/>
                <w:szCs w:val="20"/>
              </w:rPr>
              <w:t xml:space="preserve">Estimations were done using the full sample. </w:t>
            </w:r>
            <w:r w:rsidR="00BD674C" w:rsidRPr="006469DC">
              <w:rPr>
                <w:rFonts w:asciiTheme="majorBidi" w:hAnsiTheme="majorBidi" w:cstheme="majorBidi"/>
                <w:color w:val="000000"/>
                <w:sz w:val="20"/>
                <w:szCs w:val="20"/>
              </w:rPr>
              <w:t xml:space="preserve">Each model was estimated using the original estimation method. </w:t>
            </w:r>
            <w:r w:rsidR="00762C44" w:rsidRPr="006469DC">
              <w:rPr>
                <w:rFonts w:asciiTheme="majorBidi" w:hAnsiTheme="majorBidi" w:cstheme="majorBidi"/>
                <w:color w:val="000000"/>
                <w:sz w:val="20"/>
                <w:szCs w:val="20"/>
              </w:rPr>
              <w:t>Out-of-sample forecast accuracy is a ratio that measures the portion of cases correctly classified using the results from running the models on the first eight years (in-sample) to forecast the classification of the firms in the last eight years (out-of-sample).</w:t>
            </w:r>
            <w:r w:rsidR="0027218C" w:rsidRPr="006469DC">
              <w:rPr>
                <w:rFonts w:ascii="Times New Roman" w:hAnsi="Times New Roman" w:cs="Times New Roman"/>
                <w:sz w:val="20"/>
                <w:szCs w:val="20"/>
              </w:rPr>
              <w:t xml:space="preserve"> The Hanley and McNeil (1983) test </w:t>
            </w:r>
            <w:r w:rsidR="00C75AD6" w:rsidRPr="006469DC">
              <w:rPr>
                <w:rFonts w:ascii="Times New Roman" w:hAnsi="Times New Roman" w:cs="Times New Roman"/>
                <w:sz w:val="20"/>
                <w:szCs w:val="20"/>
              </w:rPr>
              <w:t xml:space="preserve">(Z-value) </w:t>
            </w:r>
            <w:r w:rsidR="0027218C" w:rsidRPr="006469DC">
              <w:rPr>
                <w:rFonts w:ascii="Times New Roman" w:hAnsi="Times New Roman" w:cs="Times New Roman"/>
                <w:sz w:val="20"/>
                <w:szCs w:val="20"/>
              </w:rPr>
              <w:t xml:space="preserve">is used to compare the significance of the AUC of </w:t>
            </w:r>
            <w:r w:rsidRPr="006469DC">
              <w:rPr>
                <w:rFonts w:ascii="Times New Roman" w:hAnsi="Times New Roman" w:cs="Times New Roman"/>
                <w:sz w:val="20"/>
                <w:szCs w:val="20"/>
              </w:rPr>
              <w:t>the different models before and after adding the governance variables</w:t>
            </w:r>
            <w:r w:rsidR="0027218C" w:rsidRPr="006469DC">
              <w:rPr>
                <w:rFonts w:ascii="Times New Roman" w:hAnsi="Times New Roman" w:cs="Times New Roman"/>
                <w:sz w:val="20"/>
                <w:szCs w:val="20"/>
              </w:rPr>
              <w:t>.</w:t>
            </w:r>
            <w:r w:rsidR="0027218C" w:rsidRPr="006469DC">
              <w:rPr>
                <w:rFonts w:asciiTheme="majorBidi" w:hAnsiTheme="majorBidi" w:cstheme="majorBidi"/>
                <w:color w:val="000000"/>
                <w:sz w:val="20"/>
                <w:szCs w:val="20"/>
              </w:rPr>
              <w:t xml:space="preserve"> </w:t>
            </w:r>
          </w:p>
          <w:p w14:paraId="12506204" w14:textId="052C4182" w:rsidR="00BD674C" w:rsidRPr="006469DC" w:rsidRDefault="0027218C" w:rsidP="00260D7D">
            <w:pPr>
              <w:tabs>
                <w:tab w:val="left" w:pos="567"/>
              </w:tabs>
              <w:jc w:val="both"/>
              <w:rPr>
                <w:rFonts w:asciiTheme="majorBidi" w:hAnsiTheme="majorBidi" w:cstheme="majorBidi"/>
                <w:color w:val="000000"/>
                <w:sz w:val="20"/>
                <w:szCs w:val="20"/>
              </w:rPr>
            </w:pPr>
            <w:r w:rsidRPr="006469DC">
              <w:rPr>
                <w:rFonts w:asciiTheme="majorBidi" w:hAnsiTheme="majorBidi" w:cstheme="majorBidi"/>
                <w:color w:val="000000"/>
                <w:sz w:val="20"/>
                <w:szCs w:val="20"/>
              </w:rPr>
              <w:t>*Significant at the 10% level. **Significant at the 5% level. ***Significant at the 1% level.</w:t>
            </w:r>
          </w:p>
          <w:p w14:paraId="30CCED26" w14:textId="77777777" w:rsidR="00BD674C" w:rsidRPr="0006207B" w:rsidRDefault="00BD674C" w:rsidP="00260D7D">
            <w:pPr>
              <w:tabs>
                <w:tab w:val="left" w:pos="567"/>
              </w:tabs>
              <w:jc w:val="center"/>
              <w:rPr>
                <w:rFonts w:asciiTheme="majorBidi" w:hAnsiTheme="majorBidi" w:cstheme="majorBidi"/>
                <w:b/>
                <w:bCs/>
                <w:color w:val="000000"/>
                <w:sz w:val="12"/>
                <w:szCs w:val="12"/>
              </w:rPr>
            </w:pPr>
          </w:p>
        </w:tc>
      </w:tr>
      <w:tr w:rsidR="00BD674C" w14:paraId="6E7FAF13" w14:textId="77777777" w:rsidTr="00054446">
        <w:trPr>
          <w:trHeight w:val="295"/>
          <w:jc w:val="center"/>
        </w:trPr>
        <w:tc>
          <w:tcPr>
            <w:tcW w:w="14040" w:type="dxa"/>
            <w:gridSpan w:val="16"/>
            <w:tcBorders>
              <w:top w:val="single" w:sz="8" w:space="0" w:color="auto"/>
              <w:left w:val="nil"/>
              <w:bottom w:val="single" w:sz="4" w:space="0" w:color="auto"/>
              <w:right w:val="nil"/>
            </w:tcBorders>
            <w:vAlign w:val="center"/>
          </w:tcPr>
          <w:p w14:paraId="2E60ED6A" w14:textId="5780D9B1" w:rsidR="00410831" w:rsidRDefault="00BD674C" w:rsidP="00260D7D">
            <w:pPr>
              <w:tabs>
                <w:tab w:val="left" w:pos="567"/>
              </w:tabs>
              <w:jc w:val="center"/>
              <w:rPr>
                <w:rFonts w:asciiTheme="majorBidi" w:hAnsiTheme="majorBidi" w:cstheme="majorBidi"/>
                <w:b/>
                <w:bCs/>
                <w:color w:val="000000"/>
                <w:sz w:val="20"/>
                <w:szCs w:val="20"/>
              </w:rPr>
            </w:pPr>
            <w:r w:rsidRPr="00971EAB">
              <w:rPr>
                <w:rFonts w:asciiTheme="majorBidi" w:hAnsiTheme="majorBidi" w:cstheme="majorBidi"/>
                <w:b/>
                <w:bCs/>
                <w:color w:val="000000"/>
                <w:sz w:val="20"/>
                <w:szCs w:val="20"/>
              </w:rPr>
              <w:t xml:space="preserve">Panel A </w:t>
            </w:r>
          </w:p>
          <w:p w14:paraId="1F99E8AB" w14:textId="61EBCE94" w:rsidR="00BD674C" w:rsidRPr="00971EAB" w:rsidRDefault="00DF6B85" w:rsidP="00260D7D">
            <w:pPr>
              <w:tabs>
                <w:tab w:val="left" w:pos="567"/>
              </w:tabs>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Differences in the P</w:t>
            </w:r>
            <w:r w:rsidRPr="00971EAB">
              <w:rPr>
                <w:rFonts w:asciiTheme="majorBidi" w:hAnsiTheme="majorBidi" w:cstheme="majorBidi"/>
                <w:b/>
                <w:bCs/>
                <w:color w:val="000000"/>
                <w:sz w:val="20"/>
                <w:szCs w:val="20"/>
              </w:rPr>
              <w:t xml:space="preserve">erformance of the Different Prediction Models </w:t>
            </w:r>
            <w:r>
              <w:rPr>
                <w:rFonts w:asciiTheme="majorBidi" w:hAnsiTheme="majorBidi" w:cstheme="majorBidi"/>
                <w:b/>
                <w:bCs/>
                <w:color w:val="000000"/>
                <w:sz w:val="20"/>
                <w:szCs w:val="20"/>
              </w:rPr>
              <w:t xml:space="preserve">Before and </w:t>
            </w:r>
            <w:r w:rsidRPr="00971EAB">
              <w:rPr>
                <w:rFonts w:asciiTheme="majorBidi" w:hAnsiTheme="majorBidi" w:cstheme="majorBidi"/>
                <w:b/>
                <w:bCs/>
                <w:color w:val="000000"/>
                <w:sz w:val="20"/>
                <w:szCs w:val="20"/>
              </w:rPr>
              <w:t>After Adding the Governance Variables</w:t>
            </w:r>
            <w:r w:rsidR="00BD674C" w:rsidRPr="00971EAB">
              <w:rPr>
                <w:rFonts w:asciiTheme="majorBidi" w:hAnsiTheme="majorBidi" w:cstheme="majorBidi"/>
                <w:b/>
                <w:bCs/>
                <w:color w:val="000000"/>
                <w:sz w:val="20"/>
                <w:szCs w:val="20"/>
              </w:rPr>
              <w:t xml:space="preserve"> </w:t>
            </w:r>
            <w:r w:rsidR="00BD674C">
              <w:rPr>
                <w:rFonts w:asciiTheme="majorBidi" w:hAnsiTheme="majorBidi" w:cstheme="majorBidi"/>
                <w:b/>
                <w:bCs/>
                <w:color w:val="000000"/>
                <w:sz w:val="20"/>
                <w:szCs w:val="20"/>
              </w:rPr>
              <w:t>Two Years Before Bankruptcy</w:t>
            </w:r>
          </w:p>
        </w:tc>
      </w:tr>
      <w:tr w:rsidR="00BD674C" w14:paraId="6221E313" w14:textId="77777777" w:rsidTr="00054446">
        <w:trPr>
          <w:trHeight w:val="295"/>
          <w:jc w:val="center"/>
        </w:trPr>
        <w:tc>
          <w:tcPr>
            <w:tcW w:w="3600" w:type="dxa"/>
            <w:tcBorders>
              <w:top w:val="single" w:sz="4" w:space="0" w:color="auto"/>
              <w:left w:val="nil"/>
              <w:bottom w:val="single" w:sz="6" w:space="0" w:color="auto"/>
              <w:right w:val="nil"/>
            </w:tcBorders>
            <w:vAlign w:val="center"/>
          </w:tcPr>
          <w:p w14:paraId="336C6CA1" w14:textId="77777777" w:rsidR="00BD674C" w:rsidRPr="00971EAB" w:rsidRDefault="00BD674C" w:rsidP="00260D7D">
            <w:pPr>
              <w:tabs>
                <w:tab w:val="left" w:pos="567"/>
              </w:tabs>
              <w:rPr>
                <w:rFonts w:asciiTheme="majorBidi" w:hAnsiTheme="majorBidi" w:cstheme="majorBidi"/>
                <w:b/>
                <w:bCs/>
                <w:color w:val="000000"/>
                <w:sz w:val="20"/>
                <w:szCs w:val="20"/>
              </w:rPr>
            </w:pPr>
          </w:p>
        </w:tc>
        <w:tc>
          <w:tcPr>
            <w:tcW w:w="1491" w:type="dxa"/>
            <w:gridSpan w:val="2"/>
            <w:tcBorders>
              <w:top w:val="single" w:sz="4" w:space="0" w:color="auto"/>
              <w:left w:val="nil"/>
              <w:bottom w:val="single" w:sz="6" w:space="0" w:color="auto"/>
              <w:right w:val="nil"/>
            </w:tcBorders>
            <w:vAlign w:val="center"/>
          </w:tcPr>
          <w:p w14:paraId="619038B9" w14:textId="77777777" w:rsidR="00BD674C" w:rsidRPr="00054446" w:rsidRDefault="00BD674C" w:rsidP="00260D7D">
            <w:pPr>
              <w:tabs>
                <w:tab w:val="left" w:pos="567"/>
              </w:tabs>
              <w:jc w:val="center"/>
              <w:rPr>
                <w:rFonts w:asciiTheme="majorBidi" w:hAnsiTheme="majorBidi" w:cstheme="majorBidi"/>
                <w:color w:val="000000"/>
                <w:sz w:val="20"/>
                <w:szCs w:val="20"/>
              </w:rPr>
            </w:pPr>
            <w:r w:rsidRPr="00054446">
              <w:rPr>
                <w:rFonts w:asciiTheme="majorBidi" w:hAnsiTheme="majorBidi" w:cstheme="majorBidi"/>
                <w:color w:val="000000"/>
                <w:sz w:val="20"/>
                <w:szCs w:val="20"/>
              </w:rPr>
              <w:t>ALT</w:t>
            </w:r>
          </w:p>
        </w:tc>
        <w:tc>
          <w:tcPr>
            <w:tcW w:w="1491" w:type="dxa"/>
            <w:gridSpan w:val="2"/>
            <w:tcBorders>
              <w:top w:val="single" w:sz="4" w:space="0" w:color="auto"/>
              <w:left w:val="nil"/>
              <w:bottom w:val="single" w:sz="6" w:space="0" w:color="auto"/>
              <w:right w:val="nil"/>
            </w:tcBorders>
            <w:vAlign w:val="center"/>
          </w:tcPr>
          <w:p w14:paraId="74DD020C" w14:textId="77777777" w:rsidR="00BD674C" w:rsidRPr="00054446" w:rsidRDefault="00BD674C" w:rsidP="00260D7D">
            <w:pPr>
              <w:tabs>
                <w:tab w:val="left" w:pos="567"/>
              </w:tabs>
              <w:jc w:val="center"/>
              <w:rPr>
                <w:rFonts w:asciiTheme="majorBidi" w:hAnsiTheme="majorBidi" w:cstheme="majorBidi"/>
                <w:color w:val="000000"/>
                <w:sz w:val="20"/>
                <w:szCs w:val="20"/>
              </w:rPr>
            </w:pPr>
            <w:r w:rsidRPr="00054446">
              <w:rPr>
                <w:rFonts w:asciiTheme="majorBidi" w:hAnsiTheme="majorBidi" w:cstheme="majorBidi"/>
                <w:color w:val="000000"/>
                <w:sz w:val="20"/>
                <w:szCs w:val="20"/>
              </w:rPr>
              <w:t>OHL</w:t>
            </w:r>
          </w:p>
        </w:tc>
        <w:tc>
          <w:tcPr>
            <w:tcW w:w="1492" w:type="dxa"/>
            <w:gridSpan w:val="2"/>
            <w:tcBorders>
              <w:top w:val="single" w:sz="4" w:space="0" w:color="auto"/>
              <w:left w:val="nil"/>
              <w:bottom w:val="single" w:sz="6" w:space="0" w:color="auto"/>
              <w:right w:val="nil"/>
            </w:tcBorders>
            <w:vAlign w:val="center"/>
          </w:tcPr>
          <w:p w14:paraId="5DA47554" w14:textId="77777777" w:rsidR="00BD674C" w:rsidRPr="00054446" w:rsidRDefault="00BD674C" w:rsidP="00260D7D">
            <w:pPr>
              <w:tabs>
                <w:tab w:val="left" w:pos="567"/>
              </w:tabs>
              <w:jc w:val="center"/>
              <w:rPr>
                <w:rFonts w:asciiTheme="majorBidi" w:hAnsiTheme="majorBidi" w:cstheme="majorBidi"/>
                <w:color w:val="000000"/>
                <w:sz w:val="20"/>
                <w:szCs w:val="20"/>
              </w:rPr>
            </w:pPr>
            <w:r w:rsidRPr="00054446">
              <w:rPr>
                <w:rFonts w:asciiTheme="majorBidi" w:hAnsiTheme="majorBidi" w:cstheme="majorBidi"/>
                <w:color w:val="000000"/>
                <w:sz w:val="20"/>
                <w:szCs w:val="20"/>
              </w:rPr>
              <w:t>ZMJ</w:t>
            </w:r>
          </w:p>
        </w:tc>
        <w:tc>
          <w:tcPr>
            <w:tcW w:w="1491" w:type="dxa"/>
            <w:gridSpan w:val="2"/>
            <w:tcBorders>
              <w:top w:val="single" w:sz="4" w:space="0" w:color="auto"/>
              <w:left w:val="nil"/>
              <w:bottom w:val="single" w:sz="6" w:space="0" w:color="auto"/>
              <w:right w:val="nil"/>
            </w:tcBorders>
            <w:vAlign w:val="center"/>
          </w:tcPr>
          <w:p w14:paraId="0935F1CF" w14:textId="77777777" w:rsidR="00BD674C" w:rsidRPr="00054446" w:rsidRDefault="00BD674C" w:rsidP="00260D7D">
            <w:pPr>
              <w:tabs>
                <w:tab w:val="left" w:pos="567"/>
              </w:tabs>
              <w:jc w:val="center"/>
              <w:rPr>
                <w:rFonts w:asciiTheme="majorBidi" w:hAnsiTheme="majorBidi" w:cstheme="majorBidi"/>
                <w:color w:val="000000"/>
                <w:sz w:val="20"/>
                <w:szCs w:val="20"/>
              </w:rPr>
            </w:pPr>
            <w:r w:rsidRPr="00054446">
              <w:rPr>
                <w:rFonts w:asciiTheme="majorBidi" w:hAnsiTheme="majorBidi" w:cstheme="majorBidi"/>
                <w:color w:val="000000"/>
                <w:sz w:val="20"/>
                <w:szCs w:val="20"/>
              </w:rPr>
              <w:t>SHW</w:t>
            </w:r>
          </w:p>
        </w:tc>
        <w:tc>
          <w:tcPr>
            <w:tcW w:w="1492" w:type="dxa"/>
            <w:gridSpan w:val="2"/>
            <w:tcBorders>
              <w:top w:val="single" w:sz="4" w:space="0" w:color="auto"/>
              <w:left w:val="nil"/>
              <w:bottom w:val="single" w:sz="6" w:space="0" w:color="auto"/>
              <w:right w:val="nil"/>
            </w:tcBorders>
            <w:vAlign w:val="center"/>
          </w:tcPr>
          <w:p w14:paraId="758A40F4" w14:textId="77777777" w:rsidR="00BD674C" w:rsidRPr="00054446" w:rsidRDefault="00BD674C" w:rsidP="00260D7D">
            <w:pPr>
              <w:tabs>
                <w:tab w:val="left" w:pos="567"/>
              </w:tabs>
              <w:jc w:val="center"/>
              <w:rPr>
                <w:rFonts w:asciiTheme="majorBidi" w:hAnsiTheme="majorBidi" w:cstheme="majorBidi"/>
                <w:color w:val="000000"/>
                <w:sz w:val="20"/>
                <w:szCs w:val="20"/>
              </w:rPr>
            </w:pPr>
            <w:r w:rsidRPr="00054446">
              <w:rPr>
                <w:rFonts w:asciiTheme="majorBidi" w:hAnsiTheme="majorBidi" w:cstheme="majorBidi"/>
                <w:color w:val="000000"/>
                <w:sz w:val="20"/>
                <w:szCs w:val="20"/>
              </w:rPr>
              <w:t>BSH</w:t>
            </w:r>
          </w:p>
        </w:tc>
        <w:tc>
          <w:tcPr>
            <w:tcW w:w="1491" w:type="dxa"/>
            <w:gridSpan w:val="2"/>
            <w:tcBorders>
              <w:top w:val="single" w:sz="4" w:space="0" w:color="auto"/>
              <w:left w:val="nil"/>
              <w:bottom w:val="single" w:sz="6" w:space="0" w:color="auto"/>
              <w:right w:val="nil"/>
            </w:tcBorders>
            <w:vAlign w:val="center"/>
          </w:tcPr>
          <w:p w14:paraId="53EAB7AB" w14:textId="77777777" w:rsidR="00BD674C" w:rsidRPr="00054446" w:rsidRDefault="00BD674C" w:rsidP="00260D7D">
            <w:pPr>
              <w:tabs>
                <w:tab w:val="left" w:pos="567"/>
              </w:tabs>
              <w:jc w:val="center"/>
              <w:rPr>
                <w:rFonts w:asciiTheme="majorBidi" w:hAnsiTheme="majorBidi" w:cstheme="majorBidi"/>
                <w:color w:val="000000"/>
                <w:sz w:val="20"/>
                <w:szCs w:val="20"/>
              </w:rPr>
            </w:pPr>
            <w:r w:rsidRPr="00054446">
              <w:rPr>
                <w:rFonts w:asciiTheme="majorBidi" w:hAnsiTheme="majorBidi" w:cstheme="majorBidi"/>
                <w:color w:val="000000"/>
                <w:sz w:val="20"/>
                <w:szCs w:val="20"/>
              </w:rPr>
              <w:t>PRM</w:t>
            </w:r>
          </w:p>
        </w:tc>
        <w:tc>
          <w:tcPr>
            <w:tcW w:w="1492" w:type="dxa"/>
            <w:gridSpan w:val="3"/>
            <w:tcBorders>
              <w:top w:val="single" w:sz="4" w:space="0" w:color="auto"/>
              <w:left w:val="nil"/>
              <w:bottom w:val="single" w:sz="6" w:space="0" w:color="auto"/>
              <w:right w:val="nil"/>
            </w:tcBorders>
            <w:vAlign w:val="center"/>
          </w:tcPr>
          <w:p w14:paraId="6E94EBAB" w14:textId="77777777" w:rsidR="00BD674C" w:rsidRPr="00054446" w:rsidRDefault="00BD674C" w:rsidP="00260D7D">
            <w:pPr>
              <w:tabs>
                <w:tab w:val="left" w:pos="567"/>
              </w:tabs>
              <w:jc w:val="center"/>
              <w:rPr>
                <w:rFonts w:asciiTheme="majorBidi" w:hAnsiTheme="majorBidi" w:cstheme="majorBidi"/>
                <w:color w:val="000000"/>
                <w:sz w:val="20"/>
                <w:szCs w:val="20"/>
              </w:rPr>
            </w:pPr>
            <w:r w:rsidRPr="00054446">
              <w:rPr>
                <w:rFonts w:asciiTheme="majorBidi" w:hAnsiTheme="majorBidi" w:cstheme="majorBidi"/>
                <w:color w:val="000000"/>
                <w:sz w:val="20"/>
                <w:szCs w:val="20"/>
              </w:rPr>
              <w:t>ALM</w:t>
            </w:r>
          </w:p>
        </w:tc>
      </w:tr>
      <w:tr w:rsidR="00BD674C" w14:paraId="1C2ED471" w14:textId="77777777" w:rsidTr="00C01F80">
        <w:trPr>
          <w:trHeight w:val="210"/>
          <w:jc w:val="center"/>
        </w:trPr>
        <w:tc>
          <w:tcPr>
            <w:tcW w:w="3600" w:type="dxa"/>
            <w:tcBorders>
              <w:top w:val="single" w:sz="6" w:space="0" w:color="auto"/>
              <w:left w:val="nil"/>
              <w:bottom w:val="nil"/>
              <w:right w:val="nil"/>
            </w:tcBorders>
            <w:vAlign w:val="center"/>
          </w:tcPr>
          <w:p w14:paraId="491135BB" w14:textId="77777777" w:rsidR="00BD674C" w:rsidRPr="00C40424" w:rsidRDefault="00BD674C" w:rsidP="00260D7D">
            <w:pPr>
              <w:tabs>
                <w:tab w:val="left" w:pos="567"/>
              </w:tabs>
              <w:rPr>
                <w:rFonts w:asciiTheme="majorBidi" w:hAnsiTheme="majorBidi" w:cstheme="majorBidi"/>
                <w:b/>
                <w:bCs/>
                <w:sz w:val="20"/>
                <w:szCs w:val="20"/>
              </w:rPr>
            </w:pPr>
            <w:r w:rsidRPr="00C40424">
              <w:rPr>
                <w:rFonts w:asciiTheme="majorBidi" w:hAnsiTheme="majorBidi" w:cstheme="majorBidi"/>
                <w:b/>
                <w:bCs/>
                <w:sz w:val="20"/>
                <w:szCs w:val="20"/>
              </w:rPr>
              <w:t>Prediction &amp; Classification</w:t>
            </w:r>
          </w:p>
        </w:tc>
        <w:tc>
          <w:tcPr>
            <w:tcW w:w="1491" w:type="dxa"/>
            <w:gridSpan w:val="2"/>
            <w:tcBorders>
              <w:top w:val="single" w:sz="6" w:space="0" w:color="auto"/>
              <w:left w:val="nil"/>
              <w:bottom w:val="nil"/>
              <w:right w:val="nil"/>
            </w:tcBorders>
            <w:vAlign w:val="center"/>
          </w:tcPr>
          <w:p w14:paraId="34471B01" w14:textId="77777777" w:rsidR="00BD674C" w:rsidRPr="00971EAB" w:rsidRDefault="00BD674C" w:rsidP="00260D7D">
            <w:pPr>
              <w:tabs>
                <w:tab w:val="left" w:pos="567"/>
              </w:tabs>
              <w:jc w:val="center"/>
              <w:rPr>
                <w:rFonts w:asciiTheme="majorBidi" w:hAnsiTheme="majorBidi" w:cstheme="majorBidi"/>
                <w:sz w:val="20"/>
                <w:szCs w:val="20"/>
              </w:rPr>
            </w:pPr>
          </w:p>
        </w:tc>
        <w:tc>
          <w:tcPr>
            <w:tcW w:w="1491" w:type="dxa"/>
            <w:gridSpan w:val="2"/>
            <w:tcBorders>
              <w:top w:val="single" w:sz="6" w:space="0" w:color="auto"/>
              <w:left w:val="nil"/>
              <w:bottom w:val="nil"/>
              <w:right w:val="nil"/>
            </w:tcBorders>
            <w:vAlign w:val="center"/>
          </w:tcPr>
          <w:p w14:paraId="26E3C790" w14:textId="77777777" w:rsidR="00BD674C" w:rsidRPr="00971EAB" w:rsidRDefault="00BD674C" w:rsidP="00260D7D">
            <w:pPr>
              <w:tabs>
                <w:tab w:val="left" w:pos="567"/>
              </w:tabs>
              <w:jc w:val="center"/>
              <w:rPr>
                <w:rFonts w:asciiTheme="majorBidi" w:hAnsiTheme="majorBidi" w:cstheme="majorBidi"/>
                <w:sz w:val="20"/>
                <w:szCs w:val="20"/>
              </w:rPr>
            </w:pPr>
          </w:p>
        </w:tc>
        <w:tc>
          <w:tcPr>
            <w:tcW w:w="1492" w:type="dxa"/>
            <w:gridSpan w:val="2"/>
            <w:tcBorders>
              <w:top w:val="single" w:sz="6" w:space="0" w:color="auto"/>
              <w:left w:val="nil"/>
              <w:bottom w:val="nil"/>
              <w:right w:val="nil"/>
            </w:tcBorders>
            <w:vAlign w:val="center"/>
          </w:tcPr>
          <w:p w14:paraId="0B6B9CC2" w14:textId="77777777" w:rsidR="00BD674C" w:rsidRPr="00971EAB" w:rsidRDefault="00BD674C" w:rsidP="00260D7D">
            <w:pPr>
              <w:tabs>
                <w:tab w:val="left" w:pos="567"/>
              </w:tabs>
              <w:jc w:val="center"/>
              <w:rPr>
                <w:rFonts w:asciiTheme="majorBidi" w:hAnsiTheme="majorBidi" w:cstheme="majorBidi"/>
                <w:sz w:val="20"/>
                <w:szCs w:val="20"/>
              </w:rPr>
            </w:pPr>
          </w:p>
        </w:tc>
        <w:tc>
          <w:tcPr>
            <w:tcW w:w="1491" w:type="dxa"/>
            <w:gridSpan w:val="2"/>
            <w:tcBorders>
              <w:top w:val="single" w:sz="6" w:space="0" w:color="auto"/>
              <w:left w:val="nil"/>
              <w:bottom w:val="nil"/>
              <w:right w:val="nil"/>
            </w:tcBorders>
            <w:vAlign w:val="center"/>
          </w:tcPr>
          <w:p w14:paraId="3A696FDB" w14:textId="77777777" w:rsidR="00BD674C" w:rsidRPr="00971EAB" w:rsidRDefault="00BD674C" w:rsidP="00260D7D">
            <w:pPr>
              <w:tabs>
                <w:tab w:val="left" w:pos="567"/>
              </w:tabs>
              <w:jc w:val="center"/>
              <w:rPr>
                <w:rFonts w:asciiTheme="majorBidi" w:hAnsiTheme="majorBidi" w:cstheme="majorBidi"/>
                <w:sz w:val="20"/>
                <w:szCs w:val="20"/>
              </w:rPr>
            </w:pPr>
          </w:p>
        </w:tc>
        <w:tc>
          <w:tcPr>
            <w:tcW w:w="1492" w:type="dxa"/>
            <w:gridSpan w:val="2"/>
            <w:tcBorders>
              <w:top w:val="single" w:sz="6" w:space="0" w:color="auto"/>
              <w:left w:val="nil"/>
              <w:bottom w:val="nil"/>
              <w:right w:val="nil"/>
            </w:tcBorders>
            <w:vAlign w:val="center"/>
          </w:tcPr>
          <w:p w14:paraId="79F4F2EE" w14:textId="77777777" w:rsidR="00BD674C" w:rsidRPr="00971EAB" w:rsidRDefault="00BD674C" w:rsidP="00260D7D">
            <w:pPr>
              <w:tabs>
                <w:tab w:val="left" w:pos="567"/>
              </w:tabs>
              <w:jc w:val="center"/>
              <w:rPr>
                <w:rFonts w:asciiTheme="majorBidi" w:hAnsiTheme="majorBidi" w:cstheme="majorBidi"/>
                <w:sz w:val="20"/>
                <w:szCs w:val="20"/>
              </w:rPr>
            </w:pPr>
          </w:p>
        </w:tc>
        <w:tc>
          <w:tcPr>
            <w:tcW w:w="1491" w:type="dxa"/>
            <w:gridSpan w:val="2"/>
            <w:tcBorders>
              <w:top w:val="single" w:sz="6" w:space="0" w:color="auto"/>
              <w:left w:val="nil"/>
              <w:bottom w:val="nil"/>
              <w:right w:val="nil"/>
            </w:tcBorders>
            <w:vAlign w:val="center"/>
          </w:tcPr>
          <w:p w14:paraId="45189483" w14:textId="77777777" w:rsidR="00BD674C" w:rsidRPr="00971EAB" w:rsidRDefault="00BD674C" w:rsidP="00260D7D">
            <w:pPr>
              <w:tabs>
                <w:tab w:val="left" w:pos="567"/>
              </w:tabs>
              <w:jc w:val="center"/>
              <w:rPr>
                <w:rFonts w:asciiTheme="majorBidi" w:hAnsiTheme="majorBidi" w:cstheme="majorBidi"/>
                <w:sz w:val="20"/>
                <w:szCs w:val="20"/>
              </w:rPr>
            </w:pPr>
          </w:p>
        </w:tc>
        <w:tc>
          <w:tcPr>
            <w:tcW w:w="1492" w:type="dxa"/>
            <w:gridSpan w:val="3"/>
            <w:tcBorders>
              <w:top w:val="single" w:sz="6" w:space="0" w:color="auto"/>
              <w:left w:val="nil"/>
              <w:bottom w:val="nil"/>
              <w:right w:val="nil"/>
            </w:tcBorders>
            <w:vAlign w:val="center"/>
          </w:tcPr>
          <w:p w14:paraId="5B064FC3" w14:textId="77777777" w:rsidR="00BD674C" w:rsidRPr="00971EAB" w:rsidRDefault="00BD674C" w:rsidP="00260D7D">
            <w:pPr>
              <w:tabs>
                <w:tab w:val="left" w:pos="567"/>
              </w:tabs>
              <w:jc w:val="center"/>
              <w:rPr>
                <w:rFonts w:asciiTheme="majorBidi" w:hAnsiTheme="majorBidi" w:cstheme="majorBidi"/>
                <w:sz w:val="20"/>
                <w:szCs w:val="20"/>
              </w:rPr>
            </w:pPr>
          </w:p>
        </w:tc>
      </w:tr>
      <w:tr w:rsidR="003B7127" w14:paraId="4D75642A" w14:textId="77777777" w:rsidTr="001E558A">
        <w:trPr>
          <w:trHeight w:val="360"/>
          <w:jc w:val="center"/>
        </w:trPr>
        <w:tc>
          <w:tcPr>
            <w:tcW w:w="3600" w:type="dxa"/>
            <w:tcBorders>
              <w:top w:val="nil"/>
              <w:left w:val="nil"/>
              <w:bottom w:val="nil"/>
              <w:right w:val="nil"/>
            </w:tcBorders>
            <w:vAlign w:val="center"/>
          </w:tcPr>
          <w:p w14:paraId="4B98BC68" w14:textId="77777777" w:rsidR="003B7127" w:rsidRPr="00971EAB" w:rsidRDefault="003B7127"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Accuracy Ratio</w:t>
            </w:r>
          </w:p>
        </w:tc>
        <w:tc>
          <w:tcPr>
            <w:tcW w:w="1491" w:type="dxa"/>
            <w:gridSpan w:val="2"/>
            <w:tcBorders>
              <w:top w:val="nil"/>
              <w:left w:val="nil"/>
              <w:bottom w:val="nil"/>
              <w:right w:val="nil"/>
            </w:tcBorders>
            <w:vAlign w:val="center"/>
          </w:tcPr>
          <w:p w14:paraId="3D80B4F4" w14:textId="77777777" w:rsidR="003B7127" w:rsidRPr="003B7127" w:rsidRDefault="003B7127"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0.1</w:t>
            </w:r>
            <w:r>
              <w:rPr>
                <w:rFonts w:asciiTheme="majorBidi" w:hAnsiTheme="majorBidi" w:cstheme="majorBidi"/>
                <w:sz w:val="20"/>
                <w:szCs w:val="20"/>
              </w:rPr>
              <w:t>0</w:t>
            </w:r>
          </w:p>
        </w:tc>
        <w:tc>
          <w:tcPr>
            <w:tcW w:w="1491" w:type="dxa"/>
            <w:gridSpan w:val="2"/>
            <w:tcBorders>
              <w:top w:val="nil"/>
              <w:left w:val="nil"/>
              <w:bottom w:val="nil"/>
              <w:right w:val="nil"/>
            </w:tcBorders>
            <w:vAlign w:val="center"/>
          </w:tcPr>
          <w:p w14:paraId="0DAABFF2" w14:textId="77777777" w:rsidR="003B7127" w:rsidRPr="003B7127" w:rsidRDefault="003B7127"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0.02</w:t>
            </w:r>
          </w:p>
        </w:tc>
        <w:tc>
          <w:tcPr>
            <w:tcW w:w="1492" w:type="dxa"/>
            <w:gridSpan w:val="2"/>
            <w:tcBorders>
              <w:top w:val="nil"/>
              <w:left w:val="nil"/>
              <w:bottom w:val="nil"/>
              <w:right w:val="nil"/>
            </w:tcBorders>
            <w:vAlign w:val="center"/>
          </w:tcPr>
          <w:p w14:paraId="6A926F71" w14:textId="77777777" w:rsidR="003B7127" w:rsidRPr="003B7127" w:rsidRDefault="003B7127"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0.01</w:t>
            </w:r>
          </w:p>
        </w:tc>
        <w:tc>
          <w:tcPr>
            <w:tcW w:w="1491" w:type="dxa"/>
            <w:gridSpan w:val="2"/>
            <w:tcBorders>
              <w:top w:val="nil"/>
              <w:left w:val="nil"/>
              <w:bottom w:val="nil"/>
              <w:right w:val="nil"/>
            </w:tcBorders>
            <w:shd w:val="clear" w:color="auto" w:fill="auto"/>
            <w:vAlign w:val="center"/>
          </w:tcPr>
          <w:p w14:paraId="0ECA3BAA" w14:textId="77777777" w:rsidR="003B7127" w:rsidRPr="003B7127" w:rsidRDefault="003B7127"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0.19</w:t>
            </w:r>
          </w:p>
        </w:tc>
        <w:tc>
          <w:tcPr>
            <w:tcW w:w="1492" w:type="dxa"/>
            <w:gridSpan w:val="2"/>
            <w:tcBorders>
              <w:top w:val="nil"/>
              <w:left w:val="nil"/>
              <w:bottom w:val="nil"/>
              <w:right w:val="nil"/>
            </w:tcBorders>
            <w:vAlign w:val="center"/>
          </w:tcPr>
          <w:p w14:paraId="7F5F94AA" w14:textId="77777777" w:rsidR="003B7127" w:rsidRPr="003B7127" w:rsidRDefault="003B7127"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0.23</w:t>
            </w:r>
          </w:p>
        </w:tc>
        <w:tc>
          <w:tcPr>
            <w:tcW w:w="1491" w:type="dxa"/>
            <w:gridSpan w:val="2"/>
            <w:tcBorders>
              <w:top w:val="nil"/>
              <w:left w:val="nil"/>
              <w:bottom w:val="nil"/>
              <w:right w:val="nil"/>
            </w:tcBorders>
            <w:vAlign w:val="center"/>
          </w:tcPr>
          <w:p w14:paraId="10D72889" w14:textId="77777777" w:rsidR="003B7127" w:rsidRPr="003B7127" w:rsidRDefault="003B7127"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w:t>
            </w:r>
            <w:r>
              <w:rPr>
                <w:rFonts w:asciiTheme="majorBidi" w:hAnsiTheme="majorBidi" w:cstheme="majorBidi"/>
                <w:sz w:val="20"/>
                <w:szCs w:val="20"/>
              </w:rPr>
              <w:t>.00</w:t>
            </w:r>
          </w:p>
        </w:tc>
        <w:tc>
          <w:tcPr>
            <w:tcW w:w="1492" w:type="dxa"/>
            <w:gridSpan w:val="3"/>
            <w:tcBorders>
              <w:top w:val="nil"/>
              <w:left w:val="nil"/>
              <w:bottom w:val="nil"/>
              <w:right w:val="nil"/>
            </w:tcBorders>
            <w:vAlign w:val="center"/>
          </w:tcPr>
          <w:p w14:paraId="293ABD1A" w14:textId="77777777" w:rsidR="003B7127" w:rsidRPr="003B7127" w:rsidRDefault="003B7127"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0.1</w:t>
            </w:r>
            <w:r>
              <w:rPr>
                <w:rFonts w:asciiTheme="majorBidi" w:hAnsiTheme="majorBidi" w:cstheme="majorBidi"/>
                <w:sz w:val="20"/>
                <w:szCs w:val="20"/>
              </w:rPr>
              <w:t>0</w:t>
            </w:r>
          </w:p>
        </w:tc>
      </w:tr>
      <w:tr w:rsidR="003B7127" w14:paraId="7507AA2B" w14:textId="77777777" w:rsidTr="001E558A">
        <w:trPr>
          <w:trHeight w:val="360"/>
          <w:jc w:val="center"/>
        </w:trPr>
        <w:tc>
          <w:tcPr>
            <w:tcW w:w="3600" w:type="dxa"/>
            <w:tcBorders>
              <w:top w:val="nil"/>
              <w:left w:val="nil"/>
              <w:bottom w:val="nil"/>
              <w:right w:val="nil"/>
            </w:tcBorders>
            <w:vAlign w:val="center"/>
          </w:tcPr>
          <w:p w14:paraId="2B90714E" w14:textId="77777777" w:rsidR="003B7127" w:rsidRPr="00971EAB" w:rsidRDefault="003B7127" w:rsidP="00260D7D">
            <w:pPr>
              <w:tabs>
                <w:tab w:val="left" w:pos="567"/>
              </w:tabs>
              <w:rPr>
                <w:rFonts w:asciiTheme="majorBidi" w:hAnsiTheme="majorBidi" w:cstheme="majorBidi"/>
                <w:sz w:val="20"/>
                <w:szCs w:val="20"/>
              </w:rPr>
            </w:pPr>
            <w:r>
              <w:rPr>
                <w:rFonts w:asciiTheme="majorBidi" w:hAnsiTheme="majorBidi" w:cstheme="majorBidi"/>
                <w:sz w:val="20"/>
                <w:szCs w:val="20"/>
              </w:rPr>
              <w:t xml:space="preserve">Specifity </w:t>
            </w:r>
            <w:r w:rsidRPr="00971EAB">
              <w:rPr>
                <w:rFonts w:asciiTheme="majorBidi" w:hAnsiTheme="majorBidi" w:cstheme="majorBidi"/>
                <w:sz w:val="20"/>
                <w:szCs w:val="20"/>
              </w:rPr>
              <w:t>(Sensitivity)</w:t>
            </w:r>
          </w:p>
        </w:tc>
        <w:tc>
          <w:tcPr>
            <w:tcW w:w="1491" w:type="dxa"/>
            <w:gridSpan w:val="2"/>
            <w:tcBorders>
              <w:top w:val="nil"/>
              <w:left w:val="nil"/>
              <w:bottom w:val="nil"/>
              <w:right w:val="nil"/>
            </w:tcBorders>
            <w:vAlign w:val="center"/>
          </w:tcPr>
          <w:p w14:paraId="5F579334" w14:textId="77777777" w:rsidR="003B7127"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003B7127" w:rsidRPr="000C3736">
              <w:rPr>
                <w:rFonts w:asciiTheme="majorBidi" w:hAnsiTheme="majorBidi" w:cstheme="majorBidi"/>
                <w:sz w:val="20"/>
                <w:szCs w:val="20"/>
              </w:rPr>
              <w:t>0.10 (</w:t>
            </w:r>
            <w:r>
              <w:rPr>
                <w:rFonts w:asciiTheme="majorBidi" w:hAnsiTheme="majorBidi" w:cstheme="majorBidi"/>
                <w:sz w:val="20"/>
                <w:szCs w:val="20"/>
              </w:rPr>
              <w:t>+</w:t>
            </w:r>
            <w:r w:rsidR="003B7127" w:rsidRPr="000C3736">
              <w:rPr>
                <w:rFonts w:asciiTheme="majorBidi" w:hAnsiTheme="majorBidi" w:cstheme="majorBidi"/>
                <w:sz w:val="20"/>
                <w:szCs w:val="20"/>
              </w:rPr>
              <w:t>0.17)</w:t>
            </w:r>
          </w:p>
        </w:tc>
        <w:tc>
          <w:tcPr>
            <w:tcW w:w="1491" w:type="dxa"/>
            <w:gridSpan w:val="2"/>
            <w:tcBorders>
              <w:top w:val="nil"/>
              <w:left w:val="nil"/>
              <w:bottom w:val="nil"/>
              <w:right w:val="nil"/>
            </w:tcBorders>
            <w:vAlign w:val="center"/>
          </w:tcPr>
          <w:p w14:paraId="3DB711E0" w14:textId="77777777" w:rsidR="003B7127"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003B7127" w:rsidRPr="000C3736">
              <w:rPr>
                <w:rFonts w:asciiTheme="majorBidi" w:hAnsiTheme="majorBidi" w:cstheme="majorBidi"/>
                <w:sz w:val="20"/>
                <w:szCs w:val="20"/>
              </w:rPr>
              <w:t>0.02 (</w:t>
            </w:r>
            <w:r>
              <w:rPr>
                <w:rFonts w:asciiTheme="majorBidi" w:hAnsiTheme="majorBidi" w:cstheme="majorBidi"/>
                <w:sz w:val="20"/>
                <w:szCs w:val="20"/>
              </w:rPr>
              <w:t>+</w:t>
            </w:r>
            <w:r w:rsidR="003B7127" w:rsidRPr="000C3736">
              <w:rPr>
                <w:rFonts w:asciiTheme="majorBidi" w:hAnsiTheme="majorBidi" w:cstheme="majorBidi"/>
                <w:sz w:val="20"/>
                <w:szCs w:val="20"/>
              </w:rPr>
              <w:t>0.08)</w:t>
            </w:r>
          </w:p>
        </w:tc>
        <w:tc>
          <w:tcPr>
            <w:tcW w:w="1492" w:type="dxa"/>
            <w:gridSpan w:val="2"/>
            <w:tcBorders>
              <w:top w:val="nil"/>
              <w:left w:val="nil"/>
              <w:bottom w:val="nil"/>
              <w:right w:val="nil"/>
            </w:tcBorders>
            <w:vAlign w:val="center"/>
          </w:tcPr>
          <w:p w14:paraId="33358C00" w14:textId="77777777" w:rsidR="003B7127"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003B7127" w:rsidRPr="000C3736">
              <w:rPr>
                <w:rFonts w:asciiTheme="majorBidi" w:hAnsiTheme="majorBidi" w:cstheme="majorBidi"/>
                <w:sz w:val="20"/>
                <w:szCs w:val="20"/>
              </w:rPr>
              <w:t>0.01 (</w:t>
            </w:r>
            <w:r>
              <w:rPr>
                <w:rFonts w:asciiTheme="majorBidi" w:hAnsiTheme="majorBidi" w:cstheme="majorBidi"/>
                <w:sz w:val="20"/>
                <w:szCs w:val="20"/>
              </w:rPr>
              <w:t>+</w:t>
            </w:r>
            <w:r w:rsidR="003B7127" w:rsidRPr="000C3736">
              <w:rPr>
                <w:rFonts w:asciiTheme="majorBidi" w:hAnsiTheme="majorBidi" w:cstheme="majorBidi"/>
                <w:sz w:val="20"/>
                <w:szCs w:val="20"/>
              </w:rPr>
              <w:t>0.07)</w:t>
            </w:r>
          </w:p>
        </w:tc>
        <w:tc>
          <w:tcPr>
            <w:tcW w:w="1491" w:type="dxa"/>
            <w:gridSpan w:val="2"/>
            <w:tcBorders>
              <w:top w:val="nil"/>
              <w:left w:val="nil"/>
              <w:bottom w:val="nil"/>
              <w:right w:val="nil"/>
            </w:tcBorders>
            <w:shd w:val="clear" w:color="auto" w:fill="auto"/>
            <w:vAlign w:val="center"/>
          </w:tcPr>
          <w:p w14:paraId="2848BCBC" w14:textId="77777777" w:rsidR="003B7127"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003B7127" w:rsidRPr="000C3736">
              <w:rPr>
                <w:rFonts w:asciiTheme="majorBidi" w:hAnsiTheme="majorBidi" w:cstheme="majorBidi"/>
                <w:sz w:val="20"/>
                <w:szCs w:val="20"/>
              </w:rPr>
              <w:t>0.19 (</w:t>
            </w:r>
            <w:r>
              <w:rPr>
                <w:rFonts w:asciiTheme="majorBidi" w:hAnsiTheme="majorBidi" w:cstheme="majorBidi"/>
                <w:sz w:val="20"/>
                <w:szCs w:val="20"/>
              </w:rPr>
              <w:t>+</w:t>
            </w:r>
            <w:r w:rsidR="003B7127" w:rsidRPr="000C3736">
              <w:rPr>
                <w:rFonts w:asciiTheme="majorBidi" w:hAnsiTheme="majorBidi" w:cstheme="majorBidi"/>
                <w:sz w:val="20"/>
                <w:szCs w:val="20"/>
              </w:rPr>
              <w:t>0.06)</w:t>
            </w:r>
          </w:p>
        </w:tc>
        <w:tc>
          <w:tcPr>
            <w:tcW w:w="1492" w:type="dxa"/>
            <w:gridSpan w:val="2"/>
            <w:tcBorders>
              <w:top w:val="nil"/>
              <w:left w:val="nil"/>
              <w:bottom w:val="nil"/>
              <w:right w:val="nil"/>
            </w:tcBorders>
            <w:vAlign w:val="center"/>
          </w:tcPr>
          <w:p w14:paraId="097D3EE2" w14:textId="77777777" w:rsidR="003B7127"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003B7127" w:rsidRPr="000C3736">
              <w:rPr>
                <w:rFonts w:asciiTheme="majorBidi" w:hAnsiTheme="majorBidi" w:cstheme="majorBidi"/>
                <w:sz w:val="20"/>
                <w:szCs w:val="20"/>
              </w:rPr>
              <w:t>0.23 (</w:t>
            </w:r>
            <w:r>
              <w:rPr>
                <w:rFonts w:asciiTheme="majorBidi" w:hAnsiTheme="majorBidi" w:cstheme="majorBidi"/>
                <w:sz w:val="20"/>
                <w:szCs w:val="20"/>
              </w:rPr>
              <w:t>+</w:t>
            </w:r>
            <w:r w:rsidR="003B7127" w:rsidRPr="000C3736">
              <w:rPr>
                <w:rFonts w:asciiTheme="majorBidi" w:hAnsiTheme="majorBidi" w:cstheme="majorBidi"/>
                <w:sz w:val="20"/>
                <w:szCs w:val="20"/>
              </w:rPr>
              <w:t>0.06)</w:t>
            </w:r>
          </w:p>
        </w:tc>
        <w:tc>
          <w:tcPr>
            <w:tcW w:w="1491" w:type="dxa"/>
            <w:gridSpan w:val="2"/>
            <w:tcBorders>
              <w:top w:val="nil"/>
              <w:left w:val="nil"/>
              <w:bottom w:val="nil"/>
              <w:right w:val="nil"/>
            </w:tcBorders>
            <w:vAlign w:val="center"/>
          </w:tcPr>
          <w:p w14:paraId="24E21BA0" w14:textId="77777777" w:rsidR="003B7127"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003B7127" w:rsidRPr="000C3736">
              <w:rPr>
                <w:rFonts w:asciiTheme="majorBidi" w:hAnsiTheme="majorBidi" w:cstheme="majorBidi"/>
                <w:sz w:val="20"/>
                <w:szCs w:val="20"/>
              </w:rPr>
              <w:t>0.00 (0.09)</w:t>
            </w:r>
          </w:p>
        </w:tc>
        <w:tc>
          <w:tcPr>
            <w:tcW w:w="1492" w:type="dxa"/>
            <w:gridSpan w:val="3"/>
            <w:tcBorders>
              <w:top w:val="nil"/>
              <w:left w:val="nil"/>
              <w:bottom w:val="nil"/>
              <w:right w:val="nil"/>
            </w:tcBorders>
            <w:vAlign w:val="center"/>
          </w:tcPr>
          <w:p w14:paraId="114A9375" w14:textId="77777777" w:rsidR="003B7127"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003B7127" w:rsidRPr="000C3736">
              <w:rPr>
                <w:rFonts w:asciiTheme="majorBidi" w:hAnsiTheme="majorBidi" w:cstheme="majorBidi"/>
                <w:sz w:val="20"/>
                <w:szCs w:val="20"/>
              </w:rPr>
              <w:t>0.10 (</w:t>
            </w:r>
            <w:r>
              <w:rPr>
                <w:rFonts w:asciiTheme="majorBidi" w:hAnsiTheme="majorBidi" w:cstheme="majorBidi"/>
                <w:sz w:val="20"/>
                <w:szCs w:val="20"/>
              </w:rPr>
              <w:t>+</w:t>
            </w:r>
            <w:r w:rsidR="003B7127" w:rsidRPr="000C3736">
              <w:rPr>
                <w:rFonts w:asciiTheme="majorBidi" w:hAnsiTheme="majorBidi" w:cstheme="majorBidi"/>
                <w:sz w:val="20"/>
                <w:szCs w:val="20"/>
              </w:rPr>
              <w:t>0.17)</w:t>
            </w:r>
          </w:p>
        </w:tc>
      </w:tr>
      <w:tr w:rsidR="000C3736" w14:paraId="7C668A2E" w14:textId="77777777" w:rsidTr="001E558A">
        <w:trPr>
          <w:trHeight w:val="360"/>
          <w:jc w:val="center"/>
        </w:trPr>
        <w:tc>
          <w:tcPr>
            <w:tcW w:w="3600" w:type="dxa"/>
            <w:tcBorders>
              <w:top w:val="nil"/>
              <w:left w:val="nil"/>
              <w:bottom w:val="nil"/>
              <w:right w:val="nil"/>
            </w:tcBorders>
            <w:vAlign w:val="center"/>
          </w:tcPr>
          <w:p w14:paraId="42183C71" w14:textId="77777777" w:rsidR="000C3736" w:rsidRPr="00971EAB" w:rsidRDefault="000C3736"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Type I</w:t>
            </w:r>
            <w:r>
              <w:rPr>
                <w:rFonts w:asciiTheme="majorBidi" w:hAnsiTheme="majorBidi" w:cstheme="majorBidi"/>
                <w:sz w:val="20"/>
                <w:szCs w:val="20"/>
              </w:rPr>
              <w:t>I</w:t>
            </w:r>
            <w:r w:rsidRPr="00971EAB">
              <w:rPr>
                <w:rFonts w:asciiTheme="majorBidi" w:hAnsiTheme="majorBidi" w:cstheme="majorBidi"/>
                <w:sz w:val="20"/>
                <w:szCs w:val="20"/>
              </w:rPr>
              <w:t xml:space="preserve"> Error (Type I Error)</w:t>
            </w:r>
          </w:p>
        </w:tc>
        <w:tc>
          <w:tcPr>
            <w:tcW w:w="1491" w:type="dxa"/>
            <w:gridSpan w:val="2"/>
            <w:tcBorders>
              <w:top w:val="nil"/>
              <w:left w:val="nil"/>
              <w:bottom w:val="nil"/>
              <w:right w:val="nil"/>
            </w:tcBorders>
            <w:vAlign w:val="center"/>
          </w:tcPr>
          <w:p w14:paraId="36D3889A" w14:textId="77777777" w:rsidR="000C3736"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0C3736">
              <w:rPr>
                <w:rFonts w:asciiTheme="majorBidi" w:hAnsiTheme="majorBidi" w:cstheme="majorBidi"/>
                <w:sz w:val="20"/>
                <w:szCs w:val="20"/>
              </w:rPr>
              <w:t>0.10 (</w:t>
            </w:r>
            <w:r>
              <w:rPr>
                <w:rFonts w:asciiTheme="majorBidi" w:hAnsiTheme="majorBidi" w:cstheme="majorBidi"/>
                <w:sz w:val="20"/>
                <w:szCs w:val="20"/>
              </w:rPr>
              <w:t>-</w:t>
            </w:r>
            <w:r w:rsidRPr="000C3736">
              <w:rPr>
                <w:rFonts w:asciiTheme="majorBidi" w:hAnsiTheme="majorBidi" w:cstheme="majorBidi"/>
                <w:sz w:val="20"/>
                <w:szCs w:val="20"/>
              </w:rPr>
              <w:t>0.17)</w:t>
            </w:r>
          </w:p>
        </w:tc>
        <w:tc>
          <w:tcPr>
            <w:tcW w:w="1491" w:type="dxa"/>
            <w:gridSpan w:val="2"/>
            <w:tcBorders>
              <w:top w:val="nil"/>
              <w:left w:val="nil"/>
              <w:bottom w:val="nil"/>
              <w:right w:val="nil"/>
            </w:tcBorders>
            <w:vAlign w:val="center"/>
          </w:tcPr>
          <w:p w14:paraId="6C2C55B5" w14:textId="77777777" w:rsidR="000C3736"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0C3736">
              <w:rPr>
                <w:rFonts w:asciiTheme="majorBidi" w:hAnsiTheme="majorBidi" w:cstheme="majorBidi"/>
                <w:sz w:val="20"/>
                <w:szCs w:val="20"/>
              </w:rPr>
              <w:t>0.02 (</w:t>
            </w:r>
            <w:r>
              <w:rPr>
                <w:rFonts w:asciiTheme="majorBidi" w:hAnsiTheme="majorBidi" w:cstheme="majorBidi"/>
                <w:sz w:val="20"/>
                <w:szCs w:val="20"/>
              </w:rPr>
              <w:t>-</w:t>
            </w:r>
            <w:r w:rsidRPr="000C3736">
              <w:rPr>
                <w:rFonts w:asciiTheme="majorBidi" w:hAnsiTheme="majorBidi" w:cstheme="majorBidi"/>
                <w:sz w:val="20"/>
                <w:szCs w:val="20"/>
              </w:rPr>
              <w:t>0.08)</w:t>
            </w:r>
          </w:p>
        </w:tc>
        <w:tc>
          <w:tcPr>
            <w:tcW w:w="1492" w:type="dxa"/>
            <w:gridSpan w:val="2"/>
            <w:tcBorders>
              <w:top w:val="nil"/>
              <w:left w:val="nil"/>
              <w:bottom w:val="nil"/>
              <w:right w:val="nil"/>
            </w:tcBorders>
            <w:vAlign w:val="center"/>
          </w:tcPr>
          <w:p w14:paraId="7BE0F1D1" w14:textId="77777777" w:rsidR="000C3736"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0C3736">
              <w:rPr>
                <w:rFonts w:asciiTheme="majorBidi" w:hAnsiTheme="majorBidi" w:cstheme="majorBidi"/>
                <w:sz w:val="20"/>
                <w:szCs w:val="20"/>
              </w:rPr>
              <w:t>0.01 (</w:t>
            </w:r>
            <w:r>
              <w:rPr>
                <w:rFonts w:asciiTheme="majorBidi" w:hAnsiTheme="majorBidi" w:cstheme="majorBidi"/>
                <w:sz w:val="20"/>
                <w:szCs w:val="20"/>
              </w:rPr>
              <w:t>-</w:t>
            </w:r>
            <w:r w:rsidRPr="000C3736">
              <w:rPr>
                <w:rFonts w:asciiTheme="majorBidi" w:hAnsiTheme="majorBidi" w:cstheme="majorBidi"/>
                <w:sz w:val="20"/>
                <w:szCs w:val="20"/>
              </w:rPr>
              <w:t>0.07)</w:t>
            </w:r>
          </w:p>
        </w:tc>
        <w:tc>
          <w:tcPr>
            <w:tcW w:w="1491" w:type="dxa"/>
            <w:gridSpan w:val="2"/>
            <w:tcBorders>
              <w:top w:val="nil"/>
              <w:left w:val="nil"/>
              <w:bottom w:val="nil"/>
              <w:right w:val="nil"/>
            </w:tcBorders>
            <w:vAlign w:val="center"/>
          </w:tcPr>
          <w:p w14:paraId="7FA9E2DF" w14:textId="77777777" w:rsidR="000C3736"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0C3736">
              <w:rPr>
                <w:rFonts w:asciiTheme="majorBidi" w:hAnsiTheme="majorBidi" w:cstheme="majorBidi"/>
                <w:sz w:val="20"/>
                <w:szCs w:val="20"/>
              </w:rPr>
              <w:t>0.19 (</w:t>
            </w:r>
            <w:r>
              <w:rPr>
                <w:rFonts w:asciiTheme="majorBidi" w:hAnsiTheme="majorBidi" w:cstheme="majorBidi"/>
                <w:sz w:val="20"/>
                <w:szCs w:val="20"/>
              </w:rPr>
              <w:t>-</w:t>
            </w:r>
            <w:r w:rsidRPr="000C3736">
              <w:rPr>
                <w:rFonts w:asciiTheme="majorBidi" w:hAnsiTheme="majorBidi" w:cstheme="majorBidi"/>
                <w:sz w:val="20"/>
                <w:szCs w:val="20"/>
              </w:rPr>
              <w:t>0.06)</w:t>
            </w:r>
          </w:p>
        </w:tc>
        <w:tc>
          <w:tcPr>
            <w:tcW w:w="1492" w:type="dxa"/>
            <w:gridSpan w:val="2"/>
            <w:tcBorders>
              <w:top w:val="nil"/>
              <w:left w:val="nil"/>
              <w:bottom w:val="nil"/>
              <w:right w:val="nil"/>
            </w:tcBorders>
            <w:vAlign w:val="center"/>
          </w:tcPr>
          <w:p w14:paraId="33718045" w14:textId="77777777" w:rsidR="000C3736"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0C3736">
              <w:rPr>
                <w:rFonts w:asciiTheme="majorBidi" w:hAnsiTheme="majorBidi" w:cstheme="majorBidi"/>
                <w:sz w:val="20"/>
                <w:szCs w:val="20"/>
              </w:rPr>
              <w:t>0.23 (</w:t>
            </w:r>
            <w:r>
              <w:rPr>
                <w:rFonts w:asciiTheme="majorBidi" w:hAnsiTheme="majorBidi" w:cstheme="majorBidi"/>
                <w:sz w:val="20"/>
                <w:szCs w:val="20"/>
              </w:rPr>
              <w:t>-</w:t>
            </w:r>
            <w:r w:rsidRPr="000C3736">
              <w:rPr>
                <w:rFonts w:asciiTheme="majorBidi" w:hAnsiTheme="majorBidi" w:cstheme="majorBidi"/>
                <w:sz w:val="20"/>
                <w:szCs w:val="20"/>
              </w:rPr>
              <w:t>0.06)</w:t>
            </w:r>
          </w:p>
        </w:tc>
        <w:tc>
          <w:tcPr>
            <w:tcW w:w="1491" w:type="dxa"/>
            <w:gridSpan w:val="2"/>
            <w:tcBorders>
              <w:top w:val="nil"/>
              <w:left w:val="nil"/>
              <w:bottom w:val="nil"/>
              <w:right w:val="nil"/>
            </w:tcBorders>
            <w:vAlign w:val="center"/>
          </w:tcPr>
          <w:p w14:paraId="2452A944" w14:textId="77777777" w:rsidR="000C3736"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0C3736">
              <w:rPr>
                <w:rFonts w:asciiTheme="majorBidi" w:hAnsiTheme="majorBidi" w:cstheme="majorBidi"/>
                <w:sz w:val="20"/>
                <w:szCs w:val="20"/>
              </w:rPr>
              <w:t>0.00 (0.09)</w:t>
            </w:r>
          </w:p>
        </w:tc>
        <w:tc>
          <w:tcPr>
            <w:tcW w:w="1492" w:type="dxa"/>
            <w:gridSpan w:val="3"/>
            <w:tcBorders>
              <w:top w:val="nil"/>
              <w:left w:val="nil"/>
              <w:bottom w:val="nil"/>
              <w:right w:val="nil"/>
            </w:tcBorders>
            <w:vAlign w:val="center"/>
          </w:tcPr>
          <w:p w14:paraId="12345326" w14:textId="77777777" w:rsidR="000C3736"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0C3736">
              <w:rPr>
                <w:rFonts w:asciiTheme="majorBidi" w:hAnsiTheme="majorBidi" w:cstheme="majorBidi"/>
                <w:sz w:val="20"/>
                <w:szCs w:val="20"/>
              </w:rPr>
              <w:t>0.10 (</w:t>
            </w:r>
            <w:r>
              <w:rPr>
                <w:rFonts w:asciiTheme="majorBidi" w:hAnsiTheme="majorBidi" w:cstheme="majorBidi"/>
                <w:sz w:val="20"/>
                <w:szCs w:val="20"/>
              </w:rPr>
              <w:t>-</w:t>
            </w:r>
            <w:r w:rsidRPr="000C3736">
              <w:rPr>
                <w:rFonts w:asciiTheme="majorBidi" w:hAnsiTheme="majorBidi" w:cstheme="majorBidi"/>
                <w:sz w:val="20"/>
                <w:szCs w:val="20"/>
              </w:rPr>
              <w:t>0.17)</w:t>
            </w:r>
          </w:p>
        </w:tc>
      </w:tr>
      <w:tr w:rsidR="000C3736" w14:paraId="7D1C6CAB" w14:textId="77777777" w:rsidTr="001E558A">
        <w:trPr>
          <w:trHeight w:val="360"/>
          <w:jc w:val="center"/>
        </w:trPr>
        <w:tc>
          <w:tcPr>
            <w:tcW w:w="3600" w:type="dxa"/>
            <w:tcBorders>
              <w:top w:val="nil"/>
              <w:left w:val="nil"/>
              <w:bottom w:val="nil"/>
              <w:right w:val="nil"/>
            </w:tcBorders>
            <w:vAlign w:val="center"/>
          </w:tcPr>
          <w:p w14:paraId="04CFFB74" w14:textId="77777777" w:rsidR="000C3736" w:rsidRPr="00971EAB" w:rsidRDefault="000C3736"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Misclassification Cost</w:t>
            </w:r>
          </w:p>
        </w:tc>
        <w:tc>
          <w:tcPr>
            <w:tcW w:w="1491" w:type="dxa"/>
            <w:gridSpan w:val="2"/>
            <w:tcBorders>
              <w:top w:val="nil"/>
              <w:left w:val="nil"/>
              <w:bottom w:val="nil"/>
              <w:right w:val="nil"/>
            </w:tcBorders>
            <w:vAlign w:val="center"/>
          </w:tcPr>
          <w:p w14:paraId="39EE449E" w14:textId="77777777" w:rsidR="000C3736" w:rsidRPr="003B7127" w:rsidRDefault="000C3736" w:rsidP="00260D7D">
            <w:pPr>
              <w:tabs>
                <w:tab w:val="left" w:pos="567"/>
              </w:tabs>
              <w:jc w:val="center"/>
              <w:rPr>
                <w:rFonts w:asciiTheme="majorBidi" w:hAnsiTheme="majorBidi" w:cstheme="majorBidi"/>
                <w:sz w:val="20"/>
                <w:szCs w:val="20"/>
              </w:rPr>
            </w:pPr>
            <w:r w:rsidRPr="003B7127">
              <w:rPr>
                <w:rFonts w:asciiTheme="majorBidi" w:hAnsiTheme="majorBidi" w:cstheme="majorBidi"/>
                <w:sz w:val="20"/>
                <w:szCs w:val="20"/>
              </w:rPr>
              <w:t>-0.1</w:t>
            </w:r>
            <w:r>
              <w:rPr>
                <w:rFonts w:asciiTheme="majorBidi" w:hAnsiTheme="majorBidi" w:cstheme="majorBidi"/>
                <w:sz w:val="20"/>
                <w:szCs w:val="20"/>
              </w:rPr>
              <w:t>0</w:t>
            </w:r>
          </w:p>
        </w:tc>
        <w:tc>
          <w:tcPr>
            <w:tcW w:w="1491" w:type="dxa"/>
            <w:gridSpan w:val="2"/>
            <w:tcBorders>
              <w:top w:val="nil"/>
              <w:left w:val="nil"/>
              <w:bottom w:val="nil"/>
              <w:right w:val="nil"/>
            </w:tcBorders>
            <w:vAlign w:val="center"/>
          </w:tcPr>
          <w:p w14:paraId="04CB3313" w14:textId="77777777" w:rsidR="000C3736" w:rsidRPr="003B7127" w:rsidRDefault="000C3736" w:rsidP="00260D7D">
            <w:pPr>
              <w:tabs>
                <w:tab w:val="left" w:pos="567"/>
              </w:tabs>
              <w:jc w:val="center"/>
              <w:rPr>
                <w:rFonts w:asciiTheme="majorBidi" w:hAnsiTheme="majorBidi" w:cstheme="majorBidi"/>
                <w:sz w:val="20"/>
                <w:szCs w:val="20"/>
              </w:rPr>
            </w:pPr>
            <w:r w:rsidRPr="003B7127">
              <w:rPr>
                <w:rFonts w:asciiTheme="majorBidi" w:hAnsiTheme="majorBidi" w:cstheme="majorBidi"/>
                <w:sz w:val="20"/>
                <w:szCs w:val="20"/>
              </w:rPr>
              <w:t>-0.02</w:t>
            </w:r>
          </w:p>
        </w:tc>
        <w:tc>
          <w:tcPr>
            <w:tcW w:w="1492" w:type="dxa"/>
            <w:gridSpan w:val="2"/>
            <w:tcBorders>
              <w:top w:val="nil"/>
              <w:left w:val="nil"/>
              <w:bottom w:val="nil"/>
              <w:right w:val="nil"/>
            </w:tcBorders>
            <w:vAlign w:val="center"/>
          </w:tcPr>
          <w:p w14:paraId="027312EF" w14:textId="77777777" w:rsidR="000C3736" w:rsidRPr="003B7127" w:rsidRDefault="000C3736" w:rsidP="00260D7D">
            <w:pPr>
              <w:tabs>
                <w:tab w:val="left" w:pos="567"/>
              </w:tabs>
              <w:jc w:val="center"/>
              <w:rPr>
                <w:rFonts w:asciiTheme="majorBidi" w:hAnsiTheme="majorBidi" w:cstheme="majorBidi"/>
                <w:sz w:val="20"/>
                <w:szCs w:val="20"/>
              </w:rPr>
            </w:pPr>
            <w:r w:rsidRPr="003B7127">
              <w:rPr>
                <w:rFonts w:asciiTheme="majorBidi" w:hAnsiTheme="majorBidi" w:cstheme="majorBidi"/>
                <w:sz w:val="20"/>
                <w:szCs w:val="20"/>
              </w:rPr>
              <w:t>-0.01</w:t>
            </w:r>
          </w:p>
        </w:tc>
        <w:tc>
          <w:tcPr>
            <w:tcW w:w="1491" w:type="dxa"/>
            <w:gridSpan w:val="2"/>
            <w:tcBorders>
              <w:top w:val="nil"/>
              <w:left w:val="nil"/>
              <w:bottom w:val="nil"/>
              <w:right w:val="nil"/>
            </w:tcBorders>
            <w:vAlign w:val="center"/>
          </w:tcPr>
          <w:p w14:paraId="13AA02B0" w14:textId="77777777" w:rsidR="000C3736" w:rsidRPr="003B7127" w:rsidRDefault="000C3736" w:rsidP="00260D7D">
            <w:pPr>
              <w:tabs>
                <w:tab w:val="left" w:pos="567"/>
              </w:tabs>
              <w:jc w:val="center"/>
              <w:rPr>
                <w:rFonts w:asciiTheme="majorBidi" w:hAnsiTheme="majorBidi" w:cstheme="majorBidi"/>
                <w:sz w:val="20"/>
                <w:szCs w:val="20"/>
              </w:rPr>
            </w:pPr>
            <w:r w:rsidRPr="003B7127">
              <w:rPr>
                <w:rFonts w:asciiTheme="majorBidi" w:hAnsiTheme="majorBidi" w:cstheme="majorBidi"/>
                <w:sz w:val="20"/>
                <w:szCs w:val="20"/>
              </w:rPr>
              <w:t>-0.19</w:t>
            </w:r>
          </w:p>
        </w:tc>
        <w:tc>
          <w:tcPr>
            <w:tcW w:w="1492" w:type="dxa"/>
            <w:gridSpan w:val="2"/>
            <w:tcBorders>
              <w:top w:val="nil"/>
              <w:left w:val="nil"/>
              <w:bottom w:val="nil"/>
              <w:right w:val="nil"/>
            </w:tcBorders>
            <w:vAlign w:val="center"/>
          </w:tcPr>
          <w:p w14:paraId="7C35E5B0" w14:textId="77777777" w:rsidR="000C3736" w:rsidRPr="003B7127" w:rsidRDefault="000C3736" w:rsidP="00260D7D">
            <w:pPr>
              <w:tabs>
                <w:tab w:val="left" w:pos="567"/>
              </w:tabs>
              <w:jc w:val="center"/>
              <w:rPr>
                <w:rFonts w:asciiTheme="majorBidi" w:hAnsiTheme="majorBidi" w:cstheme="majorBidi"/>
                <w:sz w:val="20"/>
                <w:szCs w:val="20"/>
              </w:rPr>
            </w:pPr>
            <w:r w:rsidRPr="003B7127">
              <w:rPr>
                <w:rFonts w:asciiTheme="majorBidi" w:hAnsiTheme="majorBidi" w:cstheme="majorBidi"/>
                <w:sz w:val="20"/>
                <w:szCs w:val="20"/>
              </w:rPr>
              <w:t>-0.23</w:t>
            </w:r>
          </w:p>
        </w:tc>
        <w:tc>
          <w:tcPr>
            <w:tcW w:w="1491" w:type="dxa"/>
            <w:gridSpan w:val="2"/>
            <w:tcBorders>
              <w:top w:val="nil"/>
              <w:left w:val="nil"/>
              <w:bottom w:val="nil"/>
              <w:right w:val="nil"/>
            </w:tcBorders>
            <w:shd w:val="clear" w:color="auto" w:fill="auto"/>
            <w:vAlign w:val="center"/>
          </w:tcPr>
          <w:p w14:paraId="3AB99A48" w14:textId="77777777" w:rsidR="000C3736" w:rsidRPr="003B7127" w:rsidRDefault="000C3736" w:rsidP="00260D7D">
            <w:pPr>
              <w:tabs>
                <w:tab w:val="left" w:pos="567"/>
              </w:tabs>
              <w:jc w:val="center"/>
              <w:rPr>
                <w:rFonts w:asciiTheme="majorBidi" w:hAnsiTheme="majorBidi" w:cstheme="majorBidi"/>
                <w:sz w:val="20"/>
                <w:szCs w:val="20"/>
              </w:rPr>
            </w:pPr>
            <w:r w:rsidRPr="003B7127">
              <w:rPr>
                <w:rFonts w:asciiTheme="majorBidi" w:hAnsiTheme="majorBidi" w:cstheme="majorBidi"/>
                <w:sz w:val="20"/>
                <w:szCs w:val="20"/>
              </w:rPr>
              <w:t>-0.03</w:t>
            </w:r>
          </w:p>
        </w:tc>
        <w:tc>
          <w:tcPr>
            <w:tcW w:w="1492" w:type="dxa"/>
            <w:gridSpan w:val="3"/>
            <w:tcBorders>
              <w:top w:val="nil"/>
              <w:left w:val="nil"/>
              <w:bottom w:val="nil"/>
              <w:right w:val="nil"/>
            </w:tcBorders>
            <w:vAlign w:val="center"/>
          </w:tcPr>
          <w:p w14:paraId="7D60940B" w14:textId="77777777" w:rsidR="000C3736" w:rsidRPr="003B7127" w:rsidRDefault="000C3736" w:rsidP="00260D7D">
            <w:pPr>
              <w:tabs>
                <w:tab w:val="left" w:pos="567"/>
              </w:tabs>
              <w:jc w:val="center"/>
              <w:rPr>
                <w:rFonts w:asciiTheme="majorBidi" w:hAnsiTheme="majorBidi" w:cstheme="majorBidi"/>
                <w:sz w:val="20"/>
                <w:szCs w:val="20"/>
              </w:rPr>
            </w:pPr>
            <w:r w:rsidRPr="003B7127">
              <w:rPr>
                <w:rFonts w:asciiTheme="majorBidi" w:hAnsiTheme="majorBidi" w:cstheme="majorBidi"/>
                <w:sz w:val="20"/>
                <w:szCs w:val="20"/>
              </w:rPr>
              <w:t>-0.1</w:t>
            </w:r>
            <w:r>
              <w:rPr>
                <w:rFonts w:asciiTheme="majorBidi" w:hAnsiTheme="majorBidi" w:cstheme="majorBidi"/>
                <w:sz w:val="20"/>
                <w:szCs w:val="20"/>
              </w:rPr>
              <w:t>0</w:t>
            </w:r>
          </w:p>
        </w:tc>
      </w:tr>
      <w:tr w:rsidR="000C3736" w14:paraId="30AF0601" w14:textId="77777777" w:rsidTr="001E558A">
        <w:trPr>
          <w:trHeight w:val="360"/>
          <w:jc w:val="center"/>
        </w:trPr>
        <w:tc>
          <w:tcPr>
            <w:tcW w:w="3600" w:type="dxa"/>
            <w:tcBorders>
              <w:top w:val="nil"/>
              <w:left w:val="nil"/>
              <w:bottom w:val="nil"/>
              <w:right w:val="nil"/>
            </w:tcBorders>
            <w:vAlign w:val="center"/>
          </w:tcPr>
          <w:p w14:paraId="4681D3EE" w14:textId="77777777" w:rsidR="000C3736" w:rsidRPr="00971EAB" w:rsidRDefault="000C3736"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Area Under the Curve - AUC</w:t>
            </w:r>
          </w:p>
        </w:tc>
        <w:tc>
          <w:tcPr>
            <w:tcW w:w="1491" w:type="dxa"/>
            <w:gridSpan w:val="2"/>
            <w:tcBorders>
              <w:top w:val="nil"/>
              <w:left w:val="nil"/>
              <w:bottom w:val="nil"/>
              <w:right w:val="nil"/>
            </w:tcBorders>
            <w:vAlign w:val="center"/>
          </w:tcPr>
          <w:p w14:paraId="7DAC3C61"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0.07</w:t>
            </w:r>
          </w:p>
        </w:tc>
        <w:tc>
          <w:tcPr>
            <w:tcW w:w="1491" w:type="dxa"/>
            <w:gridSpan w:val="2"/>
            <w:tcBorders>
              <w:top w:val="nil"/>
              <w:left w:val="nil"/>
              <w:bottom w:val="nil"/>
              <w:right w:val="nil"/>
            </w:tcBorders>
            <w:vAlign w:val="center"/>
          </w:tcPr>
          <w:p w14:paraId="53955D28"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0.03</w:t>
            </w:r>
          </w:p>
        </w:tc>
        <w:tc>
          <w:tcPr>
            <w:tcW w:w="1492" w:type="dxa"/>
            <w:gridSpan w:val="2"/>
            <w:tcBorders>
              <w:top w:val="nil"/>
              <w:left w:val="nil"/>
              <w:bottom w:val="nil"/>
              <w:right w:val="nil"/>
            </w:tcBorders>
            <w:vAlign w:val="center"/>
          </w:tcPr>
          <w:p w14:paraId="2423B48E"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0.03</w:t>
            </w:r>
          </w:p>
        </w:tc>
        <w:tc>
          <w:tcPr>
            <w:tcW w:w="1491" w:type="dxa"/>
            <w:gridSpan w:val="2"/>
            <w:tcBorders>
              <w:top w:val="nil"/>
              <w:left w:val="nil"/>
              <w:bottom w:val="nil"/>
              <w:right w:val="nil"/>
            </w:tcBorders>
            <w:vAlign w:val="center"/>
          </w:tcPr>
          <w:p w14:paraId="08D26A14"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0.06</w:t>
            </w:r>
          </w:p>
        </w:tc>
        <w:tc>
          <w:tcPr>
            <w:tcW w:w="1492" w:type="dxa"/>
            <w:gridSpan w:val="2"/>
            <w:tcBorders>
              <w:top w:val="nil"/>
              <w:left w:val="nil"/>
              <w:bottom w:val="nil"/>
              <w:right w:val="nil"/>
            </w:tcBorders>
            <w:vAlign w:val="center"/>
          </w:tcPr>
          <w:p w14:paraId="0B3C477A"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0.02</w:t>
            </w:r>
          </w:p>
        </w:tc>
        <w:tc>
          <w:tcPr>
            <w:tcW w:w="1491" w:type="dxa"/>
            <w:gridSpan w:val="2"/>
            <w:tcBorders>
              <w:top w:val="nil"/>
              <w:left w:val="nil"/>
              <w:bottom w:val="nil"/>
              <w:right w:val="nil"/>
            </w:tcBorders>
            <w:shd w:val="clear" w:color="auto" w:fill="auto"/>
            <w:vAlign w:val="center"/>
          </w:tcPr>
          <w:p w14:paraId="228ECE5E"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0.05</w:t>
            </w:r>
          </w:p>
        </w:tc>
        <w:tc>
          <w:tcPr>
            <w:tcW w:w="1492" w:type="dxa"/>
            <w:gridSpan w:val="3"/>
            <w:tcBorders>
              <w:top w:val="nil"/>
              <w:left w:val="nil"/>
              <w:bottom w:val="nil"/>
              <w:right w:val="nil"/>
            </w:tcBorders>
            <w:vAlign w:val="center"/>
          </w:tcPr>
          <w:p w14:paraId="5B8FA4B8"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0.07</w:t>
            </w:r>
          </w:p>
        </w:tc>
      </w:tr>
      <w:tr w:rsidR="000C3736" w14:paraId="414701F9" w14:textId="77777777" w:rsidTr="001E558A">
        <w:trPr>
          <w:trHeight w:val="360"/>
          <w:jc w:val="center"/>
        </w:trPr>
        <w:tc>
          <w:tcPr>
            <w:tcW w:w="3600" w:type="dxa"/>
            <w:tcBorders>
              <w:top w:val="nil"/>
              <w:left w:val="nil"/>
              <w:bottom w:val="nil"/>
              <w:right w:val="nil"/>
            </w:tcBorders>
            <w:vAlign w:val="center"/>
          </w:tcPr>
          <w:p w14:paraId="45862210" w14:textId="77777777" w:rsidR="000C3736" w:rsidRPr="00971EAB" w:rsidRDefault="000C3736" w:rsidP="00260D7D">
            <w:pPr>
              <w:tabs>
                <w:tab w:val="left" w:pos="567"/>
              </w:tabs>
              <w:rPr>
                <w:rFonts w:asciiTheme="majorBidi" w:hAnsiTheme="majorBidi" w:cstheme="majorBidi"/>
                <w:sz w:val="20"/>
                <w:szCs w:val="20"/>
              </w:rPr>
            </w:pPr>
            <w:r>
              <w:rPr>
                <w:rFonts w:asciiTheme="majorBidi" w:hAnsiTheme="majorBidi" w:cstheme="majorBidi"/>
                <w:sz w:val="20"/>
                <w:szCs w:val="20"/>
              </w:rPr>
              <w:t>Out-of-sample Forecast Accuracy</w:t>
            </w:r>
          </w:p>
        </w:tc>
        <w:tc>
          <w:tcPr>
            <w:tcW w:w="1491" w:type="dxa"/>
            <w:gridSpan w:val="2"/>
            <w:tcBorders>
              <w:top w:val="nil"/>
              <w:left w:val="nil"/>
              <w:bottom w:val="nil"/>
              <w:right w:val="nil"/>
            </w:tcBorders>
            <w:vAlign w:val="center"/>
          </w:tcPr>
          <w:p w14:paraId="45D5A783"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0.05</w:t>
            </w:r>
          </w:p>
        </w:tc>
        <w:tc>
          <w:tcPr>
            <w:tcW w:w="1491" w:type="dxa"/>
            <w:gridSpan w:val="2"/>
            <w:tcBorders>
              <w:top w:val="nil"/>
              <w:left w:val="nil"/>
              <w:bottom w:val="nil"/>
              <w:right w:val="nil"/>
            </w:tcBorders>
            <w:vAlign w:val="center"/>
          </w:tcPr>
          <w:p w14:paraId="3088356A"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0.06</w:t>
            </w:r>
          </w:p>
        </w:tc>
        <w:tc>
          <w:tcPr>
            <w:tcW w:w="1492" w:type="dxa"/>
            <w:gridSpan w:val="2"/>
            <w:tcBorders>
              <w:top w:val="nil"/>
              <w:left w:val="nil"/>
              <w:bottom w:val="nil"/>
              <w:right w:val="nil"/>
            </w:tcBorders>
            <w:vAlign w:val="center"/>
          </w:tcPr>
          <w:p w14:paraId="747601C4"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w:t>
            </w:r>
            <w:r>
              <w:rPr>
                <w:rFonts w:asciiTheme="majorBidi" w:hAnsiTheme="majorBidi" w:cstheme="majorBidi"/>
                <w:sz w:val="20"/>
                <w:szCs w:val="20"/>
              </w:rPr>
              <w:t>2</w:t>
            </w:r>
          </w:p>
        </w:tc>
        <w:tc>
          <w:tcPr>
            <w:tcW w:w="1491" w:type="dxa"/>
            <w:gridSpan w:val="2"/>
            <w:tcBorders>
              <w:top w:val="nil"/>
              <w:left w:val="nil"/>
              <w:bottom w:val="nil"/>
              <w:right w:val="nil"/>
            </w:tcBorders>
            <w:vAlign w:val="center"/>
          </w:tcPr>
          <w:p w14:paraId="6E2EA95F"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0.21</w:t>
            </w:r>
          </w:p>
        </w:tc>
        <w:tc>
          <w:tcPr>
            <w:tcW w:w="1492" w:type="dxa"/>
            <w:gridSpan w:val="2"/>
            <w:tcBorders>
              <w:top w:val="nil"/>
              <w:left w:val="nil"/>
              <w:bottom w:val="nil"/>
              <w:right w:val="nil"/>
            </w:tcBorders>
            <w:vAlign w:val="center"/>
          </w:tcPr>
          <w:p w14:paraId="0F249461"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0.15</w:t>
            </w:r>
          </w:p>
        </w:tc>
        <w:tc>
          <w:tcPr>
            <w:tcW w:w="1491" w:type="dxa"/>
            <w:gridSpan w:val="2"/>
            <w:tcBorders>
              <w:top w:val="nil"/>
              <w:left w:val="nil"/>
              <w:bottom w:val="nil"/>
              <w:right w:val="nil"/>
            </w:tcBorders>
            <w:shd w:val="clear" w:color="auto" w:fill="auto"/>
            <w:vAlign w:val="center"/>
          </w:tcPr>
          <w:p w14:paraId="095D1240"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0.11</w:t>
            </w:r>
          </w:p>
        </w:tc>
        <w:tc>
          <w:tcPr>
            <w:tcW w:w="1492" w:type="dxa"/>
            <w:gridSpan w:val="3"/>
            <w:tcBorders>
              <w:top w:val="nil"/>
              <w:left w:val="nil"/>
              <w:bottom w:val="nil"/>
              <w:right w:val="nil"/>
            </w:tcBorders>
            <w:vAlign w:val="center"/>
          </w:tcPr>
          <w:p w14:paraId="5291DFE4"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0.05</w:t>
            </w:r>
          </w:p>
        </w:tc>
      </w:tr>
      <w:tr w:rsidR="000C3736" w:rsidRPr="00971EAB" w14:paraId="43569E5B" w14:textId="77777777" w:rsidTr="00F960CA">
        <w:trPr>
          <w:trHeight w:val="80"/>
          <w:jc w:val="center"/>
        </w:trPr>
        <w:tc>
          <w:tcPr>
            <w:tcW w:w="3600" w:type="dxa"/>
            <w:tcBorders>
              <w:top w:val="nil"/>
              <w:left w:val="nil"/>
              <w:bottom w:val="nil"/>
              <w:right w:val="nil"/>
            </w:tcBorders>
            <w:vAlign w:val="center"/>
          </w:tcPr>
          <w:p w14:paraId="5C23869F" w14:textId="77777777" w:rsidR="000C3736" w:rsidRPr="00054446" w:rsidRDefault="000C3736" w:rsidP="00260D7D">
            <w:pPr>
              <w:tabs>
                <w:tab w:val="left" w:pos="567"/>
              </w:tabs>
              <w:rPr>
                <w:rFonts w:asciiTheme="majorBidi" w:hAnsiTheme="majorBidi" w:cstheme="majorBidi"/>
                <w:b/>
                <w:bCs/>
                <w:sz w:val="6"/>
                <w:szCs w:val="6"/>
              </w:rPr>
            </w:pPr>
          </w:p>
        </w:tc>
        <w:tc>
          <w:tcPr>
            <w:tcW w:w="1491" w:type="dxa"/>
            <w:gridSpan w:val="2"/>
            <w:tcBorders>
              <w:top w:val="nil"/>
              <w:left w:val="nil"/>
              <w:bottom w:val="nil"/>
              <w:right w:val="nil"/>
            </w:tcBorders>
            <w:vAlign w:val="center"/>
          </w:tcPr>
          <w:p w14:paraId="59F06172" w14:textId="77777777" w:rsidR="000C3736" w:rsidRPr="00971EAB" w:rsidRDefault="000C3736" w:rsidP="00260D7D">
            <w:pPr>
              <w:tabs>
                <w:tab w:val="left" w:pos="567"/>
              </w:tabs>
              <w:jc w:val="center"/>
              <w:rPr>
                <w:rFonts w:asciiTheme="majorBidi" w:hAnsiTheme="majorBidi" w:cstheme="majorBidi"/>
                <w:sz w:val="6"/>
                <w:szCs w:val="6"/>
              </w:rPr>
            </w:pPr>
          </w:p>
        </w:tc>
        <w:tc>
          <w:tcPr>
            <w:tcW w:w="1491" w:type="dxa"/>
            <w:gridSpan w:val="2"/>
            <w:tcBorders>
              <w:top w:val="nil"/>
              <w:left w:val="nil"/>
              <w:bottom w:val="nil"/>
              <w:right w:val="nil"/>
            </w:tcBorders>
            <w:vAlign w:val="center"/>
          </w:tcPr>
          <w:p w14:paraId="75D72A87" w14:textId="77777777" w:rsidR="000C3736" w:rsidRPr="00971EAB" w:rsidRDefault="000C3736" w:rsidP="00260D7D">
            <w:pPr>
              <w:tabs>
                <w:tab w:val="left" w:pos="567"/>
              </w:tabs>
              <w:jc w:val="center"/>
              <w:rPr>
                <w:rFonts w:asciiTheme="majorBidi" w:hAnsiTheme="majorBidi" w:cstheme="majorBidi"/>
                <w:sz w:val="6"/>
                <w:szCs w:val="6"/>
              </w:rPr>
            </w:pPr>
          </w:p>
        </w:tc>
        <w:tc>
          <w:tcPr>
            <w:tcW w:w="1492" w:type="dxa"/>
            <w:gridSpan w:val="2"/>
            <w:tcBorders>
              <w:top w:val="nil"/>
              <w:left w:val="nil"/>
              <w:bottom w:val="nil"/>
              <w:right w:val="nil"/>
            </w:tcBorders>
            <w:vAlign w:val="center"/>
          </w:tcPr>
          <w:p w14:paraId="5A876E42" w14:textId="77777777" w:rsidR="000C3736" w:rsidRPr="00971EAB" w:rsidRDefault="000C3736" w:rsidP="00260D7D">
            <w:pPr>
              <w:tabs>
                <w:tab w:val="left" w:pos="567"/>
              </w:tabs>
              <w:jc w:val="center"/>
              <w:rPr>
                <w:rFonts w:asciiTheme="majorBidi" w:hAnsiTheme="majorBidi" w:cstheme="majorBidi"/>
                <w:sz w:val="6"/>
                <w:szCs w:val="6"/>
              </w:rPr>
            </w:pPr>
          </w:p>
        </w:tc>
        <w:tc>
          <w:tcPr>
            <w:tcW w:w="1491" w:type="dxa"/>
            <w:gridSpan w:val="2"/>
            <w:tcBorders>
              <w:top w:val="nil"/>
              <w:left w:val="nil"/>
              <w:bottom w:val="nil"/>
              <w:right w:val="nil"/>
            </w:tcBorders>
            <w:vAlign w:val="center"/>
          </w:tcPr>
          <w:p w14:paraId="189DC580" w14:textId="77777777" w:rsidR="000C3736" w:rsidRPr="00971EAB" w:rsidRDefault="000C3736" w:rsidP="00260D7D">
            <w:pPr>
              <w:tabs>
                <w:tab w:val="left" w:pos="567"/>
              </w:tabs>
              <w:jc w:val="center"/>
              <w:rPr>
                <w:rFonts w:asciiTheme="majorBidi" w:hAnsiTheme="majorBidi" w:cstheme="majorBidi"/>
                <w:sz w:val="6"/>
                <w:szCs w:val="6"/>
              </w:rPr>
            </w:pPr>
          </w:p>
        </w:tc>
        <w:tc>
          <w:tcPr>
            <w:tcW w:w="1492" w:type="dxa"/>
            <w:gridSpan w:val="2"/>
            <w:tcBorders>
              <w:top w:val="nil"/>
              <w:left w:val="nil"/>
              <w:bottom w:val="nil"/>
              <w:right w:val="nil"/>
            </w:tcBorders>
            <w:vAlign w:val="center"/>
          </w:tcPr>
          <w:p w14:paraId="77AE8C13" w14:textId="77777777" w:rsidR="000C3736" w:rsidRPr="00971EAB" w:rsidRDefault="000C3736" w:rsidP="00260D7D">
            <w:pPr>
              <w:tabs>
                <w:tab w:val="left" w:pos="567"/>
              </w:tabs>
              <w:jc w:val="center"/>
              <w:rPr>
                <w:rFonts w:asciiTheme="majorBidi" w:hAnsiTheme="majorBidi" w:cstheme="majorBidi"/>
                <w:sz w:val="6"/>
                <w:szCs w:val="6"/>
              </w:rPr>
            </w:pPr>
          </w:p>
        </w:tc>
        <w:tc>
          <w:tcPr>
            <w:tcW w:w="1491" w:type="dxa"/>
            <w:gridSpan w:val="2"/>
            <w:tcBorders>
              <w:top w:val="nil"/>
              <w:left w:val="nil"/>
              <w:bottom w:val="nil"/>
              <w:right w:val="nil"/>
            </w:tcBorders>
            <w:vAlign w:val="center"/>
          </w:tcPr>
          <w:p w14:paraId="7E40A72A" w14:textId="77777777" w:rsidR="000C3736" w:rsidRPr="00971EAB" w:rsidRDefault="000C3736" w:rsidP="00260D7D">
            <w:pPr>
              <w:tabs>
                <w:tab w:val="left" w:pos="567"/>
              </w:tabs>
              <w:jc w:val="center"/>
              <w:rPr>
                <w:rFonts w:asciiTheme="majorBidi" w:hAnsiTheme="majorBidi" w:cstheme="majorBidi"/>
                <w:sz w:val="6"/>
                <w:szCs w:val="6"/>
              </w:rPr>
            </w:pPr>
          </w:p>
        </w:tc>
        <w:tc>
          <w:tcPr>
            <w:tcW w:w="1492" w:type="dxa"/>
            <w:gridSpan w:val="3"/>
            <w:tcBorders>
              <w:top w:val="nil"/>
              <w:left w:val="nil"/>
              <w:bottom w:val="nil"/>
              <w:right w:val="nil"/>
            </w:tcBorders>
            <w:vAlign w:val="center"/>
          </w:tcPr>
          <w:p w14:paraId="1159F69D" w14:textId="77777777" w:rsidR="000C3736" w:rsidRPr="00971EAB" w:rsidRDefault="000C3736" w:rsidP="00260D7D">
            <w:pPr>
              <w:tabs>
                <w:tab w:val="left" w:pos="567"/>
              </w:tabs>
              <w:jc w:val="center"/>
              <w:rPr>
                <w:rFonts w:asciiTheme="majorBidi" w:hAnsiTheme="majorBidi" w:cstheme="majorBidi"/>
                <w:sz w:val="6"/>
                <w:szCs w:val="6"/>
              </w:rPr>
            </w:pPr>
          </w:p>
        </w:tc>
      </w:tr>
      <w:tr w:rsidR="000C3736" w:rsidRPr="00971EAB" w14:paraId="7CE2A1E0" w14:textId="77777777" w:rsidTr="00C01F80">
        <w:trPr>
          <w:trHeight w:val="288"/>
          <w:jc w:val="center"/>
        </w:trPr>
        <w:tc>
          <w:tcPr>
            <w:tcW w:w="3600" w:type="dxa"/>
            <w:tcBorders>
              <w:top w:val="nil"/>
              <w:left w:val="nil"/>
              <w:bottom w:val="single" w:sz="6" w:space="0" w:color="auto"/>
              <w:right w:val="nil"/>
            </w:tcBorders>
            <w:vAlign w:val="center"/>
          </w:tcPr>
          <w:p w14:paraId="6D05E12C" w14:textId="77777777" w:rsidR="000C3736" w:rsidRPr="00054446" w:rsidRDefault="000C3736" w:rsidP="00260D7D">
            <w:pPr>
              <w:tabs>
                <w:tab w:val="left" w:pos="567"/>
              </w:tabs>
              <w:rPr>
                <w:rFonts w:asciiTheme="majorBidi" w:hAnsiTheme="majorBidi" w:cstheme="majorBidi"/>
                <w:b/>
                <w:bCs/>
                <w:sz w:val="20"/>
                <w:szCs w:val="20"/>
              </w:rPr>
            </w:pPr>
            <w:r w:rsidRPr="00054446">
              <w:rPr>
                <w:rFonts w:asciiTheme="majorBidi" w:hAnsiTheme="majorBidi" w:cstheme="majorBidi"/>
                <w:b/>
                <w:bCs/>
                <w:sz w:val="20"/>
                <w:szCs w:val="20"/>
              </w:rPr>
              <w:t>Hanley and McNeil (1983) Test</w:t>
            </w:r>
          </w:p>
        </w:tc>
        <w:tc>
          <w:tcPr>
            <w:tcW w:w="1491" w:type="dxa"/>
            <w:gridSpan w:val="2"/>
            <w:tcBorders>
              <w:top w:val="nil"/>
              <w:left w:val="nil"/>
              <w:bottom w:val="single" w:sz="6" w:space="0" w:color="auto"/>
              <w:right w:val="nil"/>
            </w:tcBorders>
            <w:vAlign w:val="center"/>
          </w:tcPr>
          <w:p w14:paraId="159C4634" w14:textId="77777777" w:rsidR="000C3736" w:rsidRPr="00C01F80" w:rsidRDefault="000C3736" w:rsidP="00260D7D">
            <w:pPr>
              <w:tabs>
                <w:tab w:val="left" w:pos="567"/>
              </w:tabs>
              <w:jc w:val="center"/>
              <w:rPr>
                <w:rFonts w:asciiTheme="majorBidi" w:hAnsiTheme="majorBidi" w:cstheme="majorBidi"/>
                <w:sz w:val="20"/>
                <w:szCs w:val="20"/>
              </w:rPr>
            </w:pPr>
            <w:r w:rsidRPr="00C01F80">
              <w:rPr>
                <w:rFonts w:asciiTheme="majorBidi" w:hAnsiTheme="majorBidi" w:cstheme="majorBidi"/>
                <w:sz w:val="20"/>
                <w:szCs w:val="20"/>
              </w:rPr>
              <w:t>-3.022***</w:t>
            </w:r>
          </w:p>
        </w:tc>
        <w:tc>
          <w:tcPr>
            <w:tcW w:w="1491" w:type="dxa"/>
            <w:gridSpan w:val="2"/>
            <w:tcBorders>
              <w:top w:val="nil"/>
              <w:left w:val="nil"/>
              <w:bottom w:val="single" w:sz="6" w:space="0" w:color="auto"/>
              <w:right w:val="nil"/>
            </w:tcBorders>
            <w:vAlign w:val="center"/>
          </w:tcPr>
          <w:p w14:paraId="273DFE0D" w14:textId="77777777" w:rsidR="000C3736" w:rsidRPr="00C01F80" w:rsidRDefault="00F41BB8" w:rsidP="00260D7D">
            <w:pPr>
              <w:tabs>
                <w:tab w:val="left" w:pos="567"/>
              </w:tabs>
              <w:jc w:val="center"/>
              <w:rPr>
                <w:rFonts w:asciiTheme="majorBidi" w:hAnsiTheme="majorBidi" w:cstheme="majorBidi"/>
                <w:sz w:val="20"/>
                <w:szCs w:val="20"/>
              </w:rPr>
            </w:pPr>
            <w:r w:rsidRPr="00C01F80">
              <w:rPr>
                <w:rFonts w:asciiTheme="majorBidi" w:hAnsiTheme="majorBidi" w:cstheme="majorBidi"/>
                <w:sz w:val="20"/>
                <w:szCs w:val="20"/>
              </w:rPr>
              <w:t>-3.553***</w:t>
            </w:r>
          </w:p>
        </w:tc>
        <w:tc>
          <w:tcPr>
            <w:tcW w:w="1492" w:type="dxa"/>
            <w:gridSpan w:val="2"/>
            <w:tcBorders>
              <w:top w:val="nil"/>
              <w:left w:val="nil"/>
              <w:bottom w:val="single" w:sz="6" w:space="0" w:color="auto"/>
              <w:right w:val="nil"/>
            </w:tcBorders>
            <w:vAlign w:val="center"/>
          </w:tcPr>
          <w:p w14:paraId="1048054D" w14:textId="77777777" w:rsidR="000C3736" w:rsidRPr="00C01F80" w:rsidRDefault="00F41BB8" w:rsidP="00260D7D">
            <w:pPr>
              <w:tabs>
                <w:tab w:val="left" w:pos="567"/>
              </w:tabs>
              <w:jc w:val="center"/>
              <w:rPr>
                <w:rFonts w:asciiTheme="majorBidi" w:hAnsiTheme="majorBidi" w:cstheme="majorBidi"/>
                <w:sz w:val="20"/>
                <w:szCs w:val="20"/>
              </w:rPr>
            </w:pPr>
            <w:r w:rsidRPr="00C01F80">
              <w:rPr>
                <w:rFonts w:asciiTheme="majorBidi" w:hAnsiTheme="majorBidi" w:cstheme="majorBidi"/>
                <w:sz w:val="20"/>
                <w:szCs w:val="20"/>
              </w:rPr>
              <w:t>-3.186***</w:t>
            </w:r>
          </w:p>
        </w:tc>
        <w:tc>
          <w:tcPr>
            <w:tcW w:w="1491" w:type="dxa"/>
            <w:gridSpan w:val="2"/>
            <w:tcBorders>
              <w:top w:val="nil"/>
              <w:left w:val="nil"/>
              <w:bottom w:val="single" w:sz="6" w:space="0" w:color="auto"/>
              <w:right w:val="nil"/>
            </w:tcBorders>
            <w:vAlign w:val="center"/>
          </w:tcPr>
          <w:p w14:paraId="360026E0" w14:textId="77777777" w:rsidR="000C3736" w:rsidRPr="00C01F80" w:rsidRDefault="00F41BB8" w:rsidP="00260D7D">
            <w:pPr>
              <w:tabs>
                <w:tab w:val="left" w:pos="567"/>
              </w:tabs>
              <w:jc w:val="center"/>
              <w:rPr>
                <w:rFonts w:asciiTheme="majorBidi" w:hAnsiTheme="majorBidi" w:cstheme="majorBidi"/>
                <w:sz w:val="20"/>
                <w:szCs w:val="20"/>
              </w:rPr>
            </w:pPr>
            <w:r w:rsidRPr="00C01F80">
              <w:rPr>
                <w:rFonts w:asciiTheme="majorBidi" w:hAnsiTheme="majorBidi" w:cstheme="majorBidi"/>
                <w:sz w:val="20"/>
                <w:szCs w:val="20"/>
              </w:rPr>
              <w:t>-6.501***</w:t>
            </w:r>
          </w:p>
        </w:tc>
        <w:tc>
          <w:tcPr>
            <w:tcW w:w="1492" w:type="dxa"/>
            <w:gridSpan w:val="2"/>
            <w:tcBorders>
              <w:top w:val="nil"/>
              <w:left w:val="nil"/>
              <w:bottom w:val="single" w:sz="6" w:space="0" w:color="auto"/>
              <w:right w:val="nil"/>
            </w:tcBorders>
            <w:vAlign w:val="center"/>
          </w:tcPr>
          <w:p w14:paraId="3EE0394A" w14:textId="77777777" w:rsidR="000C3736" w:rsidRPr="00C01F80" w:rsidRDefault="00F41BB8" w:rsidP="00260D7D">
            <w:pPr>
              <w:tabs>
                <w:tab w:val="left" w:pos="567"/>
              </w:tabs>
              <w:jc w:val="center"/>
              <w:rPr>
                <w:rFonts w:asciiTheme="majorBidi" w:hAnsiTheme="majorBidi" w:cstheme="majorBidi"/>
                <w:sz w:val="20"/>
                <w:szCs w:val="20"/>
              </w:rPr>
            </w:pPr>
            <w:r w:rsidRPr="00C01F80">
              <w:rPr>
                <w:rFonts w:asciiTheme="majorBidi" w:hAnsiTheme="majorBidi" w:cstheme="majorBidi"/>
                <w:sz w:val="20"/>
                <w:szCs w:val="20"/>
              </w:rPr>
              <w:t>-2.031**</w:t>
            </w:r>
          </w:p>
        </w:tc>
        <w:tc>
          <w:tcPr>
            <w:tcW w:w="1491" w:type="dxa"/>
            <w:gridSpan w:val="2"/>
            <w:tcBorders>
              <w:top w:val="nil"/>
              <w:left w:val="nil"/>
              <w:bottom w:val="single" w:sz="6" w:space="0" w:color="auto"/>
              <w:right w:val="nil"/>
            </w:tcBorders>
            <w:vAlign w:val="center"/>
          </w:tcPr>
          <w:p w14:paraId="3B02A486" w14:textId="77777777" w:rsidR="000C3736" w:rsidRPr="00C01F80" w:rsidRDefault="00F41BB8" w:rsidP="00260D7D">
            <w:pPr>
              <w:tabs>
                <w:tab w:val="left" w:pos="567"/>
              </w:tabs>
              <w:jc w:val="center"/>
              <w:rPr>
                <w:rFonts w:asciiTheme="majorBidi" w:hAnsiTheme="majorBidi" w:cstheme="majorBidi"/>
                <w:sz w:val="20"/>
                <w:szCs w:val="20"/>
              </w:rPr>
            </w:pPr>
            <w:r w:rsidRPr="00C01F80">
              <w:rPr>
                <w:rFonts w:asciiTheme="majorBidi" w:hAnsiTheme="majorBidi" w:cstheme="majorBidi"/>
                <w:sz w:val="20"/>
                <w:szCs w:val="20"/>
              </w:rPr>
              <w:t>-4.055***</w:t>
            </w:r>
          </w:p>
        </w:tc>
        <w:tc>
          <w:tcPr>
            <w:tcW w:w="1492" w:type="dxa"/>
            <w:gridSpan w:val="3"/>
            <w:tcBorders>
              <w:top w:val="nil"/>
              <w:left w:val="nil"/>
              <w:bottom w:val="single" w:sz="6" w:space="0" w:color="auto"/>
              <w:right w:val="nil"/>
            </w:tcBorders>
            <w:vAlign w:val="center"/>
          </w:tcPr>
          <w:p w14:paraId="6F6E7DF2" w14:textId="77777777" w:rsidR="000C3736" w:rsidRPr="00C01F80" w:rsidRDefault="00F41BB8" w:rsidP="00260D7D">
            <w:pPr>
              <w:tabs>
                <w:tab w:val="left" w:pos="567"/>
              </w:tabs>
              <w:jc w:val="center"/>
              <w:rPr>
                <w:rFonts w:asciiTheme="majorBidi" w:hAnsiTheme="majorBidi" w:cstheme="majorBidi"/>
                <w:sz w:val="20"/>
                <w:szCs w:val="20"/>
              </w:rPr>
            </w:pPr>
            <w:r w:rsidRPr="00C01F80">
              <w:rPr>
                <w:rFonts w:asciiTheme="majorBidi" w:hAnsiTheme="majorBidi" w:cstheme="majorBidi"/>
                <w:sz w:val="20"/>
                <w:szCs w:val="20"/>
              </w:rPr>
              <w:t>-3.022***</w:t>
            </w:r>
          </w:p>
        </w:tc>
      </w:tr>
      <w:tr w:rsidR="000C3736" w14:paraId="5FC073C6" w14:textId="77777777" w:rsidTr="00C01F80">
        <w:trPr>
          <w:trHeight w:val="295"/>
          <w:jc w:val="center"/>
        </w:trPr>
        <w:tc>
          <w:tcPr>
            <w:tcW w:w="14040" w:type="dxa"/>
            <w:gridSpan w:val="16"/>
            <w:tcBorders>
              <w:top w:val="single" w:sz="6" w:space="0" w:color="auto"/>
              <w:left w:val="nil"/>
              <w:bottom w:val="single" w:sz="6" w:space="0" w:color="auto"/>
              <w:right w:val="nil"/>
            </w:tcBorders>
            <w:vAlign w:val="center"/>
          </w:tcPr>
          <w:p w14:paraId="1E2C3D1F" w14:textId="22318C9B" w:rsidR="00410831" w:rsidRDefault="000C3736" w:rsidP="00260D7D">
            <w:pPr>
              <w:tabs>
                <w:tab w:val="left" w:pos="567"/>
              </w:tabs>
              <w:jc w:val="center"/>
              <w:rPr>
                <w:rFonts w:asciiTheme="majorBidi" w:hAnsiTheme="majorBidi" w:cstheme="majorBidi"/>
                <w:b/>
                <w:bCs/>
                <w:color w:val="000000"/>
                <w:sz w:val="20"/>
                <w:szCs w:val="20"/>
              </w:rPr>
            </w:pPr>
            <w:r w:rsidRPr="004425A6">
              <w:rPr>
                <w:rFonts w:asciiTheme="majorBidi" w:hAnsiTheme="majorBidi" w:cstheme="majorBidi"/>
                <w:b/>
                <w:bCs/>
                <w:color w:val="000000"/>
                <w:sz w:val="20"/>
                <w:szCs w:val="20"/>
              </w:rPr>
              <w:t xml:space="preserve">Panel B </w:t>
            </w:r>
          </w:p>
          <w:p w14:paraId="1D68FD0C" w14:textId="3FC25B10" w:rsidR="000C3736" w:rsidRPr="004425A6" w:rsidRDefault="000C3736" w:rsidP="00260D7D">
            <w:pPr>
              <w:tabs>
                <w:tab w:val="left" w:pos="567"/>
              </w:tabs>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Differences in the P</w:t>
            </w:r>
            <w:r w:rsidRPr="00971EAB">
              <w:rPr>
                <w:rFonts w:asciiTheme="majorBidi" w:hAnsiTheme="majorBidi" w:cstheme="majorBidi"/>
                <w:b/>
                <w:bCs/>
                <w:color w:val="000000"/>
                <w:sz w:val="20"/>
                <w:szCs w:val="20"/>
              </w:rPr>
              <w:t xml:space="preserve">erformance of the Different Prediction Models </w:t>
            </w:r>
            <w:r>
              <w:rPr>
                <w:rFonts w:asciiTheme="majorBidi" w:hAnsiTheme="majorBidi" w:cstheme="majorBidi"/>
                <w:b/>
                <w:bCs/>
                <w:color w:val="000000"/>
                <w:sz w:val="20"/>
                <w:szCs w:val="20"/>
              </w:rPr>
              <w:t xml:space="preserve">Before and </w:t>
            </w:r>
            <w:r w:rsidRPr="00971EAB">
              <w:rPr>
                <w:rFonts w:asciiTheme="majorBidi" w:hAnsiTheme="majorBidi" w:cstheme="majorBidi"/>
                <w:b/>
                <w:bCs/>
                <w:color w:val="000000"/>
                <w:sz w:val="20"/>
                <w:szCs w:val="20"/>
              </w:rPr>
              <w:t>After Adding the Governance Variables</w:t>
            </w:r>
            <w:r w:rsidRPr="004425A6">
              <w:rPr>
                <w:rFonts w:asciiTheme="majorBidi" w:hAnsiTheme="majorBidi" w:cstheme="majorBidi"/>
                <w:b/>
                <w:bCs/>
                <w:color w:val="000000"/>
                <w:sz w:val="20"/>
                <w:szCs w:val="20"/>
              </w:rPr>
              <w:t xml:space="preserve"> Three Years Before Bankruptcy</w:t>
            </w:r>
          </w:p>
        </w:tc>
      </w:tr>
      <w:tr w:rsidR="000C3736" w14:paraId="6371F2BB" w14:textId="77777777" w:rsidTr="00C01F80">
        <w:trPr>
          <w:trHeight w:val="295"/>
          <w:jc w:val="center"/>
        </w:trPr>
        <w:tc>
          <w:tcPr>
            <w:tcW w:w="3600" w:type="dxa"/>
            <w:tcBorders>
              <w:top w:val="single" w:sz="6" w:space="0" w:color="auto"/>
              <w:left w:val="nil"/>
              <w:bottom w:val="single" w:sz="6" w:space="0" w:color="auto"/>
              <w:right w:val="nil"/>
            </w:tcBorders>
            <w:vAlign w:val="center"/>
          </w:tcPr>
          <w:p w14:paraId="75265888" w14:textId="77777777" w:rsidR="000C3736" w:rsidRPr="00410831" w:rsidRDefault="000C3736" w:rsidP="00260D7D">
            <w:pPr>
              <w:tabs>
                <w:tab w:val="left" w:pos="567"/>
              </w:tabs>
              <w:rPr>
                <w:rFonts w:asciiTheme="majorBidi" w:hAnsiTheme="majorBidi" w:cstheme="majorBidi"/>
                <w:color w:val="000000"/>
                <w:sz w:val="20"/>
                <w:szCs w:val="20"/>
              </w:rPr>
            </w:pPr>
          </w:p>
        </w:tc>
        <w:tc>
          <w:tcPr>
            <w:tcW w:w="1491" w:type="dxa"/>
            <w:gridSpan w:val="2"/>
            <w:tcBorders>
              <w:top w:val="single" w:sz="6" w:space="0" w:color="auto"/>
              <w:left w:val="nil"/>
              <w:bottom w:val="single" w:sz="6" w:space="0" w:color="auto"/>
              <w:right w:val="nil"/>
            </w:tcBorders>
            <w:vAlign w:val="center"/>
          </w:tcPr>
          <w:p w14:paraId="5B1F3EEF" w14:textId="77777777" w:rsidR="000C3736" w:rsidRPr="00410831" w:rsidRDefault="000C3736" w:rsidP="00260D7D">
            <w:pPr>
              <w:tabs>
                <w:tab w:val="left" w:pos="567"/>
              </w:tabs>
              <w:jc w:val="center"/>
              <w:rPr>
                <w:rFonts w:asciiTheme="majorBidi" w:hAnsiTheme="majorBidi" w:cstheme="majorBidi"/>
                <w:color w:val="000000"/>
                <w:sz w:val="20"/>
                <w:szCs w:val="20"/>
              </w:rPr>
            </w:pPr>
            <w:r w:rsidRPr="00410831">
              <w:rPr>
                <w:rFonts w:asciiTheme="majorBidi" w:hAnsiTheme="majorBidi" w:cstheme="majorBidi"/>
                <w:color w:val="000000"/>
                <w:sz w:val="20"/>
                <w:szCs w:val="20"/>
              </w:rPr>
              <w:t>ALT</w:t>
            </w:r>
          </w:p>
        </w:tc>
        <w:tc>
          <w:tcPr>
            <w:tcW w:w="1491" w:type="dxa"/>
            <w:gridSpan w:val="2"/>
            <w:tcBorders>
              <w:top w:val="single" w:sz="6" w:space="0" w:color="auto"/>
              <w:left w:val="nil"/>
              <w:bottom w:val="single" w:sz="6" w:space="0" w:color="auto"/>
              <w:right w:val="nil"/>
            </w:tcBorders>
            <w:vAlign w:val="center"/>
          </w:tcPr>
          <w:p w14:paraId="58BE3575" w14:textId="77777777" w:rsidR="000C3736" w:rsidRPr="00410831" w:rsidRDefault="000C3736" w:rsidP="00260D7D">
            <w:pPr>
              <w:tabs>
                <w:tab w:val="left" w:pos="567"/>
              </w:tabs>
              <w:jc w:val="center"/>
              <w:rPr>
                <w:rFonts w:asciiTheme="majorBidi" w:hAnsiTheme="majorBidi" w:cstheme="majorBidi"/>
                <w:color w:val="000000"/>
                <w:sz w:val="20"/>
                <w:szCs w:val="20"/>
              </w:rPr>
            </w:pPr>
            <w:r w:rsidRPr="00410831">
              <w:rPr>
                <w:rFonts w:asciiTheme="majorBidi" w:hAnsiTheme="majorBidi" w:cstheme="majorBidi"/>
                <w:color w:val="000000"/>
                <w:sz w:val="20"/>
                <w:szCs w:val="20"/>
              </w:rPr>
              <w:t>OHL</w:t>
            </w:r>
          </w:p>
        </w:tc>
        <w:tc>
          <w:tcPr>
            <w:tcW w:w="1492" w:type="dxa"/>
            <w:gridSpan w:val="2"/>
            <w:tcBorders>
              <w:top w:val="single" w:sz="6" w:space="0" w:color="auto"/>
              <w:left w:val="nil"/>
              <w:bottom w:val="single" w:sz="6" w:space="0" w:color="auto"/>
              <w:right w:val="nil"/>
            </w:tcBorders>
            <w:vAlign w:val="center"/>
          </w:tcPr>
          <w:p w14:paraId="1415B328" w14:textId="77777777" w:rsidR="000C3736" w:rsidRPr="00410831" w:rsidRDefault="000C3736" w:rsidP="00260D7D">
            <w:pPr>
              <w:tabs>
                <w:tab w:val="left" w:pos="567"/>
              </w:tabs>
              <w:jc w:val="center"/>
              <w:rPr>
                <w:rFonts w:asciiTheme="majorBidi" w:hAnsiTheme="majorBidi" w:cstheme="majorBidi"/>
                <w:color w:val="000000"/>
                <w:sz w:val="20"/>
                <w:szCs w:val="20"/>
              </w:rPr>
            </w:pPr>
            <w:r w:rsidRPr="00410831">
              <w:rPr>
                <w:rFonts w:asciiTheme="majorBidi" w:hAnsiTheme="majorBidi" w:cstheme="majorBidi"/>
                <w:color w:val="000000"/>
                <w:sz w:val="20"/>
                <w:szCs w:val="20"/>
              </w:rPr>
              <w:t>ZMJ</w:t>
            </w:r>
          </w:p>
        </w:tc>
        <w:tc>
          <w:tcPr>
            <w:tcW w:w="1491" w:type="dxa"/>
            <w:gridSpan w:val="2"/>
            <w:tcBorders>
              <w:top w:val="single" w:sz="6" w:space="0" w:color="auto"/>
              <w:left w:val="nil"/>
              <w:bottom w:val="single" w:sz="6" w:space="0" w:color="auto"/>
              <w:right w:val="nil"/>
            </w:tcBorders>
            <w:vAlign w:val="center"/>
          </w:tcPr>
          <w:p w14:paraId="1F86BD5B" w14:textId="77777777" w:rsidR="000C3736" w:rsidRPr="00410831" w:rsidRDefault="000C3736" w:rsidP="00260D7D">
            <w:pPr>
              <w:tabs>
                <w:tab w:val="left" w:pos="567"/>
              </w:tabs>
              <w:jc w:val="center"/>
              <w:rPr>
                <w:rFonts w:asciiTheme="majorBidi" w:hAnsiTheme="majorBidi" w:cstheme="majorBidi"/>
                <w:color w:val="000000"/>
                <w:sz w:val="20"/>
                <w:szCs w:val="20"/>
              </w:rPr>
            </w:pPr>
            <w:r w:rsidRPr="00410831">
              <w:rPr>
                <w:rFonts w:asciiTheme="majorBidi" w:hAnsiTheme="majorBidi" w:cstheme="majorBidi"/>
                <w:color w:val="000000"/>
                <w:sz w:val="20"/>
                <w:szCs w:val="20"/>
              </w:rPr>
              <w:t>SHW</w:t>
            </w:r>
          </w:p>
        </w:tc>
        <w:tc>
          <w:tcPr>
            <w:tcW w:w="1492" w:type="dxa"/>
            <w:gridSpan w:val="2"/>
            <w:tcBorders>
              <w:top w:val="single" w:sz="6" w:space="0" w:color="auto"/>
              <w:left w:val="nil"/>
              <w:bottom w:val="single" w:sz="6" w:space="0" w:color="auto"/>
              <w:right w:val="nil"/>
            </w:tcBorders>
            <w:vAlign w:val="center"/>
          </w:tcPr>
          <w:p w14:paraId="0F1B0BE7" w14:textId="77777777" w:rsidR="000C3736" w:rsidRPr="00410831" w:rsidRDefault="000C3736" w:rsidP="00260D7D">
            <w:pPr>
              <w:tabs>
                <w:tab w:val="left" w:pos="567"/>
              </w:tabs>
              <w:jc w:val="center"/>
              <w:rPr>
                <w:rFonts w:asciiTheme="majorBidi" w:hAnsiTheme="majorBidi" w:cstheme="majorBidi"/>
                <w:color w:val="000000"/>
                <w:sz w:val="20"/>
                <w:szCs w:val="20"/>
              </w:rPr>
            </w:pPr>
            <w:r w:rsidRPr="00410831">
              <w:rPr>
                <w:rFonts w:asciiTheme="majorBidi" w:hAnsiTheme="majorBidi" w:cstheme="majorBidi"/>
                <w:color w:val="000000"/>
                <w:sz w:val="20"/>
                <w:szCs w:val="20"/>
              </w:rPr>
              <w:t>BSH</w:t>
            </w:r>
          </w:p>
        </w:tc>
        <w:tc>
          <w:tcPr>
            <w:tcW w:w="1491" w:type="dxa"/>
            <w:gridSpan w:val="2"/>
            <w:tcBorders>
              <w:top w:val="single" w:sz="6" w:space="0" w:color="auto"/>
              <w:left w:val="nil"/>
              <w:bottom w:val="single" w:sz="6" w:space="0" w:color="auto"/>
              <w:right w:val="nil"/>
            </w:tcBorders>
            <w:vAlign w:val="center"/>
          </w:tcPr>
          <w:p w14:paraId="1BA4471B" w14:textId="77777777" w:rsidR="000C3736" w:rsidRPr="00410831" w:rsidRDefault="000C3736" w:rsidP="00260D7D">
            <w:pPr>
              <w:tabs>
                <w:tab w:val="left" w:pos="567"/>
              </w:tabs>
              <w:jc w:val="center"/>
              <w:rPr>
                <w:rFonts w:asciiTheme="majorBidi" w:hAnsiTheme="majorBidi" w:cstheme="majorBidi"/>
                <w:color w:val="000000"/>
                <w:sz w:val="20"/>
                <w:szCs w:val="20"/>
              </w:rPr>
            </w:pPr>
            <w:r w:rsidRPr="00410831">
              <w:rPr>
                <w:rFonts w:asciiTheme="majorBidi" w:hAnsiTheme="majorBidi" w:cstheme="majorBidi"/>
                <w:color w:val="000000"/>
                <w:sz w:val="20"/>
                <w:szCs w:val="20"/>
              </w:rPr>
              <w:t>PRM</w:t>
            </w:r>
          </w:p>
        </w:tc>
        <w:tc>
          <w:tcPr>
            <w:tcW w:w="1492" w:type="dxa"/>
            <w:gridSpan w:val="3"/>
            <w:tcBorders>
              <w:top w:val="single" w:sz="6" w:space="0" w:color="auto"/>
              <w:left w:val="nil"/>
              <w:bottom w:val="single" w:sz="6" w:space="0" w:color="auto"/>
              <w:right w:val="nil"/>
            </w:tcBorders>
            <w:vAlign w:val="center"/>
          </w:tcPr>
          <w:p w14:paraId="08489467" w14:textId="77777777" w:rsidR="000C3736" w:rsidRPr="00410831" w:rsidRDefault="000C3736" w:rsidP="00260D7D">
            <w:pPr>
              <w:tabs>
                <w:tab w:val="left" w:pos="567"/>
              </w:tabs>
              <w:jc w:val="center"/>
              <w:rPr>
                <w:rFonts w:asciiTheme="majorBidi" w:hAnsiTheme="majorBidi" w:cstheme="majorBidi"/>
                <w:color w:val="000000"/>
                <w:sz w:val="20"/>
                <w:szCs w:val="20"/>
              </w:rPr>
            </w:pPr>
            <w:r w:rsidRPr="00410831">
              <w:rPr>
                <w:rFonts w:asciiTheme="majorBidi" w:hAnsiTheme="majorBidi" w:cstheme="majorBidi"/>
                <w:color w:val="000000"/>
                <w:sz w:val="20"/>
                <w:szCs w:val="20"/>
              </w:rPr>
              <w:t>ALM</w:t>
            </w:r>
          </w:p>
        </w:tc>
      </w:tr>
      <w:tr w:rsidR="000C3736" w14:paraId="52843A0A" w14:textId="77777777" w:rsidTr="00C01F80">
        <w:trPr>
          <w:trHeight w:val="193"/>
          <w:jc w:val="center"/>
        </w:trPr>
        <w:tc>
          <w:tcPr>
            <w:tcW w:w="3600" w:type="dxa"/>
            <w:tcBorders>
              <w:top w:val="single" w:sz="6" w:space="0" w:color="auto"/>
              <w:left w:val="nil"/>
              <w:bottom w:val="nil"/>
              <w:right w:val="nil"/>
            </w:tcBorders>
            <w:vAlign w:val="center"/>
          </w:tcPr>
          <w:p w14:paraId="2579DC6F" w14:textId="77777777" w:rsidR="000C3736" w:rsidRPr="00C40424" w:rsidRDefault="000C3736" w:rsidP="00260D7D">
            <w:pPr>
              <w:tabs>
                <w:tab w:val="left" w:pos="567"/>
              </w:tabs>
              <w:rPr>
                <w:rFonts w:asciiTheme="majorBidi" w:hAnsiTheme="majorBidi" w:cstheme="majorBidi"/>
                <w:b/>
                <w:bCs/>
                <w:sz w:val="20"/>
                <w:szCs w:val="20"/>
              </w:rPr>
            </w:pPr>
            <w:r w:rsidRPr="00C40424">
              <w:rPr>
                <w:rFonts w:asciiTheme="majorBidi" w:hAnsiTheme="majorBidi" w:cstheme="majorBidi"/>
                <w:b/>
                <w:bCs/>
                <w:sz w:val="20"/>
                <w:szCs w:val="20"/>
              </w:rPr>
              <w:t>Prediction &amp; Classification</w:t>
            </w:r>
          </w:p>
        </w:tc>
        <w:tc>
          <w:tcPr>
            <w:tcW w:w="1491" w:type="dxa"/>
            <w:gridSpan w:val="2"/>
            <w:tcBorders>
              <w:top w:val="single" w:sz="6" w:space="0" w:color="auto"/>
              <w:left w:val="nil"/>
              <w:bottom w:val="nil"/>
              <w:right w:val="nil"/>
            </w:tcBorders>
            <w:vAlign w:val="center"/>
          </w:tcPr>
          <w:p w14:paraId="4F0A4266" w14:textId="77777777" w:rsidR="000C3736" w:rsidRPr="00971EAB" w:rsidRDefault="000C3736" w:rsidP="00260D7D">
            <w:pPr>
              <w:tabs>
                <w:tab w:val="left" w:pos="567"/>
              </w:tabs>
              <w:jc w:val="center"/>
              <w:rPr>
                <w:rFonts w:asciiTheme="majorBidi" w:hAnsiTheme="majorBidi" w:cstheme="majorBidi"/>
                <w:sz w:val="20"/>
                <w:szCs w:val="20"/>
              </w:rPr>
            </w:pPr>
          </w:p>
        </w:tc>
        <w:tc>
          <w:tcPr>
            <w:tcW w:w="1491" w:type="dxa"/>
            <w:gridSpan w:val="2"/>
            <w:tcBorders>
              <w:top w:val="single" w:sz="6" w:space="0" w:color="auto"/>
              <w:left w:val="nil"/>
              <w:bottom w:val="nil"/>
              <w:right w:val="nil"/>
            </w:tcBorders>
            <w:vAlign w:val="center"/>
          </w:tcPr>
          <w:p w14:paraId="57A2261C" w14:textId="77777777" w:rsidR="000C3736" w:rsidRPr="00971EAB" w:rsidRDefault="000C3736" w:rsidP="00260D7D">
            <w:pPr>
              <w:tabs>
                <w:tab w:val="left" w:pos="567"/>
              </w:tabs>
              <w:jc w:val="center"/>
              <w:rPr>
                <w:rFonts w:asciiTheme="majorBidi" w:hAnsiTheme="majorBidi" w:cstheme="majorBidi"/>
                <w:sz w:val="20"/>
                <w:szCs w:val="20"/>
              </w:rPr>
            </w:pPr>
          </w:p>
        </w:tc>
        <w:tc>
          <w:tcPr>
            <w:tcW w:w="1492" w:type="dxa"/>
            <w:gridSpan w:val="2"/>
            <w:tcBorders>
              <w:top w:val="single" w:sz="6" w:space="0" w:color="auto"/>
              <w:left w:val="nil"/>
              <w:bottom w:val="nil"/>
              <w:right w:val="nil"/>
            </w:tcBorders>
            <w:vAlign w:val="center"/>
          </w:tcPr>
          <w:p w14:paraId="029CDEF6" w14:textId="77777777" w:rsidR="000C3736" w:rsidRPr="00971EAB" w:rsidRDefault="000C3736" w:rsidP="00260D7D">
            <w:pPr>
              <w:tabs>
                <w:tab w:val="left" w:pos="567"/>
              </w:tabs>
              <w:jc w:val="center"/>
              <w:rPr>
                <w:rFonts w:asciiTheme="majorBidi" w:hAnsiTheme="majorBidi" w:cstheme="majorBidi"/>
                <w:sz w:val="20"/>
                <w:szCs w:val="20"/>
              </w:rPr>
            </w:pPr>
          </w:p>
        </w:tc>
        <w:tc>
          <w:tcPr>
            <w:tcW w:w="1491" w:type="dxa"/>
            <w:gridSpan w:val="2"/>
            <w:tcBorders>
              <w:top w:val="single" w:sz="6" w:space="0" w:color="auto"/>
              <w:left w:val="nil"/>
              <w:bottom w:val="nil"/>
              <w:right w:val="nil"/>
            </w:tcBorders>
            <w:vAlign w:val="center"/>
          </w:tcPr>
          <w:p w14:paraId="57222E3A" w14:textId="77777777" w:rsidR="000C3736" w:rsidRPr="004425A6" w:rsidRDefault="000C3736" w:rsidP="00260D7D">
            <w:pPr>
              <w:tabs>
                <w:tab w:val="left" w:pos="567"/>
              </w:tabs>
              <w:jc w:val="center"/>
              <w:rPr>
                <w:rFonts w:asciiTheme="majorBidi" w:hAnsiTheme="majorBidi" w:cstheme="majorBidi"/>
                <w:sz w:val="20"/>
                <w:szCs w:val="20"/>
              </w:rPr>
            </w:pPr>
          </w:p>
        </w:tc>
        <w:tc>
          <w:tcPr>
            <w:tcW w:w="1492" w:type="dxa"/>
            <w:gridSpan w:val="2"/>
            <w:tcBorders>
              <w:top w:val="single" w:sz="6" w:space="0" w:color="auto"/>
              <w:left w:val="nil"/>
              <w:bottom w:val="nil"/>
              <w:right w:val="nil"/>
            </w:tcBorders>
            <w:vAlign w:val="center"/>
          </w:tcPr>
          <w:p w14:paraId="55543D04" w14:textId="77777777" w:rsidR="000C3736" w:rsidRPr="004425A6" w:rsidRDefault="000C3736" w:rsidP="00260D7D">
            <w:pPr>
              <w:tabs>
                <w:tab w:val="left" w:pos="567"/>
              </w:tabs>
              <w:jc w:val="center"/>
              <w:rPr>
                <w:rFonts w:asciiTheme="majorBidi" w:hAnsiTheme="majorBidi" w:cstheme="majorBidi"/>
                <w:sz w:val="20"/>
                <w:szCs w:val="20"/>
              </w:rPr>
            </w:pPr>
          </w:p>
        </w:tc>
        <w:tc>
          <w:tcPr>
            <w:tcW w:w="1491" w:type="dxa"/>
            <w:gridSpan w:val="2"/>
            <w:tcBorders>
              <w:top w:val="single" w:sz="6" w:space="0" w:color="auto"/>
              <w:left w:val="nil"/>
              <w:bottom w:val="nil"/>
              <w:right w:val="nil"/>
            </w:tcBorders>
            <w:vAlign w:val="center"/>
          </w:tcPr>
          <w:p w14:paraId="1BB59A0C" w14:textId="77777777" w:rsidR="000C3736" w:rsidRPr="00971EAB" w:rsidRDefault="000C3736" w:rsidP="00260D7D">
            <w:pPr>
              <w:tabs>
                <w:tab w:val="left" w:pos="567"/>
              </w:tabs>
              <w:jc w:val="center"/>
              <w:rPr>
                <w:rFonts w:asciiTheme="majorBidi" w:hAnsiTheme="majorBidi" w:cstheme="majorBidi"/>
                <w:sz w:val="20"/>
                <w:szCs w:val="20"/>
              </w:rPr>
            </w:pPr>
          </w:p>
        </w:tc>
        <w:tc>
          <w:tcPr>
            <w:tcW w:w="1492" w:type="dxa"/>
            <w:gridSpan w:val="3"/>
            <w:tcBorders>
              <w:top w:val="single" w:sz="6" w:space="0" w:color="auto"/>
              <w:left w:val="nil"/>
              <w:bottom w:val="nil"/>
              <w:right w:val="nil"/>
            </w:tcBorders>
            <w:vAlign w:val="center"/>
          </w:tcPr>
          <w:p w14:paraId="20E37ECD" w14:textId="77777777" w:rsidR="000C3736" w:rsidRPr="00971EAB" w:rsidRDefault="000C3736" w:rsidP="00260D7D">
            <w:pPr>
              <w:tabs>
                <w:tab w:val="left" w:pos="567"/>
              </w:tabs>
              <w:jc w:val="center"/>
              <w:rPr>
                <w:rFonts w:asciiTheme="majorBidi" w:hAnsiTheme="majorBidi" w:cstheme="majorBidi"/>
                <w:sz w:val="20"/>
                <w:szCs w:val="20"/>
              </w:rPr>
            </w:pPr>
          </w:p>
        </w:tc>
      </w:tr>
      <w:tr w:rsidR="000C3736" w14:paraId="5456E427" w14:textId="77777777" w:rsidTr="001E558A">
        <w:trPr>
          <w:trHeight w:val="360"/>
          <w:jc w:val="center"/>
        </w:trPr>
        <w:tc>
          <w:tcPr>
            <w:tcW w:w="3600" w:type="dxa"/>
            <w:tcBorders>
              <w:top w:val="nil"/>
              <w:left w:val="nil"/>
              <w:bottom w:val="nil"/>
              <w:right w:val="nil"/>
            </w:tcBorders>
            <w:vAlign w:val="center"/>
          </w:tcPr>
          <w:p w14:paraId="35B37AFC" w14:textId="77777777" w:rsidR="000C3736" w:rsidRPr="00971EAB" w:rsidRDefault="000C3736"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Accuracy Ratio</w:t>
            </w:r>
          </w:p>
        </w:tc>
        <w:tc>
          <w:tcPr>
            <w:tcW w:w="1491" w:type="dxa"/>
            <w:gridSpan w:val="2"/>
            <w:tcBorders>
              <w:top w:val="nil"/>
              <w:left w:val="nil"/>
              <w:bottom w:val="nil"/>
              <w:right w:val="nil"/>
            </w:tcBorders>
            <w:vAlign w:val="center"/>
          </w:tcPr>
          <w:p w14:paraId="4181D7DC"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0.1</w:t>
            </w:r>
            <w:r w:rsidR="00DB0480">
              <w:rPr>
                <w:rFonts w:asciiTheme="majorBidi" w:hAnsiTheme="majorBidi" w:cstheme="majorBidi"/>
                <w:sz w:val="20"/>
                <w:szCs w:val="20"/>
              </w:rPr>
              <w:t>1</w:t>
            </w:r>
          </w:p>
        </w:tc>
        <w:tc>
          <w:tcPr>
            <w:tcW w:w="1491" w:type="dxa"/>
            <w:gridSpan w:val="2"/>
            <w:tcBorders>
              <w:top w:val="nil"/>
              <w:left w:val="nil"/>
              <w:bottom w:val="nil"/>
              <w:right w:val="nil"/>
            </w:tcBorders>
            <w:vAlign w:val="center"/>
          </w:tcPr>
          <w:p w14:paraId="2D42E33F"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w:t>
            </w:r>
            <w:r w:rsidR="00DB0480">
              <w:rPr>
                <w:rFonts w:asciiTheme="majorBidi" w:hAnsiTheme="majorBidi" w:cstheme="majorBidi"/>
                <w:sz w:val="20"/>
                <w:szCs w:val="20"/>
              </w:rPr>
              <w:t>7</w:t>
            </w:r>
          </w:p>
        </w:tc>
        <w:tc>
          <w:tcPr>
            <w:tcW w:w="1492" w:type="dxa"/>
            <w:gridSpan w:val="2"/>
            <w:tcBorders>
              <w:top w:val="nil"/>
              <w:left w:val="nil"/>
              <w:bottom w:val="nil"/>
              <w:right w:val="nil"/>
            </w:tcBorders>
            <w:vAlign w:val="center"/>
          </w:tcPr>
          <w:p w14:paraId="7A14B6EF"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w:t>
            </w:r>
            <w:r>
              <w:rPr>
                <w:rFonts w:asciiTheme="majorBidi" w:hAnsiTheme="majorBidi" w:cstheme="majorBidi"/>
                <w:sz w:val="20"/>
                <w:szCs w:val="20"/>
              </w:rPr>
              <w:t>.0</w:t>
            </w:r>
            <w:r w:rsidR="00917710">
              <w:rPr>
                <w:rFonts w:asciiTheme="majorBidi" w:hAnsiTheme="majorBidi" w:cstheme="majorBidi"/>
                <w:sz w:val="20"/>
                <w:szCs w:val="20"/>
              </w:rPr>
              <w:t>3</w:t>
            </w:r>
          </w:p>
        </w:tc>
        <w:tc>
          <w:tcPr>
            <w:tcW w:w="1491" w:type="dxa"/>
            <w:gridSpan w:val="2"/>
            <w:tcBorders>
              <w:top w:val="nil"/>
              <w:left w:val="nil"/>
              <w:bottom w:val="nil"/>
              <w:right w:val="nil"/>
            </w:tcBorders>
            <w:shd w:val="clear" w:color="auto" w:fill="auto"/>
            <w:vAlign w:val="center"/>
          </w:tcPr>
          <w:p w14:paraId="07BAE0DE"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w:t>
            </w:r>
            <w:r w:rsidR="00917710">
              <w:rPr>
                <w:rFonts w:asciiTheme="majorBidi" w:hAnsiTheme="majorBidi" w:cstheme="majorBidi"/>
                <w:sz w:val="20"/>
                <w:szCs w:val="20"/>
              </w:rPr>
              <w:t>23</w:t>
            </w:r>
          </w:p>
        </w:tc>
        <w:tc>
          <w:tcPr>
            <w:tcW w:w="1492" w:type="dxa"/>
            <w:gridSpan w:val="2"/>
            <w:tcBorders>
              <w:top w:val="nil"/>
              <w:left w:val="nil"/>
              <w:bottom w:val="nil"/>
              <w:right w:val="nil"/>
            </w:tcBorders>
            <w:vAlign w:val="center"/>
          </w:tcPr>
          <w:p w14:paraId="275169CF"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0.24</w:t>
            </w:r>
          </w:p>
        </w:tc>
        <w:tc>
          <w:tcPr>
            <w:tcW w:w="1491" w:type="dxa"/>
            <w:gridSpan w:val="2"/>
            <w:tcBorders>
              <w:top w:val="nil"/>
              <w:left w:val="nil"/>
              <w:bottom w:val="nil"/>
              <w:right w:val="nil"/>
            </w:tcBorders>
            <w:vAlign w:val="center"/>
          </w:tcPr>
          <w:p w14:paraId="7954F6C6"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0.05</w:t>
            </w:r>
          </w:p>
        </w:tc>
        <w:tc>
          <w:tcPr>
            <w:tcW w:w="1492" w:type="dxa"/>
            <w:gridSpan w:val="3"/>
            <w:tcBorders>
              <w:top w:val="nil"/>
              <w:left w:val="nil"/>
              <w:bottom w:val="nil"/>
              <w:right w:val="nil"/>
            </w:tcBorders>
            <w:vAlign w:val="center"/>
          </w:tcPr>
          <w:p w14:paraId="4B8BFC32"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0.11</w:t>
            </w:r>
          </w:p>
        </w:tc>
      </w:tr>
      <w:tr w:rsidR="000C3736" w14:paraId="416EDA1D" w14:textId="77777777" w:rsidTr="001E558A">
        <w:trPr>
          <w:trHeight w:val="360"/>
          <w:jc w:val="center"/>
        </w:trPr>
        <w:tc>
          <w:tcPr>
            <w:tcW w:w="3600" w:type="dxa"/>
            <w:tcBorders>
              <w:top w:val="nil"/>
              <w:left w:val="nil"/>
              <w:bottom w:val="nil"/>
              <w:right w:val="nil"/>
            </w:tcBorders>
            <w:vAlign w:val="center"/>
          </w:tcPr>
          <w:p w14:paraId="247B8BC7" w14:textId="77777777" w:rsidR="000C3736" w:rsidRPr="00971EAB" w:rsidRDefault="000C3736" w:rsidP="00260D7D">
            <w:pPr>
              <w:tabs>
                <w:tab w:val="left" w:pos="567"/>
              </w:tabs>
              <w:rPr>
                <w:rFonts w:asciiTheme="majorBidi" w:hAnsiTheme="majorBidi" w:cstheme="majorBidi"/>
                <w:sz w:val="20"/>
                <w:szCs w:val="20"/>
              </w:rPr>
            </w:pPr>
            <w:r>
              <w:rPr>
                <w:rFonts w:asciiTheme="majorBidi" w:hAnsiTheme="majorBidi" w:cstheme="majorBidi"/>
                <w:sz w:val="20"/>
                <w:szCs w:val="20"/>
              </w:rPr>
              <w:t xml:space="preserve">Specifity </w:t>
            </w:r>
            <w:r w:rsidRPr="00971EAB">
              <w:rPr>
                <w:rFonts w:asciiTheme="majorBidi" w:hAnsiTheme="majorBidi" w:cstheme="majorBidi"/>
                <w:sz w:val="20"/>
                <w:szCs w:val="20"/>
              </w:rPr>
              <w:t>(Sensitivity)</w:t>
            </w:r>
          </w:p>
        </w:tc>
        <w:tc>
          <w:tcPr>
            <w:tcW w:w="1491" w:type="dxa"/>
            <w:gridSpan w:val="2"/>
            <w:tcBorders>
              <w:top w:val="nil"/>
              <w:left w:val="nil"/>
              <w:bottom w:val="nil"/>
              <w:right w:val="nil"/>
            </w:tcBorders>
            <w:vAlign w:val="center"/>
          </w:tcPr>
          <w:p w14:paraId="32AE2271" w14:textId="77777777" w:rsidR="000C3736"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0C3736">
              <w:rPr>
                <w:rFonts w:asciiTheme="majorBidi" w:hAnsiTheme="majorBidi" w:cstheme="majorBidi"/>
                <w:sz w:val="20"/>
                <w:szCs w:val="20"/>
              </w:rPr>
              <w:t>0.1</w:t>
            </w:r>
            <w:r w:rsidR="00DB0480">
              <w:rPr>
                <w:rFonts w:asciiTheme="majorBidi" w:hAnsiTheme="majorBidi" w:cstheme="majorBidi"/>
                <w:sz w:val="20"/>
                <w:szCs w:val="20"/>
              </w:rPr>
              <w:t>1</w:t>
            </w:r>
            <w:r w:rsidRPr="000C3736">
              <w:rPr>
                <w:rFonts w:asciiTheme="majorBidi" w:hAnsiTheme="majorBidi" w:cstheme="majorBidi"/>
                <w:sz w:val="20"/>
                <w:szCs w:val="20"/>
              </w:rPr>
              <w:t xml:space="preserve"> (</w:t>
            </w:r>
            <w:r>
              <w:rPr>
                <w:rFonts w:asciiTheme="majorBidi" w:hAnsiTheme="majorBidi" w:cstheme="majorBidi"/>
                <w:sz w:val="20"/>
                <w:szCs w:val="20"/>
              </w:rPr>
              <w:t>+</w:t>
            </w:r>
            <w:r w:rsidRPr="000C3736">
              <w:rPr>
                <w:rFonts w:asciiTheme="majorBidi" w:hAnsiTheme="majorBidi" w:cstheme="majorBidi"/>
                <w:sz w:val="20"/>
                <w:szCs w:val="20"/>
              </w:rPr>
              <w:t>0.</w:t>
            </w:r>
            <w:r w:rsidR="00DB0480">
              <w:rPr>
                <w:rFonts w:asciiTheme="majorBidi" w:hAnsiTheme="majorBidi" w:cstheme="majorBidi"/>
                <w:sz w:val="20"/>
                <w:szCs w:val="20"/>
              </w:rPr>
              <w:t>20</w:t>
            </w:r>
            <w:r w:rsidRPr="000C3736">
              <w:rPr>
                <w:rFonts w:asciiTheme="majorBidi" w:hAnsiTheme="majorBidi" w:cstheme="majorBidi"/>
                <w:sz w:val="20"/>
                <w:szCs w:val="20"/>
              </w:rPr>
              <w:t>)</w:t>
            </w:r>
          </w:p>
        </w:tc>
        <w:tc>
          <w:tcPr>
            <w:tcW w:w="1491" w:type="dxa"/>
            <w:gridSpan w:val="2"/>
            <w:tcBorders>
              <w:top w:val="nil"/>
              <w:left w:val="nil"/>
              <w:bottom w:val="nil"/>
              <w:right w:val="nil"/>
            </w:tcBorders>
            <w:vAlign w:val="center"/>
          </w:tcPr>
          <w:p w14:paraId="5D6C1806" w14:textId="77777777" w:rsidR="000C3736"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0C3736">
              <w:rPr>
                <w:rFonts w:asciiTheme="majorBidi" w:hAnsiTheme="majorBidi" w:cstheme="majorBidi"/>
                <w:sz w:val="20"/>
                <w:szCs w:val="20"/>
              </w:rPr>
              <w:t>0.0</w:t>
            </w:r>
            <w:r w:rsidR="00DB0480">
              <w:rPr>
                <w:rFonts w:asciiTheme="majorBidi" w:hAnsiTheme="majorBidi" w:cstheme="majorBidi"/>
                <w:sz w:val="20"/>
                <w:szCs w:val="20"/>
              </w:rPr>
              <w:t>7</w:t>
            </w:r>
            <w:r w:rsidRPr="000C3736">
              <w:rPr>
                <w:rFonts w:asciiTheme="majorBidi" w:hAnsiTheme="majorBidi" w:cstheme="majorBidi"/>
                <w:sz w:val="20"/>
                <w:szCs w:val="20"/>
              </w:rPr>
              <w:t xml:space="preserve"> (</w:t>
            </w:r>
            <w:r>
              <w:rPr>
                <w:rFonts w:asciiTheme="majorBidi" w:hAnsiTheme="majorBidi" w:cstheme="majorBidi"/>
                <w:sz w:val="20"/>
                <w:szCs w:val="20"/>
              </w:rPr>
              <w:t>+</w:t>
            </w:r>
            <w:r w:rsidRPr="000C3736">
              <w:rPr>
                <w:rFonts w:asciiTheme="majorBidi" w:hAnsiTheme="majorBidi" w:cstheme="majorBidi"/>
                <w:sz w:val="20"/>
                <w:szCs w:val="20"/>
              </w:rPr>
              <w:t>0.16)</w:t>
            </w:r>
          </w:p>
        </w:tc>
        <w:tc>
          <w:tcPr>
            <w:tcW w:w="1492" w:type="dxa"/>
            <w:gridSpan w:val="2"/>
            <w:tcBorders>
              <w:top w:val="nil"/>
              <w:left w:val="nil"/>
              <w:bottom w:val="nil"/>
              <w:right w:val="nil"/>
            </w:tcBorders>
            <w:vAlign w:val="center"/>
          </w:tcPr>
          <w:p w14:paraId="16E28941" w14:textId="77777777" w:rsidR="000C3736"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0C3736">
              <w:rPr>
                <w:rFonts w:asciiTheme="majorBidi" w:hAnsiTheme="majorBidi" w:cstheme="majorBidi"/>
                <w:sz w:val="20"/>
                <w:szCs w:val="20"/>
              </w:rPr>
              <w:t>0.0</w:t>
            </w:r>
            <w:r w:rsidR="00917710">
              <w:rPr>
                <w:rFonts w:asciiTheme="majorBidi" w:hAnsiTheme="majorBidi" w:cstheme="majorBidi"/>
                <w:sz w:val="20"/>
                <w:szCs w:val="20"/>
              </w:rPr>
              <w:t>3</w:t>
            </w:r>
            <w:r w:rsidRPr="000C3736">
              <w:rPr>
                <w:rFonts w:asciiTheme="majorBidi" w:hAnsiTheme="majorBidi" w:cstheme="majorBidi"/>
                <w:sz w:val="20"/>
                <w:szCs w:val="20"/>
              </w:rPr>
              <w:t xml:space="preserve"> (</w:t>
            </w:r>
            <w:r>
              <w:rPr>
                <w:rFonts w:asciiTheme="majorBidi" w:hAnsiTheme="majorBidi" w:cstheme="majorBidi"/>
                <w:sz w:val="20"/>
                <w:szCs w:val="20"/>
              </w:rPr>
              <w:t>+</w:t>
            </w:r>
            <w:r w:rsidRPr="000C3736">
              <w:rPr>
                <w:rFonts w:asciiTheme="majorBidi" w:hAnsiTheme="majorBidi" w:cstheme="majorBidi"/>
                <w:sz w:val="20"/>
                <w:szCs w:val="20"/>
              </w:rPr>
              <w:t>0.09)</w:t>
            </w:r>
          </w:p>
        </w:tc>
        <w:tc>
          <w:tcPr>
            <w:tcW w:w="1491" w:type="dxa"/>
            <w:gridSpan w:val="2"/>
            <w:tcBorders>
              <w:top w:val="nil"/>
              <w:left w:val="nil"/>
              <w:bottom w:val="nil"/>
              <w:right w:val="nil"/>
            </w:tcBorders>
            <w:shd w:val="clear" w:color="auto" w:fill="auto"/>
            <w:vAlign w:val="center"/>
          </w:tcPr>
          <w:p w14:paraId="0BB84BBF" w14:textId="77777777" w:rsidR="000C3736"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0C3736">
              <w:rPr>
                <w:rFonts w:asciiTheme="majorBidi" w:hAnsiTheme="majorBidi" w:cstheme="majorBidi"/>
                <w:sz w:val="20"/>
                <w:szCs w:val="20"/>
              </w:rPr>
              <w:t>0.</w:t>
            </w:r>
            <w:r w:rsidR="00917710">
              <w:rPr>
                <w:rFonts w:asciiTheme="majorBidi" w:hAnsiTheme="majorBidi" w:cstheme="majorBidi"/>
                <w:sz w:val="20"/>
                <w:szCs w:val="20"/>
              </w:rPr>
              <w:t>23</w:t>
            </w:r>
            <w:r w:rsidRPr="000C3736">
              <w:rPr>
                <w:rFonts w:asciiTheme="majorBidi" w:hAnsiTheme="majorBidi" w:cstheme="majorBidi"/>
                <w:sz w:val="20"/>
                <w:szCs w:val="20"/>
              </w:rPr>
              <w:t xml:space="preserve"> (</w:t>
            </w:r>
            <w:r>
              <w:rPr>
                <w:rFonts w:asciiTheme="majorBidi" w:hAnsiTheme="majorBidi" w:cstheme="majorBidi"/>
                <w:sz w:val="20"/>
                <w:szCs w:val="20"/>
              </w:rPr>
              <w:t>+</w:t>
            </w:r>
            <w:r w:rsidRPr="000C3736">
              <w:rPr>
                <w:rFonts w:asciiTheme="majorBidi" w:hAnsiTheme="majorBidi" w:cstheme="majorBidi"/>
                <w:sz w:val="20"/>
                <w:szCs w:val="20"/>
              </w:rPr>
              <w:t>0.0</w:t>
            </w:r>
            <w:r w:rsidR="00917710">
              <w:rPr>
                <w:rFonts w:asciiTheme="majorBidi" w:hAnsiTheme="majorBidi" w:cstheme="majorBidi"/>
                <w:sz w:val="20"/>
                <w:szCs w:val="20"/>
              </w:rPr>
              <w:t>9</w:t>
            </w:r>
            <w:r w:rsidRPr="000C3736">
              <w:rPr>
                <w:rFonts w:asciiTheme="majorBidi" w:hAnsiTheme="majorBidi" w:cstheme="majorBidi"/>
                <w:sz w:val="20"/>
                <w:szCs w:val="20"/>
              </w:rPr>
              <w:t>)</w:t>
            </w:r>
          </w:p>
        </w:tc>
        <w:tc>
          <w:tcPr>
            <w:tcW w:w="1492" w:type="dxa"/>
            <w:gridSpan w:val="2"/>
            <w:tcBorders>
              <w:top w:val="nil"/>
              <w:left w:val="nil"/>
              <w:bottom w:val="nil"/>
              <w:right w:val="nil"/>
            </w:tcBorders>
            <w:vAlign w:val="center"/>
          </w:tcPr>
          <w:p w14:paraId="383E9CA7" w14:textId="77777777" w:rsidR="000C3736"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0C3736">
              <w:rPr>
                <w:rFonts w:asciiTheme="majorBidi" w:hAnsiTheme="majorBidi" w:cstheme="majorBidi"/>
                <w:sz w:val="20"/>
                <w:szCs w:val="20"/>
              </w:rPr>
              <w:t>0.24 (</w:t>
            </w:r>
            <w:r>
              <w:rPr>
                <w:rFonts w:asciiTheme="majorBidi" w:hAnsiTheme="majorBidi" w:cstheme="majorBidi"/>
                <w:sz w:val="20"/>
                <w:szCs w:val="20"/>
              </w:rPr>
              <w:t>+</w:t>
            </w:r>
            <w:r w:rsidRPr="000C3736">
              <w:rPr>
                <w:rFonts w:asciiTheme="majorBidi" w:hAnsiTheme="majorBidi" w:cstheme="majorBidi"/>
                <w:sz w:val="20"/>
                <w:szCs w:val="20"/>
              </w:rPr>
              <w:t>0.</w:t>
            </w:r>
            <w:r w:rsidR="00917710">
              <w:rPr>
                <w:rFonts w:asciiTheme="majorBidi" w:hAnsiTheme="majorBidi" w:cstheme="majorBidi"/>
                <w:sz w:val="20"/>
                <w:szCs w:val="20"/>
              </w:rPr>
              <w:t>10</w:t>
            </w:r>
            <w:r w:rsidRPr="000C3736">
              <w:rPr>
                <w:rFonts w:asciiTheme="majorBidi" w:hAnsiTheme="majorBidi" w:cstheme="majorBidi"/>
                <w:sz w:val="20"/>
                <w:szCs w:val="20"/>
              </w:rPr>
              <w:t>)</w:t>
            </w:r>
          </w:p>
        </w:tc>
        <w:tc>
          <w:tcPr>
            <w:tcW w:w="1491" w:type="dxa"/>
            <w:gridSpan w:val="2"/>
            <w:tcBorders>
              <w:top w:val="nil"/>
              <w:left w:val="nil"/>
              <w:bottom w:val="nil"/>
              <w:right w:val="nil"/>
            </w:tcBorders>
            <w:vAlign w:val="center"/>
          </w:tcPr>
          <w:p w14:paraId="550C8A55" w14:textId="77777777" w:rsidR="000C3736"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0C3736">
              <w:rPr>
                <w:rFonts w:asciiTheme="majorBidi" w:hAnsiTheme="majorBidi" w:cstheme="majorBidi"/>
                <w:sz w:val="20"/>
                <w:szCs w:val="20"/>
              </w:rPr>
              <w:t>0.05 (</w:t>
            </w:r>
            <w:r>
              <w:rPr>
                <w:rFonts w:asciiTheme="majorBidi" w:hAnsiTheme="majorBidi" w:cstheme="majorBidi"/>
                <w:sz w:val="20"/>
                <w:szCs w:val="20"/>
              </w:rPr>
              <w:t>+</w:t>
            </w:r>
            <w:r w:rsidRPr="000C3736">
              <w:rPr>
                <w:rFonts w:asciiTheme="majorBidi" w:hAnsiTheme="majorBidi" w:cstheme="majorBidi"/>
                <w:sz w:val="20"/>
                <w:szCs w:val="20"/>
              </w:rPr>
              <w:t>0.10)</w:t>
            </w:r>
          </w:p>
        </w:tc>
        <w:tc>
          <w:tcPr>
            <w:tcW w:w="1492" w:type="dxa"/>
            <w:gridSpan w:val="3"/>
            <w:tcBorders>
              <w:top w:val="nil"/>
              <w:left w:val="nil"/>
              <w:bottom w:val="nil"/>
              <w:right w:val="nil"/>
            </w:tcBorders>
            <w:vAlign w:val="center"/>
          </w:tcPr>
          <w:p w14:paraId="5D23CCA6" w14:textId="77777777" w:rsidR="000C3736"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0C3736">
              <w:rPr>
                <w:rFonts w:asciiTheme="majorBidi" w:hAnsiTheme="majorBidi" w:cstheme="majorBidi"/>
                <w:sz w:val="20"/>
                <w:szCs w:val="20"/>
              </w:rPr>
              <w:t>0.11 (</w:t>
            </w:r>
            <w:r>
              <w:rPr>
                <w:rFonts w:asciiTheme="majorBidi" w:hAnsiTheme="majorBidi" w:cstheme="majorBidi"/>
                <w:sz w:val="20"/>
                <w:szCs w:val="20"/>
              </w:rPr>
              <w:t>+</w:t>
            </w:r>
            <w:r w:rsidRPr="000C3736">
              <w:rPr>
                <w:rFonts w:asciiTheme="majorBidi" w:hAnsiTheme="majorBidi" w:cstheme="majorBidi"/>
                <w:sz w:val="20"/>
                <w:szCs w:val="20"/>
              </w:rPr>
              <w:t>0.</w:t>
            </w:r>
            <w:r w:rsidR="00917710">
              <w:rPr>
                <w:rFonts w:asciiTheme="majorBidi" w:hAnsiTheme="majorBidi" w:cstheme="majorBidi"/>
                <w:sz w:val="20"/>
                <w:szCs w:val="20"/>
              </w:rPr>
              <w:t>20</w:t>
            </w:r>
            <w:r w:rsidRPr="000C3736">
              <w:rPr>
                <w:rFonts w:asciiTheme="majorBidi" w:hAnsiTheme="majorBidi" w:cstheme="majorBidi"/>
                <w:sz w:val="20"/>
                <w:szCs w:val="20"/>
              </w:rPr>
              <w:t>)</w:t>
            </w:r>
          </w:p>
        </w:tc>
      </w:tr>
      <w:tr w:rsidR="000C3736" w14:paraId="693B31F0" w14:textId="77777777" w:rsidTr="001E558A">
        <w:trPr>
          <w:trHeight w:val="360"/>
          <w:jc w:val="center"/>
        </w:trPr>
        <w:tc>
          <w:tcPr>
            <w:tcW w:w="3600" w:type="dxa"/>
            <w:tcBorders>
              <w:top w:val="nil"/>
              <w:left w:val="nil"/>
              <w:bottom w:val="nil"/>
              <w:right w:val="nil"/>
            </w:tcBorders>
            <w:vAlign w:val="center"/>
          </w:tcPr>
          <w:p w14:paraId="54B27442" w14:textId="77777777" w:rsidR="000C3736" w:rsidRPr="00971EAB" w:rsidRDefault="000C3736"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 xml:space="preserve">Type </w:t>
            </w:r>
            <w:r>
              <w:rPr>
                <w:rFonts w:asciiTheme="majorBidi" w:hAnsiTheme="majorBidi" w:cstheme="majorBidi"/>
                <w:sz w:val="20"/>
                <w:szCs w:val="20"/>
              </w:rPr>
              <w:t>I</w:t>
            </w:r>
            <w:r w:rsidRPr="00971EAB">
              <w:rPr>
                <w:rFonts w:asciiTheme="majorBidi" w:hAnsiTheme="majorBidi" w:cstheme="majorBidi"/>
                <w:sz w:val="20"/>
                <w:szCs w:val="20"/>
              </w:rPr>
              <w:t>I Error (Type I Error)</w:t>
            </w:r>
          </w:p>
        </w:tc>
        <w:tc>
          <w:tcPr>
            <w:tcW w:w="1491" w:type="dxa"/>
            <w:gridSpan w:val="2"/>
            <w:tcBorders>
              <w:top w:val="nil"/>
              <w:left w:val="nil"/>
              <w:bottom w:val="nil"/>
              <w:right w:val="nil"/>
            </w:tcBorders>
            <w:vAlign w:val="center"/>
          </w:tcPr>
          <w:p w14:paraId="5D22ED21" w14:textId="77777777" w:rsidR="000C3736"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0C3736">
              <w:rPr>
                <w:rFonts w:asciiTheme="majorBidi" w:hAnsiTheme="majorBidi" w:cstheme="majorBidi"/>
                <w:sz w:val="20"/>
                <w:szCs w:val="20"/>
              </w:rPr>
              <w:t>0.11 (</w:t>
            </w:r>
            <w:r>
              <w:rPr>
                <w:rFonts w:asciiTheme="majorBidi" w:hAnsiTheme="majorBidi" w:cstheme="majorBidi"/>
                <w:sz w:val="20"/>
                <w:szCs w:val="20"/>
              </w:rPr>
              <w:t>-</w:t>
            </w:r>
            <w:r w:rsidRPr="000C3736">
              <w:rPr>
                <w:rFonts w:asciiTheme="majorBidi" w:hAnsiTheme="majorBidi" w:cstheme="majorBidi"/>
                <w:sz w:val="20"/>
                <w:szCs w:val="20"/>
              </w:rPr>
              <w:t>0.</w:t>
            </w:r>
            <w:r w:rsidR="00DB0480">
              <w:rPr>
                <w:rFonts w:asciiTheme="majorBidi" w:hAnsiTheme="majorBidi" w:cstheme="majorBidi"/>
                <w:sz w:val="20"/>
                <w:szCs w:val="20"/>
              </w:rPr>
              <w:t>20</w:t>
            </w:r>
            <w:r w:rsidRPr="000C3736">
              <w:rPr>
                <w:rFonts w:asciiTheme="majorBidi" w:hAnsiTheme="majorBidi" w:cstheme="majorBidi"/>
                <w:sz w:val="20"/>
                <w:szCs w:val="20"/>
              </w:rPr>
              <w:t>)</w:t>
            </w:r>
          </w:p>
        </w:tc>
        <w:tc>
          <w:tcPr>
            <w:tcW w:w="1491" w:type="dxa"/>
            <w:gridSpan w:val="2"/>
            <w:tcBorders>
              <w:top w:val="nil"/>
              <w:left w:val="nil"/>
              <w:bottom w:val="nil"/>
              <w:right w:val="nil"/>
            </w:tcBorders>
            <w:vAlign w:val="center"/>
          </w:tcPr>
          <w:p w14:paraId="1FEFED12" w14:textId="77777777" w:rsidR="000C3736"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0C3736">
              <w:rPr>
                <w:rFonts w:asciiTheme="majorBidi" w:hAnsiTheme="majorBidi" w:cstheme="majorBidi"/>
                <w:sz w:val="20"/>
                <w:szCs w:val="20"/>
              </w:rPr>
              <w:t>0.0</w:t>
            </w:r>
            <w:r w:rsidR="00DB0480">
              <w:rPr>
                <w:rFonts w:asciiTheme="majorBidi" w:hAnsiTheme="majorBidi" w:cstheme="majorBidi"/>
                <w:sz w:val="20"/>
                <w:szCs w:val="20"/>
              </w:rPr>
              <w:t>7</w:t>
            </w:r>
            <w:r w:rsidRPr="000C3736">
              <w:rPr>
                <w:rFonts w:asciiTheme="majorBidi" w:hAnsiTheme="majorBidi" w:cstheme="majorBidi"/>
                <w:sz w:val="20"/>
                <w:szCs w:val="20"/>
              </w:rPr>
              <w:t xml:space="preserve"> (</w:t>
            </w:r>
            <w:r>
              <w:rPr>
                <w:rFonts w:asciiTheme="majorBidi" w:hAnsiTheme="majorBidi" w:cstheme="majorBidi"/>
                <w:sz w:val="20"/>
                <w:szCs w:val="20"/>
              </w:rPr>
              <w:t>-</w:t>
            </w:r>
            <w:r w:rsidRPr="000C3736">
              <w:rPr>
                <w:rFonts w:asciiTheme="majorBidi" w:hAnsiTheme="majorBidi" w:cstheme="majorBidi"/>
                <w:sz w:val="20"/>
                <w:szCs w:val="20"/>
              </w:rPr>
              <w:t>0.16)</w:t>
            </w:r>
          </w:p>
        </w:tc>
        <w:tc>
          <w:tcPr>
            <w:tcW w:w="1492" w:type="dxa"/>
            <w:gridSpan w:val="2"/>
            <w:tcBorders>
              <w:top w:val="nil"/>
              <w:left w:val="nil"/>
              <w:bottom w:val="nil"/>
              <w:right w:val="nil"/>
            </w:tcBorders>
            <w:vAlign w:val="center"/>
          </w:tcPr>
          <w:p w14:paraId="52669C76" w14:textId="77777777" w:rsidR="000C3736"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0C3736">
              <w:rPr>
                <w:rFonts w:asciiTheme="majorBidi" w:hAnsiTheme="majorBidi" w:cstheme="majorBidi"/>
                <w:sz w:val="20"/>
                <w:szCs w:val="20"/>
              </w:rPr>
              <w:t>0.0</w:t>
            </w:r>
            <w:r w:rsidR="00917710">
              <w:rPr>
                <w:rFonts w:asciiTheme="majorBidi" w:hAnsiTheme="majorBidi" w:cstheme="majorBidi"/>
                <w:sz w:val="20"/>
                <w:szCs w:val="20"/>
              </w:rPr>
              <w:t>3</w:t>
            </w:r>
            <w:r w:rsidRPr="000C3736">
              <w:rPr>
                <w:rFonts w:asciiTheme="majorBidi" w:hAnsiTheme="majorBidi" w:cstheme="majorBidi"/>
                <w:sz w:val="20"/>
                <w:szCs w:val="20"/>
              </w:rPr>
              <w:t xml:space="preserve"> (</w:t>
            </w:r>
            <w:r>
              <w:rPr>
                <w:rFonts w:asciiTheme="majorBidi" w:hAnsiTheme="majorBidi" w:cstheme="majorBidi"/>
                <w:sz w:val="20"/>
                <w:szCs w:val="20"/>
              </w:rPr>
              <w:t>-</w:t>
            </w:r>
            <w:r w:rsidRPr="000C3736">
              <w:rPr>
                <w:rFonts w:asciiTheme="majorBidi" w:hAnsiTheme="majorBidi" w:cstheme="majorBidi"/>
                <w:sz w:val="20"/>
                <w:szCs w:val="20"/>
              </w:rPr>
              <w:t>0.09)</w:t>
            </w:r>
          </w:p>
        </w:tc>
        <w:tc>
          <w:tcPr>
            <w:tcW w:w="1491" w:type="dxa"/>
            <w:gridSpan w:val="2"/>
            <w:tcBorders>
              <w:top w:val="nil"/>
              <w:left w:val="nil"/>
              <w:bottom w:val="nil"/>
              <w:right w:val="nil"/>
            </w:tcBorders>
            <w:vAlign w:val="center"/>
          </w:tcPr>
          <w:p w14:paraId="458D3B4D" w14:textId="77777777" w:rsidR="000C3736"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0C3736">
              <w:rPr>
                <w:rFonts w:asciiTheme="majorBidi" w:hAnsiTheme="majorBidi" w:cstheme="majorBidi"/>
                <w:sz w:val="20"/>
                <w:szCs w:val="20"/>
              </w:rPr>
              <w:t>0.</w:t>
            </w:r>
            <w:r w:rsidR="00917710">
              <w:rPr>
                <w:rFonts w:asciiTheme="majorBidi" w:hAnsiTheme="majorBidi" w:cstheme="majorBidi"/>
                <w:sz w:val="20"/>
                <w:szCs w:val="20"/>
              </w:rPr>
              <w:t>23</w:t>
            </w:r>
            <w:r w:rsidRPr="000C3736">
              <w:rPr>
                <w:rFonts w:asciiTheme="majorBidi" w:hAnsiTheme="majorBidi" w:cstheme="majorBidi"/>
                <w:sz w:val="20"/>
                <w:szCs w:val="20"/>
              </w:rPr>
              <w:t xml:space="preserve"> (</w:t>
            </w:r>
            <w:r>
              <w:rPr>
                <w:rFonts w:asciiTheme="majorBidi" w:hAnsiTheme="majorBidi" w:cstheme="majorBidi"/>
                <w:sz w:val="20"/>
                <w:szCs w:val="20"/>
              </w:rPr>
              <w:t>-</w:t>
            </w:r>
            <w:r w:rsidRPr="000C3736">
              <w:rPr>
                <w:rFonts w:asciiTheme="majorBidi" w:hAnsiTheme="majorBidi" w:cstheme="majorBidi"/>
                <w:sz w:val="20"/>
                <w:szCs w:val="20"/>
              </w:rPr>
              <w:t>0.0</w:t>
            </w:r>
            <w:r w:rsidR="00917710">
              <w:rPr>
                <w:rFonts w:asciiTheme="majorBidi" w:hAnsiTheme="majorBidi" w:cstheme="majorBidi"/>
                <w:sz w:val="20"/>
                <w:szCs w:val="20"/>
              </w:rPr>
              <w:t>9</w:t>
            </w:r>
            <w:r w:rsidRPr="000C3736">
              <w:rPr>
                <w:rFonts w:asciiTheme="majorBidi" w:hAnsiTheme="majorBidi" w:cstheme="majorBidi"/>
                <w:sz w:val="20"/>
                <w:szCs w:val="20"/>
              </w:rPr>
              <w:t>)</w:t>
            </w:r>
          </w:p>
        </w:tc>
        <w:tc>
          <w:tcPr>
            <w:tcW w:w="1492" w:type="dxa"/>
            <w:gridSpan w:val="2"/>
            <w:tcBorders>
              <w:top w:val="nil"/>
              <w:left w:val="nil"/>
              <w:bottom w:val="nil"/>
              <w:right w:val="nil"/>
            </w:tcBorders>
            <w:vAlign w:val="center"/>
          </w:tcPr>
          <w:p w14:paraId="5628CA0B" w14:textId="77777777" w:rsidR="000C3736"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0C3736">
              <w:rPr>
                <w:rFonts w:asciiTheme="majorBidi" w:hAnsiTheme="majorBidi" w:cstheme="majorBidi"/>
                <w:sz w:val="20"/>
                <w:szCs w:val="20"/>
              </w:rPr>
              <w:t>0.24 (</w:t>
            </w:r>
            <w:r>
              <w:rPr>
                <w:rFonts w:asciiTheme="majorBidi" w:hAnsiTheme="majorBidi" w:cstheme="majorBidi"/>
                <w:sz w:val="20"/>
                <w:szCs w:val="20"/>
              </w:rPr>
              <w:t>-</w:t>
            </w:r>
            <w:r w:rsidRPr="000C3736">
              <w:rPr>
                <w:rFonts w:asciiTheme="majorBidi" w:hAnsiTheme="majorBidi" w:cstheme="majorBidi"/>
                <w:sz w:val="20"/>
                <w:szCs w:val="20"/>
              </w:rPr>
              <w:t>0.</w:t>
            </w:r>
            <w:r w:rsidR="00917710">
              <w:rPr>
                <w:rFonts w:asciiTheme="majorBidi" w:hAnsiTheme="majorBidi" w:cstheme="majorBidi"/>
                <w:sz w:val="20"/>
                <w:szCs w:val="20"/>
              </w:rPr>
              <w:t>10</w:t>
            </w:r>
            <w:r w:rsidRPr="000C3736">
              <w:rPr>
                <w:rFonts w:asciiTheme="majorBidi" w:hAnsiTheme="majorBidi" w:cstheme="majorBidi"/>
                <w:sz w:val="20"/>
                <w:szCs w:val="20"/>
              </w:rPr>
              <w:t>)</w:t>
            </w:r>
          </w:p>
        </w:tc>
        <w:tc>
          <w:tcPr>
            <w:tcW w:w="1491" w:type="dxa"/>
            <w:gridSpan w:val="2"/>
            <w:tcBorders>
              <w:top w:val="nil"/>
              <w:left w:val="nil"/>
              <w:bottom w:val="nil"/>
              <w:right w:val="nil"/>
            </w:tcBorders>
            <w:vAlign w:val="center"/>
          </w:tcPr>
          <w:p w14:paraId="75DBF65D" w14:textId="77777777" w:rsidR="000C3736"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0C3736">
              <w:rPr>
                <w:rFonts w:asciiTheme="majorBidi" w:hAnsiTheme="majorBidi" w:cstheme="majorBidi"/>
                <w:sz w:val="20"/>
                <w:szCs w:val="20"/>
              </w:rPr>
              <w:t>0.05 (</w:t>
            </w:r>
            <w:r>
              <w:rPr>
                <w:rFonts w:asciiTheme="majorBidi" w:hAnsiTheme="majorBidi" w:cstheme="majorBidi"/>
                <w:sz w:val="20"/>
                <w:szCs w:val="20"/>
              </w:rPr>
              <w:t>-</w:t>
            </w:r>
            <w:r w:rsidRPr="000C3736">
              <w:rPr>
                <w:rFonts w:asciiTheme="majorBidi" w:hAnsiTheme="majorBidi" w:cstheme="majorBidi"/>
                <w:sz w:val="20"/>
                <w:szCs w:val="20"/>
              </w:rPr>
              <w:t>0.10)</w:t>
            </w:r>
          </w:p>
        </w:tc>
        <w:tc>
          <w:tcPr>
            <w:tcW w:w="1492" w:type="dxa"/>
            <w:gridSpan w:val="3"/>
            <w:tcBorders>
              <w:top w:val="nil"/>
              <w:left w:val="nil"/>
              <w:bottom w:val="nil"/>
              <w:right w:val="nil"/>
            </w:tcBorders>
            <w:vAlign w:val="center"/>
          </w:tcPr>
          <w:p w14:paraId="12873CFB" w14:textId="77777777" w:rsidR="000C3736" w:rsidRPr="000C3736"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0C3736">
              <w:rPr>
                <w:rFonts w:asciiTheme="majorBidi" w:hAnsiTheme="majorBidi" w:cstheme="majorBidi"/>
                <w:sz w:val="20"/>
                <w:szCs w:val="20"/>
              </w:rPr>
              <w:t>0.11 (</w:t>
            </w:r>
            <w:r>
              <w:rPr>
                <w:rFonts w:asciiTheme="majorBidi" w:hAnsiTheme="majorBidi" w:cstheme="majorBidi"/>
                <w:sz w:val="20"/>
                <w:szCs w:val="20"/>
              </w:rPr>
              <w:t>-</w:t>
            </w:r>
            <w:r w:rsidRPr="000C3736">
              <w:rPr>
                <w:rFonts w:asciiTheme="majorBidi" w:hAnsiTheme="majorBidi" w:cstheme="majorBidi"/>
                <w:sz w:val="20"/>
                <w:szCs w:val="20"/>
              </w:rPr>
              <w:t>0.</w:t>
            </w:r>
            <w:r w:rsidR="00917710">
              <w:rPr>
                <w:rFonts w:asciiTheme="majorBidi" w:hAnsiTheme="majorBidi" w:cstheme="majorBidi"/>
                <w:sz w:val="20"/>
                <w:szCs w:val="20"/>
              </w:rPr>
              <w:t>20</w:t>
            </w:r>
            <w:r w:rsidRPr="000C3736">
              <w:rPr>
                <w:rFonts w:asciiTheme="majorBidi" w:hAnsiTheme="majorBidi" w:cstheme="majorBidi"/>
                <w:sz w:val="20"/>
                <w:szCs w:val="20"/>
              </w:rPr>
              <w:t>)</w:t>
            </w:r>
          </w:p>
        </w:tc>
      </w:tr>
      <w:tr w:rsidR="000C3736" w14:paraId="5272229E" w14:textId="77777777" w:rsidTr="001E558A">
        <w:trPr>
          <w:trHeight w:val="360"/>
          <w:jc w:val="center"/>
        </w:trPr>
        <w:tc>
          <w:tcPr>
            <w:tcW w:w="3600" w:type="dxa"/>
            <w:tcBorders>
              <w:top w:val="nil"/>
              <w:left w:val="nil"/>
              <w:bottom w:val="nil"/>
              <w:right w:val="nil"/>
            </w:tcBorders>
            <w:vAlign w:val="center"/>
          </w:tcPr>
          <w:p w14:paraId="1EF7AC57" w14:textId="77777777" w:rsidR="000C3736" w:rsidRPr="00971EAB" w:rsidRDefault="000C3736"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Misclassification Cost</w:t>
            </w:r>
          </w:p>
        </w:tc>
        <w:tc>
          <w:tcPr>
            <w:tcW w:w="1491" w:type="dxa"/>
            <w:gridSpan w:val="2"/>
            <w:tcBorders>
              <w:top w:val="nil"/>
              <w:left w:val="nil"/>
              <w:bottom w:val="nil"/>
              <w:right w:val="nil"/>
            </w:tcBorders>
            <w:vAlign w:val="center"/>
          </w:tcPr>
          <w:p w14:paraId="1E9B4B84" w14:textId="77777777" w:rsidR="000C3736" w:rsidRPr="003B7127" w:rsidRDefault="000C3736" w:rsidP="00260D7D">
            <w:pPr>
              <w:tabs>
                <w:tab w:val="left" w:pos="567"/>
              </w:tabs>
              <w:jc w:val="center"/>
              <w:rPr>
                <w:rFonts w:asciiTheme="majorBidi" w:hAnsiTheme="majorBidi" w:cstheme="majorBidi"/>
                <w:sz w:val="20"/>
                <w:szCs w:val="20"/>
              </w:rPr>
            </w:pPr>
            <w:r w:rsidRPr="003B7127">
              <w:rPr>
                <w:rFonts w:asciiTheme="majorBidi" w:hAnsiTheme="majorBidi" w:cstheme="majorBidi"/>
                <w:sz w:val="20"/>
                <w:szCs w:val="20"/>
              </w:rPr>
              <w:t>-0.11</w:t>
            </w:r>
          </w:p>
        </w:tc>
        <w:tc>
          <w:tcPr>
            <w:tcW w:w="1491" w:type="dxa"/>
            <w:gridSpan w:val="2"/>
            <w:tcBorders>
              <w:top w:val="nil"/>
              <w:left w:val="nil"/>
              <w:bottom w:val="nil"/>
              <w:right w:val="nil"/>
            </w:tcBorders>
            <w:vAlign w:val="center"/>
          </w:tcPr>
          <w:p w14:paraId="46ACCC7D" w14:textId="77777777" w:rsidR="000C3736" w:rsidRPr="003B7127" w:rsidRDefault="000C3736" w:rsidP="00260D7D">
            <w:pPr>
              <w:tabs>
                <w:tab w:val="left" w:pos="567"/>
              </w:tabs>
              <w:jc w:val="center"/>
              <w:rPr>
                <w:rFonts w:asciiTheme="majorBidi" w:hAnsiTheme="majorBidi" w:cstheme="majorBidi"/>
                <w:sz w:val="20"/>
                <w:szCs w:val="20"/>
              </w:rPr>
            </w:pPr>
            <w:r w:rsidRPr="003B7127">
              <w:rPr>
                <w:rFonts w:asciiTheme="majorBidi" w:hAnsiTheme="majorBidi" w:cstheme="majorBidi"/>
                <w:sz w:val="20"/>
                <w:szCs w:val="20"/>
              </w:rPr>
              <w:t>-0.0</w:t>
            </w:r>
            <w:r w:rsidR="00DB0480">
              <w:rPr>
                <w:rFonts w:asciiTheme="majorBidi" w:hAnsiTheme="majorBidi" w:cstheme="majorBidi"/>
                <w:sz w:val="20"/>
                <w:szCs w:val="20"/>
              </w:rPr>
              <w:t>7</w:t>
            </w:r>
          </w:p>
        </w:tc>
        <w:tc>
          <w:tcPr>
            <w:tcW w:w="1492" w:type="dxa"/>
            <w:gridSpan w:val="2"/>
            <w:tcBorders>
              <w:top w:val="nil"/>
              <w:left w:val="nil"/>
              <w:bottom w:val="nil"/>
              <w:right w:val="nil"/>
            </w:tcBorders>
            <w:vAlign w:val="center"/>
          </w:tcPr>
          <w:p w14:paraId="6E2DA076" w14:textId="77777777" w:rsidR="000C3736" w:rsidRPr="003B7127" w:rsidRDefault="00917710"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000C3736" w:rsidRPr="003B7127">
              <w:rPr>
                <w:rFonts w:asciiTheme="majorBidi" w:hAnsiTheme="majorBidi" w:cstheme="majorBidi"/>
                <w:sz w:val="20"/>
                <w:szCs w:val="20"/>
              </w:rPr>
              <w:t>0</w:t>
            </w:r>
            <w:r w:rsidR="000C3736">
              <w:rPr>
                <w:rFonts w:asciiTheme="majorBidi" w:hAnsiTheme="majorBidi" w:cstheme="majorBidi"/>
                <w:sz w:val="20"/>
                <w:szCs w:val="20"/>
              </w:rPr>
              <w:t>.0</w:t>
            </w:r>
            <w:r>
              <w:rPr>
                <w:rFonts w:asciiTheme="majorBidi" w:hAnsiTheme="majorBidi" w:cstheme="majorBidi"/>
                <w:sz w:val="20"/>
                <w:szCs w:val="20"/>
              </w:rPr>
              <w:t>3</w:t>
            </w:r>
          </w:p>
        </w:tc>
        <w:tc>
          <w:tcPr>
            <w:tcW w:w="1491" w:type="dxa"/>
            <w:gridSpan w:val="2"/>
            <w:tcBorders>
              <w:top w:val="nil"/>
              <w:left w:val="nil"/>
              <w:bottom w:val="nil"/>
              <w:right w:val="nil"/>
            </w:tcBorders>
            <w:vAlign w:val="center"/>
          </w:tcPr>
          <w:p w14:paraId="6771D2E4" w14:textId="77777777" w:rsidR="000C3736" w:rsidRPr="003B7127" w:rsidRDefault="000C3736" w:rsidP="00260D7D">
            <w:pPr>
              <w:tabs>
                <w:tab w:val="left" w:pos="567"/>
              </w:tabs>
              <w:jc w:val="center"/>
              <w:rPr>
                <w:rFonts w:asciiTheme="majorBidi" w:hAnsiTheme="majorBidi" w:cstheme="majorBidi"/>
                <w:sz w:val="20"/>
                <w:szCs w:val="20"/>
              </w:rPr>
            </w:pPr>
            <w:r w:rsidRPr="003B7127">
              <w:rPr>
                <w:rFonts w:asciiTheme="majorBidi" w:hAnsiTheme="majorBidi" w:cstheme="majorBidi"/>
                <w:sz w:val="20"/>
                <w:szCs w:val="20"/>
              </w:rPr>
              <w:t>-0.</w:t>
            </w:r>
            <w:r w:rsidR="00917710">
              <w:rPr>
                <w:rFonts w:asciiTheme="majorBidi" w:hAnsiTheme="majorBidi" w:cstheme="majorBidi"/>
                <w:sz w:val="20"/>
                <w:szCs w:val="20"/>
              </w:rPr>
              <w:t>23</w:t>
            </w:r>
          </w:p>
        </w:tc>
        <w:tc>
          <w:tcPr>
            <w:tcW w:w="1492" w:type="dxa"/>
            <w:gridSpan w:val="2"/>
            <w:tcBorders>
              <w:top w:val="nil"/>
              <w:left w:val="nil"/>
              <w:bottom w:val="nil"/>
              <w:right w:val="nil"/>
            </w:tcBorders>
            <w:vAlign w:val="center"/>
          </w:tcPr>
          <w:p w14:paraId="14B450C5" w14:textId="77777777" w:rsidR="000C3736" w:rsidRPr="003B7127" w:rsidRDefault="000C3736" w:rsidP="00260D7D">
            <w:pPr>
              <w:tabs>
                <w:tab w:val="left" w:pos="567"/>
              </w:tabs>
              <w:jc w:val="center"/>
              <w:rPr>
                <w:rFonts w:asciiTheme="majorBidi" w:hAnsiTheme="majorBidi" w:cstheme="majorBidi"/>
                <w:sz w:val="20"/>
                <w:szCs w:val="20"/>
              </w:rPr>
            </w:pPr>
            <w:r w:rsidRPr="003B7127">
              <w:rPr>
                <w:rFonts w:asciiTheme="majorBidi" w:hAnsiTheme="majorBidi" w:cstheme="majorBidi"/>
                <w:sz w:val="20"/>
                <w:szCs w:val="20"/>
              </w:rPr>
              <w:t>-0.24</w:t>
            </w:r>
          </w:p>
        </w:tc>
        <w:tc>
          <w:tcPr>
            <w:tcW w:w="1491" w:type="dxa"/>
            <w:gridSpan w:val="2"/>
            <w:tcBorders>
              <w:top w:val="nil"/>
              <w:left w:val="nil"/>
              <w:bottom w:val="nil"/>
              <w:right w:val="nil"/>
            </w:tcBorders>
            <w:shd w:val="clear" w:color="auto" w:fill="auto"/>
            <w:vAlign w:val="center"/>
          </w:tcPr>
          <w:p w14:paraId="648B442B" w14:textId="77777777" w:rsidR="000C3736" w:rsidRPr="003B7127" w:rsidRDefault="000C3736" w:rsidP="00260D7D">
            <w:pPr>
              <w:tabs>
                <w:tab w:val="left" w:pos="567"/>
              </w:tabs>
              <w:jc w:val="center"/>
              <w:rPr>
                <w:rFonts w:asciiTheme="majorBidi" w:hAnsiTheme="majorBidi" w:cstheme="majorBidi"/>
                <w:sz w:val="20"/>
                <w:szCs w:val="20"/>
              </w:rPr>
            </w:pPr>
            <w:r w:rsidRPr="003B7127">
              <w:rPr>
                <w:rFonts w:asciiTheme="majorBidi" w:hAnsiTheme="majorBidi" w:cstheme="majorBidi"/>
                <w:sz w:val="20"/>
                <w:szCs w:val="20"/>
              </w:rPr>
              <w:t>-0.05</w:t>
            </w:r>
          </w:p>
        </w:tc>
        <w:tc>
          <w:tcPr>
            <w:tcW w:w="1492" w:type="dxa"/>
            <w:gridSpan w:val="3"/>
            <w:tcBorders>
              <w:top w:val="nil"/>
              <w:left w:val="nil"/>
              <w:bottom w:val="nil"/>
              <w:right w:val="nil"/>
            </w:tcBorders>
            <w:vAlign w:val="center"/>
          </w:tcPr>
          <w:p w14:paraId="4DC32513" w14:textId="77777777" w:rsidR="000C3736" w:rsidRPr="003B7127" w:rsidRDefault="000C3736" w:rsidP="00260D7D">
            <w:pPr>
              <w:tabs>
                <w:tab w:val="left" w:pos="567"/>
              </w:tabs>
              <w:jc w:val="center"/>
              <w:rPr>
                <w:rFonts w:asciiTheme="majorBidi" w:hAnsiTheme="majorBidi" w:cstheme="majorBidi"/>
                <w:sz w:val="20"/>
                <w:szCs w:val="20"/>
              </w:rPr>
            </w:pPr>
            <w:r w:rsidRPr="003B7127">
              <w:rPr>
                <w:rFonts w:asciiTheme="majorBidi" w:hAnsiTheme="majorBidi" w:cstheme="majorBidi"/>
                <w:sz w:val="20"/>
                <w:szCs w:val="20"/>
              </w:rPr>
              <w:t>-0.11</w:t>
            </w:r>
          </w:p>
        </w:tc>
      </w:tr>
      <w:tr w:rsidR="000C3736" w14:paraId="37051DA1" w14:textId="77777777" w:rsidTr="001E558A">
        <w:trPr>
          <w:trHeight w:val="360"/>
          <w:jc w:val="center"/>
        </w:trPr>
        <w:tc>
          <w:tcPr>
            <w:tcW w:w="3600" w:type="dxa"/>
            <w:tcBorders>
              <w:top w:val="nil"/>
              <w:left w:val="nil"/>
              <w:bottom w:val="nil"/>
              <w:right w:val="nil"/>
            </w:tcBorders>
            <w:vAlign w:val="center"/>
          </w:tcPr>
          <w:p w14:paraId="7FA6E3A2" w14:textId="77777777" w:rsidR="000C3736" w:rsidRPr="00971EAB" w:rsidRDefault="000C3736"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Area Under the Curve - AUC</w:t>
            </w:r>
          </w:p>
        </w:tc>
        <w:tc>
          <w:tcPr>
            <w:tcW w:w="1491" w:type="dxa"/>
            <w:gridSpan w:val="2"/>
            <w:tcBorders>
              <w:top w:val="nil"/>
              <w:left w:val="nil"/>
              <w:bottom w:val="nil"/>
              <w:right w:val="nil"/>
            </w:tcBorders>
            <w:vAlign w:val="center"/>
          </w:tcPr>
          <w:p w14:paraId="4077AEB2"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0.1</w:t>
            </w:r>
            <w:r>
              <w:rPr>
                <w:rFonts w:asciiTheme="majorBidi" w:hAnsiTheme="majorBidi" w:cstheme="majorBidi"/>
                <w:sz w:val="20"/>
                <w:szCs w:val="20"/>
              </w:rPr>
              <w:t>0</w:t>
            </w:r>
          </w:p>
        </w:tc>
        <w:tc>
          <w:tcPr>
            <w:tcW w:w="1491" w:type="dxa"/>
            <w:gridSpan w:val="2"/>
            <w:tcBorders>
              <w:top w:val="nil"/>
              <w:left w:val="nil"/>
              <w:bottom w:val="nil"/>
              <w:right w:val="nil"/>
            </w:tcBorders>
            <w:vAlign w:val="center"/>
          </w:tcPr>
          <w:p w14:paraId="4A75AB6B"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0.04</w:t>
            </w:r>
          </w:p>
        </w:tc>
        <w:tc>
          <w:tcPr>
            <w:tcW w:w="1492" w:type="dxa"/>
            <w:gridSpan w:val="2"/>
            <w:tcBorders>
              <w:top w:val="nil"/>
              <w:left w:val="nil"/>
              <w:bottom w:val="nil"/>
              <w:right w:val="nil"/>
            </w:tcBorders>
            <w:vAlign w:val="center"/>
          </w:tcPr>
          <w:p w14:paraId="1F3E1006"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0.04</w:t>
            </w:r>
          </w:p>
        </w:tc>
        <w:tc>
          <w:tcPr>
            <w:tcW w:w="1491" w:type="dxa"/>
            <w:gridSpan w:val="2"/>
            <w:tcBorders>
              <w:top w:val="nil"/>
              <w:left w:val="nil"/>
              <w:bottom w:val="nil"/>
              <w:right w:val="nil"/>
            </w:tcBorders>
            <w:vAlign w:val="center"/>
          </w:tcPr>
          <w:p w14:paraId="2AF97C17"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0.08</w:t>
            </w:r>
          </w:p>
        </w:tc>
        <w:tc>
          <w:tcPr>
            <w:tcW w:w="1492" w:type="dxa"/>
            <w:gridSpan w:val="2"/>
            <w:tcBorders>
              <w:top w:val="nil"/>
              <w:left w:val="nil"/>
              <w:bottom w:val="nil"/>
              <w:right w:val="nil"/>
            </w:tcBorders>
            <w:vAlign w:val="center"/>
          </w:tcPr>
          <w:p w14:paraId="401A43E4"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w:t>
            </w:r>
            <w:r w:rsidR="00917710">
              <w:rPr>
                <w:rFonts w:asciiTheme="majorBidi" w:hAnsiTheme="majorBidi" w:cstheme="majorBidi"/>
                <w:sz w:val="20"/>
                <w:szCs w:val="20"/>
              </w:rPr>
              <w:t>7</w:t>
            </w:r>
          </w:p>
        </w:tc>
        <w:tc>
          <w:tcPr>
            <w:tcW w:w="1491" w:type="dxa"/>
            <w:gridSpan w:val="2"/>
            <w:tcBorders>
              <w:top w:val="nil"/>
              <w:left w:val="nil"/>
              <w:bottom w:val="nil"/>
              <w:right w:val="nil"/>
            </w:tcBorders>
            <w:shd w:val="clear" w:color="auto" w:fill="auto"/>
            <w:vAlign w:val="center"/>
          </w:tcPr>
          <w:p w14:paraId="4AAB4AE2"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w:t>
            </w:r>
            <w:r w:rsidR="00917710">
              <w:rPr>
                <w:rFonts w:asciiTheme="majorBidi" w:hAnsiTheme="majorBidi" w:cstheme="majorBidi"/>
                <w:sz w:val="20"/>
                <w:szCs w:val="20"/>
              </w:rPr>
              <w:t>6</w:t>
            </w:r>
          </w:p>
        </w:tc>
        <w:tc>
          <w:tcPr>
            <w:tcW w:w="1492" w:type="dxa"/>
            <w:gridSpan w:val="3"/>
            <w:tcBorders>
              <w:top w:val="nil"/>
              <w:left w:val="nil"/>
              <w:bottom w:val="nil"/>
              <w:right w:val="nil"/>
            </w:tcBorders>
            <w:vAlign w:val="center"/>
          </w:tcPr>
          <w:p w14:paraId="28649DC4"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0.1</w:t>
            </w:r>
            <w:r>
              <w:rPr>
                <w:rFonts w:asciiTheme="majorBidi" w:hAnsiTheme="majorBidi" w:cstheme="majorBidi"/>
                <w:sz w:val="20"/>
                <w:szCs w:val="20"/>
              </w:rPr>
              <w:t>0</w:t>
            </w:r>
          </w:p>
        </w:tc>
      </w:tr>
      <w:tr w:rsidR="000C3736" w14:paraId="6958ECFF" w14:textId="77777777" w:rsidTr="001E558A">
        <w:trPr>
          <w:trHeight w:val="360"/>
          <w:jc w:val="center"/>
        </w:trPr>
        <w:tc>
          <w:tcPr>
            <w:tcW w:w="3600" w:type="dxa"/>
            <w:tcBorders>
              <w:top w:val="nil"/>
              <w:left w:val="nil"/>
              <w:bottom w:val="nil"/>
              <w:right w:val="nil"/>
            </w:tcBorders>
            <w:vAlign w:val="center"/>
          </w:tcPr>
          <w:p w14:paraId="5A4E7085" w14:textId="77777777" w:rsidR="000C3736" w:rsidRPr="00971EAB" w:rsidRDefault="000C3736" w:rsidP="00260D7D">
            <w:pPr>
              <w:tabs>
                <w:tab w:val="left" w:pos="567"/>
              </w:tabs>
              <w:rPr>
                <w:rFonts w:asciiTheme="majorBidi" w:hAnsiTheme="majorBidi" w:cstheme="majorBidi"/>
                <w:sz w:val="20"/>
                <w:szCs w:val="20"/>
              </w:rPr>
            </w:pPr>
            <w:r>
              <w:rPr>
                <w:rFonts w:asciiTheme="majorBidi" w:hAnsiTheme="majorBidi" w:cstheme="majorBidi"/>
                <w:sz w:val="20"/>
                <w:szCs w:val="20"/>
              </w:rPr>
              <w:t>Out-of-sample Forecast Accuracy</w:t>
            </w:r>
          </w:p>
        </w:tc>
        <w:tc>
          <w:tcPr>
            <w:tcW w:w="1491" w:type="dxa"/>
            <w:gridSpan w:val="2"/>
            <w:tcBorders>
              <w:top w:val="nil"/>
              <w:left w:val="nil"/>
              <w:bottom w:val="nil"/>
              <w:right w:val="nil"/>
            </w:tcBorders>
            <w:vAlign w:val="center"/>
          </w:tcPr>
          <w:p w14:paraId="0E3F7FA7"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w:t>
            </w:r>
            <w:r w:rsidR="00DB0480">
              <w:rPr>
                <w:rFonts w:asciiTheme="majorBidi" w:hAnsiTheme="majorBidi" w:cstheme="majorBidi"/>
                <w:sz w:val="20"/>
                <w:szCs w:val="20"/>
              </w:rPr>
              <w:t>9</w:t>
            </w:r>
          </w:p>
        </w:tc>
        <w:tc>
          <w:tcPr>
            <w:tcW w:w="1491" w:type="dxa"/>
            <w:gridSpan w:val="2"/>
            <w:tcBorders>
              <w:top w:val="nil"/>
              <w:left w:val="nil"/>
              <w:bottom w:val="nil"/>
              <w:right w:val="nil"/>
            </w:tcBorders>
            <w:vAlign w:val="center"/>
          </w:tcPr>
          <w:p w14:paraId="3510DB46"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w:t>
            </w:r>
            <w:r w:rsidR="00DB0480">
              <w:rPr>
                <w:rFonts w:asciiTheme="majorBidi" w:hAnsiTheme="majorBidi" w:cstheme="majorBidi"/>
                <w:sz w:val="20"/>
                <w:szCs w:val="20"/>
              </w:rPr>
              <w:t>8</w:t>
            </w:r>
          </w:p>
        </w:tc>
        <w:tc>
          <w:tcPr>
            <w:tcW w:w="1492" w:type="dxa"/>
            <w:gridSpan w:val="2"/>
            <w:tcBorders>
              <w:top w:val="nil"/>
              <w:left w:val="nil"/>
              <w:bottom w:val="nil"/>
              <w:right w:val="nil"/>
            </w:tcBorders>
            <w:vAlign w:val="center"/>
          </w:tcPr>
          <w:p w14:paraId="62B8C958"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0.06</w:t>
            </w:r>
          </w:p>
        </w:tc>
        <w:tc>
          <w:tcPr>
            <w:tcW w:w="1491" w:type="dxa"/>
            <w:gridSpan w:val="2"/>
            <w:tcBorders>
              <w:top w:val="nil"/>
              <w:left w:val="nil"/>
              <w:bottom w:val="nil"/>
              <w:right w:val="nil"/>
            </w:tcBorders>
            <w:vAlign w:val="center"/>
          </w:tcPr>
          <w:p w14:paraId="661128A8"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0.2</w:t>
            </w:r>
            <w:r w:rsidR="00917710">
              <w:rPr>
                <w:rFonts w:asciiTheme="majorBidi" w:hAnsiTheme="majorBidi" w:cstheme="majorBidi"/>
                <w:sz w:val="20"/>
                <w:szCs w:val="20"/>
              </w:rPr>
              <w:t>4</w:t>
            </w:r>
          </w:p>
        </w:tc>
        <w:tc>
          <w:tcPr>
            <w:tcW w:w="1492" w:type="dxa"/>
            <w:gridSpan w:val="2"/>
            <w:tcBorders>
              <w:top w:val="nil"/>
              <w:left w:val="nil"/>
              <w:bottom w:val="nil"/>
              <w:right w:val="nil"/>
            </w:tcBorders>
            <w:vAlign w:val="center"/>
          </w:tcPr>
          <w:p w14:paraId="3B51A041"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0.1</w:t>
            </w:r>
            <w:r w:rsidR="00917710">
              <w:rPr>
                <w:rFonts w:asciiTheme="majorBidi" w:hAnsiTheme="majorBidi" w:cstheme="majorBidi"/>
                <w:sz w:val="20"/>
                <w:szCs w:val="20"/>
              </w:rPr>
              <w:t>9</w:t>
            </w:r>
          </w:p>
        </w:tc>
        <w:tc>
          <w:tcPr>
            <w:tcW w:w="1491" w:type="dxa"/>
            <w:gridSpan w:val="2"/>
            <w:tcBorders>
              <w:top w:val="nil"/>
              <w:left w:val="nil"/>
              <w:bottom w:val="nil"/>
              <w:right w:val="nil"/>
            </w:tcBorders>
            <w:shd w:val="clear" w:color="auto" w:fill="auto"/>
            <w:vAlign w:val="center"/>
          </w:tcPr>
          <w:p w14:paraId="457DB4AE"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0.15</w:t>
            </w:r>
          </w:p>
        </w:tc>
        <w:tc>
          <w:tcPr>
            <w:tcW w:w="1492" w:type="dxa"/>
            <w:gridSpan w:val="3"/>
            <w:tcBorders>
              <w:top w:val="nil"/>
              <w:left w:val="nil"/>
              <w:bottom w:val="nil"/>
              <w:right w:val="nil"/>
            </w:tcBorders>
            <w:vAlign w:val="center"/>
          </w:tcPr>
          <w:p w14:paraId="0289539A" w14:textId="77777777" w:rsidR="000C3736" w:rsidRPr="003B7127" w:rsidRDefault="000C3736"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w:t>
            </w:r>
            <w:r w:rsidRPr="003B7127">
              <w:rPr>
                <w:rFonts w:asciiTheme="majorBidi" w:hAnsiTheme="majorBidi" w:cstheme="majorBidi"/>
                <w:sz w:val="20"/>
                <w:szCs w:val="20"/>
              </w:rPr>
              <w:t>0.0</w:t>
            </w:r>
            <w:r w:rsidR="00917710">
              <w:rPr>
                <w:rFonts w:asciiTheme="majorBidi" w:hAnsiTheme="majorBidi" w:cstheme="majorBidi"/>
                <w:sz w:val="20"/>
                <w:szCs w:val="20"/>
              </w:rPr>
              <w:t>8</w:t>
            </w:r>
          </w:p>
        </w:tc>
      </w:tr>
      <w:tr w:rsidR="000C3736" w:rsidRPr="00C52CB9" w14:paraId="623B11C5" w14:textId="77777777" w:rsidTr="004D7D5B">
        <w:trPr>
          <w:trHeight w:val="80"/>
          <w:jc w:val="center"/>
        </w:trPr>
        <w:tc>
          <w:tcPr>
            <w:tcW w:w="3600" w:type="dxa"/>
            <w:tcBorders>
              <w:top w:val="nil"/>
              <w:left w:val="nil"/>
              <w:bottom w:val="nil"/>
              <w:right w:val="nil"/>
            </w:tcBorders>
            <w:vAlign w:val="center"/>
          </w:tcPr>
          <w:p w14:paraId="1388D95E" w14:textId="77777777" w:rsidR="000C3736" w:rsidRPr="00971EAB" w:rsidRDefault="000C3736" w:rsidP="00260D7D">
            <w:pPr>
              <w:tabs>
                <w:tab w:val="left" w:pos="567"/>
              </w:tabs>
              <w:rPr>
                <w:rFonts w:asciiTheme="majorBidi" w:hAnsiTheme="majorBidi" w:cstheme="majorBidi"/>
                <w:sz w:val="6"/>
                <w:szCs w:val="6"/>
              </w:rPr>
            </w:pPr>
          </w:p>
        </w:tc>
        <w:tc>
          <w:tcPr>
            <w:tcW w:w="1491" w:type="dxa"/>
            <w:gridSpan w:val="2"/>
            <w:tcBorders>
              <w:top w:val="nil"/>
              <w:left w:val="nil"/>
              <w:bottom w:val="nil"/>
              <w:right w:val="nil"/>
            </w:tcBorders>
            <w:vAlign w:val="center"/>
          </w:tcPr>
          <w:p w14:paraId="0407B6C1" w14:textId="77777777" w:rsidR="000C3736" w:rsidRPr="00971EAB" w:rsidRDefault="000C3736" w:rsidP="00260D7D">
            <w:pPr>
              <w:tabs>
                <w:tab w:val="left" w:pos="567"/>
              </w:tabs>
              <w:jc w:val="center"/>
              <w:rPr>
                <w:rFonts w:asciiTheme="majorBidi" w:hAnsiTheme="majorBidi" w:cstheme="majorBidi"/>
                <w:sz w:val="6"/>
                <w:szCs w:val="6"/>
              </w:rPr>
            </w:pPr>
          </w:p>
        </w:tc>
        <w:tc>
          <w:tcPr>
            <w:tcW w:w="1491" w:type="dxa"/>
            <w:gridSpan w:val="2"/>
            <w:tcBorders>
              <w:top w:val="nil"/>
              <w:left w:val="nil"/>
              <w:bottom w:val="nil"/>
              <w:right w:val="nil"/>
            </w:tcBorders>
            <w:vAlign w:val="center"/>
          </w:tcPr>
          <w:p w14:paraId="36FAC828" w14:textId="77777777" w:rsidR="000C3736" w:rsidRPr="00971EAB" w:rsidRDefault="000C3736" w:rsidP="00260D7D">
            <w:pPr>
              <w:tabs>
                <w:tab w:val="left" w:pos="567"/>
              </w:tabs>
              <w:jc w:val="center"/>
              <w:rPr>
                <w:rFonts w:asciiTheme="majorBidi" w:hAnsiTheme="majorBidi" w:cstheme="majorBidi"/>
                <w:sz w:val="6"/>
                <w:szCs w:val="6"/>
              </w:rPr>
            </w:pPr>
          </w:p>
        </w:tc>
        <w:tc>
          <w:tcPr>
            <w:tcW w:w="1492" w:type="dxa"/>
            <w:gridSpan w:val="2"/>
            <w:tcBorders>
              <w:top w:val="nil"/>
              <w:left w:val="nil"/>
              <w:bottom w:val="nil"/>
              <w:right w:val="nil"/>
            </w:tcBorders>
            <w:vAlign w:val="center"/>
          </w:tcPr>
          <w:p w14:paraId="4DDD694B" w14:textId="77777777" w:rsidR="000C3736" w:rsidRPr="00971EAB" w:rsidRDefault="000C3736" w:rsidP="00260D7D">
            <w:pPr>
              <w:tabs>
                <w:tab w:val="left" w:pos="567"/>
              </w:tabs>
              <w:jc w:val="center"/>
              <w:rPr>
                <w:rFonts w:asciiTheme="majorBidi" w:hAnsiTheme="majorBidi" w:cstheme="majorBidi"/>
                <w:sz w:val="6"/>
                <w:szCs w:val="6"/>
              </w:rPr>
            </w:pPr>
          </w:p>
        </w:tc>
        <w:tc>
          <w:tcPr>
            <w:tcW w:w="1491" w:type="dxa"/>
            <w:gridSpan w:val="2"/>
            <w:tcBorders>
              <w:top w:val="nil"/>
              <w:left w:val="nil"/>
              <w:bottom w:val="nil"/>
              <w:right w:val="nil"/>
            </w:tcBorders>
            <w:vAlign w:val="center"/>
          </w:tcPr>
          <w:p w14:paraId="421D3604" w14:textId="77777777" w:rsidR="000C3736" w:rsidRPr="00971EAB" w:rsidRDefault="000C3736" w:rsidP="00260D7D">
            <w:pPr>
              <w:tabs>
                <w:tab w:val="left" w:pos="567"/>
              </w:tabs>
              <w:jc w:val="center"/>
              <w:rPr>
                <w:rFonts w:asciiTheme="majorBidi" w:hAnsiTheme="majorBidi" w:cstheme="majorBidi"/>
                <w:sz w:val="6"/>
                <w:szCs w:val="6"/>
              </w:rPr>
            </w:pPr>
          </w:p>
        </w:tc>
        <w:tc>
          <w:tcPr>
            <w:tcW w:w="1492" w:type="dxa"/>
            <w:gridSpan w:val="2"/>
            <w:tcBorders>
              <w:top w:val="nil"/>
              <w:left w:val="nil"/>
              <w:bottom w:val="nil"/>
              <w:right w:val="nil"/>
            </w:tcBorders>
            <w:vAlign w:val="center"/>
          </w:tcPr>
          <w:p w14:paraId="75AE1423" w14:textId="77777777" w:rsidR="000C3736" w:rsidRPr="00971EAB" w:rsidRDefault="000C3736" w:rsidP="00260D7D">
            <w:pPr>
              <w:tabs>
                <w:tab w:val="left" w:pos="567"/>
              </w:tabs>
              <w:jc w:val="center"/>
              <w:rPr>
                <w:rFonts w:asciiTheme="majorBidi" w:hAnsiTheme="majorBidi" w:cstheme="majorBidi"/>
                <w:sz w:val="6"/>
                <w:szCs w:val="6"/>
              </w:rPr>
            </w:pPr>
          </w:p>
        </w:tc>
        <w:tc>
          <w:tcPr>
            <w:tcW w:w="1491" w:type="dxa"/>
            <w:gridSpan w:val="2"/>
            <w:tcBorders>
              <w:top w:val="nil"/>
              <w:left w:val="nil"/>
              <w:bottom w:val="nil"/>
              <w:right w:val="nil"/>
            </w:tcBorders>
            <w:vAlign w:val="center"/>
          </w:tcPr>
          <w:p w14:paraId="32477701" w14:textId="77777777" w:rsidR="000C3736" w:rsidRPr="00971EAB" w:rsidRDefault="000C3736" w:rsidP="00260D7D">
            <w:pPr>
              <w:tabs>
                <w:tab w:val="left" w:pos="567"/>
              </w:tabs>
              <w:jc w:val="center"/>
              <w:rPr>
                <w:rFonts w:asciiTheme="majorBidi" w:hAnsiTheme="majorBidi" w:cstheme="majorBidi"/>
                <w:sz w:val="6"/>
                <w:szCs w:val="6"/>
              </w:rPr>
            </w:pPr>
          </w:p>
        </w:tc>
        <w:tc>
          <w:tcPr>
            <w:tcW w:w="1492" w:type="dxa"/>
            <w:gridSpan w:val="3"/>
            <w:tcBorders>
              <w:top w:val="nil"/>
              <w:left w:val="nil"/>
              <w:bottom w:val="nil"/>
              <w:right w:val="nil"/>
            </w:tcBorders>
            <w:vAlign w:val="center"/>
          </w:tcPr>
          <w:p w14:paraId="7AAD379A" w14:textId="77777777" w:rsidR="000C3736" w:rsidRPr="00971EAB" w:rsidRDefault="000C3736" w:rsidP="00260D7D">
            <w:pPr>
              <w:tabs>
                <w:tab w:val="left" w:pos="567"/>
              </w:tabs>
              <w:jc w:val="center"/>
              <w:rPr>
                <w:rFonts w:asciiTheme="majorBidi" w:hAnsiTheme="majorBidi" w:cstheme="majorBidi"/>
                <w:sz w:val="6"/>
                <w:szCs w:val="6"/>
              </w:rPr>
            </w:pPr>
          </w:p>
        </w:tc>
      </w:tr>
      <w:tr w:rsidR="000C3736" w:rsidRPr="00971EAB" w14:paraId="46DC0A77" w14:textId="77777777" w:rsidTr="00410831">
        <w:trPr>
          <w:trHeight w:val="288"/>
          <w:jc w:val="center"/>
        </w:trPr>
        <w:tc>
          <w:tcPr>
            <w:tcW w:w="3600" w:type="dxa"/>
            <w:tcBorders>
              <w:top w:val="nil"/>
              <w:left w:val="nil"/>
              <w:bottom w:val="nil"/>
              <w:right w:val="nil"/>
            </w:tcBorders>
            <w:vAlign w:val="center"/>
          </w:tcPr>
          <w:p w14:paraId="0F25921A" w14:textId="77777777" w:rsidR="000C3736" w:rsidRPr="00410831" w:rsidRDefault="000C3736" w:rsidP="00260D7D">
            <w:pPr>
              <w:tabs>
                <w:tab w:val="left" w:pos="567"/>
              </w:tabs>
              <w:rPr>
                <w:rFonts w:asciiTheme="majorBidi" w:hAnsiTheme="majorBidi" w:cstheme="majorBidi"/>
                <w:sz w:val="20"/>
                <w:szCs w:val="20"/>
              </w:rPr>
            </w:pPr>
            <w:r w:rsidRPr="00410831">
              <w:rPr>
                <w:rFonts w:asciiTheme="majorBidi" w:hAnsiTheme="majorBidi" w:cstheme="majorBidi"/>
                <w:sz w:val="20"/>
                <w:szCs w:val="20"/>
              </w:rPr>
              <w:t>Hanley and McNeil (1983) Test</w:t>
            </w:r>
          </w:p>
        </w:tc>
        <w:tc>
          <w:tcPr>
            <w:tcW w:w="1491" w:type="dxa"/>
            <w:gridSpan w:val="2"/>
            <w:tcBorders>
              <w:top w:val="nil"/>
              <w:left w:val="nil"/>
              <w:bottom w:val="nil"/>
              <w:right w:val="nil"/>
            </w:tcBorders>
            <w:vAlign w:val="center"/>
          </w:tcPr>
          <w:p w14:paraId="2F62B9A0" w14:textId="77777777" w:rsidR="000C3736" w:rsidRPr="00410831" w:rsidRDefault="00F41BB8" w:rsidP="00260D7D">
            <w:pPr>
              <w:tabs>
                <w:tab w:val="left" w:pos="567"/>
              </w:tabs>
              <w:jc w:val="center"/>
              <w:rPr>
                <w:rFonts w:asciiTheme="majorBidi" w:hAnsiTheme="majorBidi" w:cstheme="majorBidi"/>
                <w:sz w:val="20"/>
                <w:szCs w:val="20"/>
              </w:rPr>
            </w:pPr>
            <w:r w:rsidRPr="00410831">
              <w:rPr>
                <w:rFonts w:asciiTheme="majorBidi" w:hAnsiTheme="majorBidi" w:cstheme="majorBidi"/>
                <w:sz w:val="20"/>
                <w:szCs w:val="20"/>
              </w:rPr>
              <w:t>-4.506***</w:t>
            </w:r>
          </w:p>
        </w:tc>
        <w:tc>
          <w:tcPr>
            <w:tcW w:w="1491" w:type="dxa"/>
            <w:gridSpan w:val="2"/>
            <w:tcBorders>
              <w:top w:val="nil"/>
              <w:left w:val="nil"/>
              <w:bottom w:val="nil"/>
              <w:right w:val="nil"/>
            </w:tcBorders>
            <w:vAlign w:val="center"/>
          </w:tcPr>
          <w:p w14:paraId="79780238" w14:textId="77777777" w:rsidR="000C3736" w:rsidRPr="00410831" w:rsidRDefault="00F41BB8" w:rsidP="00260D7D">
            <w:pPr>
              <w:tabs>
                <w:tab w:val="left" w:pos="567"/>
              </w:tabs>
              <w:jc w:val="center"/>
              <w:rPr>
                <w:rFonts w:asciiTheme="majorBidi" w:hAnsiTheme="majorBidi" w:cstheme="majorBidi"/>
                <w:sz w:val="20"/>
                <w:szCs w:val="20"/>
              </w:rPr>
            </w:pPr>
            <w:r w:rsidRPr="00410831">
              <w:rPr>
                <w:rFonts w:asciiTheme="majorBidi" w:hAnsiTheme="majorBidi" w:cstheme="majorBidi"/>
                <w:sz w:val="20"/>
                <w:szCs w:val="20"/>
              </w:rPr>
              <w:t>-4.973***</w:t>
            </w:r>
          </w:p>
        </w:tc>
        <w:tc>
          <w:tcPr>
            <w:tcW w:w="1492" w:type="dxa"/>
            <w:gridSpan w:val="2"/>
            <w:tcBorders>
              <w:top w:val="nil"/>
              <w:left w:val="nil"/>
              <w:bottom w:val="nil"/>
              <w:right w:val="nil"/>
            </w:tcBorders>
            <w:vAlign w:val="center"/>
          </w:tcPr>
          <w:p w14:paraId="0BFA090C" w14:textId="77777777" w:rsidR="000C3736" w:rsidRPr="00410831" w:rsidRDefault="00AA501B" w:rsidP="00260D7D">
            <w:pPr>
              <w:tabs>
                <w:tab w:val="left" w:pos="567"/>
              </w:tabs>
              <w:jc w:val="center"/>
              <w:rPr>
                <w:rFonts w:asciiTheme="majorBidi" w:hAnsiTheme="majorBidi" w:cstheme="majorBidi"/>
                <w:sz w:val="20"/>
                <w:szCs w:val="20"/>
              </w:rPr>
            </w:pPr>
            <w:r w:rsidRPr="00410831">
              <w:rPr>
                <w:rFonts w:asciiTheme="majorBidi" w:hAnsiTheme="majorBidi" w:cstheme="majorBidi"/>
                <w:sz w:val="20"/>
                <w:szCs w:val="20"/>
              </w:rPr>
              <w:t>-4.439***</w:t>
            </w:r>
          </w:p>
        </w:tc>
        <w:tc>
          <w:tcPr>
            <w:tcW w:w="1491" w:type="dxa"/>
            <w:gridSpan w:val="2"/>
            <w:tcBorders>
              <w:top w:val="nil"/>
              <w:left w:val="nil"/>
              <w:bottom w:val="nil"/>
              <w:right w:val="nil"/>
            </w:tcBorders>
            <w:vAlign w:val="center"/>
          </w:tcPr>
          <w:p w14:paraId="1239B7A7" w14:textId="77777777" w:rsidR="000C3736" w:rsidRPr="00410831" w:rsidRDefault="000C3736" w:rsidP="00260D7D">
            <w:pPr>
              <w:tabs>
                <w:tab w:val="left" w:pos="567"/>
              </w:tabs>
              <w:jc w:val="center"/>
              <w:rPr>
                <w:rFonts w:asciiTheme="majorBidi" w:hAnsiTheme="majorBidi" w:cstheme="majorBidi"/>
                <w:sz w:val="20"/>
                <w:szCs w:val="20"/>
              </w:rPr>
            </w:pPr>
            <w:r w:rsidRPr="00410831">
              <w:rPr>
                <w:rFonts w:asciiTheme="majorBidi" w:hAnsiTheme="majorBidi" w:cstheme="majorBidi"/>
                <w:sz w:val="20"/>
                <w:szCs w:val="20"/>
              </w:rPr>
              <w:t>-5.434***</w:t>
            </w:r>
          </w:p>
        </w:tc>
        <w:tc>
          <w:tcPr>
            <w:tcW w:w="1492" w:type="dxa"/>
            <w:gridSpan w:val="2"/>
            <w:tcBorders>
              <w:top w:val="nil"/>
              <w:left w:val="nil"/>
              <w:bottom w:val="nil"/>
              <w:right w:val="nil"/>
            </w:tcBorders>
            <w:vAlign w:val="center"/>
          </w:tcPr>
          <w:p w14:paraId="4B472E2D" w14:textId="77777777" w:rsidR="000C3736" w:rsidRPr="00410831" w:rsidRDefault="000C3736" w:rsidP="00260D7D">
            <w:pPr>
              <w:tabs>
                <w:tab w:val="left" w:pos="567"/>
              </w:tabs>
              <w:jc w:val="center"/>
              <w:rPr>
                <w:rFonts w:asciiTheme="majorBidi" w:hAnsiTheme="majorBidi" w:cstheme="majorBidi"/>
                <w:sz w:val="20"/>
                <w:szCs w:val="20"/>
              </w:rPr>
            </w:pPr>
            <w:r w:rsidRPr="00410831">
              <w:rPr>
                <w:rFonts w:asciiTheme="majorBidi" w:hAnsiTheme="majorBidi" w:cstheme="majorBidi"/>
                <w:sz w:val="20"/>
                <w:szCs w:val="20"/>
              </w:rPr>
              <w:t>-4.506***</w:t>
            </w:r>
          </w:p>
        </w:tc>
        <w:tc>
          <w:tcPr>
            <w:tcW w:w="1491" w:type="dxa"/>
            <w:gridSpan w:val="2"/>
            <w:tcBorders>
              <w:top w:val="nil"/>
              <w:left w:val="nil"/>
              <w:bottom w:val="nil"/>
              <w:right w:val="nil"/>
            </w:tcBorders>
            <w:vAlign w:val="center"/>
          </w:tcPr>
          <w:p w14:paraId="04C34A25" w14:textId="77777777" w:rsidR="000C3736" w:rsidRPr="00410831" w:rsidRDefault="000C3736" w:rsidP="00260D7D">
            <w:pPr>
              <w:tabs>
                <w:tab w:val="left" w:pos="567"/>
              </w:tabs>
              <w:jc w:val="center"/>
              <w:rPr>
                <w:rFonts w:asciiTheme="majorBidi" w:hAnsiTheme="majorBidi" w:cstheme="majorBidi"/>
                <w:sz w:val="20"/>
                <w:szCs w:val="20"/>
              </w:rPr>
            </w:pPr>
            <w:r w:rsidRPr="00410831">
              <w:rPr>
                <w:rFonts w:asciiTheme="majorBidi" w:hAnsiTheme="majorBidi" w:cstheme="majorBidi"/>
                <w:sz w:val="20"/>
                <w:szCs w:val="20"/>
              </w:rPr>
              <w:t>-4.</w:t>
            </w:r>
            <w:r w:rsidR="00917710" w:rsidRPr="00410831">
              <w:rPr>
                <w:rFonts w:asciiTheme="majorBidi" w:hAnsiTheme="majorBidi" w:cstheme="majorBidi"/>
                <w:sz w:val="20"/>
                <w:szCs w:val="20"/>
              </w:rPr>
              <w:t>958</w:t>
            </w:r>
            <w:r w:rsidRPr="00410831">
              <w:rPr>
                <w:rFonts w:asciiTheme="majorBidi" w:hAnsiTheme="majorBidi" w:cstheme="majorBidi"/>
                <w:sz w:val="20"/>
                <w:szCs w:val="20"/>
              </w:rPr>
              <w:t>***</w:t>
            </w:r>
          </w:p>
        </w:tc>
        <w:tc>
          <w:tcPr>
            <w:tcW w:w="1492" w:type="dxa"/>
            <w:gridSpan w:val="3"/>
            <w:tcBorders>
              <w:top w:val="nil"/>
              <w:left w:val="nil"/>
              <w:bottom w:val="nil"/>
              <w:right w:val="nil"/>
            </w:tcBorders>
            <w:vAlign w:val="center"/>
          </w:tcPr>
          <w:p w14:paraId="53002018" w14:textId="77777777" w:rsidR="000C3736" w:rsidRPr="00410831" w:rsidRDefault="00AA501B" w:rsidP="00260D7D">
            <w:pPr>
              <w:tabs>
                <w:tab w:val="left" w:pos="567"/>
              </w:tabs>
              <w:jc w:val="center"/>
              <w:rPr>
                <w:rFonts w:asciiTheme="majorBidi" w:hAnsiTheme="majorBidi" w:cstheme="majorBidi"/>
                <w:sz w:val="20"/>
                <w:szCs w:val="20"/>
              </w:rPr>
            </w:pPr>
            <w:r w:rsidRPr="00410831">
              <w:rPr>
                <w:rFonts w:asciiTheme="majorBidi" w:hAnsiTheme="majorBidi" w:cstheme="majorBidi"/>
                <w:sz w:val="20"/>
                <w:szCs w:val="20"/>
              </w:rPr>
              <w:t>-4.506***</w:t>
            </w:r>
          </w:p>
        </w:tc>
      </w:tr>
      <w:tr w:rsidR="000C3736" w:rsidRPr="00486141" w14:paraId="32E5456F" w14:textId="77777777" w:rsidTr="00410831">
        <w:trPr>
          <w:trHeight w:val="80"/>
          <w:jc w:val="center"/>
        </w:trPr>
        <w:tc>
          <w:tcPr>
            <w:tcW w:w="3600" w:type="dxa"/>
            <w:tcBorders>
              <w:top w:val="nil"/>
              <w:left w:val="nil"/>
              <w:bottom w:val="single" w:sz="6" w:space="0" w:color="auto"/>
              <w:right w:val="nil"/>
            </w:tcBorders>
          </w:tcPr>
          <w:p w14:paraId="028A5798" w14:textId="77777777" w:rsidR="000C3736" w:rsidRPr="00486141" w:rsidRDefault="000C3736" w:rsidP="00260D7D">
            <w:pPr>
              <w:tabs>
                <w:tab w:val="left" w:pos="567"/>
              </w:tabs>
              <w:rPr>
                <w:rFonts w:asciiTheme="majorBidi" w:hAnsiTheme="majorBidi" w:cstheme="majorBidi"/>
                <w:sz w:val="8"/>
                <w:szCs w:val="8"/>
              </w:rPr>
            </w:pPr>
          </w:p>
        </w:tc>
        <w:tc>
          <w:tcPr>
            <w:tcW w:w="1491" w:type="dxa"/>
            <w:gridSpan w:val="2"/>
            <w:tcBorders>
              <w:top w:val="nil"/>
              <w:left w:val="nil"/>
              <w:bottom w:val="single" w:sz="6" w:space="0" w:color="auto"/>
              <w:right w:val="nil"/>
            </w:tcBorders>
            <w:vAlign w:val="center"/>
          </w:tcPr>
          <w:p w14:paraId="104F05F6" w14:textId="77777777" w:rsidR="000C3736" w:rsidRPr="00486141" w:rsidRDefault="000C3736" w:rsidP="00260D7D">
            <w:pPr>
              <w:tabs>
                <w:tab w:val="left" w:pos="567"/>
              </w:tabs>
              <w:jc w:val="center"/>
              <w:rPr>
                <w:rFonts w:asciiTheme="majorBidi" w:hAnsiTheme="majorBidi" w:cstheme="majorBidi"/>
                <w:sz w:val="8"/>
                <w:szCs w:val="8"/>
              </w:rPr>
            </w:pPr>
          </w:p>
        </w:tc>
        <w:tc>
          <w:tcPr>
            <w:tcW w:w="1491" w:type="dxa"/>
            <w:gridSpan w:val="2"/>
            <w:tcBorders>
              <w:top w:val="nil"/>
              <w:left w:val="nil"/>
              <w:bottom w:val="single" w:sz="6" w:space="0" w:color="auto"/>
              <w:right w:val="nil"/>
            </w:tcBorders>
            <w:vAlign w:val="center"/>
          </w:tcPr>
          <w:p w14:paraId="42A47A7F" w14:textId="77777777" w:rsidR="000C3736" w:rsidRPr="00486141" w:rsidRDefault="000C3736" w:rsidP="00260D7D">
            <w:pPr>
              <w:tabs>
                <w:tab w:val="left" w:pos="567"/>
              </w:tabs>
              <w:jc w:val="center"/>
              <w:rPr>
                <w:rFonts w:asciiTheme="majorBidi" w:hAnsiTheme="majorBidi" w:cstheme="majorBidi"/>
                <w:sz w:val="8"/>
                <w:szCs w:val="8"/>
              </w:rPr>
            </w:pPr>
          </w:p>
        </w:tc>
        <w:tc>
          <w:tcPr>
            <w:tcW w:w="1492" w:type="dxa"/>
            <w:gridSpan w:val="2"/>
            <w:tcBorders>
              <w:top w:val="nil"/>
              <w:left w:val="nil"/>
              <w:bottom w:val="single" w:sz="6" w:space="0" w:color="auto"/>
              <w:right w:val="nil"/>
            </w:tcBorders>
            <w:vAlign w:val="center"/>
          </w:tcPr>
          <w:p w14:paraId="3AFC3999" w14:textId="77777777" w:rsidR="000C3736" w:rsidRPr="00486141" w:rsidRDefault="000C3736" w:rsidP="00260D7D">
            <w:pPr>
              <w:tabs>
                <w:tab w:val="left" w:pos="567"/>
              </w:tabs>
              <w:jc w:val="center"/>
              <w:rPr>
                <w:rFonts w:asciiTheme="majorBidi" w:hAnsiTheme="majorBidi" w:cstheme="majorBidi"/>
                <w:sz w:val="8"/>
                <w:szCs w:val="8"/>
              </w:rPr>
            </w:pPr>
          </w:p>
        </w:tc>
        <w:tc>
          <w:tcPr>
            <w:tcW w:w="1491" w:type="dxa"/>
            <w:gridSpan w:val="2"/>
            <w:tcBorders>
              <w:top w:val="nil"/>
              <w:left w:val="nil"/>
              <w:bottom w:val="single" w:sz="6" w:space="0" w:color="auto"/>
              <w:right w:val="nil"/>
            </w:tcBorders>
            <w:vAlign w:val="center"/>
          </w:tcPr>
          <w:p w14:paraId="793A65CA" w14:textId="77777777" w:rsidR="000C3736" w:rsidRPr="00486141" w:rsidRDefault="000C3736" w:rsidP="00260D7D">
            <w:pPr>
              <w:tabs>
                <w:tab w:val="left" w:pos="567"/>
              </w:tabs>
              <w:jc w:val="center"/>
              <w:rPr>
                <w:rFonts w:asciiTheme="majorBidi" w:hAnsiTheme="majorBidi" w:cstheme="majorBidi"/>
                <w:sz w:val="8"/>
                <w:szCs w:val="8"/>
              </w:rPr>
            </w:pPr>
          </w:p>
        </w:tc>
        <w:tc>
          <w:tcPr>
            <w:tcW w:w="1492" w:type="dxa"/>
            <w:gridSpan w:val="2"/>
            <w:tcBorders>
              <w:top w:val="nil"/>
              <w:left w:val="nil"/>
              <w:bottom w:val="single" w:sz="6" w:space="0" w:color="auto"/>
              <w:right w:val="nil"/>
            </w:tcBorders>
            <w:vAlign w:val="center"/>
          </w:tcPr>
          <w:p w14:paraId="505FF3F6" w14:textId="77777777" w:rsidR="000C3736" w:rsidRPr="00486141" w:rsidRDefault="000C3736" w:rsidP="00260D7D">
            <w:pPr>
              <w:tabs>
                <w:tab w:val="left" w:pos="567"/>
              </w:tabs>
              <w:jc w:val="center"/>
              <w:rPr>
                <w:rFonts w:asciiTheme="majorBidi" w:hAnsiTheme="majorBidi" w:cstheme="majorBidi"/>
                <w:sz w:val="8"/>
                <w:szCs w:val="8"/>
              </w:rPr>
            </w:pPr>
          </w:p>
        </w:tc>
        <w:tc>
          <w:tcPr>
            <w:tcW w:w="1491" w:type="dxa"/>
            <w:gridSpan w:val="2"/>
            <w:tcBorders>
              <w:top w:val="nil"/>
              <w:left w:val="nil"/>
              <w:bottom w:val="single" w:sz="6" w:space="0" w:color="auto"/>
              <w:right w:val="nil"/>
            </w:tcBorders>
            <w:vAlign w:val="center"/>
          </w:tcPr>
          <w:p w14:paraId="0C1F0EB2" w14:textId="77777777" w:rsidR="000C3736" w:rsidRPr="00486141" w:rsidRDefault="000C3736" w:rsidP="00260D7D">
            <w:pPr>
              <w:tabs>
                <w:tab w:val="left" w:pos="567"/>
              </w:tabs>
              <w:jc w:val="center"/>
              <w:rPr>
                <w:rFonts w:asciiTheme="majorBidi" w:hAnsiTheme="majorBidi" w:cstheme="majorBidi"/>
                <w:sz w:val="8"/>
                <w:szCs w:val="8"/>
              </w:rPr>
            </w:pPr>
          </w:p>
        </w:tc>
        <w:tc>
          <w:tcPr>
            <w:tcW w:w="1492" w:type="dxa"/>
            <w:gridSpan w:val="3"/>
            <w:tcBorders>
              <w:top w:val="nil"/>
              <w:left w:val="nil"/>
              <w:bottom w:val="single" w:sz="6" w:space="0" w:color="auto"/>
              <w:right w:val="nil"/>
            </w:tcBorders>
            <w:vAlign w:val="center"/>
          </w:tcPr>
          <w:p w14:paraId="1E836C7A" w14:textId="77777777" w:rsidR="000C3736" w:rsidRPr="00486141" w:rsidRDefault="000C3736" w:rsidP="00260D7D">
            <w:pPr>
              <w:tabs>
                <w:tab w:val="left" w:pos="567"/>
              </w:tabs>
              <w:jc w:val="center"/>
              <w:rPr>
                <w:rFonts w:asciiTheme="majorBidi" w:hAnsiTheme="majorBidi" w:cstheme="majorBidi"/>
                <w:sz w:val="8"/>
                <w:szCs w:val="8"/>
              </w:rPr>
            </w:pPr>
          </w:p>
        </w:tc>
      </w:tr>
      <w:tr w:rsidR="00855B96" w:rsidRPr="002E1EC0" w14:paraId="6F47D747" w14:textId="77777777" w:rsidTr="007E2C0D">
        <w:trPr>
          <w:gridAfter w:val="1"/>
          <w:wAfter w:w="25" w:type="dxa"/>
          <w:jc w:val="center"/>
        </w:trPr>
        <w:tc>
          <w:tcPr>
            <w:tcW w:w="14015" w:type="dxa"/>
            <w:gridSpan w:val="15"/>
            <w:tcBorders>
              <w:top w:val="nil"/>
              <w:left w:val="nil"/>
              <w:bottom w:val="nil"/>
              <w:right w:val="nil"/>
            </w:tcBorders>
          </w:tcPr>
          <w:p w14:paraId="5A5CBC4E" w14:textId="4A42DA69" w:rsidR="00C40424" w:rsidRPr="00C01F80" w:rsidRDefault="00855B96" w:rsidP="00C40424">
            <w:pPr>
              <w:tabs>
                <w:tab w:val="left" w:pos="567"/>
              </w:tabs>
              <w:jc w:val="center"/>
              <w:rPr>
                <w:rFonts w:asciiTheme="majorBidi" w:hAnsiTheme="majorBidi" w:cstheme="majorBidi"/>
                <w:b/>
                <w:bCs/>
                <w:color w:val="000000"/>
              </w:rPr>
            </w:pPr>
            <w:r w:rsidRPr="00C01F80">
              <w:rPr>
                <w:rFonts w:asciiTheme="majorBidi" w:hAnsiTheme="majorBidi" w:cstheme="majorBidi"/>
                <w:b/>
                <w:bCs/>
                <w:color w:val="000000"/>
              </w:rPr>
              <w:lastRenderedPageBreak/>
              <w:t>Table 6</w:t>
            </w:r>
            <w:r w:rsidR="00C40424" w:rsidRPr="00C01F80">
              <w:rPr>
                <w:rFonts w:asciiTheme="majorBidi" w:hAnsiTheme="majorBidi" w:cstheme="majorBidi"/>
                <w:b/>
                <w:bCs/>
                <w:color w:val="000000"/>
              </w:rPr>
              <w:t xml:space="preserve">: </w:t>
            </w:r>
            <w:r w:rsidRPr="00C01F80">
              <w:rPr>
                <w:rFonts w:asciiTheme="majorBidi" w:hAnsiTheme="majorBidi" w:cstheme="majorBidi"/>
                <w:b/>
                <w:bCs/>
                <w:color w:val="000000"/>
              </w:rPr>
              <w:t xml:space="preserve">The Performance of the Different Prediction Models </w:t>
            </w:r>
            <w:r w:rsidR="007E2C0D" w:rsidRPr="00C01F80">
              <w:rPr>
                <w:rFonts w:asciiTheme="majorBidi" w:hAnsiTheme="majorBidi" w:cstheme="majorBidi"/>
                <w:b/>
                <w:bCs/>
                <w:color w:val="000000"/>
              </w:rPr>
              <w:t>I</w:t>
            </w:r>
            <w:r w:rsidRPr="00C01F80">
              <w:rPr>
                <w:rFonts w:asciiTheme="majorBidi" w:hAnsiTheme="majorBidi" w:cstheme="majorBidi"/>
                <w:b/>
                <w:bCs/>
                <w:color w:val="000000"/>
              </w:rPr>
              <w:t xml:space="preserve">ncluding Governance </w:t>
            </w:r>
            <w:r w:rsidR="007E2C0D" w:rsidRPr="00C01F80">
              <w:rPr>
                <w:rFonts w:asciiTheme="majorBidi" w:hAnsiTheme="majorBidi" w:cstheme="majorBidi"/>
                <w:b/>
                <w:bCs/>
                <w:color w:val="000000"/>
              </w:rPr>
              <w:t>V</w:t>
            </w:r>
            <w:r w:rsidRPr="00C01F80">
              <w:rPr>
                <w:rFonts w:asciiTheme="majorBidi" w:hAnsiTheme="majorBidi" w:cstheme="majorBidi"/>
                <w:b/>
                <w:bCs/>
                <w:color w:val="000000"/>
              </w:rPr>
              <w:t xml:space="preserve">ariables </w:t>
            </w:r>
          </w:p>
          <w:p w14:paraId="4DA3B77D" w14:textId="32B0E65C" w:rsidR="00855B96" w:rsidRDefault="009058BC" w:rsidP="00C40424">
            <w:pPr>
              <w:tabs>
                <w:tab w:val="left" w:pos="567"/>
              </w:tabs>
              <w:jc w:val="center"/>
              <w:rPr>
                <w:rFonts w:asciiTheme="majorBidi" w:hAnsiTheme="majorBidi" w:cstheme="majorBidi"/>
                <w:b/>
                <w:bCs/>
                <w:color w:val="000000"/>
                <w:sz w:val="24"/>
                <w:szCs w:val="24"/>
              </w:rPr>
            </w:pPr>
            <w:r w:rsidRPr="00C01F80">
              <w:rPr>
                <w:rFonts w:asciiTheme="majorBidi" w:hAnsiTheme="majorBidi" w:cstheme="majorBidi"/>
                <w:b/>
                <w:bCs/>
                <w:color w:val="000000"/>
              </w:rPr>
              <w:t>Using Different Estimation Methods</w:t>
            </w:r>
          </w:p>
          <w:p w14:paraId="47823216" w14:textId="77777777" w:rsidR="00C40424" w:rsidRPr="00C40424" w:rsidRDefault="00C40424" w:rsidP="00C40424">
            <w:pPr>
              <w:tabs>
                <w:tab w:val="left" w:pos="567"/>
              </w:tabs>
              <w:jc w:val="center"/>
              <w:rPr>
                <w:rFonts w:asciiTheme="majorBidi" w:hAnsiTheme="majorBidi" w:cstheme="majorBidi"/>
                <w:b/>
                <w:bCs/>
                <w:color w:val="000000"/>
                <w:sz w:val="8"/>
                <w:szCs w:val="8"/>
              </w:rPr>
            </w:pPr>
          </w:p>
          <w:p w14:paraId="1CC30D68" w14:textId="54B4FC23" w:rsidR="00855B96" w:rsidRPr="006469DC" w:rsidRDefault="00FD7B19" w:rsidP="00260D7D">
            <w:pPr>
              <w:tabs>
                <w:tab w:val="left" w:pos="567"/>
              </w:tabs>
              <w:jc w:val="both"/>
              <w:rPr>
                <w:rFonts w:asciiTheme="majorBidi" w:hAnsiTheme="majorBidi" w:cstheme="majorBidi"/>
                <w:color w:val="000000"/>
                <w:sz w:val="20"/>
                <w:szCs w:val="20"/>
              </w:rPr>
            </w:pPr>
            <w:r w:rsidRPr="006469DC">
              <w:rPr>
                <w:rFonts w:asciiTheme="majorBidi" w:hAnsiTheme="majorBidi" w:cstheme="majorBidi"/>
                <w:color w:val="000000"/>
                <w:sz w:val="20"/>
                <w:szCs w:val="20"/>
              </w:rPr>
              <w:t>Th</w:t>
            </w:r>
            <w:r w:rsidR="00C40424">
              <w:rPr>
                <w:rFonts w:asciiTheme="majorBidi" w:hAnsiTheme="majorBidi" w:cstheme="majorBidi"/>
                <w:color w:val="000000"/>
                <w:sz w:val="20"/>
                <w:szCs w:val="20"/>
              </w:rPr>
              <w:t>is</w:t>
            </w:r>
            <w:r w:rsidRPr="006469DC">
              <w:rPr>
                <w:rFonts w:asciiTheme="majorBidi" w:hAnsiTheme="majorBidi" w:cstheme="majorBidi"/>
                <w:color w:val="000000"/>
                <w:sz w:val="20"/>
                <w:szCs w:val="20"/>
              </w:rPr>
              <w:t xml:space="preserve"> table </w:t>
            </w:r>
            <w:r w:rsidR="00855B96" w:rsidRPr="006469DC">
              <w:rPr>
                <w:rFonts w:asciiTheme="majorBidi" w:hAnsiTheme="majorBidi" w:cstheme="majorBidi"/>
                <w:color w:val="000000"/>
                <w:sz w:val="20"/>
                <w:szCs w:val="20"/>
              </w:rPr>
              <w:t>present</w:t>
            </w:r>
            <w:r w:rsidR="00683ECA" w:rsidRPr="006469DC">
              <w:rPr>
                <w:rFonts w:asciiTheme="majorBidi" w:hAnsiTheme="majorBidi" w:cstheme="majorBidi"/>
                <w:color w:val="000000"/>
                <w:sz w:val="20"/>
                <w:szCs w:val="20"/>
              </w:rPr>
              <w:t>s</w:t>
            </w:r>
            <w:r w:rsidR="00855B96" w:rsidRPr="006469DC">
              <w:rPr>
                <w:rFonts w:asciiTheme="majorBidi" w:hAnsiTheme="majorBidi" w:cstheme="majorBidi"/>
                <w:color w:val="000000"/>
                <w:sz w:val="20"/>
                <w:szCs w:val="20"/>
              </w:rPr>
              <w:t xml:space="preserve"> the performance of the different prediction models (see </w:t>
            </w:r>
            <w:r w:rsidR="00855B96" w:rsidRPr="006469DC">
              <w:rPr>
                <w:rFonts w:asciiTheme="majorBidi" w:hAnsiTheme="majorBidi" w:cstheme="majorBidi"/>
                <w:i/>
                <w:iCs/>
                <w:color w:val="000000"/>
                <w:sz w:val="20"/>
                <w:szCs w:val="20"/>
              </w:rPr>
              <w:t>Table 1</w:t>
            </w:r>
            <w:r w:rsidR="00855B96" w:rsidRPr="006469DC">
              <w:rPr>
                <w:rFonts w:asciiTheme="majorBidi" w:hAnsiTheme="majorBidi" w:cstheme="majorBidi"/>
                <w:color w:val="000000"/>
                <w:sz w:val="20"/>
                <w:szCs w:val="20"/>
              </w:rPr>
              <w:t>)</w:t>
            </w:r>
            <w:r w:rsidRPr="006469DC">
              <w:rPr>
                <w:rFonts w:asciiTheme="majorBidi" w:hAnsiTheme="majorBidi" w:cstheme="majorBidi"/>
                <w:color w:val="000000"/>
                <w:sz w:val="20"/>
                <w:szCs w:val="20"/>
              </w:rPr>
              <w:t xml:space="preserve"> including governance (one year before bankruptcy)</w:t>
            </w:r>
            <w:r w:rsidR="00855B96" w:rsidRPr="006469DC">
              <w:rPr>
                <w:rFonts w:asciiTheme="majorBidi" w:hAnsiTheme="majorBidi" w:cstheme="majorBidi"/>
                <w:color w:val="000000"/>
                <w:sz w:val="20"/>
                <w:szCs w:val="20"/>
              </w:rPr>
              <w:t xml:space="preserve">. </w:t>
            </w:r>
            <w:r w:rsidR="009058BC" w:rsidRPr="006469DC">
              <w:rPr>
                <w:rFonts w:asciiTheme="majorBidi" w:hAnsiTheme="majorBidi" w:cstheme="majorBidi"/>
                <w:color w:val="000000"/>
                <w:sz w:val="20"/>
                <w:szCs w:val="20"/>
              </w:rPr>
              <w:t xml:space="preserve">Models are </w:t>
            </w:r>
            <w:r w:rsidRPr="006469DC">
              <w:rPr>
                <w:rFonts w:asciiTheme="majorBidi" w:hAnsiTheme="majorBidi" w:cstheme="majorBidi"/>
                <w:color w:val="000000"/>
                <w:sz w:val="20"/>
                <w:szCs w:val="20"/>
              </w:rPr>
              <w:t xml:space="preserve">estimated using: </w:t>
            </w:r>
            <w:r w:rsidR="009058BC" w:rsidRPr="006469DC">
              <w:rPr>
                <w:rFonts w:asciiTheme="majorBidi" w:hAnsiTheme="majorBidi" w:cstheme="majorBidi"/>
                <w:color w:val="000000"/>
                <w:sz w:val="20"/>
                <w:szCs w:val="20"/>
              </w:rPr>
              <w:t>Discriminant Analysis (</w:t>
            </w:r>
            <w:r w:rsidRPr="006469DC">
              <w:rPr>
                <w:rFonts w:asciiTheme="majorBidi" w:hAnsiTheme="majorBidi" w:cstheme="majorBidi"/>
                <w:color w:val="000000"/>
                <w:sz w:val="20"/>
                <w:szCs w:val="20"/>
              </w:rPr>
              <w:t>DA), Logistic Regression (LR), Hazard A</w:t>
            </w:r>
            <w:r w:rsidR="009058BC" w:rsidRPr="006469DC">
              <w:rPr>
                <w:rFonts w:asciiTheme="majorBidi" w:hAnsiTheme="majorBidi" w:cstheme="majorBidi"/>
                <w:color w:val="000000"/>
                <w:sz w:val="20"/>
                <w:szCs w:val="20"/>
              </w:rPr>
              <w:t>nalysis (HA), Data Envelopment Analysis (DE)-additive model, and Neural Networks-Backpropagation Network (NN)</w:t>
            </w:r>
            <w:r w:rsidRPr="006469DC">
              <w:rPr>
                <w:rFonts w:asciiTheme="majorBidi" w:hAnsiTheme="majorBidi" w:cstheme="majorBidi"/>
                <w:color w:val="000000"/>
                <w:sz w:val="20"/>
                <w:szCs w:val="20"/>
              </w:rPr>
              <w:t>.</w:t>
            </w:r>
            <w:r w:rsidR="00F30C48" w:rsidRPr="006469DC">
              <w:rPr>
                <w:rFonts w:asciiTheme="majorBidi" w:hAnsiTheme="majorBidi" w:cstheme="majorBidi"/>
                <w:color w:val="000000"/>
                <w:sz w:val="20"/>
                <w:szCs w:val="20"/>
              </w:rPr>
              <w:t xml:space="preserve"> </w:t>
            </w:r>
            <w:r w:rsidR="00762C44" w:rsidRPr="006469DC">
              <w:rPr>
                <w:rFonts w:asciiTheme="majorBidi" w:hAnsiTheme="majorBidi" w:cstheme="majorBidi"/>
                <w:color w:val="000000"/>
                <w:sz w:val="20"/>
                <w:szCs w:val="20"/>
              </w:rPr>
              <w:t>Out-of-sample forecast accuracy is a ratio that measures the portion of cases correctly classified using the results from running the models on the first eight years (in-sample) to forecast the classification of the firms in the last eight years (out-of-sample).</w:t>
            </w:r>
            <w:r w:rsidR="004414B0" w:rsidRPr="006469DC">
              <w:rPr>
                <w:rFonts w:asciiTheme="majorBidi" w:hAnsiTheme="majorBidi" w:cstheme="majorBidi"/>
                <w:color w:val="000000"/>
                <w:sz w:val="20"/>
                <w:szCs w:val="20"/>
              </w:rPr>
              <w:t xml:space="preserve"> The models are run on a subsample of the main sample </w:t>
            </w:r>
            <w:r w:rsidR="00342B84" w:rsidRPr="006469DC">
              <w:rPr>
                <w:rFonts w:asciiTheme="majorBidi" w:hAnsiTheme="majorBidi" w:cstheme="majorBidi"/>
                <w:color w:val="000000"/>
                <w:sz w:val="20"/>
                <w:szCs w:val="20"/>
              </w:rPr>
              <w:t xml:space="preserve">to avoid any potential samples bias and </w:t>
            </w:r>
            <w:r w:rsidR="004414B0" w:rsidRPr="006469DC">
              <w:rPr>
                <w:rFonts w:asciiTheme="majorBidi" w:hAnsiTheme="majorBidi" w:cstheme="majorBidi"/>
                <w:color w:val="000000"/>
                <w:sz w:val="20"/>
                <w:szCs w:val="20"/>
              </w:rPr>
              <w:t>due</w:t>
            </w:r>
            <w:r w:rsidR="00342B84" w:rsidRPr="006469DC">
              <w:rPr>
                <w:rFonts w:asciiTheme="majorBidi" w:hAnsiTheme="majorBidi" w:cstheme="majorBidi"/>
                <w:color w:val="000000"/>
                <w:sz w:val="20"/>
                <w:szCs w:val="20"/>
              </w:rPr>
              <w:t xml:space="preserve"> to</w:t>
            </w:r>
            <w:r w:rsidR="004414B0" w:rsidRPr="006469DC">
              <w:rPr>
                <w:rFonts w:asciiTheme="majorBidi" w:hAnsiTheme="majorBidi" w:cstheme="majorBidi"/>
                <w:color w:val="000000"/>
                <w:sz w:val="20"/>
                <w:szCs w:val="20"/>
              </w:rPr>
              <w:t xml:space="preserve"> limitations with computing power for NN and </w:t>
            </w:r>
            <w:r w:rsidR="0048653A" w:rsidRPr="006469DC">
              <w:rPr>
                <w:rFonts w:asciiTheme="majorBidi" w:hAnsiTheme="majorBidi" w:cstheme="majorBidi"/>
                <w:color w:val="000000"/>
                <w:sz w:val="20"/>
                <w:szCs w:val="20"/>
              </w:rPr>
              <w:t>DE methods</w:t>
            </w:r>
            <w:r w:rsidR="005A3E38" w:rsidRPr="006469DC">
              <w:rPr>
                <w:rFonts w:asciiTheme="majorBidi" w:hAnsiTheme="majorBidi" w:cstheme="majorBidi"/>
                <w:color w:val="000000"/>
                <w:sz w:val="20"/>
                <w:szCs w:val="20"/>
              </w:rPr>
              <w:t>.</w:t>
            </w:r>
          </w:p>
          <w:p w14:paraId="01E5FDD7" w14:textId="77777777" w:rsidR="00855B96" w:rsidRPr="0006207B" w:rsidRDefault="00855B96" w:rsidP="00260D7D">
            <w:pPr>
              <w:tabs>
                <w:tab w:val="left" w:pos="567"/>
              </w:tabs>
              <w:jc w:val="center"/>
              <w:rPr>
                <w:rFonts w:asciiTheme="majorBidi" w:hAnsiTheme="majorBidi" w:cstheme="majorBidi"/>
                <w:b/>
                <w:bCs/>
                <w:color w:val="000000"/>
                <w:sz w:val="12"/>
                <w:szCs w:val="12"/>
              </w:rPr>
            </w:pPr>
          </w:p>
        </w:tc>
      </w:tr>
      <w:tr w:rsidR="005A3E38" w14:paraId="3E5AC8D9" w14:textId="77777777" w:rsidTr="006C1288">
        <w:trPr>
          <w:trHeight w:val="295"/>
          <w:jc w:val="center"/>
        </w:trPr>
        <w:tc>
          <w:tcPr>
            <w:tcW w:w="3600" w:type="dxa"/>
            <w:tcBorders>
              <w:top w:val="single" w:sz="4" w:space="0" w:color="auto"/>
              <w:left w:val="nil"/>
              <w:bottom w:val="nil"/>
              <w:right w:val="nil"/>
            </w:tcBorders>
            <w:vAlign w:val="center"/>
          </w:tcPr>
          <w:p w14:paraId="321AA526" w14:textId="77777777" w:rsidR="005A3E38" w:rsidRPr="00971EAB" w:rsidRDefault="005A3E38" w:rsidP="00260D7D">
            <w:pPr>
              <w:tabs>
                <w:tab w:val="left" w:pos="567"/>
              </w:tabs>
              <w:rPr>
                <w:rFonts w:asciiTheme="majorBidi" w:hAnsiTheme="majorBidi" w:cstheme="majorBidi"/>
                <w:b/>
                <w:bCs/>
                <w:color w:val="000000"/>
                <w:sz w:val="20"/>
                <w:szCs w:val="20"/>
              </w:rPr>
            </w:pPr>
          </w:p>
        </w:tc>
        <w:tc>
          <w:tcPr>
            <w:tcW w:w="652" w:type="dxa"/>
            <w:tcBorders>
              <w:top w:val="single" w:sz="4" w:space="0" w:color="auto"/>
              <w:left w:val="nil"/>
              <w:bottom w:val="nil"/>
              <w:right w:val="nil"/>
            </w:tcBorders>
            <w:vAlign w:val="center"/>
          </w:tcPr>
          <w:p w14:paraId="433E7201" w14:textId="77777777" w:rsidR="005A3E38" w:rsidRPr="00971EAB" w:rsidRDefault="005A3E38" w:rsidP="00260D7D">
            <w:pPr>
              <w:tabs>
                <w:tab w:val="left" w:pos="567"/>
              </w:tabs>
              <w:jc w:val="center"/>
              <w:rPr>
                <w:rFonts w:asciiTheme="majorBidi" w:hAnsiTheme="majorBidi" w:cstheme="majorBidi"/>
                <w:b/>
                <w:bCs/>
                <w:color w:val="000000"/>
                <w:sz w:val="20"/>
                <w:szCs w:val="20"/>
              </w:rPr>
            </w:pPr>
          </w:p>
        </w:tc>
        <w:tc>
          <w:tcPr>
            <w:tcW w:w="1398" w:type="dxa"/>
            <w:gridSpan w:val="2"/>
            <w:tcBorders>
              <w:top w:val="single" w:sz="4" w:space="0" w:color="auto"/>
              <w:left w:val="nil"/>
              <w:bottom w:val="nil"/>
              <w:right w:val="nil"/>
            </w:tcBorders>
            <w:vAlign w:val="center"/>
          </w:tcPr>
          <w:p w14:paraId="4DA869FA" w14:textId="77777777" w:rsidR="005A3E38" w:rsidRPr="00971EAB" w:rsidRDefault="005A3E38" w:rsidP="00260D7D">
            <w:pPr>
              <w:tabs>
                <w:tab w:val="left" w:pos="567"/>
              </w:tabs>
              <w:jc w:val="center"/>
              <w:rPr>
                <w:rFonts w:asciiTheme="majorBidi" w:hAnsiTheme="majorBidi" w:cstheme="majorBidi"/>
                <w:b/>
                <w:bCs/>
                <w:color w:val="000000"/>
                <w:sz w:val="20"/>
                <w:szCs w:val="20"/>
              </w:rPr>
            </w:pPr>
            <w:r w:rsidRPr="00971EAB">
              <w:rPr>
                <w:rFonts w:asciiTheme="majorBidi" w:hAnsiTheme="majorBidi" w:cstheme="majorBidi"/>
                <w:b/>
                <w:bCs/>
                <w:color w:val="000000"/>
                <w:sz w:val="20"/>
                <w:szCs w:val="20"/>
              </w:rPr>
              <w:t>ALT</w:t>
            </w:r>
          </w:p>
        </w:tc>
        <w:tc>
          <w:tcPr>
            <w:tcW w:w="1398" w:type="dxa"/>
            <w:gridSpan w:val="2"/>
            <w:tcBorders>
              <w:top w:val="single" w:sz="4" w:space="0" w:color="auto"/>
              <w:left w:val="nil"/>
              <w:bottom w:val="nil"/>
              <w:right w:val="nil"/>
            </w:tcBorders>
            <w:vAlign w:val="center"/>
          </w:tcPr>
          <w:p w14:paraId="50F67EF3" w14:textId="77777777" w:rsidR="005A3E38" w:rsidRPr="00971EAB" w:rsidRDefault="005A3E38" w:rsidP="00260D7D">
            <w:pPr>
              <w:tabs>
                <w:tab w:val="left" w:pos="567"/>
              </w:tabs>
              <w:jc w:val="center"/>
              <w:rPr>
                <w:rFonts w:asciiTheme="majorBidi" w:hAnsiTheme="majorBidi" w:cstheme="majorBidi"/>
                <w:b/>
                <w:bCs/>
                <w:color w:val="000000"/>
                <w:sz w:val="20"/>
                <w:szCs w:val="20"/>
              </w:rPr>
            </w:pPr>
            <w:r w:rsidRPr="00971EAB">
              <w:rPr>
                <w:rFonts w:asciiTheme="majorBidi" w:hAnsiTheme="majorBidi" w:cstheme="majorBidi"/>
                <w:b/>
                <w:bCs/>
                <w:color w:val="000000"/>
                <w:sz w:val="20"/>
                <w:szCs w:val="20"/>
              </w:rPr>
              <w:t>OHL</w:t>
            </w:r>
          </w:p>
        </w:tc>
        <w:tc>
          <w:tcPr>
            <w:tcW w:w="1398" w:type="dxa"/>
            <w:gridSpan w:val="2"/>
            <w:tcBorders>
              <w:top w:val="single" w:sz="4" w:space="0" w:color="auto"/>
              <w:left w:val="nil"/>
              <w:bottom w:val="nil"/>
              <w:right w:val="nil"/>
            </w:tcBorders>
            <w:vAlign w:val="center"/>
          </w:tcPr>
          <w:p w14:paraId="1B711608" w14:textId="77777777" w:rsidR="005A3E38" w:rsidRPr="00971EAB" w:rsidRDefault="005A3E38" w:rsidP="00260D7D">
            <w:pPr>
              <w:tabs>
                <w:tab w:val="left" w:pos="567"/>
              </w:tabs>
              <w:jc w:val="center"/>
              <w:rPr>
                <w:rFonts w:asciiTheme="majorBidi" w:hAnsiTheme="majorBidi" w:cstheme="majorBidi"/>
                <w:b/>
                <w:bCs/>
                <w:color w:val="000000"/>
                <w:sz w:val="20"/>
                <w:szCs w:val="20"/>
              </w:rPr>
            </w:pPr>
            <w:r w:rsidRPr="00971EAB">
              <w:rPr>
                <w:rFonts w:asciiTheme="majorBidi" w:hAnsiTheme="majorBidi" w:cstheme="majorBidi"/>
                <w:b/>
                <w:bCs/>
                <w:color w:val="000000"/>
                <w:sz w:val="20"/>
                <w:szCs w:val="20"/>
              </w:rPr>
              <w:t>ZMJ</w:t>
            </w:r>
          </w:p>
        </w:tc>
        <w:tc>
          <w:tcPr>
            <w:tcW w:w="1399" w:type="dxa"/>
            <w:gridSpan w:val="2"/>
            <w:tcBorders>
              <w:top w:val="single" w:sz="4" w:space="0" w:color="auto"/>
              <w:left w:val="nil"/>
              <w:bottom w:val="nil"/>
              <w:right w:val="nil"/>
            </w:tcBorders>
            <w:vAlign w:val="center"/>
          </w:tcPr>
          <w:p w14:paraId="5C66FE02" w14:textId="77777777" w:rsidR="005A3E38" w:rsidRPr="00971EAB" w:rsidRDefault="005A3E38" w:rsidP="00260D7D">
            <w:pPr>
              <w:tabs>
                <w:tab w:val="left" w:pos="567"/>
              </w:tabs>
              <w:jc w:val="center"/>
              <w:rPr>
                <w:rFonts w:asciiTheme="majorBidi" w:hAnsiTheme="majorBidi" w:cstheme="majorBidi"/>
                <w:b/>
                <w:bCs/>
                <w:color w:val="000000"/>
                <w:sz w:val="20"/>
                <w:szCs w:val="20"/>
              </w:rPr>
            </w:pPr>
            <w:r w:rsidRPr="00971EAB">
              <w:rPr>
                <w:rFonts w:asciiTheme="majorBidi" w:hAnsiTheme="majorBidi" w:cstheme="majorBidi"/>
                <w:b/>
                <w:bCs/>
                <w:color w:val="000000"/>
                <w:sz w:val="20"/>
                <w:szCs w:val="20"/>
              </w:rPr>
              <w:t>SHW</w:t>
            </w:r>
          </w:p>
        </w:tc>
        <w:tc>
          <w:tcPr>
            <w:tcW w:w="1398" w:type="dxa"/>
            <w:gridSpan w:val="2"/>
            <w:tcBorders>
              <w:top w:val="single" w:sz="4" w:space="0" w:color="auto"/>
              <w:left w:val="nil"/>
              <w:bottom w:val="nil"/>
              <w:right w:val="nil"/>
            </w:tcBorders>
            <w:vAlign w:val="center"/>
          </w:tcPr>
          <w:p w14:paraId="762B690A" w14:textId="77777777" w:rsidR="005A3E38" w:rsidRPr="00971EAB" w:rsidRDefault="005A3E38" w:rsidP="00260D7D">
            <w:pPr>
              <w:tabs>
                <w:tab w:val="left" w:pos="567"/>
              </w:tabs>
              <w:jc w:val="center"/>
              <w:rPr>
                <w:rFonts w:asciiTheme="majorBidi" w:hAnsiTheme="majorBidi" w:cstheme="majorBidi"/>
                <w:b/>
                <w:bCs/>
                <w:color w:val="000000"/>
                <w:sz w:val="20"/>
                <w:szCs w:val="20"/>
              </w:rPr>
            </w:pPr>
            <w:r w:rsidRPr="00971EAB">
              <w:rPr>
                <w:rFonts w:asciiTheme="majorBidi" w:hAnsiTheme="majorBidi" w:cstheme="majorBidi"/>
                <w:b/>
                <w:bCs/>
                <w:color w:val="000000"/>
                <w:sz w:val="20"/>
                <w:szCs w:val="20"/>
              </w:rPr>
              <w:t>BSH</w:t>
            </w:r>
          </w:p>
        </w:tc>
        <w:tc>
          <w:tcPr>
            <w:tcW w:w="1398" w:type="dxa"/>
            <w:gridSpan w:val="2"/>
            <w:tcBorders>
              <w:top w:val="single" w:sz="4" w:space="0" w:color="auto"/>
              <w:left w:val="nil"/>
              <w:bottom w:val="nil"/>
              <w:right w:val="nil"/>
            </w:tcBorders>
            <w:vAlign w:val="center"/>
          </w:tcPr>
          <w:p w14:paraId="7A69AE6C" w14:textId="77777777" w:rsidR="005A3E38" w:rsidRPr="00971EAB" w:rsidRDefault="005A3E38" w:rsidP="00260D7D">
            <w:pPr>
              <w:tabs>
                <w:tab w:val="left" w:pos="567"/>
              </w:tabs>
              <w:jc w:val="center"/>
              <w:rPr>
                <w:rFonts w:asciiTheme="majorBidi" w:hAnsiTheme="majorBidi" w:cstheme="majorBidi"/>
                <w:b/>
                <w:bCs/>
                <w:color w:val="000000"/>
                <w:sz w:val="20"/>
                <w:szCs w:val="20"/>
              </w:rPr>
            </w:pPr>
            <w:r w:rsidRPr="00971EAB">
              <w:rPr>
                <w:rFonts w:asciiTheme="majorBidi" w:hAnsiTheme="majorBidi" w:cstheme="majorBidi"/>
                <w:b/>
                <w:bCs/>
                <w:color w:val="000000"/>
                <w:sz w:val="20"/>
                <w:szCs w:val="20"/>
              </w:rPr>
              <w:t>PRM</w:t>
            </w:r>
          </w:p>
        </w:tc>
        <w:tc>
          <w:tcPr>
            <w:tcW w:w="1399" w:type="dxa"/>
            <w:gridSpan w:val="2"/>
            <w:tcBorders>
              <w:top w:val="single" w:sz="4" w:space="0" w:color="auto"/>
              <w:left w:val="nil"/>
              <w:bottom w:val="nil"/>
              <w:right w:val="nil"/>
            </w:tcBorders>
            <w:vAlign w:val="center"/>
          </w:tcPr>
          <w:p w14:paraId="435566EF" w14:textId="77777777" w:rsidR="005A3E38" w:rsidRPr="00971EAB" w:rsidRDefault="005A3E38" w:rsidP="00260D7D">
            <w:pPr>
              <w:tabs>
                <w:tab w:val="left" w:pos="567"/>
              </w:tabs>
              <w:jc w:val="center"/>
              <w:rPr>
                <w:rFonts w:asciiTheme="majorBidi" w:hAnsiTheme="majorBidi" w:cstheme="majorBidi"/>
                <w:b/>
                <w:bCs/>
                <w:color w:val="000000"/>
                <w:sz w:val="20"/>
                <w:szCs w:val="20"/>
              </w:rPr>
            </w:pPr>
            <w:r w:rsidRPr="00971EAB">
              <w:rPr>
                <w:rFonts w:asciiTheme="majorBidi" w:hAnsiTheme="majorBidi" w:cstheme="majorBidi"/>
                <w:b/>
                <w:bCs/>
                <w:color w:val="000000"/>
                <w:sz w:val="20"/>
                <w:szCs w:val="20"/>
              </w:rPr>
              <w:t>ALM</w:t>
            </w:r>
          </w:p>
        </w:tc>
      </w:tr>
      <w:tr w:rsidR="005A3E38" w14:paraId="5BF37ED4" w14:textId="77777777" w:rsidTr="006C1288">
        <w:trPr>
          <w:trHeight w:val="288"/>
          <w:jc w:val="center"/>
        </w:trPr>
        <w:tc>
          <w:tcPr>
            <w:tcW w:w="3600" w:type="dxa"/>
            <w:tcBorders>
              <w:top w:val="nil"/>
              <w:left w:val="nil"/>
              <w:bottom w:val="single" w:sz="4" w:space="0" w:color="auto"/>
              <w:right w:val="nil"/>
            </w:tcBorders>
            <w:vAlign w:val="center"/>
          </w:tcPr>
          <w:p w14:paraId="3BD8077F" w14:textId="77777777" w:rsidR="005A3E38" w:rsidRPr="00356695" w:rsidRDefault="005A3E38" w:rsidP="00260D7D">
            <w:pPr>
              <w:tabs>
                <w:tab w:val="left" w:pos="567"/>
              </w:tabs>
              <w:rPr>
                <w:rFonts w:asciiTheme="majorBidi" w:hAnsiTheme="majorBidi" w:cstheme="majorBidi"/>
                <w:sz w:val="20"/>
                <w:szCs w:val="20"/>
              </w:rPr>
            </w:pPr>
            <w:r w:rsidRPr="00356695">
              <w:rPr>
                <w:rFonts w:asciiTheme="majorBidi" w:hAnsiTheme="majorBidi" w:cstheme="majorBidi"/>
                <w:sz w:val="20"/>
                <w:szCs w:val="20"/>
              </w:rPr>
              <w:t>Prediction &amp; Classification</w:t>
            </w:r>
          </w:p>
        </w:tc>
        <w:tc>
          <w:tcPr>
            <w:tcW w:w="652" w:type="dxa"/>
            <w:tcBorders>
              <w:top w:val="nil"/>
              <w:left w:val="nil"/>
              <w:bottom w:val="single" w:sz="4" w:space="0" w:color="auto"/>
              <w:right w:val="nil"/>
            </w:tcBorders>
            <w:vAlign w:val="center"/>
          </w:tcPr>
          <w:p w14:paraId="69A464BB" w14:textId="77777777" w:rsidR="005A3E38" w:rsidRPr="00971EAB" w:rsidRDefault="005A3E38" w:rsidP="00260D7D">
            <w:pPr>
              <w:tabs>
                <w:tab w:val="left" w:pos="567"/>
              </w:tabs>
              <w:jc w:val="center"/>
              <w:rPr>
                <w:rFonts w:asciiTheme="majorBidi" w:hAnsiTheme="majorBidi" w:cstheme="majorBidi"/>
                <w:sz w:val="20"/>
                <w:szCs w:val="20"/>
              </w:rPr>
            </w:pPr>
          </w:p>
        </w:tc>
        <w:tc>
          <w:tcPr>
            <w:tcW w:w="1398" w:type="dxa"/>
            <w:gridSpan w:val="2"/>
            <w:tcBorders>
              <w:top w:val="nil"/>
              <w:left w:val="nil"/>
              <w:bottom w:val="single" w:sz="4" w:space="0" w:color="auto"/>
              <w:right w:val="nil"/>
            </w:tcBorders>
            <w:vAlign w:val="center"/>
          </w:tcPr>
          <w:p w14:paraId="62B952B7" w14:textId="77777777" w:rsidR="005A3E38" w:rsidRPr="00971EAB" w:rsidRDefault="005A3E38" w:rsidP="00260D7D">
            <w:pPr>
              <w:tabs>
                <w:tab w:val="left" w:pos="567"/>
              </w:tabs>
              <w:jc w:val="center"/>
              <w:rPr>
                <w:rFonts w:asciiTheme="majorBidi" w:hAnsiTheme="majorBidi" w:cstheme="majorBidi"/>
                <w:sz w:val="20"/>
                <w:szCs w:val="20"/>
              </w:rPr>
            </w:pPr>
          </w:p>
        </w:tc>
        <w:tc>
          <w:tcPr>
            <w:tcW w:w="1398" w:type="dxa"/>
            <w:gridSpan w:val="2"/>
            <w:tcBorders>
              <w:top w:val="nil"/>
              <w:left w:val="nil"/>
              <w:bottom w:val="single" w:sz="4" w:space="0" w:color="auto"/>
              <w:right w:val="nil"/>
            </w:tcBorders>
            <w:vAlign w:val="center"/>
          </w:tcPr>
          <w:p w14:paraId="7AA72F30" w14:textId="77777777" w:rsidR="005A3E38" w:rsidRPr="00971EAB" w:rsidRDefault="005A3E38" w:rsidP="00260D7D">
            <w:pPr>
              <w:tabs>
                <w:tab w:val="left" w:pos="567"/>
              </w:tabs>
              <w:jc w:val="center"/>
              <w:rPr>
                <w:rFonts w:asciiTheme="majorBidi" w:hAnsiTheme="majorBidi" w:cstheme="majorBidi"/>
                <w:sz w:val="20"/>
                <w:szCs w:val="20"/>
              </w:rPr>
            </w:pPr>
          </w:p>
        </w:tc>
        <w:tc>
          <w:tcPr>
            <w:tcW w:w="1398" w:type="dxa"/>
            <w:gridSpan w:val="2"/>
            <w:tcBorders>
              <w:top w:val="nil"/>
              <w:left w:val="nil"/>
              <w:bottom w:val="single" w:sz="4" w:space="0" w:color="auto"/>
              <w:right w:val="nil"/>
            </w:tcBorders>
            <w:vAlign w:val="center"/>
          </w:tcPr>
          <w:p w14:paraId="7ACA362D" w14:textId="77777777" w:rsidR="005A3E38" w:rsidRPr="00971EAB" w:rsidRDefault="005A3E38" w:rsidP="00260D7D">
            <w:pPr>
              <w:tabs>
                <w:tab w:val="left" w:pos="567"/>
              </w:tabs>
              <w:jc w:val="center"/>
              <w:rPr>
                <w:rFonts w:asciiTheme="majorBidi" w:hAnsiTheme="majorBidi" w:cstheme="majorBidi"/>
                <w:sz w:val="20"/>
                <w:szCs w:val="20"/>
              </w:rPr>
            </w:pPr>
          </w:p>
        </w:tc>
        <w:tc>
          <w:tcPr>
            <w:tcW w:w="1399" w:type="dxa"/>
            <w:gridSpan w:val="2"/>
            <w:tcBorders>
              <w:top w:val="nil"/>
              <w:left w:val="nil"/>
              <w:bottom w:val="single" w:sz="4" w:space="0" w:color="auto"/>
              <w:right w:val="nil"/>
            </w:tcBorders>
            <w:vAlign w:val="center"/>
          </w:tcPr>
          <w:p w14:paraId="3A8D525C" w14:textId="77777777" w:rsidR="005A3E38" w:rsidRPr="00971EAB" w:rsidRDefault="005A3E38" w:rsidP="00260D7D">
            <w:pPr>
              <w:tabs>
                <w:tab w:val="left" w:pos="567"/>
              </w:tabs>
              <w:jc w:val="center"/>
              <w:rPr>
                <w:rFonts w:asciiTheme="majorBidi" w:hAnsiTheme="majorBidi" w:cstheme="majorBidi"/>
                <w:sz w:val="20"/>
                <w:szCs w:val="20"/>
              </w:rPr>
            </w:pPr>
          </w:p>
        </w:tc>
        <w:tc>
          <w:tcPr>
            <w:tcW w:w="1398" w:type="dxa"/>
            <w:gridSpan w:val="2"/>
            <w:tcBorders>
              <w:top w:val="nil"/>
              <w:left w:val="nil"/>
              <w:bottom w:val="single" w:sz="4" w:space="0" w:color="auto"/>
              <w:right w:val="nil"/>
            </w:tcBorders>
            <w:vAlign w:val="center"/>
          </w:tcPr>
          <w:p w14:paraId="5A9D708E" w14:textId="77777777" w:rsidR="005A3E38" w:rsidRPr="00971EAB" w:rsidRDefault="005A3E38" w:rsidP="00260D7D">
            <w:pPr>
              <w:tabs>
                <w:tab w:val="left" w:pos="567"/>
              </w:tabs>
              <w:jc w:val="center"/>
              <w:rPr>
                <w:rFonts w:asciiTheme="majorBidi" w:hAnsiTheme="majorBidi" w:cstheme="majorBidi"/>
                <w:sz w:val="20"/>
                <w:szCs w:val="20"/>
              </w:rPr>
            </w:pPr>
          </w:p>
        </w:tc>
        <w:tc>
          <w:tcPr>
            <w:tcW w:w="1398" w:type="dxa"/>
            <w:gridSpan w:val="2"/>
            <w:tcBorders>
              <w:top w:val="nil"/>
              <w:left w:val="nil"/>
              <w:bottom w:val="single" w:sz="4" w:space="0" w:color="auto"/>
              <w:right w:val="nil"/>
            </w:tcBorders>
            <w:vAlign w:val="center"/>
          </w:tcPr>
          <w:p w14:paraId="64F3EF52" w14:textId="77777777" w:rsidR="005A3E38" w:rsidRPr="00971EAB" w:rsidRDefault="005A3E38" w:rsidP="00260D7D">
            <w:pPr>
              <w:tabs>
                <w:tab w:val="left" w:pos="567"/>
              </w:tabs>
              <w:jc w:val="center"/>
              <w:rPr>
                <w:rFonts w:asciiTheme="majorBidi" w:hAnsiTheme="majorBidi" w:cstheme="majorBidi"/>
                <w:sz w:val="20"/>
                <w:szCs w:val="20"/>
              </w:rPr>
            </w:pPr>
          </w:p>
        </w:tc>
        <w:tc>
          <w:tcPr>
            <w:tcW w:w="1399" w:type="dxa"/>
            <w:gridSpan w:val="2"/>
            <w:tcBorders>
              <w:top w:val="nil"/>
              <w:left w:val="nil"/>
              <w:bottom w:val="single" w:sz="4" w:space="0" w:color="auto"/>
              <w:right w:val="nil"/>
            </w:tcBorders>
            <w:vAlign w:val="center"/>
          </w:tcPr>
          <w:p w14:paraId="7D3100AA" w14:textId="77777777" w:rsidR="005A3E38" w:rsidRPr="00971EAB" w:rsidRDefault="005A3E38" w:rsidP="00260D7D">
            <w:pPr>
              <w:tabs>
                <w:tab w:val="left" w:pos="567"/>
              </w:tabs>
              <w:jc w:val="center"/>
              <w:rPr>
                <w:rFonts w:asciiTheme="majorBidi" w:hAnsiTheme="majorBidi" w:cstheme="majorBidi"/>
                <w:sz w:val="20"/>
                <w:szCs w:val="20"/>
              </w:rPr>
            </w:pPr>
          </w:p>
        </w:tc>
      </w:tr>
      <w:tr w:rsidR="005A3E38" w14:paraId="685E6C22" w14:textId="77777777" w:rsidTr="007E2C0D">
        <w:trPr>
          <w:trHeight w:val="288"/>
          <w:jc w:val="center"/>
        </w:trPr>
        <w:tc>
          <w:tcPr>
            <w:tcW w:w="3600" w:type="dxa"/>
            <w:tcBorders>
              <w:top w:val="single" w:sz="4" w:space="0" w:color="auto"/>
              <w:left w:val="nil"/>
              <w:bottom w:val="nil"/>
              <w:right w:val="nil"/>
            </w:tcBorders>
            <w:vAlign w:val="center"/>
          </w:tcPr>
          <w:p w14:paraId="27557BA2" w14:textId="77777777" w:rsidR="005A3E38" w:rsidRPr="00971EAB" w:rsidRDefault="005A3E38"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Accuracy Ratio</w:t>
            </w:r>
          </w:p>
        </w:tc>
        <w:tc>
          <w:tcPr>
            <w:tcW w:w="652" w:type="dxa"/>
            <w:tcBorders>
              <w:top w:val="single" w:sz="4" w:space="0" w:color="auto"/>
              <w:left w:val="nil"/>
              <w:bottom w:val="nil"/>
              <w:right w:val="nil"/>
            </w:tcBorders>
            <w:vAlign w:val="center"/>
          </w:tcPr>
          <w:p w14:paraId="1574CFEB"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DA</w:t>
            </w:r>
          </w:p>
        </w:tc>
        <w:tc>
          <w:tcPr>
            <w:tcW w:w="1398" w:type="dxa"/>
            <w:gridSpan w:val="2"/>
            <w:tcBorders>
              <w:top w:val="single" w:sz="4" w:space="0" w:color="auto"/>
              <w:left w:val="nil"/>
              <w:bottom w:val="nil"/>
              <w:right w:val="nil"/>
            </w:tcBorders>
            <w:vAlign w:val="bottom"/>
          </w:tcPr>
          <w:p w14:paraId="3D592A96"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0.86</w:t>
            </w:r>
          </w:p>
        </w:tc>
        <w:tc>
          <w:tcPr>
            <w:tcW w:w="1398" w:type="dxa"/>
            <w:gridSpan w:val="2"/>
            <w:tcBorders>
              <w:top w:val="single" w:sz="4" w:space="0" w:color="auto"/>
              <w:left w:val="nil"/>
              <w:bottom w:val="nil"/>
              <w:right w:val="nil"/>
            </w:tcBorders>
            <w:vAlign w:val="bottom"/>
          </w:tcPr>
          <w:p w14:paraId="20C38985"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0.70</w:t>
            </w:r>
          </w:p>
        </w:tc>
        <w:tc>
          <w:tcPr>
            <w:tcW w:w="1398" w:type="dxa"/>
            <w:gridSpan w:val="2"/>
            <w:tcBorders>
              <w:top w:val="single" w:sz="4" w:space="0" w:color="auto"/>
              <w:left w:val="nil"/>
              <w:bottom w:val="nil"/>
              <w:right w:val="nil"/>
            </w:tcBorders>
            <w:vAlign w:val="bottom"/>
          </w:tcPr>
          <w:p w14:paraId="087F82AB"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0.78</w:t>
            </w:r>
          </w:p>
        </w:tc>
        <w:tc>
          <w:tcPr>
            <w:tcW w:w="1399" w:type="dxa"/>
            <w:gridSpan w:val="2"/>
            <w:tcBorders>
              <w:top w:val="single" w:sz="4" w:space="0" w:color="auto"/>
              <w:left w:val="nil"/>
              <w:bottom w:val="nil"/>
              <w:right w:val="nil"/>
            </w:tcBorders>
            <w:shd w:val="clear" w:color="auto" w:fill="auto"/>
            <w:vAlign w:val="bottom"/>
          </w:tcPr>
          <w:p w14:paraId="1EC49B50"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0.82</w:t>
            </w:r>
          </w:p>
        </w:tc>
        <w:tc>
          <w:tcPr>
            <w:tcW w:w="1398" w:type="dxa"/>
            <w:gridSpan w:val="2"/>
            <w:tcBorders>
              <w:top w:val="single" w:sz="4" w:space="0" w:color="auto"/>
              <w:left w:val="nil"/>
              <w:bottom w:val="nil"/>
              <w:right w:val="nil"/>
            </w:tcBorders>
            <w:vAlign w:val="bottom"/>
          </w:tcPr>
          <w:p w14:paraId="77870096"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0.78</w:t>
            </w:r>
          </w:p>
        </w:tc>
        <w:tc>
          <w:tcPr>
            <w:tcW w:w="1398" w:type="dxa"/>
            <w:gridSpan w:val="2"/>
            <w:tcBorders>
              <w:top w:val="single" w:sz="4" w:space="0" w:color="auto"/>
              <w:left w:val="nil"/>
              <w:bottom w:val="nil"/>
              <w:right w:val="nil"/>
            </w:tcBorders>
            <w:vAlign w:val="bottom"/>
          </w:tcPr>
          <w:p w14:paraId="112E60FF"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0.77</w:t>
            </w:r>
          </w:p>
        </w:tc>
        <w:tc>
          <w:tcPr>
            <w:tcW w:w="1399" w:type="dxa"/>
            <w:gridSpan w:val="2"/>
            <w:tcBorders>
              <w:top w:val="single" w:sz="4" w:space="0" w:color="auto"/>
              <w:left w:val="nil"/>
              <w:bottom w:val="nil"/>
              <w:right w:val="nil"/>
            </w:tcBorders>
            <w:vAlign w:val="bottom"/>
          </w:tcPr>
          <w:p w14:paraId="3B4BDCB2"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0.87</w:t>
            </w:r>
          </w:p>
        </w:tc>
      </w:tr>
      <w:tr w:rsidR="005A3E38" w14:paraId="1268AD0A" w14:textId="77777777" w:rsidTr="005A3E38">
        <w:trPr>
          <w:trHeight w:val="288"/>
          <w:jc w:val="center"/>
        </w:trPr>
        <w:tc>
          <w:tcPr>
            <w:tcW w:w="3600" w:type="dxa"/>
            <w:tcBorders>
              <w:top w:val="nil"/>
              <w:left w:val="nil"/>
              <w:bottom w:val="nil"/>
              <w:right w:val="nil"/>
            </w:tcBorders>
            <w:vAlign w:val="center"/>
          </w:tcPr>
          <w:p w14:paraId="09673B88" w14:textId="77777777" w:rsidR="005A3E38" w:rsidRPr="00971EAB" w:rsidRDefault="005A3E38" w:rsidP="00260D7D">
            <w:pPr>
              <w:tabs>
                <w:tab w:val="left" w:pos="567"/>
              </w:tabs>
              <w:rPr>
                <w:rFonts w:asciiTheme="majorBidi" w:hAnsiTheme="majorBidi" w:cstheme="majorBidi"/>
                <w:sz w:val="20"/>
                <w:szCs w:val="20"/>
              </w:rPr>
            </w:pPr>
          </w:p>
        </w:tc>
        <w:tc>
          <w:tcPr>
            <w:tcW w:w="652" w:type="dxa"/>
            <w:tcBorders>
              <w:top w:val="nil"/>
              <w:left w:val="nil"/>
              <w:bottom w:val="nil"/>
              <w:right w:val="nil"/>
            </w:tcBorders>
            <w:vAlign w:val="center"/>
          </w:tcPr>
          <w:p w14:paraId="58638874"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LR</w:t>
            </w:r>
          </w:p>
        </w:tc>
        <w:tc>
          <w:tcPr>
            <w:tcW w:w="1398" w:type="dxa"/>
            <w:gridSpan w:val="2"/>
            <w:tcBorders>
              <w:top w:val="nil"/>
              <w:left w:val="nil"/>
              <w:bottom w:val="nil"/>
              <w:right w:val="nil"/>
            </w:tcBorders>
            <w:vAlign w:val="bottom"/>
          </w:tcPr>
          <w:p w14:paraId="7D769EE2"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0.82</w:t>
            </w:r>
          </w:p>
        </w:tc>
        <w:tc>
          <w:tcPr>
            <w:tcW w:w="1398" w:type="dxa"/>
            <w:gridSpan w:val="2"/>
            <w:tcBorders>
              <w:top w:val="nil"/>
              <w:left w:val="nil"/>
              <w:bottom w:val="nil"/>
              <w:right w:val="nil"/>
            </w:tcBorders>
            <w:vAlign w:val="bottom"/>
          </w:tcPr>
          <w:p w14:paraId="4ABA2EA6"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0.67</w:t>
            </w:r>
          </w:p>
        </w:tc>
        <w:tc>
          <w:tcPr>
            <w:tcW w:w="1398" w:type="dxa"/>
            <w:gridSpan w:val="2"/>
            <w:tcBorders>
              <w:top w:val="nil"/>
              <w:left w:val="nil"/>
              <w:bottom w:val="nil"/>
              <w:right w:val="nil"/>
            </w:tcBorders>
            <w:vAlign w:val="bottom"/>
          </w:tcPr>
          <w:p w14:paraId="639C7B88"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0.80</w:t>
            </w:r>
          </w:p>
        </w:tc>
        <w:tc>
          <w:tcPr>
            <w:tcW w:w="1399" w:type="dxa"/>
            <w:gridSpan w:val="2"/>
            <w:tcBorders>
              <w:top w:val="nil"/>
              <w:left w:val="nil"/>
              <w:bottom w:val="nil"/>
              <w:right w:val="nil"/>
            </w:tcBorders>
            <w:shd w:val="clear" w:color="auto" w:fill="auto"/>
            <w:vAlign w:val="bottom"/>
          </w:tcPr>
          <w:p w14:paraId="053BF976"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0.78</w:t>
            </w:r>
          </w:p>
        </w:tc>
        <w:tc>
          <w:tcPr>
            <w:tcW w:w="1398" w:type="dxa"/>
            <w:gridSpan w:val="2"/>
            <w:tcBorders>
              <w:top w:val="nil"/>
              <w:left w:val="nil"/>
              <w:bottom w:val="nil"/>
              <w:right w:val="nil"/>
            </w:tcBorders>
            <w:vAlign w:val="bottom"/>
          </w:tcPr>
          <w:p w14:paraId="68DDCA4E"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0.74</w:t>
            </w:r>
          </w:p>
        </w:tc>
        <w:tc>
          <w:tcPr>
            <w:tcW w:w="1398" w:type="dxa"/>
            <w:gridSpan w:val="2"/>
            <w:tcBorders>
              <w:top w:val="nil"/>
              <w:left w:val="nil"/>
              <w:bottom w:val="nil"/>
              <w:right w:val="nil"/>
            </w:tcBorders>
            <w:vAlign w:val="bottom"/>
          </w:tcPr>
          <w:p w14:paraId="1FA6F325"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0.71</w:t>
            </w:r>
          </w:p>
        </w:tc>
        <w:tc>
          <w:tcPr>
            <w:tcW w:w="1399" w:type="dxa"/>
            <w:gridSpan w:val="2"/>
            <w:tcBorders>
              <w:top w:val="nil"/>
              <w:left w:val="nil"/>
              <w:bottom w:val="nil"/>
              <w:right w:val="nil"/>
            </w:tcBorders>
            <w:vAlign w:val="bottom"/>
          </w:tcPr>
          <w:p w14:paraId="62CA9FFE"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0.84</w:t>
            </w:r>
          </w:p>
        </w:tc>
      </w:tr>
      <w:tr w:rsidR="005A3E38" w14:paraId="1C5A9CDE" w14:textId="77777777" w:rsidTr="005A3E38">
        <w:trPr>
          <w:trHeight w:val="288"/>
          <w:jc w:val="center"/>
        </w:trPr>
        <w:tc>
          <w:tcPr>
            <w:tcW w:w="3600" w:type="dxa"/>
            <w:tcBorders>
              <w:top w:val="nil"/>
              <w:left w:val="nil"/>
              <w:bottom w:val="nil"/>
              <w:right w:val="nil"/>
            </w:tcBorders>
            <w:vAlign w:val="center"/>
          </w:tcPr>
          <w:p w14:paraId="54C32356" w14:textId="77777777" w:rsidR="005A3E38" w:rsidRPr="00971EAB" w:rsidRDefault="005A3E38" w:rsidP="00260D7D">
            <w:pPr>
              <w:tabs>
                <w:tab w:val="left" w:pos="567"/>
              </w:tabs>
              <w:rPr>
                <w:rFonts w:asciiTheme="majorBidi" w:hAnsiTheme="majorBidi" w:cstheme="majorBidi"/>
                <w:sz w:val="20"/>
                <w:szCs w:val="20"/>
              </w:rPr>
            </w:pPr>
          </w:p>
        </w:tc>
        <w:tc>
          <w:tcPr>
            <w:tcW w:w="652" w:type="dxa"/>
            <w:tcBorders>
              <w:top w:val="nil"/>
              <w:left w:val="nil"/>
              <w:bottom w:val="nil"/>
              <w:right w:val="nil"/>
            </w:tcBorders>
            <w:vAlign w:val="center"/>
          </w:tcPr>
          <w:p w14:paraId="5D2F77C0"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HA</w:t>
            </w:r>
          </w:p>
        </w:tc>
        <w:tc>
          <w:tcPr>
            <w:tcW w:w="1398" w:type="dxa"/>
            <w:gridSpan w:val="2"/>
            <w:tcBorders>
              <w:top w:val="nil"/>
              <w:left w:val="nil"/>
              <w:bottom w:val="nil"/>
              <w:right w:val="nil"/>
            </w:tcBorders>
            <w:vAlign w:val="bottom"/>
          </w:tcPr>
          <w:p w14:paraId="0111F4F8"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0.91</w:t>
            </w:r>
          </w:p>
        </w:tc>
        <w:tc>
          <w:tcPr>
            <w:tcW w:w="1398" w:type="dxa"/>
            <w:gridSpan w:val="2"/>
            <w:tcBorders>
              <w:top w:val="nil"/>
              <w:left w:val="nil"/>
              <w:bottom w:val="nil"/>
              <w:right w:val="nil"/>
            </w:tcBorders>
            <w:vAlign w:val="bottom"/>
          </w:tcPr>
          <w:p w14:paraId="28EF7702"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0.72</w:t>
            </w:r>
          </w:p>
        </w:tc>
        <w:tc>
          <w:tcPr>
            <w:tcW w:w="1398" w:type="dxa"/>
            <w:gridSpan w:val="2"/>
            <w:tcBorders>
              <w:top w:val="nil"/>
              <w:left w:val="nil"/>
              <w:bottom w:val="nil"/>
              <w:right w:val="nil"/>
            </w:tcBorders>
            <w:vAlign w:val="bottom"/>
          </w:tcPr>
          <w:p w14:paraId="05B541F3"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0.80</w:t>
            </w:r>
          </w:p>
        </w:tc>
        <w:tc>
          <w:tcPr>
            <w:tcW w:w="1399" w:type="dxa"/>
            <w:gridSpan w:val="2"/>
            <w:tcBorders>
              <w:top w:val="nil"/>
              <w:left w:val="nil"/>
              <w:bottom w:val="nil"/>
              <w:right w:val="nil"/>
            </w:tcBorders>
            <w:vAlign w:val="bottom"/>
          </w:tcPr>
          <w:p w14:paraId="15AFCB6D"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0.91</w:t>
            </w:r>
          </w:p>
        </w:tc>
        <w:tc>
          <w:tcPr>
            <w:tcW w:w="1398" w:type="dxa"/>
            <w:gridSpan w:val="2"/>
            <w:tcBorders>
              <w:top w:val="nil"/>
              <w:left w:val="nil"/>
              <w:bottom w:val="nil"/>
              <w:right w:val="nil"/>
            </w:tcBorders>
            <w:vAlign w:val="bottom"/>
          </w:tcPr>
          <w:p w14:paraId="141BE303"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0.82</w:t>
            </w:r>
          </w:p>
        </w:tc>
        <w:tc>
          <w:tcPr>
            <w:tcW w:w="1398" w:type="dxa"/>
            <w:gridSpan w:val="2"/>
            <w:tcBorders>
              <w:top w:val="nil"/>
              <w:left w:val="nil"/>
              <w:bottom w:val="nil"/>
              <w:right w:val="nil"/>
            </w:tcBorders>
            <w:vAlign w:val="bottom"/>
          </w:tcPr>
          <w:p w14:paraId="0CE0B416"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0.76</w:t>
            </w:r>
          </w:p>
        </w:tc>
        <w:tc>
          <w:tcPr>
            <w:tcW w:w="1399" w:type="dxa"/>
            <w:gridSpan w:val="2"/>
            <w:tcBorders>
              <w:top w:val="nil"/>
              <w:left w:val="nil"/>
              <w:bottom w:val="nil"/>
              <w:right w:val="nil"/>
            </w:tcBorders>
            <w:vAlign w:val="bottom"/>
          </w:tcPr>
          <w:p w14:paraId="23695E7D"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0.91</w:t>
            </w:r>
          </w:p>
        </w:tc>
      </w:tr>
      <w:tr w:rsidR="005A3E38" w14:paraId="0E3A85CA" w14:textId="77777777" w:rsidTr="005A3E38">
        <w:trPr>
          <w:trHeight w:val="288"/>
          <w:jc w:val="center"/>
        </w:trPr>
        <w:tc>
          <w:tcPr>
            <w:tcW w:w="3600" w:type="dxa"/>
            <w:tcBorders>
              <w:top w:val="nil"/>
              <w:left w:val="nil"/>
              <w:bottom w:val="nil"/>
              <w:right w:val="nil"/>
            </w:tcBorders>
            <w:vAlign w:val="center"/>
          </w:tcPr>
          <w:p w14:paraId="5B40BC5D" w14:textId="77777777" w:rsidR="005A3E38" w:rsidRPr="00971EAB" w:rsidRDefault="005A3E38" w:rsidP="00260D7D">
            <w:pPr>
              <w:tabs>
                <w:tab w:val="left" w:pos="567"/>
              </w:tabs>
              <w:rPr>
                <w:rFonts w:asciiTheme="majorBidi" w:hAnsiTheme="majorBidi" w:cstheme="majorBidi"/>
                <w:sz w:val="20"/>
                <w:szCs w:val="20"/>
              </w:rPr>
            </w:pPr>
          </w:p>
        </w:tc>
        <w:tc>
          <w:tcPr>
            <w:tcW w:w="652" w:type="dxa"/>
            <w:tcBorders>
              <w:top w:val="nil"/>
              <w:left w:val="nil"/>
              <w:bottom w:val="nil"/>
              <w:right w:val="nil"/>
            </w:tcBorders>
            <w:vAlign w:val="center"/>
          </w:tcPr>
          <w:p w14:paraId="5D871775"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DE</w:t>
            </w:r>
          </w:p>
        </w:tc>
        <w:tc>
          <w:tcPr>
            <w:tcW w:w="1398" w:type="dxa"/>
            <w:gridSpan w:val="2"/>
            <w:tcBorders>
              <w:top w:val="nil"/>
              <w:left w:val="nil"/>
              <w:bottom w:val="nil"/>
              <w:right w:val="nil"/>
            </w:tcBorders>
            <w:vAlign w:val="bottom"/>
          </w:tcPr>
          <w:p w14:paraId="229BD998"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0.92</w:t>
            </w:r>
          </w:p>
        </w:tc>
        <w:tc>
          <w:tcPr>
            <w:tcW w:w="1398" w:type="dxa"/>
            <w:gridSpan w:val="2"/>
            <w:tcBorders>
              <w:top w:val="nil"/>
              <w:left w:val="nil"/>
              <w:bottom w:val="nil"/>
              <w:right w:val="nil"/>
            </w:tcBorders>
            <w:vAlign w:val="bottom"/>
          </w:tcPr>
          <w:p w14:paraId="4FF759E2"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0.76</w:t>
            </w:r>
          </w:p>
        </w:tc>
        <w:tc>
          <w:tcPr>
            <w:tcW w:w="1398" w:type="dxa"/>
            <w:gridSpan w:val="2"/>
            <w:tcBorders>
              <w:top w:val="nil"/>
              <w:left w:val="nil"/>
              <w:bottom w:val="nil"/>
              <w:right w:val="nil"/>
            </w:tcBorders>
            <w:vAlign w:val="bottom"/>
          </w:tcPr>
          <w:p w14:paraId="5F401FBF"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0.82</w:t>
            </w:r>
          </w:p>
        </w:tc>
        <w:tc>
          <w:tcPr>
            <w:tcW w:w="1399" w:type="dxa"/>
            <w:gridSpan w:val="2"/>
            <w:tcBorders>
              <w:top w:val="nil"/>
              <w:left w:val="nil"/>
              <w:bottom w:val="nil"/>
              <w:right w:val="nil"/>
            </w:tcBorders>
            <w:vAlign w:val="bottom"/>
          </w:tcPr>
          <w:p w14:paraId="3A0ECAC3"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0.88</w:t>
            </w:r>
          </w:p>
        </w:tc>
        <w:tc>
          <w:tcPr>
            <w:tcW w:w="1398" w:type="dxa"/>
            <w:gridSpan w:val="2"/>
            <w:tcBorders>
              <w:top w:val="nil"/>
              <w:left w:val="nil"/>
              <w:bottom w:val="nil"/>
              <w:right w:val="nil"/>
            </w:tcBorders>
            <w:vAlign w:val="bottom"/>
          </w:tcPr>
          <w:p w14:paraId="648575A7"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0.85</w:t>
            </w:r>
          </w:p>
        </w:tc>
        <w:tc>
          <w:tcPr>
            <w:tcW w:w="1398" w:type="dxa"/>
            <w:gridSpan w:val="2"/>
            <w:tcBorders>
              <w:top w:val="nil"/>
              <w:left w:val="nil"/>
              <w:bottom w:val="nil"/>
              <w:right w:val="nil"/>
            </w:tcBorders>
            <w:shd w:val="clear" w:color="auto" w:fill="auto"/>
            <w:vAlign w:val="bottom"/>
          </w:tcPr>
          <w:p w14:paraId="6EFF6733"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0.8</w:t>
            </w:r>
            <w:r w:rsidR="00B815F1">
              <w:rPr>
                <w:rFonts w:asciiTheme="majorBidi" w:hAnsiTheme="majorBidi" w:cstheme="majorBidi"/>
                <w:sz w:val="20"/>
                <w:szCs w:val="20"/>
              </w:rPr>
              <w:t>3</w:t>
            </w:r>
          </w:p>
        </w:tc>
        <w:tc>
          <w:tcPr>
            <w:tcW w:w="1399" w:type="dxa"/>
            <w:gridSpan w:val="2"/>
            <w:tcBorders>
              <w:top w:val="nil"/>
              <w:left w:val="nil"/>
              <w:bottom w:val="nil"/>
              <w:right w:val="nil"/>
            </w:tcBorders>
            <w:vAlign w:val="bottom"/>
          </w:tcPr>
          <w:p w14:paraId="57270012"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0.92</w:t>
            </w:r>
          </w:p>
        </w:tc>
      </w:tr>
      <w:tr w:rsidR="005A3E38" w14:paraId="79AC52D3" w14:textId="77777777" w:rsidTr="005A3E38">
        <w:trPr>
          <w:trHeight w:val="288"/>
          <w:jc w:val="center"/>
        </w:trPr>
        <w:tc>
          <w:tcPr>
            <w:tcW w:w="3600" w:type="dxa"/>
            <w:tcBorders>
              <w:top w:val="nil"/>
              <w:left w:val="nil"/>
              <w:bottom w:val="single" w:sz="8" w:space="0" w:color="auto"/>
              <w:right w:val="nil"/>
            </w:tcBorders>
            <w:vAlign w:val="center"/>
          </w:tcPr>
          <w:p w14:paraId="762B424A" w14:textId="77777777" w:rsidR="005A3E38" w:rsidRPr="00971EAB" w:rsidRDefault="005A3E38" w:rsidP="00260D7D">
            <w:pPr>
              <w:tabs>
                <w:tab w:val="left" w:pos="567"/>
              </w:tabs>
              <w:rPr>
                <w:rFonts w:asciiTheme="majorBidi" w:hAnsiTheme="majorBidi" w:cstheme="majorBidi"/>
                <w:sz w:val="20"/>
                <w:szCs w:val="20"/>
              </w:rPr>
            </w:pPr>
          </w:p>
        </w:tc>
        <w:tc>
          <w:tcPr>
            <w:tcW w:w="652" w:type="dxa"/>
            <w:tcBorders>
              <w:top w:val="nil"/>
              <w:left w:val="nil"/>
              <w:bottom w:val="single" w:sz="8" w:space="0" w:color="auto"/>
              <w:right w:val="nil"/>
            </w:tcBorders>
            <w:vAlign w:val="center"/>
          </w:tcPr>
          <w:p w14:paraId="749AFBA7"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NN</w:t>
            </w:r>
          </w:p>
        </w:tc>
        <w:tc>
          <w:tcPr>
            <w:tcW w:w="1398" w:type="dxa"/>
            <w:gridSpan w:val="2"/>
            <w:tcBorders>
              <w:top w:val="nil"/>
              <w:left w:val="nil"/>
              <w:bottom w:val="single" w:sz="8" w:space="0" w:color="auto"/>
              <w:right w:val="nil"/>
            </w:tcBorders>
            <w:vAlign w:val="bottom"/>
          </w:tcPr>
          <w:p w14:paraId="78B52FB9"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0.93</w:t>
            </w:r>
          </w:p>
        </w:tc>
        <w:tc>
          <w:tcPr>
            <w:tcW w:w="1398" w:type="dxa"/>
            <w:gridSpan w:val="2"/>
            <w:tcBorders>
              <w:top w:val="nil"/>
              <w:left w:val="nil"/>
              <w:bottom w:val="single" w:sz="8" w:space="0" w:color="auto"/>
              <w:right w:val="nil"/>
            </w:tcBorders>
            <w:vAlign w:val="bottom"/>
          </w:tcPr>
          <w:p w14:paraId="59F4C85D"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0.72</w:t>
            </w:r>
          </w:p>
        </w:tc>
        <w:tc>
          <w:tcPr>
            <w:tcW w:w="1398" w:type="dxa"/>
            <w:gridSpan w:val="2"/>
            <w:tcBorders>
              <w:top w:val="nil"/>
              <w:left w:val="nil"/>
              <w:bottom w:val="single" w:sz="8" w:space="0" w:color="auto"/>
              <w:right w:val="nil"/>
            </w:tcBorders>
            <w:vAlign w:val="bottom"/>
          </w:tcPr>
          <w:p w14:paraId="1EB770E1"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0.83</w:t>
            </w:r>
          </w:p>
        </w:tc>
        <w:tc>
          <w:tcPr>
            <w:tcW w:w="1399" w:type="dxa"/>
            <w:gridSpan w:val="2"/>
            <w:tcBorders>
              <w:top w:val="nil"/>
              <w:left w:val="nil"/>
              <w:bottom w:val="single" w:sz="8" w:space="0" w:color="auto"/>
              <w:right w:val="nil"/>
            </w:tcBorders>
            <w:vAlign w:val="bottom"/>
          </w:tcPr>
          <w:p w14:paraId="7E721A16"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0.86</w:t>
            </w:r>
          </w:p>
        </w:tc>
        <w:tc>
          <w:tcPr>
            <w:tcW w:w="1398" w:type="dxa"/>
            <w:gridSpan w:val="2"/>
            <w:tcBorders>
              <w:top w:val="nil"/>
              <w:left w:val="nil"/>
              <w:bottom w:val="single" w:sz="8" w:space="0" w:color="auto"/>
              <w:right w:val="nil"/>
            </w:tcBorders>
            <w:vAlign w:val="bottom"/>
          </w:tcPr>
          <w:p w14:paraId="7A5FC097"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0.82</w:t>
            </w:r>
          </w:p>
        </w:tc>
        <w:tc>
          <w:tcPr>
            <w:tcW w:w="1398" w:type="dxa"/>
            <w:gridSpan w:val="2"/>
            <w:tcBorders>
              <w:top w:val="nil"/>
              <w:left w:val="nil"/>
              <w:bottom w:val="single" w:sz="8" w:space="0" w:color="auto"/>
              <w:right w:val="nil"/>
            </w:tcBorders>
            <w:shd w:val="clear" w:color="auto" w:fill="auto"/>
            <w:vAlign w:val="bottom"/>
          </w:tcPr>
          <w:p w14:paraId="466C51C6"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0.78</w:t>
            </w:r>
          </w:p>
        </w:tc>
        <w:tc>
          <w:tcPr>
            <w:tcW w:w="1399" w:type="dxa"/>
            <w:gridSpan w:val="2"/>
            <w:tcBorders>
              <w:top w:val="nil"/>
              <w:left w:val="nil"/>
              <w:bottom w:val="single" w:sz="8" w:space="0" w:color="auto"/>
              <w:right w:val="nil"/>
            </w:tcBorders>
            <w:vAlign w:val="bottom"/>
          </w:tcPr>
          <w:p w14:paraId="4489E894"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0.93</w:t>
            </w:r>
          </w:p>
        </w:tc>
      </w:tr>
      <w:tr w:rsidR="005A3E38" w14:paraId="12E4EB7A" w14:textId="77777777" w:rsidTr="005A3E38">
        <w:trPr>
          <w:trHeight w:val="288"/>
          <w:jc w:val="center"/>
        </w:trPr>
        <w:tc>
          <w:tcPr>
            <w:tcW w:w="3600" w:type="dxa"/>
            <w:tcBorders>
              <w:top w:val="single" w:sz="8" w:space="0" w:color="auto"/>
              <w:left w:val="nil"/>
              <w:bottom w:val="nil"/>
              <w:right w:val="nil"/>
            </w:tcBorders>
            <w:vAlign w:val="center"/>
          </w:tcPr>
          <w:p w14:paraId="62F2596B" w14:textId="77777777" w:rsidR="005A3E38" w:rsidRPr="00971EAB" w:rsidRDefault="005A3E38"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 xml:space="preserve">Type </w:t>
            </w:r>
            <w:r>
              <w:rPr>
                <w:rFonts w:asciiTheme="majorBidi" w:hAnsiTheme="majorBidi" w:cstheme="majorBidi"/>
                <w:sz w:val="20"/>
                <w:szCs w:val="20"/>
              </w:rPr>
              <w:t>I</w:t>
            </w:r>
            <w:r w:rsidRPr="00971EAB">
              <w:rPr>
                <w:rFonts w:asciiTheme="majorBidi" w:hAnsiTheme="majorBidi" w:cstheme="majorBidi"/>
                <w:sz w:val="20"/>
                <w:szCs w:val="20"/>
              </w:rPr>
              <w:t>I Error (Type I Error)</w:t>
            </w:r>
          </w:p>
        </w:tc>
        <w:tc>
          <w:tcPr>
            <w:tcW w:w="652" w:type="dxa"/>
            <w:tcBorders>
              <w:top w:val="single" w:sz="8" w:space="0" w:color="auto"/>
              <w:left w:val="nil"/>
              <w:bottom w:val="nil"/>
              <w:right w:val="nil"/>
            </w:tcBorders>
            <w:vAlign w:val="center"/>
          </w:tcPr>
          <w:p w14:paraId="065D45F3"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DA</w:t>
            </w:r>
          </w:p>
        </w:tc>
        <w:tc>
          <w:tcPr>
            <w:tcW w:w="1398" w:type="dxa"/>
            <w:gridSpan w:val="2"/>
            <w:tcBorders>
              <w:top w:val="single" w:sz="8" w:space="0" w:color="auto"/>
              <w:left w:val="nil"/>
              <w:bottom w:val="nil"/>
              <w:right w:val="nil"/>
            </w:tcBorders>
            <w:vAlign w:val="center"/>
          </w:tcPr>
          <w:p w14:paraId="43513A38"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0.09 (0.59)</w:t>
            </w:r>
          </w:p>
        </w:tc>
        <w:tc>
          <w:tcPr>
            <w:tcW w:w="1398" w:type="dxa"/>
            <w:gridSpan w:val="2"/>
            <w:tcBorders>
              <w:top w:val="single" w:sz="8" w:space="0" w:color="auto"/>
              <w:left w:val="nil"/>
              <w:bottom w:val="nil"/>
              <w:right w:val="nil"/>
            </w:tcBorders>
            <w:vAlign w:val="center"/>
          </w:tcPr>
          <w:p w14:paraId="1E334000"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0.28 (0.55)</w:t>
            </w:r>
          </w:p>
        </w:tc>
        <w:tc>
          <w:tcPr>
            <w:tcW w:w="1398" w:type="dxa"/>
            <w:gridSpan w:val="2"/>
            <w:tcBorders>
              <w:top w:val="single" w:sz="8" w:space="0" w:color="auto"/>
              <w:left w:val="nil"/>
              <w:bottom w:val="nil"/>
              <w:right w:val="nil"/>
            </w:tcBorders>
            <w:vAlign w:val="center"/>
          </w:tcPr>
          <w:p w14:paraId="2F2B08AF"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0.18 (0.57)</w:t>
            </w:r>
          </w:p>
        </w:tc>
        <w:tc>
          <w:tcPr>
            <w:tcW w:w="1399" w:type="dxa"/>
            <w:gridSpan w:val="2"/>
            <w:tcBorders>
              <w:top w:val="single" w:sz="8" w:space="0" w:color="auto"/>
              <w:left w:val="nil"/>
              <w:bottom w:val="nil"/>
              <w:right w:val="nil"/>
            </w:tcBorders>
            <w:vAlign w:val="center"/>
          </w:tcPr>
          <w:p w14:paraId="20F8DC65"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0.16 (0.39)</w:t>
            </w:r>
          </w:p>
        </w:tc>
        <w:tc>
          <w:tcPr>
            <w:tcW w:w="1398" w:type="dxa"/>
            <w:gridSpan w:val="2"/>
            <w:tcBorders>
              <w:top w:val="single" w:sz="8" w:space="0" w:color="auto"/>
              <w:left w:val="nil"/>
              <w:bottom w:val="nil"/>
              <w:right w:val="nil"/>
            </w:tcBorders>
            <w:vAlign w:val="center"/>
          </w:tcPr>
          <w:p w14:paraId="062BD8B9"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0.19 (0.48)</w:t>
            </w:r>
          </w:p>
        </w:tc>
        <w:tc>
          <w:tcPr>
            <w:tcW w:w="1398" w:type="dxa"/>
            <w:gridSpan w:val="2"/>
            <w:tcBorders>
              <w:top w:val="single" w:sz="8" w:space="0" w:color="auto"/>
              <w:left w:val="nil"/>
              <w:bottom w:val="nil"/>
              <w:right w:val="nil"/>
            </w:tcBorders>
            <w:shd w:val="clear" w:color="auto" w:fill="auto"/>
            <w:vAlign w:val="center"/>
          </w:tcPr>
          <w:p w14:paraId="5B25F65D"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0.21 (0.39)</w:t>
            </w:r>
          </w:p>
        </w:tc>
        <w:tc>
          <w:tcPr>
            <w:tcW w:w="1399" w:type="dxa"/>
            <w:gridSpan w:val="2"/>
            <w:tcBorders>
              <w:top w:val="single" w:sz="8" w:space="0" w:color="auto"/>
              <w:left w:val="nil"/>
              <w:bottom w:val="nil"/>
              <w:right w:val="nil"/>
            </w:tcBorders>
            <w:vAlign w:val="center"/>
          </w:tcPr>
          <w:p w14:paraId="5A6940B9"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0.08 (0.63)</w:t>
            </w:r>
          </w:p>
        </w:tc>
      </w:tr>
      <w:tr w:rsidR="005A3E38" w14:paraId="6A6543AE" w14:textId="77777777" w:rsidTr="005A3E38">
        <w:trPr>
          <w:trHeight w:val="288"/>
          <w:jc w:val="center"/>
        </w:trPr>
        <w:tc>
          <w:tcPr>
            <w:tcW w:w="3600" w:type="dxa"/>
            <w:tcBorders>
              <w:top w:val="nil"/>
              <w:left w:val="nil"/>
              <w:bottom w:val="nil"/>
              <w:right w:val="nil"/>
            </w:tcBorders>
            <w:vAlign w:val="center"/>
          </w:tcPr>
          <w:p w14:paraId="732A5ADE" w14:textId="77777777" w:rsidR="005A3E38" w:rsidRPr="00971EAB" w:rsidRDefault="005A3E38" w:rsidP="00260D7D">
            <w:pPr>
              <w:tabs>
                <w:tab w:val="left" w:pos="567"/>
              </w:tabs>
              <w:rPr>
                <w:rFonts w:asciiTheme="majorBidi" w:hAnsiTheme="majorBidi" w:cstheme="majorBidi"/>
                <w:sz w:val="20"/>
                <w:szCs w:val="20"/>
              </w:rPr>
            </w:pPr>
          </w:p>
        </w:tc>
        <w:tc>
          <w:tcPr>
            <w:tcW w:w="652" w:type="dxa"/>
            <w:tcBorders>
              <w:top w:val="nil"/>
              <w:left w:val="nil"/>
              <w:bottom w:val="nil"/>
              <w:right w:val="nil"/>
            </w:tcBorders>
            <w:vAlign w:val="center"/>
          </w:tcPr>
          <w:p w14:paraId="3AECF5A7"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LR</w:t>
            </w:r>
          </w:p>
        </w:tc>
        <w:tc>
          <w:tcPr>
            <w:tcW w:w="1398" w:type="dxa"/>
            <w:gridSpan w:val="2"/>
            <w:tcBorders>
              <w:top w:val="nil"/>
              <w:left w:val="nil"/>
              <w:bottom w:val="nil"/>
              <w:right w:val="nil"/>
            </w:tcBorders>
            <w:vAlign w:val="center"/>
          </w:tcPr>
          <w:p w14:paraId="2F98DD03"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0.15 (0.53)</w:t>
            </w:r>
          </w:p>
        </w:tc>
        <w:tc>
          <w:tcPr>
            <w:tcW w:w="1398" w:type="dxa"/>
            <w:gridSpan w:val="2"/>
            <w:tcBorders>
              <w:top w:val="nil"/>
              <w:left w:val="nil"/>
              <w:bottom w:val="nil"/>
              <w:right w:val="nil"/>
            </w:tcBorders>
            <w:vAlign w:val="center"/>
          </w:tcPr>
          <w:p w14:paraId="166391A9"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0.31 (0.54)</w:t>
            </w:r>
          </w:p>
        </w:tc>
        <w:tc>
          <w:tcPr>
            <w:tcW w:w="1398" w:type="dxa"/>
            <w:gridSpan w:val="2"/>
            <w:tcBorders>
              <w:top w:val="nil"/>
              <w:left w:val="nil"/>
              <w:bottom w:val="nil"/>
              <w:right w:val="nil"/>
            </w:tcBorders>
            <w:vAlign w:val="center"/>
          </w:tcPr>
          <w:p w14:paraId="04D7C482"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0.16 (0.59)</w:t>
            </w:r>
          </w:p>
        </w:tc>
        <w:tc>
          <w:tcPr>
            <w:tcW w:w="1399" w:type="dxa"/>
            <w:gridSpan w:val="2"/>
            <w:tcBorders>
              <w:top w:val="nil"/>
              <w:left w:val="nil"/>
              <w:bottom w:val="nil"/>
              <w:right w:val="nil"/>
            </w:tcBorders>
            <w:vAlign w:val="center"/>
          </w:tcPr>
          <w:p w14:paraId="649A66F9"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0.21 (0.36)</w:t>
            </w:r>
          </w:p>
        </w:tc>
        <w:tc>
          <w:tcPr>
            <w:tcW w:w="1398" w:type="dxa"/>
            <w:gridSpan w:val="2"/>
            <w:tcBorders>
              <w:top w:val="nil"/>
              <w:left w:val="nil"/>
              <w:bottom w:val="nil"/>
              <w:right w:val="nil"/>
            </w:tcBorders>
            <w:vAlign w:val="center"/>
          </w:tcPr>
          <w:p w14:paraId="126D3DB2"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0.25 (0.41)</w:t>
            </w:r>
          </w:p>
        </w:tc>
        <w:tc>
          <w:tcPr>
            <w:tcW w:w="1398" w:type="dxa"/>
            <w:gridSpan w:val="2"/>
            <w:tcBorders>
              <w:top w:val="nil"/>
              <w:left w:val="nil"/>
              <w:bottom w:val="nil"/>
              <w:right w:val="nil"/>
            </w:tcBorders>
            <w:shd w:val="clear" w:color="auto" w:fill="auto"/>
            <w:vAlign w:val="center"/>
          </w:tcPr>
          <w:p w14:paraId="03E483F9"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0.27 (0.45)</w:t>
            </w:r>
          </w:p>
        </w:tc>
        <w:tc>
          <w:tcPr>
            <w:tcW w:w="1399" w:type="dxa"/>
            <w:gridSpan w:val="2"/>
            <w:tcBorders>
              <w:top w:val="nil"/>
              <w:left w:val="nil"/>
              <w:bottom w:val="nil"/>
              <w:right w:val="nil"/>
            </w:tcBorders>
            <w:vAlign w:val="center"/>
          </w:tcPr>
          <w:p w14:paraId="70A7A4AC"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0.13 (0.49)</w:t>
            </w:r>
          </w:p>
        </w:tc>
      </w:tr>
      <w:tr w:rsidR="005A3E38" w14:paraId="61D7A781" w14:textId="77777777" w:rsidTr="005A3E38">
        <w:trPr>
          <w:trHeight w:val="288"/>
          <w:jc w:val="center"/>
        </w:trPr>
        <w:tc>
          <w:tcPr>
            <w:tcW w:w="3600" w:type="dxa"/>
            <w:tcBorders>
              <w:top w:val="nil"/>
              <w:left w:val="nil"/>
              <w:bottom w:val="nil"/>
              <w:right w:val="nil"/>
            </w:tcBorders>
            <w:vAlign w:val="center"/>
          </w:tcPr>
          <w:p w14:paraId="49E26B50" w14:textId="77777777" w:rsidR="005A3E38" w:rsidRPr="00971EAB" w:rsidRDefault="005A3E38" w:rsidP="00260D7D">
            <w:pPr>
              <w:tabs>
                <w:tab w:val="left" w:pos="567"/>
              </w:tabs>
              <w:rPr>
                <w:rFonts w:asciiTheme="majorBidi" w:hAnsiTheme="majorBidi" w:cstheme="majorBidi"/>
                <w:sz w:val="20"/>
                <w:szCs w:val="20"/>
              </w:rPr>
            </w:pPr>
          </w:p>
        </w:tc>
        <w:tc>
          <w:tcPr>
            <w:tcW w:w="652" w:type="dxa"/>
            <w:tcBorders>
              <w:top w:val="nil"/>
              <w:left w:val="nil"/>
              <w:bottom w:val="nil"/>
              <w:right w:val="nil"/>
            </w:tcBorders>
            <w:vAlign w:val="center"/>
          </w:tcPr>
          <w:p w14:paraId="0E3BB4A2"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HA</w:t>
            </w:r>
          </w:p>
        </w:tc>
        <w:tc>
          <w:tcPr>
            <w:tcW w:w="1398" w:type="dxa"/>
            <w:gridSpan w:val="2"/>
            <w:tcBorders>
              <w:top w:val="nil"/>
              <w:left w:val="nil"/>
              <w:bottom w:val="nil"/>
              <w:right w:val="nil"/>
            </w:tcBorders>
            <w:vAlign w:val="center"/>
          </w:tcPr>
          <w:p w14:paraId="238D52CA"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0.07 (0.28)</w:t>
            </w:r>
          </w:p>
        </w:tc>
        <w:tc>
          <w:tcPr>
            <w:tcW w:w="1398" w:type="dxa"/>
            <w:gridSpan w:val="2"/>
            <w:tcBorders>
              <w:top w:val="nil"/>
              <w:left w:val="nil"/>
              <w:bottom w:val="nil"/>
              <w:right w:val="nil"/>
            </w:tcBorders>
            <w:vAlign w:val="center"/>
          </w:tcPr>
          <w:p w14:paraId="7FADE21A"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0.25 (0.54)</w:t>
            </w:r>
          </w:p>
        </w:tc>
        <w:tc>
          <w:tcPr>
            <w:tcW w:w="1398" w:type="dxa"/>
            <w:gridSpan w:val="2"/>
            <w:tcBorders>
              <w:top w:val="nil"/>
              <w:left w:val="nil"/>
              <w:bottom w:val="nil"/>
              <w:right w:val="nil"/>
            </w:tcBorders>
            <w:vAlign w:val="center"/>
          </w:tcPr>
          <w:p w14:paraId="4CC7EDAA"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0.18 (0.39)</w:t>
            </w:r>
          </w:p>
        </w:tc>
        <w:tc>
          <w:tcPr>
            <w:tcW w:w="1399" w:type="dxa"/>
            <w:gridSpan w:val="2"/>
            <w:tcBorders>
              <w:top w:val="nil"/>
              <w:left w:val="nil"/>
              <w:bottom w:val="nil"/>
              <w:right w:val="nil"/>
            </w:tcBorders>
            <w:vAlign w:val="center"/>
          </w:tcPr>
          <w:p w14:paraId="2CF57417"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0.08 (0.17)</w:t>
            </w:r>
          </w:p>
        </w:tc>
        <w:tc>
          <w:tcPr>
            <w:tcW w:w="1398" w:type="dxa"/>
            <w:gridSpan w:val="2"/>
            <w:tcBorders>
              <w:top w:val="nil"/>
              <w:left w:val="nil"/>
              <w:bottom w:val="nil"/>
              <w:right w:val="nil"/>
            </w:tcBorders>
            <w:vAlign w:val="center"/>
          </w:tcPr>
          <w:p w14:paraId="5F736E52"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0.17 (0.27)</w:t>
            </w:r>
          </w:p>
        </w:tc>
        <w:tc>
          <w:tcPr>
            <w:tcW w:w="1398" w:type="dxa"/>
            <w:gridSpan w:val="2"/>
            <w:tcBorders>
              <w:top w:val="nil"/>
              <w:left w:val="nil"/>
              <w:bottom w:val="nil"/>
              <w:right w:val="nil"/>
            </w:tcBorders>
            <w:shd w:val="clear" w:color="auto" w:fill="auto"/>
            <w:vAlign w:val="center"/>
          </w:tcPr>
          <w:p w14:paraId="6A5C2311"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0.22 (0.48)</w:t>
            </w:r>
          </w:p>
        </w:tc>
        <w:tc>
          <w:tcPr>
            <w:tcW w:w="1399" w:type="dxa"/>
            <w:gridSpan w:val="2"/>
            <w:tcBorders>
              <w:top w:val="nil"/>
              <w:left w:val="nil"/>
              <w:bottom w:val="nil"/>
              <w:right w:val="nil"/>
            </w:tcBorders>
            <w:vAlign w:val="center"/>
          </w:tcPr>
          <w:p w14:paraId="6BBA36DD"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0.07 (0.26)</w:t>
            </w:r>
          </w:p>
        </w:tc>
      </w:tr>
      <w:tr w:rsidR="005A3E38" w14:paraId="4EF4B3DC" w14:textId="77777777" w:rsidTr="005A3E38">
        <w:trPr>
          <w:trHeight w:val="288"/>
          <w:jc w:val="center"/>
        </w:trPr>
        <w:tc>
          <w:tcPr>
            <w:tcW w:w="3600" w:type="dxa"/>
            <w:tcBorders>
              <w:top w:val="nil"/>
              <w:left w:val="nil"/>
              <w:bottom w:val="nil"/>
              <w:right w:val="nil"/>
            </w:tcBorders>
            <w:vAlign w:val="center"/>
          </w:tcPr>
          <w:p w14:paraId="2941FD5F" w14:textId="77777777" w:rsidR="005A3E38" w:rsidRPr="00971EAB" w:rsidRDefault="005A3E38" w:rsidP="00260D7D">
            <w:pPr>
              <w:tabs>
                <w:tab w:val="left" w:pos="567"/>
              </w:tabs>
              <w:rPr>
                <w:rFonts w:asciiTheme="majorBidi" w:hAnsiTheme="majorBidi" w:cstheme="majorBidi"/>
                <w:sz w:val="20"/>
                <w:szCs w:val="20"/>
              </w:rPr>
            </w:pPr>
          </w:p>
        </w:tc>
        <w:tc>
          <w:tcPr>
            <w:tcW w:w="652" w:type="dxa"/>
            <w:tcBorders>
              <w:top w:val="nil"/>
              <w:left w:val="nil"/>
              <w:bottom w:val="nil"/>
              <w:right w:val="nil"/>
            </w:tcBorders>
            <w:vAlign w:val="center"/>
          </w:tcPr>
          <w:p w14:paraId="63A1E280"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DE</w:t>
            </w:r>
          </w:p>
        </w:tc>
        <w:tc>
          <w:tcPr>
            <w:tcW w:w="1398" w:type="dxa"/>
            <w:gridSpan w:val="2"/>
            <w:tcBorders>
              <w:top w:val="nil"/>
              <w:left w:val="nil"/>
              <w:bottom w:val="nil"/>
              <w:right w:val="nil"/>
            </w:tcBorders>
            <w:vAlign w:val="center"/>
          </w:tcPr>
          <w:p w14:paraId="547B4328"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0.06 (0.31)</w:t>
            </w:r>
          </w:p>
        </w:tc>
        <w:tc>
          <w:tcPr>
            <w:tcW w:w="1398" w:type="dxa"/>
            <w:gridSpan w:val="2"/>
            <w:tcBorders>
              <w:top w:val="nil"/>
              <w:left w:val="nil"/>
              <w:bottom w:val="nil"/>
              <w:right w:val="nil"/>
            </w:tcBorders>
            <w:vAlign w:val="center"/>
          </w:tcPr>
          <w:p w14:paraId="17CC3CA3"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0.22 (0.49)</w:t>
            </w:r>
          </w:p>
        </w:tc>
        <w:tc>
          <w:tcPr>
            <w:tcW w:w="1398" w:type="dxa"/>
            <w:gridSpan w:val="2"/>
            <w:tcBorders>
              <w:top w:val="nil"/>
              <w:left w:val="nil"/>
              <w:bottom w:val="nil"/>
              <w:right w:val="nil"/>
            </w:tcBorders>
            <w:vAlign w:val="center"/>
          </w:tcPr>
          <w:p w14:paraId="113EEA4C"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0.16 (0.33)</w:t>
            </w:r>
          </w:p>
        </w:tc>
        <w:tc>
          <w:tcPr>
            <w:tcW w:w="1399" w:type="dxa"/>
            <w:gridSpan w:val="2"/>
            <w:tcBorders>
              <w:top w:val="nil"/>
              <w:left w:val="nil"/>
              <w:bottom w:val="nil"/>
              <w:right w:val="nil"/>
            </w:tcBorders>
            <w:vAlign w:val="center"/>
          </w:tcPr>
          <w:p w14:paraId="35AF181D"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0.10 (0.31)</w:t>
            </w:r>
          </w:p>
        </w:tc>
        <w:tc>
          <w:tcPr>
            <w:tcW w:w="1398" w:type="dxa"/>
            <w:gridSpan w:val="2"/>
            <w:tcBorders>
              <w:top w:val="nil"/>
              <w:left w:val="nil"/>
              <w:bottom w:val="nil"/>
              <w:right w:val="nil"/>
            </w:tcBorders>
            <w:vAlign w:val="center"/>
          </w:tcPr>
          <w:p w14:paraId="193CD459"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0.14 (0.26)</w:t>
            </w:r>
          </w:p>
        </w:tc>
        <w:tc>
          <w:tcPr>
            <w:tcW w:w="1398" w:type="dxa"/>
            <w:gridSpan w:val="2"/>
            <w:tcBorders>
              <w:top w:val="nil"/>
              <w:left w:val="nil"/>
              <w:bottom w:val="nil"/>
              <w:right w:val="nil"/>
            </w:tcBorders>
            <w:shd w:val="clear" w:color="auto" w:fill="auto"/>
            <w:vAlign w:val="center"/>
          </w:tcPr>
          <w:p w14:paraId="4DAB1C91"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0.19 (0.35)</w:t>
            </w:r>
          </w:p>
        </w:tc>
        <w:tc>
          <w:tcPr>
            <w:tcW w:w="1399" w:type="dxa"/>
            <w:gridSpan w:val="2"/>
            <w:tcBorders>
              <w:top w:val="nil"/>
              <w:left w:val="nil"/>
              <w:bottom w:val="nil"/>
              <w:right w:val="nil"/>
            </w:tcBorders>
            <w:vAlign w:val="center"/>
          </w:tcPr>
          <w:p w14:paraId="3873D665"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0.06 (0.29)</w:t>
            </w:r>
          </w:p>
        </w:tc>
      </w:tr>
      <w:tr w:rsidR="005A3E38" w14:paraId="5F0DB360" w14:textId="77777777" w:rsidTr="005A3E38">
        <w:trPr>
          <w:trHeight w:val="288"/>
          <w:jc w:val="center"/>
        </w:trPr>
        <w:tc>
          <w:tcPr>
            <w:tcW w:w="3600" w:type="dxa"/>
            <w:tcBorders>
              <w:top w:val="nil"/>
              <w:left w:val="nil"/>
              <w:bottom w:val="single" w:sz="8" w:space="0" w:color="auto"/>
              <w:right w:val="nil"/>
            </w:tcBorders>
            <w:vAlign w:val="center"/>
          </w:tcPr>
          <w:p w14:paraId="1CA4F097" w14:textId="77777777" w:rsidR="005A3E38" w:rsidRPr="00971EAB" w:rsidRDefault="005A3E38" w:rsidP="00260D7D">
            <w:pPr>
              <w:tabs>
                <w:tab w:val="left" w:pos="567"/>
              </w:tabs>
              <w:rPr>
                <w:rFonts w:asciiTheme="majorBidi" w:hAnsiTheme="majorBidi" w:cstheme="majorBidi"/>
                <w:sz w:val="20"/>
                <w:szCs w:val="20"/>
              </w:rPr>
            </w:pPr>
          </w:p>
        </w:tc>
        <w:tc>
          <w:tcPr>
            <w:tcW w:w="652" w:type="dxa"/>
            <w:tcBorders>
              <w:top w:val="nil"/>
              <w:left w:val="nil"/>
              <w:bottom w:val="single" w:sz="8" w:space="0" w:color="auto"/>
              <w:right w:val="nil"/>
            </w:tcBorders>
            <w:vAlign w:val="center"/>
          </w:tcPr>
          <w:p w14:paraId="7EAE9962"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NN</w:t>
            </w:r>
          </w:p>
        </w:tc>
        <w:tc>
          <w:tcPr>
            <w:tcW w:w="1398" w:type="dxa"/>
            <w:gridSpan w:val="2"/>
            <w:tcBorders>
              <w:top w:val="nil"/>
              <w:left w:val="nil"/>
              <w:bottom w:val="single" w:sz="8" w:space="0" w:color="auto"/>
              <w:right w:val="nil"/>
            </w:tcBorders>
            <w:vAlign w:val="center"/>
          </w:tcPr>
          <w:p w14:paraId="0B3F3E37"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0.05 (0.22)</w:t>
            </w:r>
          </w:p>
        </w:tc>
        <w:tc>
          <w:tcPr>
            <w:tcW w:w="1398" w:type="dxa"/>
            <w:gridSpan w:val="2"/>
            <w:tcBorders>
              <w:top w:val="nil"/>
              <w:left w:val="nil"/>
              <w:bottom w:val="single" w:sz="8" w:space="0" w:color="auto"/>
              <w:right w:val="nil"/>
            </w:tcBorders>
            <w:vAlign w:val="center"/>
          </w:tcPr>
          <w:p w14:paraId="14426FF7"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0.25 (0.57)</w:t>
            </w:r>
          </w:p>
        </w:tc>
        <w:tc>
          <w:tcPr>
            <w:tcW w:w="1398" w:type="dxa"/>
            <w:gridSpan w:val="2"/>
            <w:tcBorders>
              <w:top w:val="nil"/>
              <w:left w:val="nil"/>
              <w:bottom w:val="single" w:sz="8" w:space="0" w:color="auto"/>
              <w:right w:val="nil"/>
            </w:tcBorders>
            <w:vAlign w:val="center"/>
          </w:tcPr>
          <w:p w14:paraId="53CE221C"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0.15 (0.39)</w:t>
            </w:r>
          </w:p>
        </w:tc>
        <w:tc>
          <w:tcPr>
            <w:tcW w:w="1399" w:type="dxa"/>
            <w:gridSpan w:val="2"/>
            <w:tcBorders>
              <w:top w:val="nil"/>
              <w:left w:val="nil"/>
              <w:bottom w:val="single" w:sz="8" w:space="0" w:color="auto"/>
              <w:right w:val="nil"/>
            </w:tcBorders>
            <w:vAlign w:val="center"/>
          </w:tcPr>
          <w:p w14:paraId="25FF5BAC"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0.13 (0.25)</w:t>
            </w:r>
          </w:p>
        </w:tc>
        <w:tc>
          <w:tcPr>
            <w:tcW w:w="1398" w:type="dxa"/>
            <w:gridSpan w:val="2"/>
            <w:tcBorders>
              <w:top w:val="nil"/>
              <w:left w:val="nil"/>
              <w:bottom w:val="single" w:sz="8" w:space="0" w:color="auto"/>
              <w:right w:val="nil"/>
            </w:tcBorders>
            <w:vAlign w:val="center"/>
          </w:tcPr>
          <w:p w14:paraId="506CA49C"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0.17 (0.28)</w:t>
            </w:r>
          </w:p>
        </w:tc>
        <w:tc>
          <w:tcPr>
            <w:tcW w:w="1398" w:type="dxa"/>
            <w:gridSpan w:val="2"/>
            <w:tcBorders>
              <w:top w:val="nil"/>
              <w:left w:val="nil"/>
              <w:bottom w:val="single" w:sz="8" w:space="0" w:color="auto"/>
              <w:right w:val="nil"/>
            </w:tcBorders>
            <w:shd w:val="clear" w:color="auto" w:fill="auto"/>
            <w:vAlign w:val="center"/>
          </w:tcPr>
          <w:p w14:paraId="72F3C751"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0.21 (0.27)</w:t>
            </w:r>
          </w:p>
        </w:tc>
        <w:tc>
          <w:tcPr>
            <w:tcW w:w="1399" w:type="dxa"/>
            <w:gridSpan w:val="2"/>
            <w:tcBorders>
              <w:top w:val="nil"/>
              <w:left w:val="nil"/>
              <w:bottom w:val="single" w:sz="8" w:space="0" w:color="auto"/>
              <w:right w:val="nil"/>
            </w:tcBorders>
            <w:vAlign w:val="center"/>
          </w:tcPr>
          <w:p w14:paraId="0D3255AE" w14:textId="77777777" w:rsidR="005A3E38" w:rsidRPr="0049067C" w:rsidRDefault="005A3E38" w:rsidP="00260D7D">
            <w:pPr>
              <w:tabs>
                <w:tab w:val="left" w:pos="567"/>
              </w:tabs>
              <w:jc w:val="center"/>
              <w:rPr>
                <w:rFonts w:asciiTheme="majorBidi" w:hAnsiTheme="majorBidi" w:cstheme="majorBidi"/>
                <w:sz w:val="20"/>
                <w:szCs w:val="20"/>
              </w:rPr>
            </w:pPr>
            <w:r w:rsidRPr="0049067C">
              <w:rPr>
                <w:rFonts w:asciiTheme="majorBidi" w:hAnsiTheme="majorBidi" w:cstheme="majorBidi"/>
                <w:sz w:val="20"/>
                <w:szCs w:val="20"/>
              </w:rPr>
              <w:t>0.06 (0.19)</w:t>
            </w:r>
          </w:p>
        </w:tc>
      </w:tr>
      <w:tr w:rsidR="005A3E38" w14:paraId="13335EFC" w14:textId="77777777" w:rsidTr="005A3E38">
        <w:trPr>
          <w:trHeight w:val="288"/>
          <w:jc w:val="center"/>
        </w:trPr>
        <w:tc>
          <w:tcPr>
            <w:tcW w:w="3600" w:type="dxa"/>
            <w:tcBorders>
              <w:top w:val="single" w:sz="8" w:space="0" w:color="auto"/>
              <w:left w:val="nil"/>
              <w:bottom w:val="nil"/>
              <w:right w:val="nil"/>
            </w:tcBorders>
            <w:vAlign w:val="center"/>
          </w:tcPr>
          <w:p w14:paraId="2BA74870" w14:textId="77777777" w:rsidR="005A3E38" w:rsidRPr="00971EAB" w:rsidRDefault="005A3E38" w:rsidP="00260D7D">
            <w:pPr>
              <w:tabs>
                <w:tab w:val="left" w:pos="567"/>
              </w:tabs>
              <w:rPr>
                <w:rFonts w:asciiTheme="majorBidi" w:hAnsiTheme="majorBidi" w:cstheme="majorBidi"/>
                <w:sz w:val="20"/>
                <w:szCs w:val="20"/>
              </w:rPr>
            </w:pPr>
            <w:r w:rsidRPr="00971EAB">
              <w:rPr>
                <w:rFonts w:asciiTheme="majorBidi" w:hAnsiTheme="majorBidi" w:cstheme="majorBidi"/>
                <w:sz w:val="20"/>
                <w:szCs w:val="20"/>
              </w:rPr>
              <w:t>Area Under the Curve - AUC</w:t>
            </w:r>
          </w:p>
        </w:tc>
        <w:tc>
          <w:tcPr>
            <w:tcW w:w="652" w:type="dxa"/>
            <w:tcBorders>
              <w:top w:val="single" w:sz="8" w:space="0" w:color="auto"/>
              <w:left w:val="nil"/>
              <w:bottom w:val="nil"/>
              <w:right w:val="nil"/>
            </w:tcBorders>
            <w:vAlign w:val="center"/>
          </w:tcPr>
          <w:p w14:paraId="4B92AD01"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DA</w:t>
            </w:r>
          </w:p>
        </w:tc>
        <w:tc>
          <w:tcPr>
            <w:tcW w:w="1398" w:type="dxa"/>
            <w:gridSpan w:val="2"/>
            <w:tcBorders>
              <w:top w:val="single" w:sz="8" w:space="0" w:color="auto"/>
              <w:left w:val="nil"/>
              <w:bottom w:val="nil"/>
              <w:right w:val="nil"/>
            </w:tcBorders>
            <w:vAlign w:val="center"/>
          </w:tcPr>
          <w:p w14:paraId="5503E1AB"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0.89</w:t>
            </w:r>
          </w:p>
        </w:tc>
        <w:tc>
          <w:tcPr>
            <w:tcW w:w="1398" w:type="dxa"/>
            <w:gridSpan w:val="2"/>
            <w:tcBorders>
              <w:top w:val="single" w:sz="8" w:space="0" w:color="auto"/>
              <w:left w:val="nil"/>
              <w:bottom w:val="nil"/>
              <w:right w:val="nil"/>
            </w:tcBorders>
            <w:vAlign w:val="center"/>
          </w:tcPr>
          <w:p w14:paraId="10F542F4"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0.73</w:t>
            </w:r>
          </w:p>
        </w:tc>
        <w:tc>
          <w:tcPr>
            <w:tcW w:w="1398" w:type="dxa"/>
            <w:gridSpan w:val="2"/>
            <w:tcBorders>
              <w:top w:val="single" w:sz="8" w:space="0" w:color="auto"/>
              <w:left w:val="nil"/>
              <w:bottom w:val="nil"/>
              <w:right w:val="nil"/>
            </w:tcBorders>
            <w:vAlign w:val="center"/>
          </w:tcPr>
          <w:p w14:paraId="2C163859"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0.83</w:t>
            </w:r>
          </w:p>
        </w:tc>
        <w:tc>
          <w:tcPr>
            <w:tcW w:w="1399" w:type="dxa"/>
            <w:gridSpan w:val="2"/>
            <w:tcBorders>
              <w:top w:val="single" w:sz="8" w:space="0" w:color="auto"/>
              <w:left w:val="nil"/>
              <w:bottom w:val="nil"/>
              <w:right w:val="nil"/>
            </w:tcBorders>
            <w:vAlign w:val="center"/>
          </w:tcPr>
          <w:p w14:paraId="6B7C8087"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0.93</w:t>
            </w:r>
          </w:p>
        </w:tc>
        <w:tc>
          <w:tcPr>
            <w:tcW w:w="1398" w:type="dxa"/>
            <w:gridSpan w:val="2"/>
            <w:tcBorders>
              <w:top w:val="single" w:sz="8" w:space="0" w:color="auto"/>
              <w:left w:val="nil"/>
              <w:bottom w:val="nil"/>
              <w:right w:val="nil"/>
            </w:tcBorders>
            <w:vAlign w:val="center"/>
          </w:tcPr>
          <w:p w14:paraId="225B9ED9"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0.83</w:t>
            </w:r>
          </w:p>
        </w:tc>
        <w:tc>
          <w:tcPr>
            <w:tcW w:w="1398" w:type="dxa"/>
            <w:gridSpan w:val="2"/>
            <w:tcBorders>
              <w:top w:val="single" w:sz="8" w:space="0" w:color="auto"/>
              <w:left w:val="nil"/>
              <w:bottom w:val="nil"/>
              <w:right w:val="nil"/>
            </w:tcBorders>
            <w:shd w:val="clear" w:color="auto" w:fill="auto"/>
            <w:vAlign w:val="center"/>
          </w:tcPr>
          <w:p w14:paraId="2FE9C293"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0.82</w:t>
            </w:r>
          </w:p>
        </w:tc>
        <w:tc>
          <w:tcPr>
            <w:tcW w:w="1399" w:type="dxa"/>
            <w:gridSpan w:val="2"/>
            <w:tcBorders>
              <w:top w:val="single" w:sz="8" w:space="0" w:color="auto"/>
              <w:left w:val="nil"/>
              <w:bottom w:val="nil"/>
              <w:right w:val="nil"/>
            </w:tcBorders>
            <w:vAlign w:val="center"/>
          </w:tcPr>
          <w:p w14:paraId="35DA4FC7" w14:textId="77777777" w:rsidR="005A3E38" w:rsidRPr="0049067C"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0.91</w:t>
            </w:r>
          </w:p>
        </w:tc>
      </w:tr>
      <w:tr w:rsidR="005A3E38" w14:paraId="7BCBE3C4" w14:textId="77777777" w:rsidTr="005A3E38">
        <w:trPr>
          <w:trHeight w:val="288"/>
          <w:jc w:val="center"/>
        </w:trPr>
        <w:tc>
          <w:tcPr>
            <w:tcW w:w="3600" w:type="dxa"/>
            <w:tcBorders>
              <w:top w:val="nil"/>
              <w:left w:val="nil"/>
              <w:bottom w:val="nil"/>
              <w:right w:val="nil"/>
            </w:tcBorders>
            <w:vAlign w:val="center"/>
          </w:tcPr>
          <w:p w14:paraId="34CFAD48" w14:textId="77777777" w:rsidR="005A3E38" w:rsidRPr="00971EAB" w:rsidRDefault="005A3E38" w:rsidP="00260D7D">
            <w:pPr>
              <w:tabs>
                <w:tab w:val="left" w:pos="567"/>
              </w:tabs>
              <w:rPr>
                <w:rFonts w:asciiTheme="majorBidi" w:hAnsiTheme="majorBidi" w:cstheme="majorBidi"/>
                <w:sz w:val="20"/>
                <w:szCs w:val="20"/>
              </w:rPr>
            </w:pPr>
          </w:p>
        </w:tc>
        <w:tc>
          <w:tcPr>
            <w:tcW w:w="652" w:type="dxa"/>
            <w:tcBorders>
              <w:top w:val="nil"/>
              <w:left w:val="nil"/>
              <w:bottom w:val="nil"/>
              <w:right w:val="nil"/>
            </w:tcBorders>
            <w:vAlign w:val="center"/>
          </w:tcPr>
          <w:p w14:paraId="1E3784CA"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LR</w:t>
            </w:r>
          </w:p>
        </w:tc>
        <w:tc>
          <w:tcPr>
            <w:tcW w:w="1398" w:type="dxa"/>
            <w:gridSpan w:val="2"/>
            <w:tcBorders>
              <w:top w:val="nil"/>
              <w:left w:val="nil"/>
              <w:bottom w:val="nil"/>
              <w:right w:val="nil"/>
            </w:tcBorders>
            <w:vAlign w:val="center"/>
          </w:tcPr>
          <w:p w14:paraId="52EE06DC"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0.84</w:t>
            </w:r>
          </w:p>
        </w:tc>
        <w:tc>
          <w:tcPr>
            <w:tcW w:w="1398" w:type="dxa"/>
            <w:gridSpan w:val="2"/>
            <w:tcBorders>
              <w:top w:val="nil"/>
              <w:left w:val="nil"/>
              <w:bottom w:val="nil"/>
              <w:right w:val="nil"/>
            </w:tcBorders>
            <w:vAlign w:val="center"/>
          </w:tcPr>
          <w:p w14:paraId="1089F8B9"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0.71</w:t>
            </w:r>
          </w:p>
        </w:tc>
        <w:tc>
          <w:tcPr>
            <w:tcW w:w="1398" w:type="dxa"/>
            <w:gridSpan w:val="2"/>
            <w:tcBorders>
              <w:top w:val="nil"/>
              <w:left w:val="nil"/>
              <w:bottom w:val="nil"/>
              <w:right w:val="nil"/>
            </w:tcBorders>
            <w:vAlign w:val="center"/>
          </w:tcPr>
          <w:p w14:paraId="181779AC"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0.84</w:t>
            </w:r>
          </w:p>
        </w:tc>
        <w:tc>
          <w:tcPr>
            <w:tcW w:w="1399" w:type="dxa"/>
            <w:gridSpan w:val="2"/>
            <w:tcBorders>
              <w:top w:val="nil"/>
              <w:left w:val="nil"/>
              <w:bottom w:val="nil"/>
              <w:right w:val="nil"/>
            </w:tcBorders>
            <w:vAlign w:val="center"/>
          </w:tcPr>
          <w:p w14:paraId="57A37241"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0.88</w:t>
            </w:r>
          </w:p>
        </w:tc>
        <w:tc>
          <w:tcPr>
            <w:tcW w:w="1398" w:type="dxa"/>
            <w:gridSpan w:val="2"/>
            <w:tcBorders>
              <w:top w:val="nil"/>
              <w:left w:val="nil"/>
              <w:bottom w:val="nil"/>
              <w:right w:val="nil"/>
            </w:tcBorders>
            <w:vAlign w:val="center"/>
          </w:tcPr>
          <w:p w14:paraId="34631F5A"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0.79</w:t>
            </w:r>
          </w:p>
        </w:tc>
        <w:tc>
          <w:tcPr>
            <w:tcW w:w="1398" w:type="dxa"/>
            <w:gridSpan w:val="2"/>
            <w:tcBorders>
              <w:top w:val="nil"/>
              <w:left w:val="nil"/>
              <w:bottom w:val="nil"/>
              <w:right w:val="nil"/>
            </w:tcBorders>
            <w:shd w:val="clear" w:color="auto" w:fill="auto"/>
            <w:vAlign w:val="center"/>
          </w:tcPr>
          <w:p w14:paraId="59B67D36"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0.78</w:t>
            </w:r>
          </w:p>
        </w:tc>
        <w:tc>
          <w:tcPr>
            <w:tcW w:w="1399" w:type="dxa"/>
            <w:gridSpan w:val="2"/>
            <w:tcBorders>
              <w:top w:val="nil"/>
              <w:left w:val="nil"/>
              <w:bottom w:val="nil"/>
              <w:right w:val="nil"/>
            </w:tcBorders>
            <w:vAlign w:val="center"/>
          </w:tcPr>
          <w:p w14:paraId="48EE5F54" w14:textId="77777777" w:rsidR="005A3E38" w:rsidRPr="0049067C"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0.89</w:t>
            </w:r>
          </w:p>
        </w:tc>
      </w:tr>
      <w:tr w:rsidR="005A3E38" w14:paraId="0EE5B093" w14:textId="77777777" w:rsidTr="005A3E38">
        <w:trPr>
          <w:trHeight w:val="288"/>
          <w:jc w:val="center"/>
        </w:trPr>
        <w:tc>
          <w:tcPr>
            <w:tcW w:w="3600" w:type="dxa"/>
            <w:tcBorders>
              <w:top w:val="nil"/>
              <w:left w:val="nil"/>
              <w:bottom w:val="nil"/>
              <w:right w:val="nil"/>
            </w:tcBorders>
            <w:vAlign w:val="center"/>
          </w:tcPr>
          <w:p w14:paraId="57EDD6A1" w14:textId="77777777" w:rsidR="005A3E38" w:rsidRPr="00971EAB" w:rsidRDefault="005A3E38" w:rsidP="00260D7D">
            <w:pPr>
              <w:tabs>
                <w:tab w:val="left" w:pos="567"/>
              </w:tabs>
              <w:rPr>
                <w:rFonts w:asciiTheme="majorBidi" w:hAnsiTheme="majorBidi" w:cstheme="majorBidi"/>
                <w:sz w:val="20"/>
                <w:szCs w:val="20"/>
              </w:rPr>
            </w:pPr>
          </w:p>
        </w:tc>
        <w:tc>
          <w:tcPr>
            <w:tcW w:w="652" w:type="dxa"/>
            <w:tcBorders>
              <w:top w:val="nil"/>
              <w:left w:val="nil"/>
              <w:bottom w:val="nil"/>
              <w:right w:val="nil"/>
            </w:tcBorders>
            <w:vAlign w:val="center"/>
          </w:tcPr>
          <w:p w14:paraId="5A4FC537"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HA</w:t>
            </w:r>
          </w:p>
        </w:tc>
        <w:tc>
          <w:tcPr>
            <w:tcW w:w="1398" w:type="dxa"/>
            <w:gridSpan w:val="2"/>
            <w:tcBorders>
              <w:top w:val="nil"/>
              <w:left w:val="nil"/>
              <w:bottom w:val="nil"/>
              <w:right w:val="nil"/>
            </w:tcBorders>
            <w:vAlign w:val="center"/>
          </w:tcPr>
          <w:p w14:paraId="414DA9F2"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0.92</w:t>
            </w:r>
          </w:p>
        </w:tc>
        <w:tc>
          <w:tcPr>
            <w:tcW w:w="1398" w:type="dxa"/>
            <w:gridSpan w:val="2"/>
            <w:tcBorders>
              <w:top w:val="nil"/>
              <w:left w:val="nil"/>
              <w:bottom w:val="nil"/>
              <w:right w:val="nil"/>
            </w:tcBorders>
            <w:vAlign w:val="center"/>
          </w:tcPr>
          <w:p w14:paraId="5B7D7005"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0.79</w:t>
            </w:r>
          </w:p>
        </w:tc>
        <w:tc>
          <w:tcPr>
            <w:tcW w:w="1398" w:type="dxa"/>
            <w:gridSpan w:val="2"/>
            <w:tcBorders>
              <w:top w:val="nil"/>
              <w:left w:val="nil"/>
              <w:bottom w:val="nil"/>
              <w:right w:val="nil"/>
            </w:tcBorders>
            <w:vAlign w:val="center"/>
          </w:tcPr>
          <w:p w14:paraId="763F581D"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0.86</w:t>
            </w:r>
          </w:p>
        </w:tc>
        <w:tc>
          <w:tcPr>
            <w:tcW w:w="1399" w:type="dxa"/>
            <w:gridSpan w:val="2"/>
            <w:tcBorders>
              <w:top w:val="nil"/>
              <w:left w:val="nil"/>
              <w:bottom w:val="nil"/>
              <w:right w:val="nil"/>
            </w:tcBorders>
            <w:vAlign w:val="center"/>
          </w:tcPr>
          <w:p w14:paraId="77244ABD"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0.95</w:t>
            </w:r>
          </w:p>
        </w:tc>
        <w:tc>
          <w:tcPr>
            <w:tcW w:w="1398" w:type="dxa"/>
            <w:gridSpan w:val="2"/>
            <w:tcBorders>
              <w:top w:val="nil"/>
              <w:left w:val="nil"/>
              <w:bottom w:val="nil"/>
              <w:right w:val="nil"/>
            </w:tcBorders>
            <w:vAlign w:val="center"/>
          </w:tcPr>
          <w:p w14:paraId="46543EC1"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0.85</w:t>
            </w:r>
          </w:p>
        </w:tc>
        <w:tc>
          <w:tcPr>
            <w:tcW w:w="1398" w:type="dxa"/>
            <w:gridSpan w:val="2"/>
            <w:tcBorders>
              <w:top w:val="nil"/>
              <w:left w:val="nil"/>
              <w:bottom w:val="nil"/>
              <w:right w:val="nil"/>
            </w:tcBorders>
            <w:shd w:val="clear" w:color="auto" w:fill="auto"/>
            <w:vAlign w:val="center"/>
          </w:tcPr>
          <w:p w14:paraId="28F842F6"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0.83</w:t>
            </w:r>
          </w:p>
        </w:tc>
        <w:tc>
          <w:tcPr>
            <w:tcW w:w="1399" w:type="dxa"/>
            <w:gridSpan w:val="2"/>
            <w:tcBorders>
              <w:top w:val="nil"/>
              <w:left w:val="nil"/>
              <w:bottom w:val="nil"/>
              <w:right w:val="nil"/>
            </w:tcBorders>
            <w:vAlign w:val="center"/>
          </w:tcPr>
          <w:p w14:paraId="572DB0D5" w14:textId="77777777" w:rsidR="005A3E38" w:rsidRPr="0049067C"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0.93</w:t>
            </w:r>
          </w:p>
        </w:tc>
      </w:tr>
      <w:tr w:rsidR="005A3E38" w14:paraId="26AF386D" w14:textId="77777777" w:rsidTr="005A3E38">
        <w:trPr>
          <w:trHeight w:val="288"/>
          <w:jc w:val="center"/>
        </w:trPr>
        <w:tc>
          <w:tcPr>
            <w:tcW w:w="3600" w:type="dxa"/>
            <w:tcBorders>
              <w:top w:val="nil"/>
              <w:left w:val="nil"/>
              <w:bottom w:val="nil"/>
              <w:right w:val="nil"/>
            </w:tcBorders>
            <w:vAlign w:val="center"/>
          </w:tcPr>
          <w:p w14:paraId="1CB3BF09" w14:textId="77777777" w:rsidR="005A3E38" w:rsidRPr="00971EAB" w:rsidRDefault="005A3E38" w:rsidP="00260D7D">
            <w:pPr>
              <w:tabs>
                <w:tab w:val="left" w:pos="567"/>
              </w:tabs>
              <w:rPr>
                <w:rFonts w:asciiTheme="majorBidi" w:hAnsiTheme="majorBidi" w:cstheme="majorBidi"/>
                <w:sz w:val="20"/>
                <w:szCs w:val="20"/>
              </w:rPr>
            </w:pPr>
          </w:p>
        </w:tc>
        <w:tc>
          <w:tcPr>
            <w:tcW w:w="652" w:type="dxa"/>
            <w:tcBorders>
              <w:top w:val="nil"/>
              <w:left w:val="nil"/>
              <w:bottom w:val="nil"/>
              <w:right w:val="nil"/>
            </w:tcBorders>
            <w:vAlign w:val="center"/>
          </w:tcPr>
          <w:p w14:paraId="36B4889F"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DE</w:t>
            </w:r>
          </w:p>
        </w:tc>
        <w:tc>
          <w:tcPr>
            <w:tcW w:w="1398" w:type="dxa"/>
            <w:gridSpan w:val="2"/>
            <w:tcBorders>
              <w:top w:val="nil"/>
              <w:left w:val="nil"/>
              <w:bottom w:val="nil"/>
              <w:right w:val="nil"/>
            </w:tcBorders>
            <w:vAlign w:val="center"/>
          </w:tcPr>
          <w:p w14:paraId="46EA191F"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0.92</w:t>
            </w:r>
          </w:p>
        </w:tc>
        <w:tc>
          <w:tcPr>
            <w:tcW w:w="1398" w:type="dxa"/>
            <w:gridSpan w:val="2"/>
            <w:tcBorders>
              <w:top w:val="nil"/>
              <w:left w:val="nil"/>
              <w:bottom w:val="nil"/>
              <w:right w:val="nil"/>
            </w:tcBorders>
            <w:vAlign w:val="center"/>
          </w:tcPr>
          <w:p w14:paraId="1DD2A08B"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0.80</w:t>
            </w:r>
          </w:p>
        </w:tc>
        <w:tc>
          <w:tcPr>
            <w:tcW w:w="1398" w:type="dxa"/>
            <w:gridSpan w:val="2"/>
            <w:tcBorders>
              <w:top w:val="nil"/>
              <w:left w:val="nil"/>
              <w:bottom w:val="nil"/>
              <w:right w:val="nil"/>
            </w:tcBorders>
            <w:vAlign w:val="center"/>
          </w:tcPr>
          <w:p w14:paraId="3465A5A6"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0.88</w:t>
            </w:r>
          </w:p>
        </w:tc>
        <w:tc>
          <w:tcPr>
            <w:tcW w:w="1399" w:type="dxa"/>
            <w:gridSpan w:val="2"/>
            <w:tcBorders>
              <w:top w:val="nil"/>
              <w:left w:val="nil"/>
              <w:bottom w:val="nil"/>
              <w:right w:val="nil"/>
            </w:tcBorders>
            <w:vAlign w:val="center"/>
          </w:tcPr>
          <w:p w14:paraId="3A90B123"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0.89</w:t>
            </w:r>
          </w:p>
        </w:tc>
        <w:tc>
          <w:tcPr>
            <w:tcW w:w="1398" w:type="dxa"/>
            <w:gridSpan w:val="2"/>
            <w:tcBorders>
              <w:top w:val="nil"/>
              <w:left w:val="nil"/>
              <w:bottom w:val="nil"/>
              <w:right w:val="nil"/>
            </w:tcBorders>
            <w:vAlign w:val="center"/>
          </w:tcPr>
          <w:p w14:paraId="5BE871C4"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0.88</w:t>
            </w:r>
          </w:p>
        </w:tc>
        <w:tc>
          <w:tcPr>
            <w:tcW w:w="1398" w:type="dxa"/>
            <w:gridSpan w:val="2"/>
            <w:tcBorders>
              <w:top w:val="nil"/>
              <w:left w:val="nil"/>
              <w:bottom w:val="nil"/>
              <w:right w:val="nil"/>
            </w:tcBorders>
            <w:shd w:val="clear" w:color="auto" w:fill="auto"/>
            <w:vAlign w:val="center"/>
          </w:tcPr>
          <w:p w14:paraId="7F61552D"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0.90</w:t>
            </w:r>
          </w:p>
        </w:tc>
        <w:tc>
          <w:tcPr>
            <w:tcW w:w="1399" w:type="dxa"/>
            <w:gridSpan w:val="2"/>
            <w:tcBorders>
              <w:top w:val="nil"/>
              <w:left w:val="nil"/>
              <w:bottom w:val="nil"/>
              <w:right w:val="nil"/>
            </w:tcBorders>
            <w:vAlign w:val="center"/>
          </w:tcPr>
          <w:p w14:paraId="540D8B8B" w14:textId="77777777" w:rsidR="005A3E38" w:rsidRPr="0049067C"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0.93</w:t>
            </w:r>
          </w:p>
        </w:tc>
      </w:tr>
      <w:tr w:rsidR="005A3E38" w14:paraId="1E8988A1" w14:textId="77777777" w:rsidTr="005A3E38">
        <w:trPr>
          <w:trHeight w:val="288"/>
          <w:jc w:val="center"/>
        </w:trPr>
        <w:tc>
          <w:tcPr>
            <w:tcW w:w="3600" w:type="dxa"/>
            <w:tcBorders>
              <w:top w:val="nil"/>
              <w:left w:val="nil"/>
              <w:bottom w:val="single" w:sz="8" w:space="0" w:color="auto"/>
              <w:right w:val="nil"/>
            </w:tcBorders>
            <w:vAlign w:val="center"/>
          </w:tcPr>
          <w:p w14:paraId="2B147AC7" w14:textId="77777777" w:rsidR="005A3E38" w:rsidRPr="00971EAB" w:rsidRDefault="005A3E38" w:rsidP="00260D7D">
            <w:pPr>
              <w:tabs>
                <w:tab w:val="left" w:pos="567"/>
              </w:tabs>
              <w:rPr>
                <w:rFonts w:asciiTheme="majorBidi" w:hAnsiTheme="majorBidi" w:cstheme="majorBidi"/>
                <w:sz w:val="20"/>
                <w:szCs w:val="20"/>
              </w:rPr>
            </w:pPr>
          </w:p>
        </w:tc>
        <w:tc>
          <w:tcPr>
            <w:tcW w:w="652" w:type="dxa"/>
            <w:tcBorders>
              <w:top w:val="nil"/>
              <w:left w:val="nil"/>
              <w:bottom w:val="single" w:sz="8" w:space="0" w:color="auto"/>
              <w:right w:val="nil"/>
            </w:tcBorders>
            <w:vAlign w:val="center"/>
          </w:tcPr>
          <w:p w14:paraId="4BB6DB37"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NN</w:t>
            </w:r>
          </w:p>
        </w:tc>
        <w:tc>
          <w:tcPr>
            <w:tcW w:w="1398" w:type="dxa"/>
            <w:gridSpan w:val="2"/>
            <w:tcBorders>
              <w:top w:val="nil"/>
              <w:left w:val="nil"/>
              <w:bottom w:val="single" w:sz="8" w:space="0" w:color="auto"/>
              <w:right w:val="nil"/>
            </w:tcBorders>
            <w:vAlign w:val="center"/>
          </w:tcPr>
          <w:p w14:paraId="4104AC4A"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0.93</w:t>
            </w:r>
          </w:p>
        </w:tc>
        <w:tc>
          <w:tcPr>
            <w:tcW w:w="1398" w:type="dxa"/>
            <w:gridSpan w:val="2"/>
            <w:tcBorders>
              <w:top w:val="nil"/>
              <w:left w:val="nil"/>
              <w:bottom w:val="single" w:sz="8" w:space="0" w:color="auto"/>
              <w:right w:val="nil"/>
            </w:tcBorders>
            <w:vAlign w:val="center"/>
          </w:tcPr>
          <w:p w14:paraId="6B526E85"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0.83</w:t>
            </w:r>
          </w:p>
        </w:tc>
        <w:tc>
          <w:tcPr>
            <w:tcW w:w="1398" w:type="dxa"/>
            <w:gridSpan w:val="2"/>
            <w:tcBorders>
              <w:top w:val="nil"/>
              <w:left w:val="nil"/>
              <w:bottom w:val="single" w:sz="8" w:space="0" w:color="auto"/>
              <w:right w:val="nil"/>
            </w:tcBorders>
            <w:vAlign w:val="center"/>
          </w:tcPr>
          <w:p w14:paraId="5466C3C6"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0.89</w:t>
            </w:r>
          </w:p>
        </w:tc>
        <w:tc>
          <w:tcPr>
            <w:tcW w:w="1399" w:type="dxa"/>
            <w:gridSpan w:val="2"/>
            <w:tcBorders>
              <w:top w:val="nil"/>
              <w:left w:val="nil"/>
              <w:bottom w:val="single" w:sz="8" w:space="0" w:color="auto"/>
              <w:right w:val="nil"/>
            </w:tcBorders>
            <w:vAlign w:val="center"/>
          </w:tcPr>
          <w:p w14:paraId="05716CA8"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0.88</w:t>
            </w:r>
          </w:p>
        </w:tc>
        <w:tc>
          <w:tcPr>
            <w:tcW w:w="1398" w:type="dxa"/>
            <w:gridSpan w:val="2"/>
            <w:tcBorders>
              <w:top w:val="nil"/>
              <w:left w:val="nil"/>
              <w:bottom w:val="single" w:sz="8" w:space="0" w:color="auto"/>
              <w:right w:val="nil"/>
            </w:tcBorders>
            <w:vAlign w:val="center"/>
          </w:tcPr>
          <w:p w14:paraId="6B6227D2"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0.86</w:t>
            </w:r>
          </w:p>
        </w:tc>
        <w:tc>
          <w:tcPr>
            <w:tcW w:w="1398" w:type="dxa"/>
            <w:gridSpan w:val="2"/>
            <w:tcBorders>
              <w:top w:val="nil"/>
              <w:left w:val="nil"/>
              <w:bottom w:val="single" w:sz="8" w:space="0" w:color="auto"/>
              <w:right w:val="nil"/>
            </w:tcBorders>
            <w:shd w:val="clear" w:color="auto" w:fill="auto"/>
            <w:vAlign w:val="center"/>
          </w:tcPr>
          <w:p w14:paraId="2F9E855F"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0.83</w:t>
            </w:r>
          </w:p>
        </w:tc>
        <w:tc>
          <w:tcPr>
            <w:tcW w:w="1399" w:type="dxa"/>
            <w:gridSpan w:val="2"/>
            <w:tcBorders>
              <w:top w:val="nil"/>
              <w:left w:val="nil"/>
              <w:bottom w:val="single" w:sz="8" w:space="0" w:color="auto"/>
              <w:right w:val="nil"/>
            </w:tcBorders>
            <w:vAlign w:val="center"/>
          </w:tcPr>
          <w:p w14:paraId="6F6F5E82" w14:textId="77777777" w:rsidR="005A3E38" w:rsidRPr="0049067C"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0.94</w:t>
            </w:r>
          </w:p>
        </w:tc>
      </w:tr>
      <w:tr w:rsidR="005A3E38" w14:paraId="4E529613" w14:textId="77777777" w:rsidTr="005A3E38">
        <w:trPr>
          <w:trHeight w:val="288"/>
          <w:jc w:val="center"/>
        </w:trPr>
        <w:tc>
          <w:tcPr>
            <w:tcW w:w="3600" w:type="dxa"/>
            <w:tcBorders>
              <w:top w:val="nil"/>
              <w:left w:val="nil"/>
              <w:bottom w:val="nil"/>
              <w:right w:val="nil"/>
            </w:tcBorders>
            <w:vAlign w:val="center"/>
          </w:tcPr>
          <w:p w14:paraId="1D4B5571" w14:textId="77777777" w:rsidR="005A3E38" w:rsidRPr="00971EAB" w:rsidRDefault="005A3E38" w:rsidP="00260D7D">
            <w:pPr>
              <w:tabs>
                <w:tab w:val="left" w:pos="567"/>
              </w:tabs>
              <w:rPr>
                <w:rFonts w:asciiTheme="majorBidi" w:hAnsiTheme="majorBidi" w:cstheme="majorBidi"/>
                <w:sz w:val="20"/>
                <w:szCs w:val="20"/>
              </w:rPr>
            </w:pPr>
            <w:r>
              <w:rPr>
                <w:rFonts w:asciiTheme="majorBidi" w:hAnsiTheme="majorBidi" w:cstheme="majorBidi"/>
                <w:sz w:val="20"/>
                <w:szCs w:val="20"/>
              </w:rPr>
              <w:t>Out-of-sample Forecast Accuracy</w:t>
            </w:r>
          </w:p>
        </w:tc>
        <w:tc>
          <w:tcPr>
            <w:tcW w:w="652" w:type="dxa"/>
            <w:tcBorders>
              <w:top w:val="nil"/>
              <w:left w:val="nil"/>
              <w:bottom w:val="nil"/>
              <w:right w:val="nil"/>
            </w:tcBorders>
            <w:vAlign w:val="center"/>
          </w:tcPr>
          <w:p w14:paraId="6E19986E"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DA</w:t>
            </w:r>
          </w:p>
        </w:tc>
        <w:tc>
          <w:tcPr>
            <w:tcW w:w="1398" w:type="dxa"/>
            <w:gridSpan w:val="2"/>
            <w:tcBorders>
              <w:top w:val="nil"/>
              <w:left w:val="nil"/>
              <w:bottom w:val="nil"/>
              <w:right w:val="nil"/>
            </w:tcBorders>
            <w:vAlign w:val="center"/>
          </w:tcPr>
          <w:p w14:paraId="66F99FA1"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0.68</w:t>
            </w:r>
          </w:p>
        </w:tc>
        <w:tc>
          <w:tcPr>
            <w:tcW w:w="1398" w:type="dxa"/>
            <w:gridSpan w:val="2"/>
            <w:tcBorders>
              <w:top w:val="nil"/>
              <w:left w:val="nil"/>
              <w:bottom w:val="nil"/>
              <w:right w:val="nil"/>
            </w:tcBorders>
            <w:vAlign w:val="center"/>
          </w:tcPr>
          <w:p w14:paraId="116DE471"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0.59</w:t>
            </w:r>
          </w:p>
        </w:tc>
        <w:tc>
          <w:tcPr>
            <w:tcW w:w="1398" w:type="dxa"/>
            <w:gridSpan w:val="2"/>
            <w:tcBorders>
              <w:top w:val="nil"/>
              <w:left w:val="nil"/>
              <w:bottom w:val="nil"/>
              <w:right w:val="nil"/>
            </w:tcBorders>
            <w:vAlign w:val="center"/>
          </w:tcPr>
          <w:p w14:paraId="3FE18DAE"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0.71</w:t>
            </w:r>
          </w:p>
        </w:tc>
        <w:tc>
          <w:tcPr>
            <w:tcW w:w="1399" w:type="dxa"/>
            <w:gridSpan w:val="2"/>
            <w:tcBorders>
              <w:top w:val="nil"/>
              <w:left w:val="nil"/>
              <w:bottom w:val="nil"/>
              <w:right w:val="nil"/>
            </w:tcBorders>
            <w:vAlign w:val="center"/>
          </w:tcPr>
          <w:p w14:paraId="4B0522C1"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0.76</w:t>
            </w:r>
          </w:p>
        </w:tc>
        <w:tc>
          <w:tcPr>
            <w:tcW w:w="1398" w:type="dxa"/>
            <w:gridSpan w:val="2"/>
            <w:tcBorders>
              <w:top w:val="nil"/>
              <w:left w:val="nil"/>
              <w:bottom w:val="nil"/>
              <w:right w:val="nil"/>
            </w:tcBorders>
            <w:vAlign w:val="center"/>
          </w:tcPr>
          <w:p w14:paraId="1F131816"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0.68</w:t>
            </w:r>
          </w:p>
        </w:tc>
        <w:tc>
          <w:tcPr>
            <w:tcW w:w="1398" w:type="dxa"/>
            <w:gridSpan w:val="2"/>
            <w:tcBorders>
              <w:top w:val="nil"/>
              <w:left w:val="nil"/>
              <w:bottom w:val="nil"/>
              <w:right w:val="nil"/>
            </w:tcBorders>
            <w:shd w:val="clear" w:color="auto" w:fill="auto"/>
            <w:vAlign w:val="center"/>
          </w:tcPr>
          <w:p w14:paraId="3A8FD2E4"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0.67</w:t>
            </w:r>
          </w:p>
        </w:tc>
        <w:tc>
          <w:tcPr>
            <w:tcW w:w="1399" w:type="dxa"/>
            <w:gridSpan w:val="2"/>
            <w:tcBorders>
              <w:top w:val="nil"/>
              <w:left w:val="nil"/>
              <w:bottom w:val="nil"/>
              <w:right w:val="nil"/>
            </w:tcBorders>
            <w:vAlign w:val="center"/>
          </w:tcPr>
          <w:p w14:paraId="3A9A58EF" w14:textId="77777777" w:rsidR="005A3E38" w:rsidRPr="0049067C"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0.71</w:t>
            </w:r>
          </w:p>
        </w:tc>
      </w:tr>
      <w:tr w:rsidR="005A3E38" w14:paraId="4E2CF788" w14:textId="77777777" w:rsidTr="005A3E38">
        <w:trPr>
          <w:trHeight w:val="288"/>
          <w:jc w:val="center"/>
        </w:trPr>
        <w:tc>
          <w:tcPr>
            <w:tcW w:w="3600" w:type="dxa"/>
            <w:tcBorders>
              <w:top w:val="nil"/>
              <w:left w:val="nil"/>
              <w:bottom w:val="nil"/>
              <w:right w:val="nil"/>
            </w:tcBorders>
            <w:vAlign w:val="center"/>
          </w:tcPr>
          <w:p w14:paraId="51543B28" w14:textId="77777777" w:rsidR="005A3E38" w:rsidRPr="00971EAB" w:rsidRDefault="005A3E38" w:rsidP="00260D7D">
            <w:pPr>
              <w:tabs>
                <w:tab w:val="left" w:pos="567"/>
              </w:tabs>
              <w:rPr>
                <w:rFonts w:asciiTheme="majorBidi" w:hAnsiTheme="majorBidi" w:cstheme="majorBidi"/>
                <w:sz w:val="20"/>
                <w:szCs w:val="20"/>
              </w:rPr>
            </w:pPr>
          </w:p>
        </w:tc>
        <w:tc>
          <w:tcPr>
            <w:tcW w:w="652" w:type="dxa"/>
            <w:tcBorders>
              <w:top w:val="nil"/>
              <w:left w:val="nil"/>
              <w:bottom w:val="nil"/>
              <w:right w:val="nil"/>
            </w:tcBorders>
            <w:vAlign w:val="center"/>
          </w:tcPr>
          <w:p w14:paraId="276E48B9"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LR</w:t>
            </w:r>
          </w:p>
        </w:tc>
        <w:tc>
          <w:tcPr>
            <w:tcW w:w="1398" w:type="dxa"/>
            <w:gridSpan w:val="2"/>
            <w:tcBorders>
              <w:top w:val="nil"/>
              <w:left w:val="nil"/>
              <w:bottom w:val="nil"/>
              <w:right w:val="nil"/>
            </w:tcBorders>
            <w:vAlign w:val="center"/>
          </w:tcPr>
          <w:p w14:paraId="4CE896DB"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0.66</w:t>
            </w:r>
          </w:p>
        </w:tc>
        <w:tc>
          <w:tcPr>
            <w:tcW w:w="1398" w:type="dxa"/>
            <w:gridSpan w:val="2"/>
            <w:tcBorders>
              <w:top w:val="nil"/>
              <w:left w:val="nil"/>
              <w:bottom w:val="nil"/>
              <w:right w:val="nil"/>
            </w:tcBorders>
            <w:vAlign w:val="center"/>
          </w:tcPr>
          <w:p w14:paraId="11F02B80"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0.58</w:t>
            </w:r>
          </w:p>
        </w:tc>
        <w:tc>
          <w:tcPr>
            <w:tcW w:w="1398" w:type="dxa"/>
            <w:gridSpan w:val="2"/>
            <w:tcBorders>
              <w:top w:val="nil"/>
              <w:left w:val="nil"/>
              <w:bottom w:val="nil"/>
              <w:right w:val="nil"/>
            </w:tcBorders>
            <w:vAlign w:val="center"/>
          </w:tcPr>
          <w:p w14:paraId="45C17C1B"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0.68</w:t>
            </w:r>
          </w:p>
        </w:tc>
        <w:tc>
          <w:tcPr>
            <w:tcW w:w="1399" w:type="dxa"/>
            <w:gridSpan w:val="2"/>
            <w:tcBorders>
              <w:top w:val="nil"/>
              <w:left w:val="nil"/>
              <w:bottom w:val="nil"/>
              <w:right w:val="nil"/>
            </w:tcBorders>
            <w:vAlign w:val="center"/>
          </w:tcPr>
          <w:p w14:paraId="2AC2F0E6"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0.79</w:t>
            </w:r>
          </w:p>
        </w:tc>
        <w:tc>
          <w:tcPr>
            <w:tcW w:w="1398" w:type="dxa"/>
            <w:gridSpan w:val="2"/>
            <w:tcBorders>
              <w:top w:val="nil"/>
              <w:left w:val="nil"/>
              <w:bottom w:val="nil"/>
              <w:right w:val="nil"/>
            </w:tcBorders>
            <w:vAlign w:val="center"/>
          </w:tcPr>
          <w:p w14:paraId="13A08046"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0.75</w:t>
            </w:r>
          </w:p>
        </w:tc>
        <w:tc>
          <w:tcPr>
            <w:tcW w:w="1398" w:type="dxa"/>
            <w:gridSpan w:val="2"/>
            <w:tcBorders>
              <w:top w:val="nil"/>
              <w:left w:val="nil"/>
              <w:bottom w:val="nil"/>
              <w:right w:val="nil"/>
            </w:tcBorders>
            <w:shd w:val="clear" w:color="auto" w:fill="auto"/>
            <w:vAlign w:val="center"/>
          </w:tcPr>
          <w:p w14:paraId="0F65B34E"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0.63</w:t>
            </w:r>
          </w:p>
        </w:tc>
        <w:tc>
          <w:tcPr>
            <w:tcW w:w="1399" w:type="dxa"/>
            <w:gridSpan w:val="2"/>
            <w:tcBorders>
              <w:top w:val="nil"/>
              <w:left w:val="nil"/>
              <w:bottom w:val="nil"/>
              <w:right w:val="nil"/>
            </w:tcBorders>
            <w:vAlign w:val="center"/>
          </w:tcPr>
          <w:p w14:paraId="4B9C81D0" w14:textId="77777777" w:rsidR="005A3E38" w:rsidRPr="0049067C"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0.67</w:t>
            </w:r>
          </w:p>
        </w:tc>
      </w:tr>
      <w:tr w:rsidR="005A3E38" w14:paraId="16FF625F" w14:textId="77777777" w:rsidTr="005A3E38">
        <w:trPr>
          <w:trHeight w:val="288"/>
          <w:jc w:val="center"/>
        </w:trPr>
        <w:tc>
          <w:tcPr>
            <w:tcW w:w="3600" w:type="dxa"/>
            <w:tcBorders>
              <w:top w:val="nil"/>
              <w:left w:val="nil"/>
              <w:bottom w:val="nil"/>
              <w:right w:val="nil"/>
            </w:tcBorders>
            <w:vAlign w:val="center"/>
          </w:tcPr>
          <w:p w14:paraId="2E20F69F" w14:textId="77777777" w:rsidR="005A3E38" w:rsidRPr="00971EAB" w:rsidRDefault="005A3E38" w:rsidP="00260D7D">
            <w:pPr>
              <w:tabs>
                <w:tab w:val="left" w:pos="567"/>
              </w:tabs>
              <w:rPr>
                <w:rFonts w:asciiTheme="majorBidi" w:hAnsiTheme="majorBidi" w:cstheme="majorBidi"/>
                <w:sz w:val="20"/>
                <w:szCs w:val="20"/>
              </w:rPr>
            </w:pPr>
          </w:p>
        </w:tc>
        <w:tc>
          <w:tcPr>
            <w:tcW w:w="652" w:type="dxa"/>
            <w:tcBorders>
              <w:top w:val="nil"/>
              <w:left w:val="nil"/>
              <w:bottom w:val="nil"/>
              <w:right w:val="nil"/>
            </w:tcBorders>
            <w:vAlign w:val="center"/>
          </w:tcPr>
          <w:p w14:paraId="41A1FFEA"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HA</w:t>
            </w:r>
          </w:p>
        </w:tc>
        <w:tc>
          <w:tcPr>
            <w:tcW w:w="1398" w:type="dxa"/>
            <w:gridSpan w:val="2"/>
            <w:tcBorders>
              <w:top w:val="nil"/>
              <w:left w:val="nil"/>
              <w:bottom w:val="nil"/>
              <w:right w:val="nil"/>
            </w:tcBorders>
            <w:vAlign w:val="center"/>
          </w:tcPr>
          <w:p w14:paraId="7EE378CA"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0.69</w:t>
            </w:r>
          </w:p>
        </w:tc>
        <w:tc>
          <w:tcPr>
            <w:tcW w:w="1398" w:type="dxa"/>
            <w:gridSpan w:val="2"/>
            <w:tcBorders>
              <w:top w:val="nil"/>
              <w:left w:val="nil"/>
              <w:bottom w:val="nil"/>
              <w:right w:val="nil"/>
            </w:tcBorders>
            <w:vAlign w:val="center"/>
          </w:tcPr>
          <w:p w14:paraId="779DD3D7"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0.61</w:t>
            </w:r>
          </w:p>
        </w:tc>
        <w:tc>
          <w:tcPr>
            <w:tcW w:w="1398" w:type="dxa"/>
            <w:gridSpan w:val="2"/>
            <w:tcBorders>
              <w:top w:val="nil"/>
              <w:left w:val="nil"/>
              <w:bottom w:val="nil"/>
              <w:right w:val="nil"/>
            </w:tcBorders>
            <w:vAlign w:val="center"/>
          </w:tcPr>
          <w:p w14:paraId="7CD4E60C"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0.67</w:t>
            </w:r>
          </w:p>
        </w:tc>
        <w:tc>
          <w:tcPr>
            <w:tcW w:w="1399" w:type="dxa"/>
            <w:gridSpan w:val="2"/>
            <w:tcBorders>
              <w:top w:val="nil"/>
              <w:left w:val="nil"/>
              <w:bottom w:val="nil"/>
              <w:right w:val="nil"/>
            </w:tcBorders>
            <w:vAlign w:val="center"/>
          </w:tcPr>
          <w:p w14:paraId="0E8A5FCF"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0.81</w:t>
            </w:r>
          </w:p>
        </w:tc>
        <w:tc>
          <w:tcPr>
            <w:tcW w:w="1398" w:type="dxa"/>
            <w:gridSpan w:val="2"/>
            <w:tcBorders>
              <w:top w:val="nil"/>
              <w:left w:val="nil"/>
              <w:bottom w:val="nil"/>
              <w:right w:val="nil"/>
            </w:tcBorders>
            <w:vAlign w:val="center"/>
          </w:tcPr>
          <w:p w14:paraId="6D8A4F01"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0.78</w:t>
            </w:r>
          </w:p>
        </w:tc>
        <w:tc>
          <w:tcPr>
            <w:tcW w:w="1398" w:type="dxa"/>
            <w:gridSpan w:val="2"/>
            <w:tcBorders>
              <w:top w:val="nil"/>
              <w:left w:val="nil"/>
              <w:bottom w:val="nil"/>
              <w:right w:val="nil"/>
            </w:tcBorders>
            <w:shd w:val="clear" w:color="auto" w:fill="auto"/>
            <w:vAlign w:val="center"/>
          </w:tcPr>
          <w:p w14:paraId="6E05CC27" w14:textId="77777777" w:rsidR="005A3E38" w:rsidRPr="00971EAB"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0.66</w:t>
            </w:r>
          </w:p>
        </w:tc>
        <w:tc>
          <w:tcPr>
            <w:tcW w:w="1399" w:type="dxa"/>
            <w:gridSpan w:val="2"/>
            <w:tcBorders>
              <w:top w:val="nil"/>
              <w:left w:val="nil"/>
              <w:bottom w:val="nil"/>
              <w:right w:val="nil"/>
            </w:tcBorders>
            <w:vAlign w:val="center"/>
          </w:tcPr>
          <w:p w14:paraId="6F75D87F" w14:textId="77777777" w:rsidR="005A3E38" w:rsidRPr="0049067C" w:rsidRDefault="005A3E38"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0.72</w:t>
            </w:r>
          </w:p>
        </w:tc>
      </w:tr>
      <w:tr w:rsidR="00817B82" w14:paraId="58FB39F9" w14:textId="77777777" w:rsidTr="005A3E38">
        <w:trPr>
          <w:trHeight w:val="288"/>
          <w:jc w:val="center"/>
        </w:trPr>
        <w:tc>
          <w:tcPr>
            <w:tcW w:w="3600" w:type="dxa"/>
            <w:tcBorders>
              <w:top w:val="nil"/>
              <w:left w:val="nil"/>
              <w:bottom w:val="nil"/>
              <w:right w:val="nil"/>
            </w:tcBorders>
            <w:vAlign w:val="center"/>
          </w:tcPr>
          <w:p w14:paraId="5E6D8F15" w14:textId="77777777" w:rsidR="00817B82" w:rsidRPr="00971EAB" w:rsidRDefault="00817B82" w:rsidP="00260D7D">
            <w:pPr>
              <w:tabs>
                <w:tab w:val="left" w:pos="567"/>
              </w:tabs>
              <w:rPr>
                <w:rFonts w:asciiTheme="majorBidi" w:hAnsiTheme="majorBidi" w:cstheme="majorBidi"/>
                <w:sz w:val="20"/>
                <w:szCs w:val="20"/>
              </w:rPr>
            </w:pPr>
          </w:p>
        </w:tc>
        <w:tc>
          <w:tcPr>
            <w:tcW w:w="652" w:type="dxa"/>
            <w:tcBorders>
              <w:top w:val="nil"/>
              <w:left w:val="nil"/>
              <w:bottom w:val="nil"/>
              <w:right w:val="nil"/>
            </w:tcBorders>
            <w:vAlign w:val="center"/>
          </w:tcPr>
          <w:p w14:paraId="2C16F7CA" w14:textId="77777777" w:rsidR="00817B82" w:rsidRPr="00971EAB" w:rsidRDefault="00817B82"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DE</w:t>
            </w:r>
          </w:p>
        </w:tc>
        <w:tc>
          <w:tcPr>
            <w:tcW w:w="1398" w:type="dxa"/>
            <w:gridSpan w:val="2"/>
            <w:tcBorders>
              <w:top w:val="nil"/>
              <w:left w:val="nil"/>
              <w:bottom w:val="nil"/>
              <w:right w:val="nil"/>
            </w:tcBorders>
            <w:vAlign w:val="center"/>
          </w:tcPr>
          <w:p w14:paraId="082CCE16" w14:textId="77777777" w:rsidR="00817B82" w:rsidRDefault="004C2965"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0.72</w:t>
            </w:r>
          </w:p>
        </w:tc>
        <w:tc>
          <w:tcPr>
            <w:tcW w:w="1398" w:type="dxa"/>
            <w:gridSpan w:val="2"/>
            <w:tcBorders>
              <w:top w:val="nil"/>
              <w:left w:val="nil"/>
              <w:bottom w:val="nil"/>
              <w:right w:val="nil"/>
            </w:tcBorders>
            <w:vAlign w:val="center"/>
          </w:tcPr>
          <w:p w14:paraId="39EAE355" w14:textId="77777777" w:rsidR="00817B82" w:rsidRDefault="004C2965"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0.69</w:t>
            </w:r>
          </w:p>
        </w:tc>
        <w:tc>
          <w:tcPr>
            <w:tcW w:w="1398" w:type="dxa"/>
            <w:gridSpan w:val="2"/>
            <w:tcBorders>
              <w:top w:val="nil"/>
              <w:left w:val="nil"/>
              <w:bottom w:val="nil"/>
              <w:right w:val="nil"/>
            </w:tcBorders>
            <w:vAlign w:val="center"/>
          </w:tcPr>
          <w:p w14:paraId="031FF658" w14:textId="77777777" w:rsidR="00817B82" w:rsidRDefault="004C2965"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0.76</w:t>
            </w:r>
          </w:p>
        </w:tc>
        <w:tc>
          <w:tcPr>
            <w:tcW w:w="1399" w:type="dxa"/>
            <w:gridSpan w:val="2"/>
            <w:tcBorders>
              <w:top w:val="nil"/>
              <w:left w:val="nil"/>
              <w:bottom w:val="nil"/>
              <w:right w:val="nil"/>
            </w:tcBorders>
            <w:vAlign w:val="center"/>
          </w:tcPr>
          <w:p w14:paraId="7C3A45DD" w14:textId="77777777" w:rsidR="00817B82" w:rsidRDefault="00915FE1"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0.83</w:t>
            </w:r>
          </w:p>
        </w:tc>
        <w:tc>
          <w:tcPr>
            <w:tcW w:w="1398" w:type="dxa"/>
            <w:gridSpan w:val="2"/>
            <w:tcBorders>
              <w:top w:val="nil"/>
              <w:left w:val="nil"/>
              <w:bottom w:val="nil"/>
              <w:right w:val="nil"/>
            </w:tcBorders>
            <w:vAlign w:val="center"/>
          </w:tcPr>
          <w:p w14:paraId="62971C75" w14:textId="77777777" w:rsidR="00817B82" w:rsidRDefault="00915FE1"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0.79</w:t>
            </w:r>
          </w:p>
        </w:tc>
        <w:tc>
          <w:tcPr>
            <w:tcW w:w="1398" w:type="dxa"/>
            <w:gridSpan w:val="2"/>
            <w:tcBorders>
              <w:top w:val="nil"/>
              <w:left w:val="nil"/>
              <w:bottom w:val="nil"/>
              <w:right w:val="nil"/>
            </w:tcBorders>
            <w:shd w:val="clear" w:color="auto" w:fill="auto"/>
            <w:vAlign w:val="center"/>
          </w:tcPr>
          <w:p w14:paraId="5A2B97EF" w14:textId="77777777" w:rsidR="00817B82" w:rsidRDefault="00915FE1"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w:t>
            </w:r>
            <w:r w:rsidR="00525657">
              <w:rPr>
                <w:rFonts w:asciiTheme="majorBidi" w:hAnsiTheme="majorBidi" w:cstheme="majorBidi"/>
                <w:sz w:val="20"/>
                <w:szCs w:val="20"/>
              </w:rPr>
              <w:t>5</w:t>
            </w:r>
          </w:p>
        </w:tc>
        <w:tc>
          <w:tcPr>
            <w:tcW w:w="1399" w:type="dxa"/>
            <w:gridSpan w:val="2"/>
            <w:tcBorders>
              <w:top w:val="nil"/>
              <w:left w:val="nil"/>
              <w:bottom w:val="nil"/>
              <w:right w:val="nil"/>
            </w:tcBorders>
            <w:vAlign w:val="center"/>
          </w:tcPr>
          <w:p w14:paraId="55708716" w14:textId="77777777" w:rsidR="00817B82" w:rsidRDefault="00915FE1"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0.75</w:t>
            </w:r>
          </w:p>
        </w:tc>
      </w:tr>
      <w:tr w:rsidR="00817B82" w14:paraId="3E46FBE5" w14:textId="77777777" w:rsidTr="005A3E38">
        <w:trPr>
          <w:trHeight w:val="288"/>
          <w:jc w:val="center"/>
        </w:trPr>
        <w:tc>
          <w:tcPr>
            <w:tcW w:w="3600" w:type="dxa"/>
            <w:tcBorders>
              <w:top w:val="nil"/>
              <w:left w:val="nil"/>
              <w:bottom w:val="nil"/>
              <w:right w:val="nil"/>
            </w:tcBorders>
            <w:vAlign w:val="center"/>
          </w:tcPr>
          <w:p w14:paraId="38EBDD46" w14:textId="77777777" w:rsidR="00817B82" w:rsidRPr="00971EAB" w:rsidRDefault="00817B82" w:rsidP="00260D7D">
            <w:pPr>
              <w:tabs>
                <w:tab w:val="left" w:pos="567"/>
              </w:tabs>
              <w:rPr>
                <w:rFonts w:asciiTheme="majorBidi" w:hAnsiTheme="majorBidi" w:cstheme="majorBidi"/>
                <w:sz w:val="20"/>
                <w:szCs w:val="20"/>
              </w:rPr>
            </w:pPr>
          </w:p>
        </w:tc>
        <w:tc>
          <w:tcPr>
            <w:tcW w:w="652" w:type="dxa"/>
            <w:tcBorders>
              <w:top w:val="nil"/>
              <w:left w:val="nil"/>
              <w:bottom w:val="nil"/>
              <w:right w:val="nil"/>
            </w:tcBorders>
            <w:vAlign w:val="center"/>
          </w:tcPr>
          <w:p w14:paraId="4B949BC6" w14:textId="77777777" w:rsidR="00817B82" w:rsidRPr="00971EAB" w:rsidRDefault="00817B82"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NN</w:t>
            </w:r>
          </w:p>
        </w:tc>
        <w:tc>
          <w:tcPr>
            <w:tcW w:w="1398" w:type="dxa"/>
            <w:gridSpan w:val="2"/>
            <w:tcBorders>
              <w:top w:val="nil"/>
              <w:left w:val="nil"/>
              <w:bottom w:val="nil"/>
              <w:right w:val="nil"/>
            </w:tcBorders>
            <w:vAlign w:val="center"/>
          </w:tcPr>
          <w:p w14:paraId="1F28D080" w14:textId="77777777" w:rsidR="00817B82" w:rsidRDefault="004C2965"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0.74</w:t>
            </w:r>
          </w:p>
        </w:tc>
        <w:tc>
          <w:tcPr>
            <w:tcW w:w="1398" w:type="dxa"/>
            <w:gridSpan w:val="2"/>
            <w:tcBorders>
              <w:top w:val="nil"/>
              <w:left w:val="nil"/>
              <w:bottom w:val="nil"/>
              <w:right w:val="nil"/>
            </w:tcBorders>
            <w:vAlign w:val="center"/>
          </w:tcPr>
          <w:p w14:paraId="7BD3829B" w14:textId="77777777" w:rsidR="00817B82" w:rsidRDefault="004C2965"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0.66</w:t>
            </w:r>
          </w:p>
        </w:tc>
        <w:tc>
          <w:tcPr>
            <w:tcW w:w="1398" w:type="dxa"/>
            <w:gridSpan w:val="2"/>
            <w:tcBorders>
              <w:top w:val="nil"/>
              <w:left w:val="nil"/>
              <w:bottom w:val="nil"/>
              <w:right w:val="nil"/>
            </w:tcBorders>
            <w:vAlign w:val="center"/>
          </w:tcPr>
          <w:p w14:paraId="7C4678C7" w14:textId="77777777" w:rsidR="00817B82" w:rsidRDefault="004C2965"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0.80</w:t>
            </w:r>
          </w:p>
        </w:tc>
        <w:tc>
          <w:tcPr>
            <w:tcW w:w="1399" w:type="dxa"/>
            <w:gridSpan w:val="2"/>
            <w:tcBorders>
              <w:top w:val="nil"/>
              <w:left w:val="nil"/>
              <w:bottom w:val="nil"/>
              <w:right w:val="nil"/>
            </w:tcBorders>
            <w:vAlign w:val="center"/>
          </w:tcPr>
          <w:p w14:paraId="36946FE4" w14:textId="77777777" w:rsidR="00817B82" w:rsidRDefault="00915FE1"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0.80</w:t>
            </w:r>
          </w:p>
        </w:tc>
        <w:tc>
          <w:tcPr>
            <w:tcW w:w="1398" w:type="dxa"/>
            <w:gridSpan w:val="2"/>
            <w:tcBorders>
              <w:top w:val="nil"/>
              <w:left w:val="nil"/>
              <w:bottom w:val="nil"/>
              <w:right w:val="nil"/>
            </w:tcBorders>
            <w:vAlign w:val="center"/>
          </w:tcPr>
          <w:p w14:paraId="77955292" w14:textId="77777777" w:rsidR="00817B82" w:rsidRDefault="00915FE1"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0.75</w:t>
            </w:r>
          </w:p>
        </w:tc>
        <w:tc>
          <w:tcPr>
            <w:tcW w:w="1398" w:type="dxa"/>
            <w:gridSpan w:val="2"/>
            <w:tcBorders>
              <w:top w:val="nil"/>
              <w:left w:val="nil"/>
              <w:bottom w:val="nil"/>
              <w:right w:val="nil"/>
            </w:tcBorders>
            <w:shd w:val="clear" w:color="auto" w:fill="auto"/>
            <w:vAlign w:val="center"/>
          </w:tcPr>
          <w:p w14:paraId="368D9597" w14:textId="77777777" w:rsidR="00817B82" w:rsidRDefault="00915FE1"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w:t>
            </w:r>
            <w:r w:rsidR="00525657">
              <w:rPr>
                <w:rFonts w:asciiTheme="majorBidi" w:hAnsiTheme="majorBidi" w:cstheme="majorBidi"/>
                <w:sz w:val="20"/>
                <w:szCs w:val="20"/>
              </w:rPr>
              <w:t>3</w:t>
            </w:r>
          </w:p>
        </w:tc>
        <w:tc>
          <w:tcPr>
            <w:tcW w:w="1399" w:type="dxa"/>
            <w:gridSpan w:val="2"/>
            <w:tcBorders>
              <w:top w:val="nil"/>
              <w:left w:val="nil"/>
              <w:bottom w:val="nil"/>
              <w:right w:val="nil"/>
            </w:tcBorders>
            <w:vAlign w:val="center"/>
          </w:tcPr>
          <w:p w14:paraId="70B080B8" w14:textId="77777777" w:rsidR="00817B82" w:rsidRDefault="00915FE1" w:rsidP="00260D7D">
            <w:pPr>
              <w:tabs>
                <w:tab w:val="left" w:pos="567"/>
              </w:tabs>
              <w:jc w:val="center"/>
              <w:rPr>
                <w:rFonts w:asciiTheme="majorBidi" w:hAnsiTheme="majorBidi" w:cstheme="majorBidi"/>
                <w:sz w:val="20"/>
                <w:szCs w:val="20"/>
              </w:rPr>
            </w:pPr>
            <w:r>
              <w:rPr>
                <w:rFonts w:asciiTheme="majorBidi" w:hAnsiTheme="majorBidi" w:cstheme="majorBidi"/>
                <w:sz w:val="20"/>
                <w:szCs w:val="20"/>
              </w:rPr>
              <w:t>0.77</w:t>
            </w:r>
          </w:p>
        </w:tc>
      </w:tr>
      <w:tr w:rsidR="00817B82" w:rsidRPr="00C52CB9" w14:paraId="270212B4" w14:textId="77777777" w:rsidTr="005A3E38">
        <w:trPr>
          <w:trHeight w:val="80"/>
          <w:jc w:val="center"/>
        </w:trPr>
        <w:tc>
          <w:tcPr>
            <w:tcW w:w="3600" w:type="dxa"/>
            <w:tcBorders>
              <w:top w:val="single" w:sz="8" w:space="0" w:color="auto"/>
              <w:left w:val="nil"/>
              <w:bottom w:val="nil"/>
              <w:right w:val="nil"/>
            </w:tcBorders>
            <w:vAlign w:val="center"/>
          </w:tcPr>
          <w:p w14:paraId="443A4D25" w14:textId="77777777" w:rsidR="00817B82" w:rsidRPr="00971EAB" w:rsidRDefault="00817B82" w:rsidP="00260D7D">
            <w:pPr>
              <w:tabs>
                <w:tab w:val="left" w:pos="567"/>
              </w:tabs>
              <w:rPr>
                <w:rFonts w:asciiTheme="majorBidi" w:hAnsiTheme="majorBidi" w:cstheme="majorBidi"/>
                <w:sz w:val="6"/>
                <w:szCs w:val="6"/>
              </w:rPr>
            </w:pPr>
          </w:p>
        </w:tc>
        <w:tc>
          <w:tcPr>
            <w:tcW w:w="652" w:type="dxa"/>
            <w:tcBorders>
              <w:top w:val="single" w:sz="8" w:space="0" w:color="auto"/>
              <w:left w:val="nil"/>
              <w:bottom w:val="nil"/>
              <w:right w:val="nil"/>
            </w:tcBorders>
            <w:vAlign w:val="center"/>
          </w:tcPr>
          <w:p w14:paraId="0BAE4CD3" w14:textId="77777777" w:rsidR="00817B82" w:rsidRPr="00971EAB" w:rsidRDefault="00817B82" w:rsidP="00260D7D">
            <w:pPr>
              <w:tabs>
                <w:tab w:val="left" w:pos="567"/>
              </w:tabs>
              <w:jc w:val="center"/>
              <w:rPr>
                <w:rFonts w:asciiTheme="majorBidi" w:hAnsiTheme="majorBidi" w:cstheme="majorBidi"/>
                <w:sz w:val="6"/>
                <w:szCs w:val="6"/>
              </w:rPr>
            </w:pPr>
          </w:p>
        </w:tc>
        <w:tc>
          <w:tcPr>
            <w:tcW w:w="1398" w:type="dxa"/>
            <w:gridSpan w:val="2"/>
            <w:tcBorders>
              <w:top w:val="single" w:sz="8" w:space="0" w:color="auto"/>
              <w:left w:val="nil"/>
              <w:bottom w:val="nil"/>
              <w:right w:val="nil"/>
            </w:tcBorders>
            <w:vAlign w:val="center"/>
          </w:tcPr>
          <w:p w14:paraId="38C5FFF6" w14:textId="77777777" w:rsidR="00817B82" w:rsidRPr="00971EAB" w:rsidRDefault="00817B82" w:rsidP="00260D7D">
            <w:pPr>
              <w:tabs>
                <w:tab w:val="left" w:pos="567"/>
              </w:tabs>
              <w:jc w:val="center"/>
              <w:rPr>
                <w:rFonts w:asciiTheme="majorBidi" w:hAnsiTheme="majorBidi" w:cstheme="majorBidi"/>
                <w:sz w:val="6"/>
                <w:szCs w:val="6"/>
              </w:rPr>
            </w:pPr>
          </w:p>
        </w:tc>
        <w:tc>
          <w:tcPr>
            <w:tcW w:w="1398" w:type="dxa"/>
            <w:gridSpan w:val="2"/>
            <w:tcBorders>
              <w:top w:val="single" w:sz="8" w:space="0" w:color="auto"/>
              <w:left w:val="nil"/>
              <w:bottom w:val="nil"/>
              <w:right w:val="nil"/>
            </w:tcBorders>
            <w:vAlign w:val="center"/>
          </w:tcPr>
          <w:p w14:paraId="1EF95AE2" w14:textId="77777777" w:rsidR="00817B82" w:rsidRPr="00971EAB" w:rsidRDefault="00817B82" w:rsidP="00260D7D">
            <w:pPr>
              <w:tabs>
                <w:tab w:val="left" w:pos="567"/>
              </w:tabs>
              <w:jc w:val="center"/>
              <w:rPr>
                <w:rFonts w:asciiTheme="majorBidi" w:hAnsiTheme="majorBidi" w:cstheme="majorBidi"/>
                <w:sz w:val="6"/>
                <w:szCs w:val="6"/>
              </w:rPr>
            </w:pPr>
          </w:p>
        </w:tc>
        <w:tc>
          <w:tcPr>
            <w:tcW w:w="1398" w:type="dxa"/>
            <w:gridSpan w:val="2"/>
            <w:tcBorders>
              <w:top w:val="single" w:sz="8" w:space="0" w:color="auto"/>
              <w:left w:val="nil"/>
              <w:bottom w:val="nil"/>
              <w:right w:val="nil"/>
            </w:tcBorders>
            <w:vAlign w:val="center"/>
          </w:tcPr>
          <w:p w14:paraId="5F2053C3" w14:textId="77777777" w:rsidR="00817B82" w:rsidRPr="00971EAB" w:rsidRDefault="00817B82" w:rsidP="00260D7D">
            <w:pPr>
              <w:tabs>
                <w:tab w:val="left" w:pos="567"/>
              </w:tabs>
              <w:jc w:val="center"/>
              <w:rPr>
                <w:rFonts w:asciiTheme="majorBidi" w:hAnsiTheme="majorBidi" w:cstheme="majorBidi"/>
                <w:sz w:val="6"/>
                <w:szCs w:val="6"/>
              </w:rPr>
            </w:pPr>
          </w:p>
        </w:tc>
        <w:tc>
          <w:tcPr>
            <w:tcW w:w="1399" w:type="dxa"/>
            <w:gridSpan w:val="2"/>
            <w:tcBorders>
              <w:top w:val="single" w:sz="8" w:space="0" w:color="auto"/>
              <w:left w:val="nil"/>
              <w:bottom w:val="nil"/>
              <w:right w:val="nil"/>
            </w:tcBorders>
            <w:vAlign w:val="center"/>
          </w:tcPr>
          <w:p w14:paraId="763A3A80" w14:textId="77777777" w:rsidR="00817B82" w:rsidRPr="00971EAB" w:rsidRDefault="00817B82" w:rsidP="00260D7D">
            <w:pPr>
              <w:tabs>
                <w:tab w:val="left" w:pos="567"/>
              </w:tabs>
              <w:jc w:val="center"/>
              <w:rPr>
                <w:rFonts w:asciiTheme="majorBidi" w:hAnsiTheme="majorBidi" w:cstheme="majorBidi"/>
                <w:sz w:val="6"/>
                <w:szCs w:val="6"/>
              </w:rPr>
            </w:pPr>
          </w:p>
        </w:tc>
        <w:tc>
          <w:tcPr>
            <w:tcW w:w="1398" w:type="dxa"/>
            <w:gridSpan w:val="2"/>
            <w:tcBorders>
              <w:top w:val="single" w:sz="8" w:space="0" w:color="auto"/>
              <w:left w:val="nil"/>
              <w:bottom w:val="nil"/>
              <w:right w:val="nil"/>
            </w:tcBorders>
            <w:vAlign w:val="center"/>
          </w:tcPr>
          <w:p w14:paraId="32E33876" w14:textId="77777777" w:rsidR="00817B82" w:rsidRPr="00971EAB" w:rsidRDefault="00817B82" w:rsidP="00260D7D">
            <w:pPr>
              <w:tabs>
                <w:tab w:val="left" w:pos="567"/>
              </w:tabs>
              <w:jc w:val="center"/>
              <w:rPr>
                <w:rFonts w:asciiTheme="majorBidi" w:hAnsiTheme="majorBidi" w:cstheme="majorBidi"/>
                <w:sz w:val="6"/>
                <w:szCs w:val="6"/>
              </w:rPr>
            </w:pPr>
          </w:p>
        </w:tc>
        <w:tc>
          <w:tcPr>
            <w:tcW w:w="1398" w:type="dxa"/>
            <w:gridSpan w:val="2"/>
            <w:tcBorders>
              <w:top w:val="single" w:sz="8" w:space="0" w:color="auto"/>
              <w:left w:val="nil"/>
              <w:bottom w:val="nil"/>
              <w:right w:val="nil"/>
            </w:tcBorders>
            <w:vAlign w:val="center"/>
          </w:tcPr>
          <w:p w14:paraId="51F9D95D" w14:textId="77777777" w:rsidR="00817B82" w:rsidRPr="00971EAB" w:rsidRDefault="00817B82" w:rsidP="00260D7D">
            <w:pPr>
              <w:tabs>
                <w:tab w:val="left" w:pos="567"/>
              </w:tabs>
              <w:jc w:val="center"/>
              <w:rPr>
                <w:rFonts w:asciiTheme="majorBidi" w:hAnsiTheme="majorBidi" w:cstheme="majorBidi"/>
                <w:sz w:val="6"/>
                <w:szCs w:val="6"/>
              </w:rPr>
            </w:pPr>
          </w:p>
        </w:tc>
        <w:tc>
          <w:tcPr>
            <w:tcW w:w="1399" w:type="dxa"/>
            <w:gridSpan w:val="2"/>
            <w:tcBorders>
              <w:top w:val="single" w:sz="8" w:space="0" w:color="auto"/>
              <w:left w:val="nil"/>
              <w:bottom w:val="nil"/>
              <w:right w:val="nil"/>
            </w:tcBorders>
            <w:vAlign w:val="center"/>
          </w:tcPr>
          <w:p w14:paraId="79149E19" w14:textId="77777777" w:rsidR="00817B82" w:rsidRPr="00971EAB" w:rsidRDefault="00817B82" w:rsidP="00260D7D">
            <w:pPr>
              <w:tabs>
                <w:tab w:val="left" w:pos="567"/>
              </w:tabs>
              <w:jc w:val="center"/>
              <w:rPr>
                <w:rFonts w:asciiTheme="majorBidi" w:hAnsiTheme="majorBidi" w:cstheme="majorBidi"/>
                <w:sz w:val="6"/>
                <w:szCs w:val="6"/>
              </w:rPr>
            </w:pPr>
          </w:p>
        </w:tc>
      </w:tr>
      <w:tr w:rsidR="00817B82" w14:paraId="5D7333E2" w14:textId="77777777" w:rsidTr="00356695">
        <w:trPr>
          <w:trHeight w:val="288"/>
          <w:jc w:val="center"/>
        </w:trPr>
        <w:tc>
          <w:tcPr>
            <w:tcW w:w="3600" w:type="dxa"/>
            <w:tcBorders>
              <w:top w:val="nil"/>
              <w:left w:val="nil"/>
              <w:bottom w:val="nil"/>
              <w:right w:val="nil"/>
            </w:tcBorders>
            <w:vAlign w:val="center"/>
          </w:tcPr>
          <w:p w14:paraId="15945358" w14:textId="77777777" w:rsidR="00817B82" w:rsidRPr="006C1288" w:rsidRDefault="00817B82" w:rsidP="00260D7D">
            <w:pPr>
              <w:tabs>
                <w:tab w:val="left" w:pos="567"/>
              </w:tabs>
              <w:rPr>
                <w:rFonts w:asciiTheme="majorBidi" w:hAnsiTheme="majorBidi" w:cstheme="majorBidi"/>
                <w:sz w:val="20"/>
                <w:szCs w:val="20"/>
              </w:rPr>
            </w:pPr>
            <w:r w:rsidRPr="006C1288">
              <w:rPr>
                <w:rFonts w:asciiTheme="majorBidi" w:hAnsiTheme="majorBidi" w:cstheme="majorBidi"/>
                <w:sz w:val="20"/>
                <w:szCs w:val="20"/>
              </w:rPr>
              <w:t>Non-Bankrupt (Bankrupt) firm-years</w:t>
            </w:r>
          </w:p>
        </w:tc>
        <w:tc>
          <w:tcPr>
            <w:tcW w:w="652" w:type="dxa"/>
            <w:tcBorders>
              <w:top w:val="nil"/>
              <w:left w:val="nil"/>
              <w:bottom w:val="nil"/>
              <w:right w:val="nil"/>
            </w:tcBorders>
            <w:vAlign w:val="center"/>
          </w:tcPr>
          <w:p w14:paraId="764E032C" w14:textId="77777777" w:rsidR="00817B82" w:rsidRPr="006C1288" w:rsidRDefault="00817B82" w:rsidP="00260D7D">
            <w:pPr>
              <w:tabs>
                <w:tab w:val="left" w:pos="567"/>
              </w:tabs>
              <w:rPr>
                <w:rFonts w:asciiTheme="majorBidi" w:hAnsiTheme="majorBidi" w:cstheme="majorBidi"/>
                <w:sz w:val="20"/>
                <w:szCs w:val="20"/>
              </w:rPr>
            </w:pPr>
          </w:p>
        </w:tc>
        <w:tc>
          <w:tcPr>
            <w:tcW w:w="1398" w:type="dxa"/>
            <w:gridSpan w:val="2"/>
            <w:tcBorders>
              <w:top w:val="nil"/>
              <w:left w:val="nil"/>
              <w:bottom w:val="nil"/>
              <w:right w:val="nil"/>
            </w:tcBorders>
            <w:vAlign w:val="center"/>
          </w:tcPr>
          <w:p w14:paraId="29DCB5A2" w14:textId="77777777" w:rsidR="00817B82" w:rsidRPr="006C1288" w:rsidRDefault="00817B82" w:rsidP="00260D7D">
            <w:pPr>
              <w:tabs>
                <w:tab w:val="left" w:pos="567"/>
              </w:tabs>
              <w:jc w:val="center"/>
              <w:rPr>
                <w:rFonts w:asciiTheme="majorBidi" w:hAnsiTheme="majorBidi" w:cstheme="majorBidi"/>
                <w:sz w:val="20"/>
                <w:szCs w:val="20"/>
              </w:rPr>
            </w:pPr>
            <w:r w:rsidRPr="006C1288">
              <w:rPr>
                <w:rFonts w:asciiTheme="majorBidi" w:hAnsiTheme="majorBidi" w:cstheme="majorBidi"/>
                <w:sz w:val="20"/>
                <w:szCs w:val="20"/>
              </w:rPr>
              <w:t>1,460 (146)</w:t>
            </w:r>
          </w:p>
        </w:tc>
        <w:tc>
          <w:tcPr>
            <w:tcW w:w="1398" w:type="dxa"/>
            <w:gridSpan w:val="2"/>
            <w:tcBorders>
              <w:top w:val="nil"/>
              <w:left w:val="nil"/>
              <w:bottom w:val="nil"/>
              <w:right w:val="nil"/>
            </w:tcBorders>
            <w:vAlign w:val="center"/>
          </w:tcPr>
          <w:p w14:paraId="1330CB11" w14:textId="77777777" w:rsidR="00817B82" w:rsidRPr="006C1288" w:rsidRDefault="00817B82" w:rsidP="00260D7D">
            <w:pPr>
              <w:tabs>
                <w:tab w:val="left" w:pos="567"/>
              </w:tabs>
              <w:jc w:val="center"/>
              <w:rPr>
                <w:rFonts w:asciiTheme="majorBidi" w:hAnsiTheme="majorBidi" w:cstheme="majorBidi"/>
                <w:sz w:val="20"/>
                <w:szCs w:val="20"/>
              </w:rPr>
            </w:pPr>
            <w:r w:rsidRPr="006C1288">
              <w:rPr>
                <w:rFonts w:asciiTheme="majorBidi" w:hAnsiTheme="majorBidi" w:cstheme="majorBidi"/>
                <w:sz w:val="20"/>
                <w:szCs w:val="20"/>
              </w:rPr>
              <w:t>1,460 (146)</w:t>
            </w:r>
          </w:p>
        </w:tc>
        <w:tc>
          <w:tcPr>
            <w:tcW w:w="1398" w:type="dxa"/>
            <w:gridSpan w:val="2"/>
            <w:tcBorders>
              <w:top w:val="nil"/>
              <w:left w:val="nil"/>
              <w:bottom w:val="nil"/>
              <w:right w:val="nil"/>
            </w:tcBorders>
            <w:vAlign w:val="center"/>
          </w:tcPr>
          <w:p w14:paraId="51EAFC07" w14:textId="77777777" w:rsidR="00817B82" w:rsidRPr="006C1288" w:rsidRDefault="00817B82" w:rsidP="00260D7D">
            <w:pPr>
              <w:tabs>
                <w:tab w:val="left" w:pos="567"/>
              </w:tabs>
              <w:jc w:val="center"/>
              <w:rPr>
                <w:rFonts w:asciiTheme="majorBidi" w:hAnsiTheme="majorBidi" w:cstheme="majorBidi"/>
                <w:sz w:val="20"/>
                <w:szCs w:val="20"/>
              </w:rPr>
            </w:pPr>
            <w:r w:rsidRPr="006C1288">
              <w:rPr>
                <w:rFonts w:asciiTheme="majorBidi" w:hAnsiTheme="majorBidi" w:cstheme="majorBidi"/>
                <w:sz w:val="20"/>
                <w:szCs w:val="20"/>
              </w:rPr>
              <w:t>1,460 (146)</w:t>
            </w:r>
          </w:p>
        </w:tc>
        <w:tc>
          <w:tcPr>
            <w:tcW w:w="1399" w:type="dxa"/>
            <w:gridSpan w:val="2"/>
            <w:tcBorders>
              <w:top w:val="nil"/>
              <w:left w:val="nil"/>
              <w:bottom w:val="nil"/>
              <w:right w:val="nil"/>
            </w:tcBorders>
            <w:vAlign w:val="center"/>
          </w:tcPr>
          <w:p w14:paraId="3ED382DE" w14:textId="77777777" w:rsidR="00817B82" w:rsidRPr="006C1288" w:rsidRDefault="00817B82" w:rsidP="00260D7D">
            <w:pPr>
              <w:tabs>
                <w:tab w:val="left" w:pos="567"/>
              </w:tabs>
              <w:jc w:val="center"/>
              <w:rPr>
                <w:rFonts w:asciiTheme="majorBidi" w:hAnsiTheme="majorBidi" w:cstheme="majorBidi"/>
                <w:sz w:val="20"/>
                <w:szCs w:val="20"/>
              </w:rPr>
            </w:pPr>
            <w:r w:rsidRPr="006C1288">
              <w:rPr>
                <w:rFonts w:asciiTheme="majorBidi" w:hAnsiTheme="majorBidi" w:cstheme="majorBidi"/>
                <w:sz w:val="20"/>
                <w:szCs w:val="20"/>
              </w:rPr>
              <w:t>1,460 (146)</w:t>
            </w:r>
          </w:p>
        </w:tc>
        <w:tc>
          <w:tcPr>
            <w:tcW w:w="1398" w:type="dxa"/>
            <w:gridSpan w:val="2"/>
            <w:tcBorders>
              <w:top w:val="nil"/>
              <w:left w:val="nil"/>
              <w:bottom w:val="nil"/>
              <w:right w:val="nil"/>
            </w:tcBorders>
            <w:vAlign w:val="center"/>
          </w:tcPr>
          <w:p w14:paraId="53504ED2" w14:textId="77777777" w:rsidR="00817B82" w:rsidRPr="006C1288" w:rsidRDefault="00817B82" w:rsidP="00260D7D">
            <w:pPr>
              <w:tabs>
                <w:tab w:val="left" w:pos="567"/>
              </w:tabs>
              <w:jc w:val="center"/>
              <w:rPr>
                <w:rFonts w:asciiTheme="majorBidi" w:hAnsiTheme="majorBidi" w:cstheme="majorBidi"/>
                <w:sz w:val="20"/>
                <w:szCs w:val="20"/>
              </w:rPr>
            </w:pPr>
            <w:r w:rsidRPr="006C1288">
              <w:rPr>
                <w:rFonts w:asciiTheme="majorBidi" w:hAnsiTheme="majorBidi" w:cstheme="majorBidi"/>
                <w:sz w:val="20"/>
                <w:szCs w:val="20"/>
              </w:rPr>
              <w:t>1,460 (146)</w:t>
            </w:r>
          </w:p>
        </w:tc>
        <w:tc>
          <w:tcPr>
            <w:tcW w:w="1398" w:type="dxa"/>
            <w:gridSpan w:val="2"/>
            <w:tcBorders>
              <w:top w:val="nil"/>
              <w:left w:val="nil"/>
              <w:bottom w:val="nil"/>
              <w:right w:val="nil"/>
            </w:tcBorders>
            <w:vAlign w:val="center"/>
          </w:tcPr>
          <w:p w14:paraId="4AECB5C4" w14:textId="77777777" w:rsidR="00817B82" w:rsidRPr="006C1288" w:rsidRDefault="00817B82" w:rsidP="00260D7D">
            <w:pPr>
              <w:tabs>
                <w:tab w:val="left" w:pos="567"/>
              </w:tabs>
              <w:jc w:val="center"/>
              <w:rPr>
                <w:rFonts w:asciiTheme="majorBidi" w:hAnsiTheme="majorBidi" w:cstheme="majorBidi"/>
                <w:sz w:val="20"/>
                <w:szCs w:val="20"/>
              </w:rPr>
            </w:pPr>
            <w:r w:rsidRPr="006C1288">
              <w:rPr>
                <w:rFonts w:asciiTheme="majorBidi" w:hAnsiTheme="majorBidi" w:cstheme="majorBidi"/>
                <w:sz w:val="20"/>
                <w:szCs w:val="20"/>
              </w:rPr>
              <w:t>1,460 (146)</w:t>
            </w:r>
          </w:p>
        </w:tc>
        <w:tc>
          <w:tcPr>
            <w:tcW w:w="1399" w:type="dxa"/>
            <w:gridSpan w:val="2"/>
            <w:tcBorders>
              <w:top w:val="nil"/>
              <w:left w:val="nil"/>
              <w:bottom w:val="nil"/>
              <w:right w:val="nil"/>
            </w:tcBorders>
            <w:vAlign w:val="center"/>
          </w:tcPr>
          <w:p w14:paraId="7605F41F" w14:textId="77777777" w:rsidR="00817B82" w:rsidRPr="006C1288" w:rsidRDefault="00817B82" w:rsidP="00260D7D">
            <w:pPr>
              <w:tabs>
                <w:tab w:val="left" w:pos="567"/>
              </w:tabs>
              <w:jc w:val="center"/>
              <w:rPr>
                <w:rFonts w:asciiTheme="majorBidi" w:hAnsiTheme="majorBidi" w:cstheme="majorBidi"/>
                <w:sz w:val="20"/>
                <w:szCs w:val="20"/>
              </w:rPr>
            </w:pPr>
            <w:r w:rsidRPr="006C1288">
              <w:rPr>
                <w:rFonts w:asciiTheme="majorBidi" w:hAnsiTheme="majorBidi" w:cstheme="majorBidi"/>
                <w:sz w:val="20"/>
                <w:szCs w:val="20"/>
              </w:rPr>
              <w:t>1,460 (146)</w:t>
            </w:r>
          </w:p>
        </w:tc>
      </w:tr>
      <w:tr w:rsidR="00817B82" w:rsidRPr="00486141" w14:paraId="600BC397" w14:textId="77777777" w:rsidTr="00356695">
        <w:trPr>
          <w:trHeight w:val="80"/>
          <w:jc w:val="center"/>
        </w:trPr>
        <w:tc>
          <w:tcPr>
            <w:tcW w:w="3600" w:type="dxa"/>
            <w:tcBorders>
              <w:top w:val="nil"/>
              <w:left w:val="nil"/>
              <w:bottom w:val="single" w:sz="6" w:space="0" w:color="auto"/>
              <w:right w:val="nil"/>
            </w:tcBorders>
          </w:tcPr>
          <w:p w14:paraId="279A513A" w14:textId="77777777" w:rsidR="00817B82" w:rsidRPr="009B0CD3" w:rsidRDefault="00817B82" w:rsidP="00260D7D">
            <w:pPr>
              <w:tabs>
                <w:tab w:val="left" w:pos="567"/>
              </w:tabs>
              <w:rPr>
                <w:rFonts w:asciiTheme="majorBidi" w:hAnsiTheme="majorBidi" w:cstheme="majorBidi"/>
                <w:sz w:val="6"/>
                <w:szCs w:val="6"/>
              </w:rPr>
            </w:pPr>
          </w:p>
        </w:tc>
        <w:tc>
          <w:tcPr>
            <w:tcW w:w="652" w:type="dxa"/>
            <w:tcBorders>
              <w:top w:val="nil"/>
              <w:left w:val="nil"/>
              <w:bottom w:val="single" w:sz="6" w:space="0" w:color="auto"/>
              <w:right w:val="nil"/>
            </w:tcBorders>
            <w:vAlign w:val="center"/>
          </w:tcPr>
          <w:p w14:paraId="662AD5AA" w14:textId="77777777" w:rsidR="00817B82" w:rsidRPr="009B0CD3" w:rsidRDefault="00817B82" w:rsidP="00260D7D">
            <w:pPr>
              <w:tabs>
                <w:tab w:val="left" w:pos="567"/>
              </w:tabs>
              <w:jc w:val="center"/>
              <w:rPr>
                <w:rFonts w:asciiTheme="majorBidi" w:hAnsiTheme="majorBidi" w:cstheme="majorBidi"/>
                <w:sz w:val="6"/>
                <w:szCs w:val="6"/>
              </w:rPr>
            </w:pPr>
          </w:p>
        </w:tc>
        <w:tc>
          <w:tcPr>
            <w:tcW w:w="1398" w:type="dxa"/>
            <w:gridSpan w:val="2"/>
            <w:tcBorders>
              <w:top w:val="nil"/>
              <w:left w:val="nil"/>
              <w:bottom w:val="single" w:sz="6" w:space="0" w:color="auto"/>
              <w:right w:val="nil"/>
            </w:tcBorders>
            <w:vAlign w:val="center"/>
          </w:tcPr>
          <w:p w14:paraId="1453D26C" w14:textId="77777777" w:rsidR="00817B82" w:rsidRPr="009B0CD3" w:rsidRDefault="00817B82" w:rsidP="00260D7D">
            <w:pPr>
              <w:tabs>
                <w:tab w:val="left" w:pos="567"/>
              </w:tabs>
              <w:jc w:val="center"/>
              <w:rPr>
                <w:rFonts w:asciiTheme="majorBidi" w:hAnsiTheme="majorBidi" w:cstheme="majorBidi"/>
                <w:sz w:val="6"/>
                <w:szCs w:val="6"/>
              </w:rPr>
            </w:pPr>
          </w:p>
        </w:tc>
        <w:tc>
          <w:tcPr>
            <w:tcW w:w="1398" w:type="dxa"/>
            <w:gridSpan w:val="2"/>
            <w:tcBorders>
              <w:top w:val="nil"/>
              <w:left w:val="nil"/>
              <w:bottom w:val="single" w:sz="6" w:space="0" w:color="auto"/>
              <w:right w:val="nil"/>
            </w:tcBorders>
            <w:vAlign w:val="center"/>
          </w:tcPr>
          <w:p w14:paraId="6EBC2FC8" w14:textId="77777777" w:rsidR="00817B82" w:rsidRPr="009B0CD3" w:rsidRDefault="00817B82" w:rsidP="00260D7D">
            <w:pPr>
              <w:tabs>
                <w:tab w:val="left" w:pos="567"/>
              </w:tabs>
              <w:jc w:val="center"/>
              <w:rPr>
                <w:rFonts w:asciiTheme="majorBidi" w:hAnsiTheme="majorBidi" w:cstheme="majorBidi"/>
                <w:sz w:val="6"/>
                <w:szCs w:val="6"/>
              </w:rPr>
            </w:pPr>
          </w:p>
        </w:tc>
        <w:tc>
          <w:tcPr>
            <w:tcW w:w="1398" w:type="dxa"/>
            <w:gridSpan w:val="2"/>
            <w:tcBorders>
              <w:top w:val="nil"/>
              <w:left w:val="nil"/>
              <w:bottom w:val="single" w:sz="6" w:space="0" w:color="auto"/>
              <w:right w:val="nil"/>
            </w:tcBorders>
            <w:vAlign w:val="center"/>
          </w:tcPr>
          <w:p w14:paraId="4481EE7D" w14:textId="77777777" w:rsidR="00817B82" w:rsidRPr="009B0CD3" w:rsidRDefault="00817B82" w:rsidP="00260D7D">
            <w:pPr>
              <w:tabs>
                <w:tab w:val="left" w:pos="567"/>
              </w:tabs>
              <w:jc w:val="center"/>
              <w:rPr>
                <w:rFonts w:asciiTheme="majorBidi" w:hAnsiTheme="majorBidi" w:cstheme="majorBidi"/>
                <w:sz w:val="6"/>
                <w:szCs w:val="6"/>
              </w:rPr>
            </w:pPr>
          </w:p>
        </w:tc>
        <w:tc>
          <w:tcPr>
            <w:tcW w:w="1399" w:type="dxa"/>
            <w:gridSpan w:val="2"/>
            <w:tcBorders>
              <w:top w:val="nil"/>
              <w:left w:val="nil"/>
              <w:bottom w:val="single" w:sz="6" w:space="0" w:color="auto"/>
              <w:right w:val="nil"/>
            </w:tcBorders>
            <w:vAlign w:val="center"/>
          </w:tcPr>
          <w:p w14:paraId="47A6FB5D" w14:textId="77777777" w:rsidR="00817B82" w:rsidRPr="009B0CD3" w:rsidRDefault="00817B82" w:rsidP="00260D7D">
            <w:pPr>
              <w:tabs>
                <w:tab w:val="left" w:pos="567"/>
              </w:tabs>
              <w:jc w:val="center"/>
              <w:rPr>
                <w:rFonts w:asciiTheme="majorBidi" w:hAnsiTheme="majorBidi" w:cstheme="majorBidi"/>
                <w:sz w:val="6"/>
                <w:szCs w:val="6"/>
              </w:rPr>
            </w:pPr>
          </w:p>
        </w:tc>
        <w:tc>
          <w:tcPr>
            <w:tcW w:w="1398" w:type="dxa"/>
            <w:gridSpan w:val="2"/>
            <w:tcBorders>
              <w:top w:val="nil"/>
              <w:left w:val="nil"/>
              <w:bottom w:val="single" w:sz="6" w:space="0" w:color="auto"/>
              <w:right w:val="nil"/>
            </w:tcBorders>
            <w:vAlign w:val="center"/>
          </w:tcPr>
          <w:p w14:paraId="6C060356" w14:textId="77777777" w:rsidR="00817B82" w:rsidRPr="009B0CD3" w:rsidRDefault="00817B82" w:rsidP="00260D7D">
            <w:pPr>
              <w:tabs>
                <w:tab w:val="left" w:pos="567"/>
              </w:tabs>
              <w:jc w:val="center"/>
              <w:rPr>
                <w:rFonts w:asciiTheme="majorBidi" w:hAnsiTheme="majorBidi" w:cstheme="majorBidi"/>
                <w:sz w:val="6"/>
                <w:szCs w:val="6"/>
              </w:rPr>
            </w:pPr>
          </w:p>
        </w:tc>
        <w:tc>
          <w:tcPr>
            <w:tcW w:w="1398" w:type="dxa"/>
            <w:gridSpan w:val="2"/>
            <w:tcBorders>
              <w:top w:val="nil"/>
              <w:left w:val="nil"/>
              <w:bottom w:val="single" w:sz="6" w:space="0" w:color="auto"/>
              <w:right w:val="nil"/>
            </w:tcBorders>
            <w:vAlign w:val="center"/>
          </w:tcPr>
          <w:p w14:paraId="3DBAF14E" w14:textId="77777777" w:rsidR="00817B82" w:rsidRPr="009B0CD3" w:rsidRDefault="00817B82" w:rsidP="00260D7D">
            <w:pPr>
              <w:tabs>
                <w:tab w:val="left" w:pos="567"/>
              </w:tabs>
              <w:jc w:val="center"/>
              <w:rPr>
                <w:rFonts w:asciiTheme="majorBidi" w:hAnsiTheme="majorBidi" w:cstheme="majorBidi"/>
                <w:sz w:val="6"/>
                <w:szCs w:val="6"/>
              </w:rPr>
            </w:pPr>
          </w:p>
        </w:tc>
        <w:tc>
          <w:tcPr>
            <w:tcW w:w="1399" w:type="dxa"/>
            <w:gridSpan w:val="2"/>
            <w:tcBorders>
              <w:top w:val="nil"/>
              <w:left w:val="nil"/>
              <w:bottom w:val="single" w:sz="6" w:space="0" w:color="auto"/>
              <w:right w:val="nil"/>
            </w:tcBorders>
            <w:vAlign w:val="center"/>
          </w:tcPr>
          <w:p w14:paraId="47C808F0" w14:textId="77777777" w:rsidR="00817B82" w:rsidRPr="009B0CD3" w:rsidRDefault="00817B82" w:rsidP="00260D7D">
            <w:pPr>
              <w:tabs>
                <w:tab w:val="left" w:pos="567"/>
              </w:tabs>
              <w:jc w:val="center"/>
              <w:rPr>
                <w:rFonts w:asciiTheme="majorBidi" w:hAnsiTheme="majorBidi" w:cstheme="majorBidi"/>
                <w:sz w:val="6"/>
                <w:szCs w:val="6"/>
              </w:rPr>
            </w:pPr>
          </w:p>
        </w:tc>
      </w:tr>
    </w:tbl>
    <w:p w14:paraId="3E5B60FB" w14:textId="77777777" w:rsidR="00EB35A0" w:rsidRDefault="00EB35A0" w:rsidP="00260D7D">
      <w:pPr>
        <w:tabs>
          <w:tab w:val="left" w:pos="567"/>
        </w:tabs>
        <w:rPr>
          <w:rFonts w:ascii="Times New Roman" w:hAnsi="Times New Roman" w:cs="Times New Roman"/>
          <w:sz w:val="24"/>
          <w:szCs w:val="24"/>
        </w:rPr>
        <w:sectPr w:rsidR="00EB35A0" w:rsidSect="00C01F80">
          <w:pgSz w:w="15840" w:h="12240" w:orient="landscape"/>
          <w:pgMar w:top="1440" w:right="1440" w:bottom="1440" w:left="1440" w:header="720" w:footer="720" w:gutter="0"/>
          <w:cols w:space="720"/>
          <w:docGrid w:linePitch="360"/>
        </w:sectPr>
      </w:pPr>
    </w:p>
    <w:tbl>
      <w:tblPr>
        <w:tblStyle w:val="TableGrid"/>
        <w:tblpPr w:leftFromText="180" w:rightFromText="180" w:horzAnchor="margin" w:tblpXSpec="center" w:tblpY="-420"/>
        <w:tblW w:w="10980" w:type="dxa"/>
        <w:tblLayout w:type="fixed"/>
        <w:tblLook w:val="04A0" w:firstRow="1" w:lastRow="0" w:firstColumn="1" w:lastColumn="0" w:noHBand="0" w:noVBand="1"/>
      </w:tblPr>
      <w:tblGrid>
        <w:gridCol w:w="3780"/>
        <w:gridCol w:w="3600"/>
        <w:gridCol w:w="3575"/>
        <w:gridCol w:w="25"/>
      </w:tblGrid>
      <w:tr w:rsidR="00683ECA" w:rsidRPr="002E1EC0" w14:paraId="125E9FB6" w14:textId="77777777" w:rsidTr="00C47991">
        <w:trPr>
          <w:gridAfter w:val="1"/>
          <w:wAfter w:w="25" w:type="dxa"/>
        </w:trPr>
        <w:tc>
          <w:tcPr>
            <w:tcW w:w="10955" w:type="dxa"/>
            <w:gridSpan w:val="3"/>
            <w:tcBorders>
              <w:top w:val="nil"/>
              <w:left w:val="nil"/>
              <w:bottom w:val="single" w:sz="6" w:space="0" w:color="auto"/>
              <w:right w:val="nil"/>
            </w:tcBorders>
            <w:vAlign w:val="center"/>
          </w:tcPr>
          <w:p w14:paraId="04C27D55" w14:textId="3E39BC75" w:rsidR="00683ECA" w:rsidRDefault="00683ECA" w:rsidP="00C40424">
            <w:pPr>
              <w:tabs>
                <w:tab w:val="left" w:pos="567"/>
              </w:tabs>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lastRenderedPageBreak/>
              <w:t xml:space="preserve">Table </w:t>
            </w:r>
            <w:r w:rsidR="00762C44">
              <w:rPr>
                <w:rFonts w:asciiTheme="majorBidi" w:hAnsiTheme="majorBidi" w:cstheme="majorBidi"/>
                <w:b/>
                <w:bCs/>
                <w:color w:val="000000"/>
                <w:sz w:val="24"/>
                <w:szCs w:val="24"/>
              </w:rPr>
              <w:t>7</w:t>
            </w:r>
            <w:r w:rsidR="00C57F00">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Test for Endogeneity using Dynamic Panel GMM Models</w:t>
            </w:r>
          </w:p>
          <w:p w14:paraId="47FFA401" w14:textId="77777777" w:rsidR="00C40424" w:rsidRPr="00C40424" w:rsidRDefault="00C40424" w:rsidP="00C40424">
            <w:pPr>
              <w:tabs>
                <w:tab w:val="left" w:pos="567"/>
              </w:tabs>
              <w:jc w:val="center"/>
              <w:rPr>
                <w:rFonts w:asciiTheme="majorBidi" w:hAnsiTheme="majorBidi" w:cstheme="majorBidi"/>
                <w:b/>
                <w:bCs/>
                <w:color w:val="000000"/>
                <w:sz w:val="8"/>
                <w:szCs w:val="8"/>
              </w:rPr>
            </w:pPr>
          </w:p>
          <w:p w14:paraId="05966D18" w14:textId="77777777" w:rsidR="00356695" w:rsidRDefault="00683ECA" w:rsidP="00C40424">
            <w:pPr>
              <w:tabs>
                <w:tab w:val="left" w:pos="567"/>
              </w:tabs>
              <w:jc w:val="both"/>
              <w:rPr>
                <w:rFonts w:asciiTheme="majorBidi" w:hAnsiTheme="majorBidi" w:cstheme="majorBidi"/>
                <w:color w:val="000000"/>
                <w:sz w:val="20"/>
                <w:szCs w:val="20"/>
              </w:rPr>
            </w:pPr>
            <w:r w:rsidRPr="006469DC">
              <w:rPr>
                <w:rFonts w:asciiTheme="majorBidi" w:hAnsiTheme="majorBidi" w:cstheme="majorBidi"/>
                <w:color w:val="000000"/>
                <w:sz w:val="20"/>
                <w:szCs w:val="20"/>
              </w:rPr>
              <w:t>Th</w:t>
            </w:r>
            <w:r w:rsidR="007E4F88">
              <w:rPr>
                <w:rFonts w:asciiTheme="majorBidi" w:hAnsiTheme="majorBidi" w:cstheme="majorBidi"/>
                <w:color w:val="000000"/>
                <w:sz w:val="20"/>
                <w:szCs w:val="20"/>
              </w:rPr>
              <w:t>is</w:t>
            </w:r>
            <w:r w:rsidRPr="006469DC">
              <w:rPr>
                <w:rFonts w:asciiTheme="majorBidi" w:hAnsiTheme="majorBidi" w:cstheme="majorBidi"/>
                <w:color w:val="000000"/>
                <w:sz w:val="20"/>
                <w:szCs w:val="20"/>
              </w:rPr>
              <w:t xml:space="preserve"> table presents the results of </w:t>
            </w:r>
            <w:r w:rsidR="00D1700D" w:rsidRPr="006469DC">
              <w:rPr>
                <w:rFonts w:asciiTheme="majorBidi" w:hAnsiTheme="majorBidi" w:cstheme="majorBidi"/>
                <w:color w:val="000000"/>
                <w:sz w:val="20"/>
                <w:szCs w:val="20"/>
              </w:rPr>
              <w:t>two</w:t>
            </w:r>
            <w:r w:rsidRPr="006469DC">
              <w:rPr>
                <w:rFonts w:asciiTheme="majorBidi" w:hAnsiTheme="majorBidi" w:cstheme="majorBidi"/>
                <w:color w:val="000000"/>
                <w:sz w:val="20"/>
                <w:szCs w:val="20"/>
              </w:rPr>
              <w:t xml:space="preserve"> different regressions </w:t>
            </w:r>
            <w:r w:rsidR="00D1700D" w:rsidRPr="006469DC">
              <w:rPr>
                <w:rFonts w:ascii="Times New Roman" w:hAnsi="Times New Roman" w:cs="Times New Roman"/>
                <w:sz w:val="20"/>
                <w:szCs w:val="20"/>
              </w:rPr>
              <w:t>with the probability of default estimated using discrete-time hazard rate and logistic regression, respectively, as the dependent variable</w:t>
            </w:r>
            <w:r w:rsidRPr="006469DC">
              <w:rPr>
                <w:rFonts w:asciiTheme="majorBidi" w:hAnsiTheme="majorBidi" w:cstheme="majorBidi"/>
                <w:color w:val="000000"/>
                <w:sz w:val="20"/>
                <w:szCs w:val="20"/>
              </w:rPr>
              <w:t xml:space="preserve">. </w:t>
            </w:r>
            <w:r w:rsidR="00A67866" w:rsidRPr="006469DC">
              <w:rPr>
                <w:rFonts w:ascii="Times New Roman" w:hAnsi="Times New Roman" w:cs="Times New Roman"/>
                <w:sz w:val="20"/>
                <w:szCs w:val="20"/>
              </w:rPr>
              <w:t>T</w:t>
            </w:r>
            <w:r w:rsidR="00D1700D" w:rsidRPr="006469DC">
              <w:rPr>
                <w:rFonts w:ascii="Times New Roman" w:hAnsi="Times New Roman" w:cs="Times New Roman"/>
                <w:sz w:val="20"/>
                <w:szCs w:val="20"/>
              </w:rPr>
              <w:t>he</w:t>
            </w:r>
            <w:r w:rsidR="00A67866" w:rsidRPr="006469DC">
              <w:rPr>
                <w:rFonts w:ascii="Times New Roman" w:hAnsi="Times New Roman" w:cs="Times New Roman"/>
                <w:sz w:val="20"/>
                <w:szCs w:val="20"/>
              </w:rPr>
              <w:t xml:space="preserve"> regression includes</w:t>
            </w:r>
            <w:r w:rsidR="00D1700D" w:rsidRPr="006469DC">
              <w:rPr>
                <w:rFonts w:ascii="Times New Roman" w:hAnsi="Times New Roman" w:cs="Times New Roman"/>
                <w:sz w:val="20"/>
                <w:szCs w:val="20"/>
              </w:rPr>
              <w:t xml:space="preserve"> first lagged probability of default in addition to the</w:t>
            </w:r>
            <w:r w:rsidR="00BF7E05" w:rsidRPr="006469DC">
              <w:rPr>
                <w:rFonts w:ascii="Times New Roman" w:hAnsi="Times New Roman" w:cs="Times New Roman"/>
                <w:sz w:val="20"/>
                <w:szCs w:val="20"/>
              </w:rPr>
              <w:t xml:space="preserve"> different governance</w:t>
            </w:r>
            <w:r w:rsidR="00D1700D" w:rsidRPr="006469DC">
              <w:rPr>
                <w:rFonts w:ascii="Times New Roman" w:hAnsi="Times New Roman" w:cs="Times New Roman"/>
                <w:sz w:val="20"/>
                <w:szCs w:val="20"/>
              </w:rPr>
              <w:t xml:space="preserve"> variables</w:t>
            </w:r>
            <w:r w:rsidR="00BF7E05" w:rsidRPr="006469DC">
              <w:rPr>
                <w:rFonts w:ascii="Times New Roman" w:hAnsi="Times New Roman" w:cs="Times New Roman"/>
                <w:sz w:val="20"/>
                <w:szCs w:val="20"/>
              </w:rPr>
              <w:t xml:space="preserve"> and several control variables as independent variables</w:t>
            </w:r>
            <w:r w:rsidR="0069473F" w:rsidRPr="006469DC">
              <w:rPr>
                <w:rFonts w:ascii="Times New Roman" w:hAnsi="Times New Roman" w:cs="Times New Roman"/>
                <w:sz w:val="20"/>
                <w:szCs w:val="20"/>
              </w:rPr>
              <w:t xml:space="preserve"> (refer to </w:t>
            </w:r>
            <w:r w:rsidR="0069473F" w:rsidRPr="006469DC">
              <w:rPr>
                <w:rFonts w:ascii="Times New Roman" w:hAnsi="Times New Roman" w:cs="Times New Roman"/>
                <w:i/>
                <w:iCs/>
                <w:sz w:val="20"/>
                <w:szCs w:val="20"/>
              </w:rPr>
              <w:t xml:space="preserve">Table </w:t>
            </w:r>
            <w:r w:rsidR="00BF7E05" w:rsidRPr="006469DC">
              <w:rPr>
                <w:rFonts w:ascii="Times New Roman" w:hAnsi="Times New Roman" w:cs="Times New Roman"/>
                <w:i/>
                <w:iCs/>
                <w:sz w:val="20"/>
                <w:szCs w:val="20"/>
              </w:rPr>
              <w:t>2</w:t>
            </w:r>
            <w:r w:rsidR="0069473F" w:rsidRPr="006469DC">
              <w:rPr>
                <w:rFonts w:ascii="Times New Roman" w:hAnsi="Times New Roman" w:cs="Times New Roman"/>
                <w:sz w:val="20"/>
                <w:szCs w:val="20"/>
              </w:rPr>
              <w:t xml:space="preserve"> for definitions)</w:t>
            </w:r>
            <w:r w:rsidRPr="006469DC">
              <w:rPr>
                <w:rFonts w:asciiTheme="majorBidi" w:hAnsiTheme="majorBidi" w:cstheme="majorBidi"/>
                <w:color w:val="000000"/>
                <w:sz w:val="20"/>
                <w:szCs w:val="20"/>
              </w:rPr>
              <w:t>. Details of the Dynamic Panel GMM procedure can be found in the text. Arellano-Bond test is a test for first</w:t>
            </w:r>
            <w:r w:rsidR="0069473F" w:rsidRPr="006469DC">
              <w:rPr>
                <w:rFonts w:asciiTheme="majorBidi" w:hAnsiTheme="majorBidi" w:cstheme="majorBidi"/>
                <w:color w:val="000000"/>
                <w:sz w:val="20"/>
                <w:szCs w:val="20"/>
              </w:rPr>
              <w:t xml:space="preserve"> and second</w:t>
            </w:r>
            <w:r w:rsidRPr="006469DC">
              <w:rPr>
                <w:rFonts w:asciiTheme="majorBidi" w:hAnsiTheme="majorBidi" w:cstheme="majorBidi"/>
                <w:color w:val="000000"/>
                <w:sz w:val="20"/>
                <w:szCs w:val="20"/>
              </w:rPr>
              <w:t>-order autocorrelation in the first-differenced errors with the null hypothesis of zero autocorrelation (</w:t>
            </w:r>
            <w:r w:rsidRPr="006469DC">
              <w:rPr>
                <w:rFonts w:asciiTheme="majorBidi" w:hAnsiTheme="majorBidi" w:cstheme="majorBidi"/>
                <w:i/>
                <w:iCs/>
                <w:color w:val="000000"/>
                <w:sz w:val="20"/>
                <w:szCs w:val="20"/>
              </w:rPr>
              <w:t>p-value</w:t>
            </w:r>
            <w:r w:rsidRPr="006469DC">
              <w:rPr>
                <w:rFonts w:asciiTheme="majorBidi" w:hAnsiTheme="majorBidi" w:cstheme="majorBidi"/>
                <w:color w:val="000000"/>
                <w:sz w:val="20"/>
                <w:szCs w:val="20"/>
              </w:rPr>
              <w:t xml:space="preserve"> is reported). Hansen test of over-identification tests the null hypothesis that all instruments are valid (</w:t>
            </w:r>
            <w:r w:rsidRPr="006469DC">
              <w:rPr>
                <w:rFonts w:asciiTheme="majorBidi" w:hAnsiTheme="majorBidi" w:cstheme="majorBidi"/>
                <w:i/>
                <w:iCs/>
                <w:color w:val="000000"/>
                <w:sz w:val="20"/>
                <w:szCs w:val="20"/>
              </w:rPr>
              <w:t>p-value</w:t>
            </w:r>
            <w:r w:rsidRPr="006469DC">
              <w:rPr>
                <w:rFonts w:asciiTheme="majorBidi" w:hAnsiTheme="majorBidi" w:cstheme="majorBidi"/>
                <w:color w:val="000000"/>
                <w:sz w:val="20"/>
                <w:szCs w:val="20"/>
              </w:rPr>
              <w:t xml:space="preserve"> is reported). </w:t>
            </w:r>
            <w:r w:rsidR="0063303C" w:rsidRPr="006469DC">
              <w:rPr>
                <w:rFonts w:asciiTheme="majorBidi" w:hAnsiTheme="majorBidi" w:cstheme="majorBidi"/>
                <w:color w:val="000000"/>
                <w:sz w:val="20"/>
                <w:szCs w:val="20"/>
              </w:rPr>
              <w:t xml:space="preserve">The different control variables are defined as follows: CAPX is the firm’s capital expenditure scaled by sales; AGE and SIZE are the natural log of the firm’s age in years and its book value of assets, respectively; LEVG is the ratio of the firm’s total debt to total assets. </w:t>
            </w:r>
            <w:r w:rsidRPr="006469DC">
              <w:rPr>
                <w:rFonts w:asciiTheme="majorBidi" w:hAnsiTheme="majorBidi" w:cstheme="majorBidi"/>
                <w:color w:val="000000"/>
                <w:sz w:val="20"/>
                <w:szCs w:val="20"/>
              </w:rPr>
              <w:t>The t-statistics are reported in the parentheses.</w:t>
            </w:r>
          </w:p>
          <w:p w14:paraId="344ECD71" w14:textId="2B5C0E1E" w:rsidR="00683ECA" w:rsidRPr="006469DC" w:rsidRDefault="00683ECA" w:rsidP="00C40424">
            <w:pPr>
              <w:tabs>
                <w:tab w:val="left" w:pos="567"/>
              </w:tabs>
              <w:jc w:val="both"/>
              <w:rPr>
                <w:rFonts w:asciiTheme="majorBidi" w:hAnsiTheme="majorBidi" w:cstheme="majorBidi"/>
                <w:color w:val="000000"/>
                <w:sz w:val="20"/>
                <w:szCs w:val="20"/>
              </w:rPr>
            </w:pPr>
            <w:r w:rsidRPr="006469DC">
              <w:rPr>
                <w:rFonts w:asciiTheme="majorBidi" w:hAnsiTheme="majorBidi" w:cstheme="majorBidi"/>
                <w:color w:val="000000"/>
                <w:sz w:val="20"/>
                <w:szCs w:val="20"/>
              </w:rPr>
              <w:t>*Significant at the 10% level. **Significant at the 5% level. ***Significant at the 1% level</w:t>
            </w:r>
            <w:r w:rsidR="0063303C" w:rsidRPr="006469DC">
              <w:rPr>
                <w:rFonts w:asciiTheme="majorBidi" w:hAnsiTheme="majorBidi" w:cstheme="majorBidi"/>
                <w:color w:val="000000"/>
                <w:sz w:val="20"/>
                <w:szCs w:val="20"/>
              </w:rPr>
              <w:t>.</w:t>
            </w:r>
          </w:p>
          <w:p w14:paraId="4E2C3E4B" w14:textId="77777777" w:rsidR="00683ECA" w:rsidRPr="009159CB" w:rsidRDefault="00683ECA" w:rsidP="00C40424">
            <w:pPr>
              <w:tabs>
                <w:tab w:val="left" w:pos="567"/>
              </w:tabs>
              <w:jc w:val="center"/>
              <w:rPr>
                <w:rFonts w:asciiTheme="majorBidi" w:hAnsiTheme="majorBidi" w:cstheme="majorBidi"/>
                <w:b/>
                <w:bCs/>
                <w:color w:val="000000"/>
                <w:sz w:val="16"/>
                <w:szCs w:val="16"/>
              </w:rPr>
            </w:pPr>
          </w:p>
        </w:tc>
      </w:tr>
      <w:tr w:rsidR="00D1700D" w14:paraId="4EF684CD" w14:textId="77777777" w:rsidTr="00C40424">
        <w:trPr>
          <w:trHeight w:val="610"/>
        </w:trPr>
        <w:tc>
          <w:tcPr>
            <w:tcW w:w="3780" w:type="dxa"/>
            <w:tcBorders>
              <w:top w:val="single" w:sz="6" w:space="0" w:color="auto"/>
              <w:left w:val="nil"/>
              <w:bottom w:val="single" w:sz="6" w:space="0" w:color="auto"/>
              <w:right w:val="nil"/>
            </w:tcBorders>
            <w:vAlign w:val="center"/>
          </w:tcPr>
          <w:p w14:paraId="5321C223" w14:textId="77777777" w:rsidR="00D1700D" w:rsidRPr="00064536" w:rsidRDefault="00D1700D" w:rsidP="00C40424">
            <w:pPr>
              <w:tabs>
                <w:tab w:val="left" w:pos="567"/>
              </w:tabs>
              <w:rPr>
                <w:rFonts w:ascii="Times New Roman" w:hAnsi="Times New Roman" w:cs="Times New Roman"/>
                <w:b/>
                <w:bCs/>
                <w:color w:val="000000"/>
                <w:sz w:val="21"/>
                <w:szCs w:val="21"/>
              </w:rPr>
            </w:pPr>
          </w:p>
        </w:tc>
        <w:tc>
          <w:tcPr>
            <w:tcW w:w="3600" w:type="dxa"/>
            <w:tcBorders>
              <w:top w:val="single" w:sz="6" w:space="0" w:color="auto"/>
              <w:left w:val="nil"/>
              <w:bottom w:val="single" w:sz="6" w:space="0" w:color="auto"/>
              <w:right w:val="nil"/>
            </w:tcBorders>
            <w:vAlign w:val="center"/>
          </w:tcPr>
          <w:p w14:paraId="51219B52" w14:textId="77777777" w:rsidR="00D1700D" w:rsidRPr="00064536" w:rsidRDefault="00D1700D" w:rsidP="00C40424">
            <w:pPr>
              <w:tabs>
                <w:tab w:val="left" w:pos="567"/>
              </w:tabs>
              <w:jc w:val="center"/>
              <w:rPr>
                <w:rFonts w:ascii="Times New Roman" w:hAnsi="Times New Roman" w:cs="Times New Roman"/>
                <w:color w:val="000000"/>
                <w:sz w:val="21"/>
                <w:szCs w:val="21"/>
              </w:rPr>
            </w:pPr>
            <w:r w:rsidRPr="00064536">
              <w:rPr>
                <w:rFonts w:ascii="Times New Roman" w:hAnsi="Times New Roman" w:cs="Times New Roman"/>
                <w:color w:val="000000"/>
                <w:sz w:val="21"/>
                <w:szCs w:val="21"/>
              </w:rPr>
              <w:t>Probability of Default</w:t>
            </w:r>
          </w:p>
          <w:p w14:paraId="11507421" w14:textId="2D55E983" w:rsidR="00F27D9E" w:rsidRPr="00064536" w:rsidRDefault="00D1700D" w:rsidP="00C40424">
            <w:pPr>
              <w:tabs>
                <w:tab w:val="left" w:pos="567"/>
              </w:tabs>
              <w:jc w:val="center"/>
              <w:rPr>
                <w:rFonts w:ascii="Times New Roman" w:hAnsi="Times New Roman" w:cs="Times New Roman"/>
                <w:color w:val="000000"/>
                <w:sz w:val="21"/>
                <w:szCs w:val="21"/>
              </w:rPr>
            </w:pPr>
            <w:r w:rsidRPr="00064536">
              <w:rPr>
                <w:rFonts w:ascii="Times New Roman" w:hAnsi="Times New Roman" w:cs="Times New Roman"/>
                <w:color w:val="000000"/>
                <w:sz w:val="21"/>
                <w:szCs w:val="21"/>
              </w:rPr>
              <w:t>(</w:t>
            </w:r>
            <w:r w:rsidR="005A3E38" w:rsidRPr="00064536">
              <w:rPr>
                <w:rFonts w:ascii="Times New Roman" w:hAnsi="Times New Roman" w:cs="Times New Roman"/>
                <w:color w:val="000000"/>
                <w:sz w:val="21"/>
                <w:szCs w:val="21"/>
              </w:rPr>
              <w:t xml:space="preserve">SHW: </w:t>
            </w:r>
            <w:r w:rsidRPr="00064536">
              <w:rPr>
                <w:rFonts w:ascii="Times New Roman" w:hAnsi="Times New Roman" w:cs="Times New Roman"/>
                <w:color w:val="000000"/>
                <w:sz w:val="21"/>
                <w:szCs w:val="21"/>
              </w:rPr>
              <w:t>Discrete-</w:t>
            </w:r>
            <w:r w:rsidR="00C47991">
              <w:rPr>
                <w:rFonts w:ascii="Times New Roman" w:hAnsi="Times New Roman" w:cs="Times New Roman"/>
                <w:color w:val="000000"/>
                <w:sz w:val="21"/>
                <w:szCs w:val="21"/>
              </w:rPr>
              <w:t>T</w:t>
            </w:r>
            <w:r w:rsidRPr="00064536">
              <w:rPr>
                <w:rFonts w:ascii="Times New Roman" w:hAnsi="Times New Roman" w:cs="Times New Roman"/>
                <w:color w:val="000000"/>
                <w:sz w:val="21"/>
                <w:szCs w:val="21"/>
              </w:rPr>
              <w:t xml:space="preserve">ime </w:t>
            </w:r>
            <w:r w:rsidR="00C47991">
              <w:rPr>
                <w:rFonts w:ascii="Times New Roman" w:hAnsi="Times New Roman" w:cs="Times New Roman"/>
                <w:color w:val="000000"/>
                <w:sz w:val="21"/>
                <w:szCs w:val="21"/>
              </w:rPr>
              <w:t>H</w:t>
            </w:r>
            <w:r w:rsidRPr="00064536">
              <w:rPr>
                <w:rFonts w:ascii="Times New Roman" w:hAnsi="Times New Roman" w:cs="Times New Roman"/>
                <w:color w:val="000000"/>
                <w:sz w:val="21"/>
                <w:szCs w:val="21"/>
              </w:rPr>
              <w:t xml:space="preserve">azard </w:t>
            </w:r>
            <w:r w:rsidR="00C47991">
              <w:rPr>
                <w:rFonts w:ascii="Times New Roman" w:hAnsi="Times New Roman" w:cs="Times New Roman"/>
                <w:color w:val="000000"/>
                <w:sz w:val="21"/>
                <w:szCs w:val="21"/>
              </w:rPr>
              <w:t>R</w:t>
            </w:r>
            <w:r w:rsidRPr="00064536">
              <w:rPr>
                <w:rFonts w:ascii="Times New Roman" w:hAnsi="Times New Roman" w:cs="Times New Roman"/>
                <w:color w:val="000000"/>
                <w:sz w:val="21"/>
                <w:szCs w:val="21"/>
              </w:rPr>
              <w:t>ate)</w:t>
            </w:r>
          </w:p>
        </w:tc>
        <w:tc>
          <w:tcPr>
            <w:tcW w:w="3600" w:type="dxa"/>
            <w:gridSpan w:val="2"/>
            <w:tcBorders>
              <w:top w:val="single" w:sz="6" w:space="0" w:color="auto"/>
              <w:left w:val="nil"/>
              <w:bottom w:val="single" w:sz="6" w:space="0" w:color="auto"/>
              <w:right w:val="nil"/>
            </w:tcBorders>
            <w:vAlign w:val="center"/>
          </w:tcPr>
          <w:p w14:paraId="5683D993" w14:textId="77777777" w:rsidR="00D1700D" w:rsidRPr="00064536" w:rsidRDefault="00D1700D" w:rsidP="00C40424">
            <w:pPr>
              <w:tabs>
                <w:tab w:val="left" w:pos="567"/>
              </w:tabs>
              <w:jc w:val="center"/>
              <w:rPr>
                <w:rFonts w:ascii="Times New Roman" w:hAnsi="Times New Roman" w:cs="Times New Roman"/>
                <w:color w:val="000000"/>
                <w:sz w:val="21"/>
                <w:szCs w:val="21"/>
              </w:rPr>
            </w:pPr>
            <w:r w:rsidRPr="00064536">
              <w:rPr>
                <w:rFonts w:ascii="Times New Roman" w:hAnsi="Times New Roman" w:cs="Times New Roman"/>
                <w:color w:val="000000"/>
                <w:sz w:val="21"/>
                <w:szCs w:val="21"/>
              </w:rPr>
              <w:t>Probability of Default</w:t>
            </w:r>
          </w:p>
          <w:p w14:paraId="1B3EB01A" w14:textId="24F849E2" w:rsidR="005A3E38" w:rsidRPr="00064536" w:rsidRDefault="00D1700D" w:rsidP="00C40424">
            <w:pPr>
              <w:tabs>
                <w:tab w:val="left" w:pos="567"/>
              </w:tabs>
              <w:jc w:val="center"/>
              <w:rPr>
                <w:rFonts w:ascii="Times New Roman" w:hAnsi="Times New Roman" w:cs="Times New Roman"/>
                <w:color w:val="000000"/>
                <w:sz w:val="21"/>
                <w:szCs w:val="21"/>
              </w:rPr>
            </w:pPr>
            <w:r w:rsidRPr="00064536">
              <w:rPr>
                <w:rFonts w:ascii="Times New Roman" w:hAnsi="Times New Roman" w:cs="Times New Roman"/>
                <w:color w:val="000000"/>
                <w:sz w:val="21"/>
                <w:szCs w:val="21"/>
              </w:rPr>
              <w:t>(</w:t>
            </w:r>
            <w:r w:rsidR="00BF7E05" w:rsidRPr="00064536">
              <w:rPr>
                <w:rFonts w:ascii="Times New Roman" w:hAnsi="Times New Roman" w:cs="Times New Roman"/>
                <w:color w:val="000000"/>
                <w:sz w:val="21"/>
                <w:szCs w:val="21"/>
              </w:rPr>
              <w:t>OHL</w:t>
            </w:r>
            <w:r w:rsidR="005A3E38" w:rsidRPr="00064536">
              <w:rPr>
                <w:rFonts w:ascii="Times New Roman" w:hAnsi="Times New Roman" w:cs="Times New Roman"/>
                <w:color w:val="000000"/>
                <w:sz w:val="21"/>
                <w:szCs w:val="21"/>
              </w:rPr>
              <w:t xml:space="preserve">: </w:t>
            </w:r>
            <w:r w:rsidRPr="00064536">
              <w:rPr>
                <w:rFonts w:ascii="Times New Roman" w:hAnsi="Times New Roman" w:cs="Times New Roman"/>
                <w:color w:val="000000"/>
                <w:sz w:val="21"/>
                <w:szCs w:val="21"/>
              </w:rPr>
              <w:t xml:space="preserve">Logistic </w:t>
            </w:r>
            <w:r w:rsidR="00C47991">
              <w:rPr>
                <w:rFonts w:ascii="Times New Roman" w:hAnsi="Times New Roman" w:cs="Times New Roman"/>
                <w:color w:val="000000"/>
                <w:sz w:val="21"/>
                <w:szCs w:val="21"/>
              </w:rPr>
              <w:t>R</w:t>
            </w:r>
            <w:r w:rsidRPr="00064536">
              <w:rPr>
                <w:rFonts w:ascii="Times New Roman" w:hAnsi="Times New Roman" w:cs="Times New Roman"/>
                <w:color w:val="000000"/>
                <w:sz w:val="21"/>
                <w:szCs w:val="21"/>
              </w:rPr>
              <w:t>egression)</w:t>
            </w:r>
          </w:p>
        </w:tc>
      </w:tr>
      <w:tr w:rsidR="00401492" w14:paraId="0FA2C627" w14:textId="77777777" w:rsidTr="00C40424">
        <w:trPr>
          <w:trHeight w:val="432"/>
        </w:trPr>
        <w:tc>
          <w:tcPr>
            <w:tcW w:w="3780" w:type="dxa"/>
            <w:tcBorders>
              <w:top w:val="single" w:sz="6" w:space="0" w:color="auto"/>
              <w:left w:val="nil"/>
              <w:bottom w:val="nil"/>
              <w:right w:val="nil"/>
            </w:tcBorders>
            <w:vAlign w:val="center"/>
          </w:tcPr>
          <w:p w14:paraId="62517E84" w14:textId="77777777" w:rsidR="00401492" w:rsidRPr="00064536" w:rsidRDefault="00401492" w:rsidP="00C40424">
            <w:pPr>
              <w:tabs>
                <w:tab w:val="left" w:pos="567"/>
              </w:tabs>
              <w:rPr>
                <w:rFonts w:ascii="Times New Roman" w:hAnsi="Times New Roman" w:cs="Times New Roman"/>
                <w:sz w:val="21"/>
                <w:szCs w:val="21"/>
              </w:rPr>
            </w:pPr>
            <w:r w:rsidRPr="00064536">
              <w:rPr>
                <w:rFonts w:ascii="Times New Roman" w:hAnsi="Times New Roman" w:cs="Times New Roman"/>
                <w:sz w:val="21"/>
                <w:szCs w:val="21"/>
              </w:rPr>
              <w:t>Intercept</w:t>
            </w:r>
          </w:p>
        </w:tc>
        <w:tc>
          <w:tcPr>
            <w:tcW w:w="3600" w:type="dxa"/>
            <w:tcBorders>
              <w:top w:val="single" w:sz="6" w:space="0" w:color="auto"/>
              <w:left w:val="nil"/>
              <w:bottom w:val="nil"/>
              <w:right w:val="nil"/>
            </w:tcBorders>
            <w:shd w:val="clear" w:color="auto" w:fill="auto"/>
            <w:vAlign w:val="center"/>
          </w:tcPr>
          <w:p w14:paraId="6B6F8A2F" w14:textId="77777777" w:rsidR="00401492" w:rsidRPr="00064536" w:rsidRDefault="00401492" w:rsidP="007E4F88">
            <w:pPr>
              <w:tabs>
                <w:tab w:val="decimal" w:pos="1497"/>
              </w:tabs>
              <w:rPr>
                <w:rFonts w:ascii="Times New Roman" w:hAnsi="Times New Roman" w:cs="Times New Roman"/>
                <w:sz w:val="21"/>
                <w:szCs w:val="21"/>
              </w:rPr>
            </w:pPr>
            <w:r w:rsidRPr="00064536">
              <w:rPr>
                <w:rFonts w:ascii="Times New Roman" w:hAnsi="Times New Roman" w:cs="Times New Roman"/>
                <w:sz w:val="21"/>
                <w:szCs w:val="21"/>
              </w:rPr>
              <w:t>-5.377***</w:t>
            </w:r>
            <w:r w:rsidRPr="00064536">
              <w:rPr>
                <w:rFonts w:ascii="Times New Roman" w:hAnsi="Times New Roman" w:cs="Times New Roman"/>
                <w:sz w:val="21"/>
                <w:szCs w:val="21"/>
              </w:rPr>
              <w:br/>
              <w:t>(-17.56</w:t>
            </w:r>
            <w:r w:rsidR="005E1657" w:rsidRPr="00064536">
              <w:rPr>
                <w:rFonts w:ascii="Times New Roman" w:hAnsi="Times New Roman" w:cs="Times New Roman"/>
                <w:sz w:val="21"/>
                <w:szCs w:val="21"/>
              </w:rPr>
              <w:t>0</w:t>
            </w:r>
            <w:r w:rsidRPr="00064536">
              <w:rPr>
                <w:rFonts w:ascii="Times New Roman" w:hAnsi="Times New Roman" w:cs="Times New Roman"/>
                <w:sz w:val="21"/>
                <w:szCs w:val="21"/>
              </w:rPr>
              <w:t>)</w:t>
            </w:r>
          </w:p>
        </w:tc>
        <w:tc>
          <w:tcPr>
            <w:tcW w:w="3600" w:type="dxa"/>
            <w:gridSpan w:val="2"/>
            <w:tcBorders>
              <w:top w:val="single" w:sz="6" w:space="0" w:color="auto"/>
              <w:left w:val="nil"/>
              <w:bottom w:val="nil"/>
              <w:right w:val="nil"/>
            </w:tcBorders>
            <w:shd w:val="clear" w:color="auto" w:fill="auto"/>
            <w:vAlign w:val="center"/>
          </w:tcPr>
          <w:p w14:paraId="31150D0F" w14:textId="77777777" w:rsidR="00401492" w:rsidRPr="00064536" w:rsidRDefault="00401492" w:rsidP="007E4F88">
            <w:pPr>
              <w:tabs>
                <w:tab w:val="decimal" w:pos="1441"/>
              </w:tabs>
              <w:rPr>
                <w:rFonts w:ascii="Times New Roman" w:hAnsi="Times New Roman" w:cs="Times New Roman"/>
                <w:sz w:val="21"/>
                <w:szCs w:val="21"/>
              </w:rPr>
            </w:pPr>
            <w:r w:rsidRPr="00064536">
              <w:rPr>
                <w:rFonts w:ascii="Times New Roman" w:hAnsi="Times New Roman" w:cs="Times New Roman"/>
                <w:sz w:val="21"/>
                <w:szCs w:val="21"/>
              </w:rPr>
              <w:t>-3.335***</w:t>
            </w:r>
            <w:r w:rsidRPr="00064536">
              <w:rPr>
                <w:rFonts w:ascii="Times New Roman" w:hAnsi="Times New Roman" w:cs="Times New Roman"/>
                <w:sz w:val="21"/>
                <w:szCs w:val="21"/>
              </w:rPr>
              <w:br/>
              <w:t>-(15.290)</w:t>
            </w:r>
          </w:p>
        </w:tc>
      </w:tr>
      <w:tr w:rsidR="00401492" w14:paraId="13585935" w14:textId="77777777" w:rsidTr="00C40424">
        <w:trPr>
          <w:trHeight w:val="432"/>
        </w:trPr>
        <w:tc>
          <w:tcPr>
            <w:tcW w:w="3780" w:type="dxa"/>
            <w:tcBorders>
              <w:top w:val="nil"/>
              <w:left w:val="nil"/>
              <w:bottom w:val="nil"/>
              <w:right w:val="nil"/>
            </w:tcBorders>
            <w:vAlign w:val="center"/>
          </w:tcPr>
          <w:p w14:paraId="72988781" w14:textId="77777777" w:rsidR="00401492" w:rsidRPr="00064536" w:rsidRDefault="00401492" w:rsidP="00C40424">
            <w:pPr>
              <w:tabs>
                <w:tab w:val="left" w:pos="567"/>
              </w:tabs>
              <w:rPr>
                <w:rFonts w:ascii="Times New Roman" w:hAnsi="Times New Roman" w:cs="Times New Roman"/>
                <w:sz w:val="21"/>
                <w:szCs w:val="21"/>
              </w:rPr>
            </w:pPr>
            <w:r w:rsidRPr="00064536">
              <w:rPr>
                <w:rFonts w:ascii="Times New Roman" w:hAnsi="Times New Roman" w:cs="Times New Roman"/>
                <w:sz w:val="21"/>
                <w:szCs w:val="21"/>
              </w:rPr>
              <w:t>Lagged dependent variable (One Lag)</w:t>
            </w:r>
          </w:p>
        </w:tc>
        <w:tc>
          <w:tcPr>
            <w:tcW w:w="3600" w:type="dxa"/>
            <w:tcBorders>
              <w:top w:val="nil"/>
              <w:left w:val="nil"/>
              <w:bottom w:val="nil"/>
              <w:right w:val="nil"/>
            </w:tcBorders>
            <w:shd w:val="clear" w:color="auto" w:fill="auto"/>
            <w:vAlign w:val="center"/>
          </w:tcPr>
          <w:p w14:paraId="609348B0" w14:textId="77777777" w:rsidR="00401492" w:rsidRPr="00064536" w:rsidRDefault="00401492" w:rsidP="007E4F88">
            <w:pPr>
              <w:tabs>
                <w:tab w:val="decimal" w:pos="1497"/>
              </w:tabs>
              <w:rPr>
                <w:rFonts w:ascii="Times New Roman" w:hAnsi="Times New Roman" w:cs="Times New Roman"/>
                <w:sz w:val="21"/>
                <w:szCs w:val="21"/>
              </w:rPr>
            </w:pPr>
            <w:r w:rsidRPr="00064536">
              <w:rPr>
                <w:rFonts w:ascii="Times New Roman" w:hAnsi="Times New Roman" w:cs="Times New Roman"/>
                <w:sz w:val="21"/>
                <w:szCs w:val="21"/>
              </w:rPr>
              <w:t>0.734***</w:t>
            </w:r>
            <w:r w:rsidRPr="00064536">
              <w:rPr>
                <w:rFonts w:ascii="Times New Roman" w:hAnsi="Times New Roman" w:cs="Times New Roman"/>
                <w:sz w:val="21"/>
                <w:szCs w:val="21"/>
              </w:rPr>
              <w:br/>
              <w:t>(5.0</w:t>
            </w:r>
            <w:r w:rsidR="005E1657" w:rsidRPr="00064536">
              <w:rPr>
                <w:rFonts w:ascii="Times New Roman" w:hAnsi="Times New Roman" w:cs="Times New Roman"/>
                <w:sz w:val="21"/>
                <w:szCs w:val="21"/>
              </w:rPr>
              <w:t>60</w:t>
            </w:r>
            <w:r w:rsidRPr="00064536">
              <w:rPr>
                <w:rFonts w:ascii="Times New Roman" w:hAnsi="Times New Roman" w:cs="Times New Roman"/>
                <w:sz w:val="21"/>
                <w:szCs w:val="21"/>
              </w:rPr>
              <w:t>)</w:t>
            </w:r>
          </w:p>
        </w:tc>
        <w:tc>
          <w:tcPr>
            <w:tcW w:w="3600" w:type="dxa"/>
            <w:gridSpan w:val="2"/>
            <w:tcBorders>
              <w:top w:val="nil"/>
              <w:left w:val="nil"/>
              <w:bottom w:val="nil"/>
              <w:right w:val="nil"/>
            </w:tcBorders>
            <w:shd w:val="clear" w:color="auto" w:fill="auto"/>
            <w:vAlign w:val="center"/>
          </w:tcPr>
          <w:p w14:paraId="0D586647" w14:textId="77777777" w:rsidR="00401492" w:rsidRPr="00064536" w:rsidRDefault="00401492" w:rsidP="007E4F88">
            <w:pPr>
              <w:tabs>
                <w:tab w:val="decimal" w:pos="1441"/>
              </w:tabs>
              <w:rPr>
                <w:rFonts w:ascii="Times New Roman" w:hAnsi="Times New Roman" w:cs="Times New Roman"/>
                <w:sz w:val="21"/>
                <w:szCs w:val="21"/>
              </w:rPr>
            </w:pPr>
            <w:r w:rsidRPr="00064536">
              <w:rPr>
                <w:rFonts w:ascii="Times New Roman" w:hAnsi="Times New Roman" w:cs="Times New Roman"/>
                <w:sz w:val="21"/>
                <w:szCs w:val="21"/>
              </w:rPr>
              <w:t>0.564***</w:t>
            </w:r>
            <w:r w:rsidRPr="00064536">
              <w:rPr>
                <w:rFonts w:ascii="Times New Roman" w:hAnsi="Times New Roman" w:cs="Times New Roman"/>
                <w:sz w:val="21"/>
                <w:szCs w:val="21"/>
              </w:rPr>
              <w:br/>
              <w:t>(10.74</w:t>
            </w:r>
            <w:r w:rsidR="005E1657" w:rsidRPr="00064536">
              <w:rPr>
                <w:rFonts w:ascii="Times New Roman" w:hAnsi="Times New Roman" w:cs="Times New Roman"/>
                <w:sz w:val="21"/>
                <w:szCs w:val="21"/>
              </w:rPr>
              <w:t>0</w:t>
            </w:r>
            <w:r w:rsidRPr="00064536">
              <w:rPr>
                <w:rFonts w:ascii="Times New Roman" w:hAnsi="Times New Roman" w:cs="Times New Roman"/>
                <w:sz w:val="21"/>
                <w:szCs w:val="21"/>
              </w:rPr>
              <w:t>)</w:t>
            </w:r>
          </w:p>
        </w:tc>
      </w:tr>
      <w:tr w:rsidR="002E3F0E" w:rsidRPr="00080FF6" w14:paraId="14364CA0" w14:textId="77777777" w:rsidTr="00C40424">
        <w:trPr>
          <w:trHeight w:val="432"/>
        </w:trPr>
        <w:tc>
          <w:tcPr>
            <w:tcW w:w="3780" w:type="dxa"/>
            <w:tcBorders>
              <w:top w:val="nil"/>
              <w:left w:val="nil"/>
              <w:bottom w:val="nil"/>
              <w:right w:val="nil"/>
            </w:tcBorders>
            <w:vAlign w:val="center"/>
          </w:tcPr>
          <w:p w14:paraId="3F630E8F" w14:textId="77777777" w:rsidR="002E3F0E" w:rsidRPr="00064536" w:rsidRDefault="002E3F0E" w:rsidP="00C40424">
            <w:pPr>
              <w:tabs>
                <w:tab w:val="left" w:pos="567"/>
              </w:tabs>
              <w:rPr>
                <w:rFonts w:ascii="Times New Roman" w:hAnsi="Times New Roman" w:cs="Times New Roman"/>
                <w:sz w:val="21"/>
                <w:szCs w:val="21"/>
              </w:rPr>
            </w:pPr>
            <w:r w:rsidRPr="00064536">
              <w:rPr>
                <w:rFonts w:ascii="Times New Roman" w:hAnsi="Times New Roman" w:cs="Times New Roman"/>
                <w:sz w:val="21"/>
                <w:szCs w:val="21"/>
              </w:rPr>
              <w:t>Attrition Ratio (ATTR)</w:t>
            </w:r>
          </w:p>
        </w:tc>
        <w:tc>
          <w:tcPr>
            <w:tcW w:w="3600" w:type="dxa"/>
            <w:tcBorders>
              <w:top w:val="nil"/>
              <w:left w:val="nil"/>
              <w:bottom w:val="nil"/>
              <w:right w:val="nil"/>
            </w:tcBorders>
            <w:shd w:val="clear" w:color="auto" w:fill="auto"/>
            <w:vAlign w:val="center"/>
          </w:tcPr>
          <w:p w14:paraId="563268A7" w14:textId="77777777" w:rsidR="002E3F0E" w:rsidRPr="00064536" w:rsidRDefault="002E3F0E" w:rsidP="007E4F88">
            <w:pPr>
              <w:tabs>
                <w:tab w:val="decimal" w:pos="1497"/>
              </w:tabs>
              <w:rPr>
                <w:rFonts w:ascii="Times New Roman" w:hAnsi="Times New Roman" w:cs="Times New Roman"/>
                <w:sz w:val="21"/>
                <w:szCs w:val="21"/>
              </w:rPr>
            </w:pPr>
            <w:r w:rsidRPr="00064536">
              <w:rPr>
                <w:rFonts w:ascii="Times New Roman" w:hAnsi="Times New Roman" w:cs="Times New Roman"/>
                <w:sz w:val="21"/>
                <w:szCs w:val="21"/>
              </w:rPr>
              <w:t>0.028</w:t>
            </w:r>
            <w:r w:rsidRPr="00064536">
              <w:rPr>
                <w:rFonts w:ascii="Times New Roman" w:hAnsi="Times New Roman" w:cs="Times New Roman"/>
                <w:sz w:val="21"/>
                <w:szCs w:val="21"/>
              </w:rPr>
              <w:br/>
              <w:t>(0.240)</w:t>
            </w:r>
          </w:p>
        </w:tc>
        <w:tc>
          <w:tcPr>
            <w:tcW w:w="3600" w:type="dxa"/>
            <w:gridSpan w:val="2"/>
            <w:tcBorders>
              <w:top w:val="nil"/>
              <w:left w:val="nil"/>
              <w:bottom w:val="nil"/>
              <w:right w:val="nil"/>
            </w:tcBorders>
            <w:shd w:val="clear" w:color="auto" w:fill="auto"/>
            <w:vAlign w:val="center"/>
          </w:tcPr>
          <w:p w14:paraId="66E5AD4D" w14:textId="77777777" w:rsidR="002E3F0E" w:rsidRPr="00064536" w:rsidRDefault="002E3F0E" w:rsidP="007E4F88">
            <w:pPr>
              <w:tabs>
                <w:tab w:val="decimal" w:pos="1441"/>
              </w:tabs>
              <w:rPr>
                <w:rFonts w:ascii="Times New Roman" w:hAnsi="Times New Roman" w:cs="Times New Roman"/>
                <w:sz w:val="21"/>
                <w:szCs w:val="21"/>
              </w:rPr>
            </w:pPr>
            <w:r w:rsidRPr="00064536">
              <w:rPr>
                <w:rFonts w:ascii="Times New Roman" w:hAnsi="Times New Roman" w:cs="Times New Roman"/>
                <w:sz w:val="21"/>
                <w:szCs w:val="21"/>
              </w:rPr>
              <w:t>0.274</w:t>
            </w:r>
            <w:r w:rsidRPr="00064536">
              <w:rPr>
                <w:rFonts w:ascii="Times New Roman" w:hAnsi="Times New Roman" w:cs="Times New Roman"/>
                <w:sz w:val="21"/>
                <w:szCs w:val="21"/>
              </w:rPr>
              <w:br/>
              <w:t>(0.540)</w:t>
            </w:r>
          </w:p>
        </w:tc>
      </w:tr>
      <w:tr w:rsidR="002E3F0E" w:rsidRPr="00080FF6" w14:paraId="3F235595" w14:textId="77777777" w:rsidTr="00C40424">
        <w:trPr>
          <w:trHeight w:val="432"/>
        </w:trPr>
        <w:tc>
          <w:tcPr>
            <w:tcW w:w="3780" w:type="dxa"/>
            <w:tcBorders>
              <w:top w:val="nil"/>
              <w:left w:val="nil"/>
              <w:bottom w:val="nil"/>
              <w:right w:val="nil"/>
            </w:tcBorders>
            <w:vAlign w:val="center"/>
          </w:tcPr>
          <w:p w14:paraId="02264DF3" w14:textId="77777777" w:rsidR="002E3F0E" w:rsidRPr="00064536" w:rsidRDefault="002E3F0E" w:rsidP="00C40424">
            <w:pPr>
              <w:tabs>
                <w:tab w:val="left" w:pos="567"/>
              </w:tabs>
              <w:rPr>
                <w:rFonts w:ascii="Times New Roman" w:hAnsi="Times New Roman" w:cs="Times New Roman"/>
                <w:sz w:val="21"/>
                <w:szCs w:val="21"/>
              </w:rPr>
            </w:pPr>
            <w:r w:rsidRPr="00064536">
              <w:rPr>
                <w:rFonts w:ascii="Times New Roman" w:hAnsi="Times New Roman" w:cs="Times New Roman"/>
                <w:sz w:val="21"/>
                <w:szCs w:val="21"/>
              </w:rPr>
              <w:t>Gender (GEND)</w:t>
            </w:r>
          </w:p>
        </w:tc>
        <w:tc>
          <w:tcPr>
            <w:tcW w:w="3600" w:type="dxa"/>
            <w:tcBorders>
              <w:top w:val="nil"/>
              <w:left w:val="nil"/>
              <w:bottom w:val="nil"/>
              <w:right w:val="nil"/>
            </w:tcBorders>
            <w:shd w:val="clear" w:color="auto" w:fill="auto"/>
            <w:vAlign w:val="bottom"/>
          </w:tcPr>
          <w:p w14:paraId="1289231F" w14:textId="77777777" w:rsidR="002E3F0E" w:rsidRPr="00064536" w:rsidRDefault="002E3F0E" w:rsidP="007E4F88">
            <w:pPr>
              <w:tabs>
                <w:tab w:val="decimal" w:pos="1497"/>
              </w:tabs>
              <w:rPr>
                <w:rFonts w:ascii="Times New Roman" w:hAnsi="Times New Roman" w:cs="Times New Roman"/>
                <w:sz w:val="21"/>
                <w:szCs w:val="21"/>
              </w:rPr>
            </w:pPr>
            <w:r w:rsidRPr="00064536">
              <w:rPr>
                <w:rFonts w:ascii="Times New Roman" w:hAnsi="Times New Roman" w:cs="Times New Roman"/>
                <w:sz w:val="21"/>
                <w:szCs w:val="21"/>
              </w:rPr>
              <w:t>0.259</w:t>
            </w:r>
          </w:p>
          <w:p w14:paraId="32150673" w14:textId="77777777" w:rsidR="002E3F0E" w:rsidRPr="00064536" w:rsidRDefault="002E3F0E" w:rsidP="007E4F88">
            <w:pPr>
              <w:tabs>
                <w:tab w:val="decimal" w:pos="1497"/>
              </w:tabs>
              <w:rPr>
                <w:rFonts w:ascii="Times New Roman" w:hAnsi="Times New Roman" w:cs="Times New Roman"/>
                <w:sz w:val="21"/>
                <w:szCs w:val="21"/>
              </w:rPr>
            </w:pPr>
            <w:r w:rsidRPr="00064536">
              <w:rPr>
                <w:rFonts w:ascii="Times New Roman" w:hAnsi="Times New Roman" w:cs="Times New Roman"/>
                <w:sz w:val="21"/>
                <w:szCs w:val="21"/>
              </w:rPr>
              <w:t>(0.550)</w:t>
            </w:r>
          </w:p>
        </w:tc>
        <w:tc>
          <w:tcPr>
            <w:tcW w:w="3600" w:type="dxa"/>
            <w:gridSpan w:val="2"/>
            <w:tcBorders>
              <w:top w:val="nil"/>
              <w:left w:val="nil"/>
              <w:bottom w:val="nil"/>
              <w:right w:val="nil"/>
            </w:tcBorders>
            <w:shd w:val="clear" w:color="auto" w:fill="auto"/>
            <w:vAlign w:val="bottom"/>
          </w:tcPr>
          <w:p w14:paraId="6BA53E5E" w14:textId="77777777" w:rsidR="002E3F0E" w:rsidRPr="00064536" w:rsidRDefault="002E3F0E" w:rsidP="007E4F88">
            <w:pPr>
              <w:tabs>
                <w:tab w:val="decimal" w:pos="1441"/>
              </w:tabs>
              <w:rPr>
                <w:rFonts w:ascii="Times New Roman" w:hAnsi="Times New Roman" w:cs="Times New Roman"/>
                <w:sz w:val="21"/>
                <w:szCs w:val="21"/>
              </w:rPr>
            </w:pPr>
            <w:r w:rsidRPr="00064536">
              <w:rPr>
                <w:rFonts w:ascii="Times New Roman" w:hAnsi="Times New Roman" w:cs="Times New Roman"/>
                <w:sz w:val="21"/>
                <w:szCs w:val="21"/>
              </w:rPr>
              <w:t>0.002</w:t>
            </w:r>
          </w:p>
          <w:p w14:paraId="3D569F20" w14:textId="77777777" w:rsidR="002E3F0E" w:rsidRPr="00064536" w:rsidRDefault="002E3F0E" w:rsidP="007E4F88">
            <w:pPr>
              <w:tabs>
                <w:tab w:val="decimal" w:pos="1441"/>
              </w:tabs>
              <w:rPr>
                <w:rFonts w:ascii="Times New Roman" w:hAnsi="Times New Roman" w:cs="Times New Roman"/>
                <w:sz w:val="21"/>
                <w:szCs w:val="21"/>
              </w:rPr>
            </w:pPr>
            <w:r w:rsidRPr="00064536">
              <w:rPr>
                <w:rFonts w:ascii="Times New Roman" w:hAnsi="Times New Roman" w:cs="Times New Roman"/>
                <w:sz w:val="21"/>
                <w:szCs w:val="21"/>
              </w:rPr>
              <w:t>(0.37</w:t>
            </w:r>
            <w:r w:rsidR="005E1657" w:rsidRPr="00064536">
              <w:rPr>
                <w:rFonts w:ascii="Times New Roman" w:hAnsi="Times New Roman" w:cs="Times New Roman"/>
                <w:sz w:val="21"/>
                <w:szCs w:val="21"/>
              </w:rPr>
              <w:t>0</w:t>
            </w:r>
            <w:r w:rsidRPr="00064536">
              <w:rPr>
                <w:rFonts w:ascii="Times New Roman" w:hAnsi="Times New Roman" w:cs="Times New Roman"/>
                <w:sz w:val="21"/>
                <w:szCs w:val="21"/>
              </w:rPr>
              <w:t>)</w:t>
            </w:r>
          </w:p>
        </w:tc>
      </w:tr>
      <w:tr w:rsidR="00C36DB3" w:rsidRPr="00080FF6" w14:paraId="575077DD" w14:textId="77777777" w:rsidTr="00C40424">
        <w:trPr>
          <w:trHeight w:val="432"/>
        </w:trPr>
        <w:tc>
          <w:tcPr>
            <w:tcW w:w="3780" w:type="dxa"/>
            <w:tcBorders>
              <w:top w:val="nil"/>
              <w:left w:val="nil"/>
              <w:bottom w:val="nil"/>
              <w:right w:val="nil"/>
            </w:tcBorders>
            <w:vAlign w:val="center"/>
          </w:tcPr>
          <w:p w14:paraId="49970F7E" w14:textId="77777777" w:rsidR="00C36DB3" w:rsidRPr="00064536" w:rsidRDefault="00C36DB3" w:rsidP="00C40424">
            <w:pPr>
              <w:tabs>
                <w:tab w:val="left" w:pos="567"/>
              </w:tabs>
              <w:rPr>
                <w:rFonts w:ascii="Times New Roman" w:hAnsi="Times New Roman" w:cs="Times New Roman"/>
                <w:sz w:val="21"/>
                <w:szCs w:val="21"/>
              </w:rPr>
            </w:pPr>
            <w:r w:rsidRPr="00064536">
              <w:rPr>
                <w:rFonts w:ascii="Times New Roman" w:hAnsi="Times New Roman" w:cs="Times New Roman"/>
                <w:sz w:val="21"/>
                <w:szCs w:val="21"/>
              </w:rPr>
              <w:t>Board Independence (INDP)</w:t>
            </w:r>
          </w:p>
        </w:tc>
        <w:tc>
          <w:tcPr>
            <w:tcW w:w="3600" w:type="dxa"/>
            <w:tcBorders>
              <w:top w:val="nil"/>
              <w:left w:val="nil"/>
              <w:bottom w:val="nil"/>
              <w:right w:val="nil"/>
            </w:tcBorders>
            <w:shd w:val="clear" w:color="auto" w:fill="auto"/>
            <w:vAlign w:val="bottom"/>
          </w:tcPr>
          <w:p w14:paraId="433A30DC" w14:textId="77777777" w:rsidR="00C36DB3" w:rsidRPr="00064536" w:rsidRDefault="00C36DB3" w:rsidP="007E4F88">
            <w:pPr>
              <w:tabs>
                <w:tab w:val="decimal" w:pos="1497"/>
              </w:tabs>
              <w:rPr>
                <w:rFonts w:ascii="Times New Roman" w:hAnsi="Times New Roman" w:cs="Times New Roman"/>
                <w:sz w:val="21"/>
                <w:szCs w:val="21"/>
              </w:rPr>
            </w:pPr>
            <w:r w:rsidRPr="00064536">
              <w:rPr>
                <w:rFonts w:ascii="Times New Roman" w:hAnsi="Times New Roman" w:cs="Times New Roman"/>
                <w:sz w:val="21"/>
                <w:szCs w:val="21"/>
              </w:rPr>
              <w:t>-0.525</w:t>
            </w:r>
            <w:r w:rsidR="007D4A20" w:rsidRPr="00064536">
              <w:rPr>
                <w:rFonts w:ascii="Times New Roman" w:hAnsi="Times New Roman" w:cs="Times New Roman"/>
                <w:sz w:val="21"/>
                <w:szCs w:val="21"/>
              </w:rPr>
              <w:t>***</w:t>
            </w:r>
            <w:r w:rsidRPr="00064536">
              <w:rPr>
                <w:rFonts w:ascii="Times New Roman" w:hAnsi="Times New Roman" w:cs="Times New Roman"/>
                <w:sz w:val="21"/>
                <w:szCs w:val="21"/>
              </w:rPr>
              <w:br/>
              <w:t>(-</w:t>
            </w:r>
            <w:r w:rsidR="007D4A20" w:rsidRPr="00064536">
              <w:rPr>
                <w:rFonts w:ascii="Times New Roman" w:hAnsi="Times New Roman" w:cs="Times New Roman"/>
                <w:sz w:val="21"/>
                <w:szCs w:val="21"/>
              </w:rPr>
              <w:t>2.780</w:t>
            </w:r>
            <w:r w:rsidRPr="00064536">
              <w:rPr>
                <w:rFonts w:ascii="Times New Roman" w:hAnsi="Times New Roman" w:cs="Times New Roman"/>
                <w:sz w:val="21"/>
                <w:szCs w:val="21"/>
              </w:rPr>
              <w:t>)</w:t>
            </w:r>
          </w:p>
        </w:tc>
        <w:tc>
          <w:tcPr>
            <w:tcW w:w="3600" w:type="dxa"/>
            <w:gridSpan w:val="2"/>
            <w:tcBorders>
              <w:top w:val="nil"/>
              <w:left w:val="nil"/>
              <w:bottom w:val="nil"/>
              <w:right w:val="nil"/>
            </w:tcBorders>
            <w:shd w:val="clear" w:color="auto" w:fill="auto"/>
            <w:vAlign w:val="bottom"/>
          </w:tcPr>
          <w:p w14:paraId="2A714AD4" w14:textId="77777777" w:rsidR="00C36DB3" w:rsidRPr="00064536" w:rsidRDefault="00C36DB3" w:rsidP="007E4F88">
            <w:pPr>
              <w:tabs>
                <w:tab w:val="decimal" w:pos="1441"/>
              </w:tabs>
              <w:rPr>
                <w:rFonts w:ascii="Times New Roman" w:hAnsi="Times New Roman" w:cs="Times New Roman"/>
                <w:sz w:val="21"/>
                <w:szCs w:val="21"/>
              </w:rPr>
            </w:pPr>
            <w:r w:rsidRPr="00064536">
              <w:rPr>
                <w:rFonts w:ascii="Times New Roman" w:hAnsi="Times New Roman" w:cs="Times New Roman"/>
                <w:sz w:val="21"/>
                <w:szCs w:val="21"/>
              </w:rPr>
              <w:t>-0.660</w:t>
            </w:r>
            <w:r w:rsidR="005E1657" w:rsidRPr="00064536">
              <w:rPr>
                <w:rFonts w:ascii="Times New Roman" w:hAnsi="Times New Roman" w:cs="Times New Roman"/>
                <w:sz w:val="21"/>
                <w:szCs w:val="21"/>
              </w:rPr>
              <w:t>**</w:t>
            </w:r>
            <w:r w:rsidRPr="00064536">
              <w:rPr>
                <w:rFonts w:ascii="Times New Roman" w:hAnsi="Times New Roman" w:cs="Times New Roman"/>
                <w:sz w:val="21"/>
                <w:szCs w:val="21"/>
              </w:rPr>
              <w:br/>
              <w:t>(-1.</w:t>
            </w:r>
            <w:r w:rsidR="005E1657" w:rsidRPr="00064536">
              <w:rPr>
                <w:rFonts w:ascii="Times New Roman" w:hAnsi="Times New Roman" w:cs="Times New Roman"/>
                <w:sz w:val="21"/>
                <w:szCs w:val="21"/>
              </w:rPr>
              <w:t>980</w:t>
            </w:r>
            <w:r w:rsidRPr="00064536">
              <w:rPr>
                <w:rFonts w:ascii="Times New Roman" w:hAnsi="Times New Roman" w:cs="Times New Roman"/>
                <w:sz w:val="21"/>
                <w:szCs w:val="21"/>
              </w:rPr>
              <w:t>)</w:t>
            </w:r>
          </w:p>
        </w:tc>
      </w:tr>
      <w:tr w:rsidR="00C36DB3" w:rsidRPr="00080FF6" w14:paraId="4260AA36" w14:textId="77777777" w:rsidTr="00C40424">
        <w:trPr>
          <w:trHeight w:val="432"/>
        </w:trPr>
        <w:tc>
          <w:tcPr>
            <w:tcW w:w="3780" w:type="dxa"/>
            <w:tcBorders>
              <w:top w:val="nil"/>
              <w:left w:val="nil"/>
              <w:bottom w:val="nil"/>
              <w:right w:val="nil"/>
            </w:tcBorders>
            <w:vAlign w:val="center"/>
          </w:tcPr>
          <w:p w14:paraId="451332C0" w14:textId="77777777" w:rsidR="00C36DB3" w:rsidRPr="00064536" w:rsidRDefault="00C36DB3" w:rsidP="00C40424">
            <w:pPr>
              <w:tabs>
                <w:tab w:val="left" w:pos="567"/>
              </w:tabs>
              <w:rPr>
                <w:rFonts w:ascii="Times New Roman" w:hAnsi="Times New Roman" w:cs="Times New Roman"/>
                <w:sz w:val="21"/>
                <w:szCs w:val="21"/>
              </w:rPr>
            </w:pPr>
            <w:r w:rsidRPr="00064536">
              <w:rPr>
                <w:rFonts w:ascii="Times New Roman" w:hAnsi="Times New Roman" w:cs="Times New Roman"/>
                <w:sz w:val="21"/>
                <w:szCs w:val="21"/>
              </w:rPr>
              <w:t>CEO-Chairman Duality (DUAL)</w:t>
            </w:r>
          </w:p>
        </w:tc>
        <w:tc>
          <w:tcPr>
            <w:tcW w:w="3600" w:type="dxa"/>
            <w:tcBorders>
              <w:top w:val="nil"/>
              <w:left w:val="nil"/>
              <w:bottom w:val="nil"/>
              <w:right w:val="nil"/>
            </w:tcBorders>
            <w:shd w:val="clear" w:color="auto" w:fill="auto"/>
            <w:vAlign w:val="bottom"/>
          </w:tcPr>
          <w:p w14:paraId="0C8EC4F2" w14:textId="77777777" w:rsidR="00C36DB3" w:rsidRPr="00064536" w:rsidRDefault="00C36DB3" w:rsidP="007E4F88">
            <w:pPr>
              <w:tabs>
                <w:tab w:val="decimal" w:pos="1497"/>
              </w:tabs>
              <w:rPr>
                <w:rFonts w:ascii="Times New Roman" w:hAnsi="Times New Roman" w:cs="Times New Roman"/>
                <w:sz w:val="21"/>
                <w:szCs w:val="21"/>
              </w:rPr>
            </w:pPr>
            <w:r w:rsidRPr="00064536">
              <w:rPr>
                <w:rFonts w:ascii="Times New Roman" w:hAnsi="Times New Roman" w:cs="Times New Roman"/>
                <w:sz w:val="21"/>
                <w:szCs w:val="21"/>
              </w:rPr>
              <w:t>0.505</w:t>
            </w:r>
            <w:r w:rsidRPr="00064536">
              <w:rPr>
                <w:rFonts w:ascii="Times New Roman" w:hAnsi="Times New Roman" w:cs="Times New Roman"/>
                <w:sz w:val="21"/>
                <w:szCs w:val="21"/>
              </w:rPr>
              <w:br/>
              <w:t>(1.350)</w:t>
            </w:r>
          </w:p>
        </w:tc>
        <w:tc>
          <w:tcPr>
            <w:tcW w:w="3600" w:type="dxa"/>
            <w:gridSpan w:val="2"/>
            <w:tcBorders>
              <w:top w:val="nil"/>
              <w:left w:val="nil"/>
              <w:bottom w:val="nil"/>
              <w:right w:val="nil"/>
            </w:tcBorders>
            <w:shd w:val="clear" w:color="auto" w:fill="auto"/>
            <w:vAlign w:val="bottom"/>
          </w:tcPr>
          <w:p w14:paraId="5C263F8B" w14:textId="77777777" w:rsidR="00C36DB3" w:rsidRPr="00064536" w:rsidRDefault="00C36DB3" w:rsidP="007E4F88">
            <w:pPr>
              <w:tabs>
                <w:tab w:val="decimal" w:pos="1441"/>
              </w:tabs>
              <w:rPr>
                <w:rFonts w:ascii="Times New Roman" w:hAnsi="Times New Roman" w:cs="Times New Roman"/>
                <w:sz w:val="21"/>
                <w:szCs w:val="21"/>
              </w:rPr>
            </w:pPr>
            <w:r w:rsidRPr="00064536">
              <w:rPr>
                <w:rFonts w:ascii="Times New Roman" w:hAnsi="Times New Roman" w:cs="Times New Roman"/>
                <w:sz w:val="21"/>
                <w:szCs w:val="21"/>
              </w:rPr>
              <w:t>0.645</w:t>
            </w:r>
            <w:r w:rsidRPr="00064536">
              <w:rPr>
                <w:rFonts w:ascii="Times New Roman" w:hAnsi="Times New Roman" w:cs="Times New Roman"/>
                <w:sz w:val="21"/>
                <w:szCs w:val="21"/>
              </w:rPr>
              <w:br/>
              <w:t>(1.110)</w:t>
            </w:r>
          </w:p>
        </w:tc>
      </w:tr>
      <w:tr w:rsidR="00C36DB3" w:rsidRPr="00080FF6" w14:paraId="29FBDE6B" w14:textId="77777777" w:rsidTr="00C40424">
        <w:trPr>
          <w:trHeight w:val="432"/>
        </w:trPr>
        <w:tc>
          <w:tcPr>
            <w:tcW w:w="3780" w:type="dxa"/>
            <w:tcBorders>
              <w:top w:val="nil"/>
              <w:left w:val="nil"/>
              <w:bottom w:val="nil"/>
              <w:right w:val="nil"/>
            </w:tcBorders>
            <w:vAlign w:val="center"/>
          </w:tcPr>
          <w:p w14:paraId="116EB6FB" w14:textId="77777777" w:rsidR="00C36DB3" w:rsidRPr="00064536" w:rsidRDefault="00C36DB3" w:rsidP="00C40424">
            <w:pPr>
              <w:tabs>
                <w:tab w:val="left" w:pos="567"/>
              </w:tabs>
              <w:rPr>
                <w:rFonts w:ascii="Times New Roman" w:hAnsi="Times New Roman" w:cs="Times New Roman"/>
                <w:sz w:val="21"/>
                <w:szCs w:val="21"/>
              </w:rPr>
            </w:pPr>
            <w:r w:rsidRPr="00064536">
              <w:rPr>
                <w:rFonts w:ascii="Times New Roman" w:hAnsi="Times New Roman" w:cs="Times New Roman"/>
                <w:sz w:val="21"/>
                <w:szCs w:val="21"/>
              </w:rPr>
              <w:t>Board Size (BSIZ)</w:t>
            </w:r>
          </w:p>
        </w:tc>
        <w:tc>
          <w:tcPr>
            <w:tcW w:w="3600" w:type="dxa"/>
            <w:tcBorders>
              <w:top w:val="nil"/>
              <w:left w:val="nil"/>
              <w:bottom w:val="nil"/>
              <w:right w:val="nil"/>
            </w:tcBorders>
            <w:shd w:val="clear" w:color="auto" w:fill="auto"/>
            <w:vAlign w:val="center"/>
          </w:tcPr>
          <w:p w14:paraId="5F6E7B19" w14:textId="77777777" w:rsidR="00C36DB3" w:rsidRPr="00064536" w:rsidRDefault="00C36DB3" w:rsidP="007E4F88">
            <w:pPr>
              <w:tabs>
                <w:tab w:val="decimal" w:pos="1497"/>
              </w:tabs>
              <w:rPr>
                <w:rFonts w:ascii="Times New Roman" w:hAnsi="Times New Roman" w:cs="Times New Roman"/>
                <w:sz w:val="21"/>
                <w:szCs w:val="21"/>
              </w:rPr>
            </w:pPr>
            <w:r w:rsidRPr="00064536">
              <w:rPr>
                <w:rFonts w:ascii="Times New Roman" w:hAnsi="Times New Roman" w:cs="Times New Roman"/>
                <w:sz w:val="21"/>
                <w:szCs w:val="21"/>
              </w:rPr>
              <w:t>-3.106*</w:t>
            </w:r>
            <w:r w:rsidRPr="00064536">
              <w:rPr>
                <w:rFonts w:ascii="Times New Roman" w:hAnsi="Times New Roman" w:cs="Times New Roman"/>
                <w:sz w:val="21"/>
                <w:szCs w:val="21"/>
              </w:rPr>
              <w:br/>
              <w:t>(</w:t>
            </w:r>
            <w:r w:rsidR="005457FE" w:rsidRPr="00064536">
              <w:rPr>
                <w:rFonts w:ascii="Times New Roman" w:hAnsi="Times New Roman" w:cs="Times New Roman"/>
                <w:sz w:val="21"/>
                <w:szCs w:val="21"/>
              </w:rPr>
              <w:t>-</w:t>
            </w:r>
            <w:r w:rsidRPr="00064536">
              <w:rPr>
                <w:rFonts w:ascii="Times New Roman" w:hAnsi="Times New Roman" w:cs="Times New Roman"/>
                <w:sz w:val="21"/>
                <w:szCs w:val="21"/>
              </w:rPr>
              <w:t>1.690)</w:t>
            </w:r>
          </w:p>
        </w:tc>
        <w:tc>
          <w:tcPr>
            <w:tcW w:w="3600" w:type="dxa"/>
            <w:gridSpan w:val="2"/>
            <w:tcBorders>
              <w:top w:val="nil"/>
              <w:left w:val="nil"/>
              <w:bottom w:val="nil"/>
              <w:right w:val="nil"/>
            </w:tcBorders>
            <w:shd w:val="clear" w:color="auto" w:fill="auto"/>
            <w:vAlign w:val="center"/>
          </w:tcPr>
          <w:p w14:paraId="2C75459A" w14:textId="77777777" w:rsidR="00C36DB3" w:rsidRPr="00064536" w:rsidRDefault="00C36DB3" w:rsidP="007E4F88">
            <w:pPr>
              <w:tabs>
                <w:tab w:val="decimal" w:pos="1441"/>
              </w:tabs>
              <w:rPr>
                <w:rFonts w:ascii="Times New Roman" w:hAnsi="Times New Roman" w:cs="Times New Roman"/>
                <w:sz w:val="21"/>
                <w:szCs w:val="21"/>
              </w:rPr>
            </w:pPr>
            <w:r w:rsidRPr="00064536">
              <w:rPr>
                <w:rFonts w:ascii="Times New Roman" w:hAnsi="Times New Roman" w:cs="Times New Roman"/>
                <w:sz w:val="21"/>
                <w:szCs w:val="21"/>
              </w:rPr>
              <w:t>-4.011**</w:t>
            </w:r>
            <w:r w:rsidRPr="00064536">
              <w:rPr>
                <w:rFonts w:ascii="Times New Roman" w:hAnsi="Times New Roman" w:cs="Times New Roman"/>
                <w:sz w:val="21"/>
                <w:szCs w:val="21"/>
              </w:rPr>
              <w:br/>
              <w:t>(-2.330)</w:t>
            </w:r>
          </w:p>
        </w:tc>
      </w:tr>
      <w:tr w:rsidR="00C36DB3" w:rsidRPr="00080FF6" w14:paraId="30C6C064" w14:textId="77777777" w:rsidTr="00C40424">
        <w:trPr>
          <w:trHeight w:val="432"/>
        </w:trPr>
        <w:tc>
          <w:tcPr>
            <w:tcW w:w="3780" w:type="dxa"/>
            <w:tcBorders>
              <w:top w:val="nil"/>
              <w:left w:val="nil"/>
              <w:bottom w:val="nil"/>
              <w:right w:val="nil"/>
            </w:tcBorders>
            <w:vAlign w:val="center"/>
          </w:tcPr>
          <w:p w14:paraId="3E906E90" w14:textId="77777777" w:rsidR="00C36DB3" w:rsidRPr="00064536" w:rsidRDefault="00C36DB3" w:rsidP="00C40424">
            <w:pPr>
              <w:tabs>
                <w:tab w:val="left" w:pos="567"/>
              </w:tabs>
              <w:rPr>
                <w:rFonts w:ascii="Times New Roman" w:hAnsi="Times New Roman" w:cs="Times New Roman"/>
                <w:sz w:val="21"/>
                <w:szCs w:val="21"/>
              </w:rPr>
            </w:pPr>
            <w:r w:rsidRPr="00064536">
              <w:rPr>
                <w:rFonts w:ascii="Times New Roman" w:hAnsi="Times New Roman" w:cs="Times New Roman"/>
                <w:sz w:val="21"/>
                <w:szCs w:val="21"/>
              </w:rPr>
              <w:t>Directors Predating CEO (DCEO)</w:t>
            </w:r>
          </w:p>
        </w:tc>
        <w:tc>
          <w:tcPr>
            <w:tcW w:w="3600" w:type="dxa"/>
            <w:tcBorders>
              <w:top w:val="nil"/>
              <w:left w:val="nil"/>
              <w:bottom w:val="nil"/>
              <w:right w:val="nil"/>
            </w:tcBorders>
            <w:shd w:val="clear" w:color="auto" w:fill="auto"/>
            <w:vAlign w:val="bottom"/>
          </w:tcPr>
          <w:p w14:paraId="45EE4CEC" w14:textId="77777777" w:rsidR="00C36DB3" w:rsidRPr="00064536" w:rsidRDefault="00C36DB3" w:rsidP="007E4F88">
            <w:pPr>
              <w:tabs>
                <w:tab w:val="decimal" w:pos="1497"/>
              </w:tabs>
              <w:rPr>
                <w:rFonts w:ascii="Times New Roman" w:hAnsi="Times New Roman" w:cs="Times New Roman"/>
                <w:sz w:val="21"/>
                <w:szCs w:val="21"/>
              </w:rPr>
            </w:pPr>
            <w:r w:rsidRPr="00064536">
              <w:rPr>
                <w:rFonts w:ascii="Times New Roman" w:hAnsi="Times New Roman" w:cs="Times New Roman"/>
                <w:sz w:val="21"/>
                <w:szCs w:val="21"/>
              </w:rPr>
              <w:t>0.168*</w:t>
            </w:r>
            <w:r w:rsidRPr="00064536">
              <w:rPr>
                <w:rFonts w:ascii="Times New Roman" w:hAnsi="Times New Roman" w:cs="Times New Roman"/>
                <w:sz w:val="21"/>
                <w:szCs w:val="21"/>
              </w:rPr>
              <w:br/>
              <w:t>(1.720)</w:t>
            </w:r>
          </w:p>
        </w:tc>
        <w:tc>
          <w:tcPr>
            <w:tcW w:w="3600" w:type="dxa"/>
            <w:gridSpan w:val="2"/>
            <w:tcBorders>
              <w:top w:val="nil"/>
              <w:left w:val="nil"/>
              <w:bottom w:val="nil"/>
              <w:right w:val="nil"/>
            </w:tcBorders>
            <w:shd w:val="clear" w:color="auto" w:fill="auto"/>
            <w:vAlign w:val="bottom"/>
          </w:tcPr>
          <w:p w14:paraId="6209E5EE" w14:textId="77777777" w:rsidR="00C36DB3" w:rsidRPr="00064536" w:rsidRDefault="00C36DB3" w:rsidP="007E4F88">
            <w:pPr>
              <w:tabs>
                <w:tab w:val="decimal" w:pos="1441"/>
              </w:tabs>
              <w:rPr>
                <w:rFonts w:ascii="Times New Roman" w:hAnsi="Times New Roman" w:cs="Times New Roman"/>
                <w:sz w:val="21"/>
                <w:szCs w:val="21"/>
              </w:rPr>
            </w:pPr>
            <w:r w:rsidRPr="00064536">
              <w:rPr>
                <w:rFonts w:ascii="Times New Roman" w:hAnsi="Times New Roman" w:cs="Times New Roman"/>
                <w:sz w:val="21"/>
                <w:szCs w:val="21"/>
              </w:rPr>
              <w:t>0.031*</w:t>
            </w:r>
            <w:r w:rsidRPr="00064536">
              <w:rPr>
                <w:rFonts w:ascii="Times New Roman" w:hAnsi="Times New Roman" w:cs="Times New Roman"/>
                <w:sz w:val="21"/>
                <w:szCs w:val="21"/>
              </w:rPr>
              <w:br/>
              <w:t>(1.810)</w:t>
            </w:r>
          </w:p>
        </w:tc>
      </w:tr>
      <w:tr w:rsidR="00C36DB3" w:rsidRPr="00080FF6" w14:paraId="429CD02C" w14:textId="77777777" w:rsidTr="00C40424">
        <w:trPr>
          <w:trHeight w:val="432"/>
        </w:trPr>
        <w:tc>
          <w:tcPr>
            <w:tcW w:w="3780" w:type="dxa"/>
            <w:tcBorders>
              <w:top w:val="nil"/>
              <w:left w:val="nil"/>
              <w:bottom w:val="nil"/>
              <w:right w:val="nil"/>
            </w:tcBorders>
            <w:vAlign w:val="center"/>
          </w:tcPr>
          <w:p w14:paraId="53CF8981" w14:textId="77777777" w:rsidR="00C36DB3" w:rsidRPr="00064536" w:rsidRDefault="00C36DB3" w:rsidP="00C40424">
            <w:pPr>
              <w:tabs>
                <w:tab w:val="left" w:pos="567"/>
              </w:tabs>
              <w:rPr>
                <w:rFonts w:ascii="Times New Roman" w:hAnsi="Times New Roman" w:cs="Times New Roman"/>
                <w:sz w:val="21"/>
                <w:szCs w:val="21"/>
              </w:rPr>
            </w:pPr>
            <w:r w:rsidRPr="00064536">
              <w:rPr>
                <w:rFonts w:ascii="Times New Roman" w:hAnsi="Times New Roman" w:cs="Times New Roman"/>
                <w:sz w:val="21"/>
                <w:szCs w:val="21"/>
              </w:rPr>
              <w:t>Director External Experience (DEEP)</w:t>
            </w:r>
          </w:p>
        </w:tc>
        <w:tc>
          <w:tcPr>
            <w:tcW w:w="3600" w:type="dxa"/>
            <w:tcBorders>
              <w:top w:val="nil"/>
              <w:left w:val="nil"/>
              <w:bottom w:val="nil"/>
              <w:right w:val="nil"/>
            </w:tcBorders>
            <w:shd w:val="clear" w:color="auto" w:fill="auto"/>
            <w:vAlign w:val="bottom"/>
          </w:tcPr>
          <w:p w14:paraId="5BDAF726" w14:textId="77777777" w:rsidR="00C36DB3" w:rsidRPr="00064536" w:rsidRDefault="00C36DB3" w:rsidP="007E4F88">
            <w:pPr>
              <w:tabs>
                <w:tab w:val="decimal" w:pos="1497"/>
              </w:tabs>
              <w:rPr>
                <w:rFonts w:ascii="Times New Roman" w:hAnsi="Times New Roman" w:cs="Times New Roman"/>
                <w:sz w:val="21"/>
                <w:szCs w:val="21"/>
              </w:rPr>
            </w:pPr>
            <w:r w:rsidRPr="00064536">
              <w:rPr>
                <w:rFonts w:ascii="Times New Roman" w:hAnsi="Times New Roman" w:cs="Times New Roman"/>
                <w:sz w:val="21"/>
                <w:szCs w:val="21"/>
              </w:rPr>
              <w:t>0.490</w:t>
            </w:r>
            <w:r w:rsidRPr="00064536">
              <w:rPr>
                <w:rFonts w:ascii="Times New Roman" w:hAnsi="Times New Roman" w:cs="Times New Roman"/>
                <w:sz w:val="21"/>
                <w:szCs w:val="21"/>
              </w:rPr>
              <w:br/>
              <w:t>(1.650)</w:t>
            </w:r>
          </w:p>
        </w:tc>
        <w:tc>
          <w:tcPr>
            <w:tcW w:w="3600" w:type="dxa"/>
            <w:gridSpan w:val="2"/>
            <w:tcBorders>
              <w:top w:val="nil"/>
              <w:left w:val="nil"/>
              <w:bottom w:val="nil"/>
              <w:right w:val="nil"/>
            </w:tcBorders>
            <w:shd w:val="clear" w:color="auto" w:fill="auto"/>
            <w:vAlign w:val="bottom"/>
          </w:tcPr>
          <w:p w14:paraId="7A484C1C" w14:textId="77777777" w:rsidR="00C36DB3" w:rsidRPr="00064536" w:rsidRDefault="00C36DB3" w:rsidP="007E4F88">
            <w:pPr>
              <w:tabs>
                <w:tab w:val="decimal" w:pos="1441"/>
              </w:tabs>
              <w:rPr>
                <w:rFonts w:ascii="Times New Roman" w:hAnsi="Times New Roman" w:cs="Times New Roman"/>
                <w:sz w:val="21"/>
                <w:szCs w:val="21"/>
              </w:rPr>
            </w:pPr>
            <w:r w:rsidRPr="00064536">
              <w:rPr>
                <w:rFonts w:ascii="Times New Roman" w:hAnsi="Times New Roman" w:cs="Times New Roman"/>
                <w:sz w:val="21"/>
                <w:szCs w:val="21"/>
              </w:rPr>
              <w:t>0.160</w:t>
            </w:r>
            <w:r w:rsidRPr="00064536">
              <w:rPr>
                <w:rFonts w:ascii="Times New Roman" w:hAnsi="Times New Roman" w:cs="Times New Roman"/>
                <w:sz w:val="21"/>
                <w:szCs w:val="21"/>
              </w:rPr>
              <w:br/>
              <w:t>(1.670)</w:t>
            </w:r>
          </w:p>
        </w:tc>
      </w:tr>
      <w:tr w:rsidR="00C36DB3" w:rsidRPr="00080FF6" w14:paraId="37C1EC22" w14:textId="77777777" w:rsidTr="00C40424">
        <w:trPr>
          <w:trHeight w:val="432"/>
        </w:trPr>
        <w:tc>
          <w:tcPr>
            <w:tcW w:w="3780" w:type="dxa"/>
            <w:tcBorders>
              <w:top w:val="nil"/>
              <w:left w:val="nil"/>
              <w:bottom w:val="nil"/>
              <w:right w:val="nil"/>
            </w:tcBorders>
            <w:vAlign w:val="center"/>
          </w:tcPr>
          <w:p w14:paraId="14EB0785" w14:textId="77777777" w:rsidR="00C36DB3" w:rsidRPr="00064536" w:rsidRDefault="00C36DB3" w:rsidP="00C40424">
            <w:pPr>
              <w:tabs>
                <w:tab w:val="left" w:pos="567"/>
              </w:tabs>
              <w:rPr>
                <w:rFonts w:ascii="Times New Roman" w:hAnsi="Times New Roman" w:cs="Times New Roman"/>
                <w:sz w:val="21"/>
                <w:szCs w:val="21"/>
              </w:rPr>
            </w:pPr>
            <w:r w:rsidRPr="00064536">
              <w:rPr>
                <w:rFonts w:ascii="Times New Roman" w:hAnsi="Times New Roman" w:cs="Times New Roman"/>
                <w:sz w:val="21"/>
                <w:szCs w:val="21"/>
              </w:rPr>
              <w:t>Director Internal Experience (DIEP)</w:t>
            </w:r>
          </w:p>
        </w:tc>
        <w:tc>
          <w:tcPr>
            <w:tcW w:w="3600" w:type="dxa"/>
            <w:tcBorders>
              <w:top w:val="nil"/>
              <w:left w:val="nil"/>
              <w:bottom w:val="nil"/>
              <w:right w:val="nil"/>
            </w:tcBorders>
            <w:shd w:val="clear" w:color="auto" w:fill="auto"/>
            <w:vAlign w:val="center"/>
          </w:tcPr>
          <w:p w14:paraId="178C4380" w14:textId="77777777" w:rsidR="00C36DB3" w:rsidRPr="00064536" w:rsidRDefault="00C36DB3" w:rsidP="007E4F88">
            <w:pPr>
              <w:tabs>
                <w:tab w:val="decimal" w:pos="1497"/>
              </w:tabs>
              <w:rPr>
                <w:rFonts w:ascii="Times New Roman" w:hAnsi="Times New Roman" w:cs="Times New Roman"/>
                <w:sz w:val="21"/>
                <w:szCs w:val="21"/>
              </w:rPr>
            </w:pPr>
            <w:r w:rsidRPr="00064536">
              <w:rPr>
                <w:rFonts w:ascii="Times New Roman" w:hAnsi="Times New Roman" w:cs="Times New Roman"/>
                <w:sz w:val="21"/>
                <w:szCs w:val="21"/>
              </w:rPr>
              <w:t>-0.179**</w:t>
            </w:r>
            <w:r w:rsidRPr="00064536">
              <w:rPr>
                <w:rFonts w:ascii="Times New Roman" w:hAnsi="Times New Roman" w:cs="Times New Roman"/>
                <w:sz w:val="21"/>
                <w:szCs w:val="21"/>
              </w:rPr>
              <w:br/>
              <w:t>(2.50</w:t>
            </w:r>
            <w:r w:rsidR="005E1657" w:rsidRPr="00064536">
              <w:rPr>
                <w:rFonts w:ascii="Times New Roman" w:hAnsi="Times New Roman" w:cs="Times New Roman"/>
                <w:sz w:val="21"/>
                <w:szCs w:val="21"/>
              </w:rPr>
              <w:t>0</w:t>
            </w:r>
            <w:r w:rsidRPr="00064536">
              <w:rPr>
                <w:rFonts w:ascii="Times New Roman" w:hAnsi="Times New Roman" w:cs="Times New Roman"/>
                <w:sz w:val="21"/>
                <w:szCs w:val="21"/>
              </w:rPr>
              <w:t>)</w:t>
            </w:r>
          </w:p>
        </w:tc>
        <w:tc>
          <w:tcPr>
            <w:tcW w:w="3600" w:type="dxa"/>
            <w:gridSpan w:val="2"/>
            <w:tcBorders>
              <w:top w:val="nil"/>
              <w:left w:val="nil"/>
              <w:bottom w:val="nil"/>
              <w:right w:val="nil"/>
            </w:tcBorders>
            <w:shd w:val="clear" w:color="auto" w:fill="auto"/>
            <w:vAlign w:val="center"/>
          </w:tcPr>
          <w:p w14:paraId="7B06323B" w14:textId="77777777" w:rsidR="00C36DB3" w:rsidRPr="00064536" w:rsidRDefault="00C36DB3" w:rsidP="007E4F88">
            <w:pPr>
              <w:tabs>
                <w:tab w:val="decimal" w:pos="1441"/>
              </w:tabs>
              <w:rPr>
                <w:rFonts w:ascii="Times New Roman" w:hAnsi="Times New Roman" w:cs="Times New Roman"/>
                <w:sz w:val="21"/>
                <w:szCs w:val="21"/>
              </w:rPr>
            </w:pPr>
            <w:r w:rsidRPr="00064536">
              <w:rPr>
                <w:rFonts w:ascii="Times New Roman" w:hAnsi="Times New Roman" w:cs="Times New Roman"/>
                <w:sz w:val="21"/>
                <w:szCs w:val="21"/>
              </w:rPr>
              <w:t>-0.1</w:t>
            </w:r>
            <w:r w:rsidR="007D4A20" w:rsidRPr="00064536">
              <w:rPr>
                <w:rFonts w:ascii="Times New Roman" w:hAnsi="Times New Roman" w:cs="Times New Roman"/>
                <w:sz w:val="21"/>
                <w:szCs w:val="21"/>
              </w:rPr>
              <w:t>93</w:t>
            </w:r>
            <w:r w:rsidRPr="00064536">
              <w:rPr>
                <w:rFonts w:ascii="Times New Roman" w:hAnsi="Times New Roman" w:cs="Times New Roman"/>
                <w:sz w:val="21"/>
                <w:szCs w:val="21"/>
              </w:rPr>
              <w:t>**</w:t>
            </w:r>
            <w:r w:rsidRPr="00064536">
              <w:rPr>
                <w:rFonts w:ascii="Times New Roman" w:hAnsi="Times New Roman" w:cs="Times New Roman"/>
                <w:sz w:val="21"/>
                <w:szCs w:val="21"/>
              </w:rPr>
              <w:br/>
              <w:t>(-2.590)</w:t>
            </w:r>
          </w:p>
        </w:tc>
      </w:tr>
      <w:tr w:rsidR="00C36DB3" w:rsidRPr="00080FF6" w14:paraId="13EEC6E0" w14:textId="77777777" w:rsidTr="00C40424">
        <w:trPr>
          <w:trHeight w:val="432"/>
        </w:trPr>
        <w:tc>
          <w:tcPr>
            <w:tcW w:w="3780" w:type="dxa"/>
            <w:tcBorders>
              <w:top w:val="nil"/>
              <w:left w:val="nil"/>
              <w:bottom w:val="nil"/>
              <w:right w:val="nil"/>
            </w:tcBorders>
            <w:vAlign w:val="center"/>
          </w:tcPr>
          <w:p w14:paraId="258CA101" w14:textId="77777777" w:rsidR="00C36DB3" w:rsidRPr="00064536" w:rsidRDefault="00C36DB3" w:rsidP="00C40424">
            <w:pPr>
              <w:tabs>
                <w:tab w:val="left" w:pos="567"/>
              </w:tabs>
              <w:rPr>
                <w:rFonts w:ascii="Times New Roman" w:hAnsi="Times New Roman" w:cs="Times New Roman"/>
                <w:sz w:val="21"/>
                <w:szCs w:val="21"/>
              </w:rPr>
            </w:pPr>
            <w:r w:rsidRPr="00064536">
              <w:rPr>
                <w:rFonts w:ascii="Times New Roman" w:hAnsi="Times New Roman" w:cs="Times New Roman"/>
                <w:sz w:val="21"/>
                <w:szCs w:val="21"/>
              </w:rPr>
              <w:t>Director Company Experience (DCEP)</w:t>
            </w:r>
          </w:p>
        </w:tc>
        <w:tc>
          <w:tcPr>
            <w:tcW w:w="3600" w:type="dxa"/>
            <w:tcBorders>
              <w:top w:val="nil"/>
              <w:left w:val="nil"/>
              <w:bottom w:val="nil"/>
              <w:right w:val="nil"/>
            </w:tcBorders>
            <w:shd w:val="clear" w:color="auto" w:fill="auto"/>
            <w:vAlign w:val="center"/>
          </w:tcPr>
          <w:p w14:paraId="1F09763C" w14:textId="77777777" w:rsidR="00C36DB3" w:rsidRPr="00064536" w:rsidRDefault="00C36DB3" w:rsidP="007E4F88">
            <w:pPr>
              <w:tabs>
                <w:tab w:val="decimal" w:pos="1497"/>
              </w:tabs>
              <w:rPr>
                <w:rFonts w:ascii="Times New Roman" w:hAnsi="Times New Roman" w:cs="Times New Roman"/>
                <w:sz w:val="21"/>
                <w:szCs w:val="21"/>
              </w:rPr>
            </w:pPr>
            <w:r w:rsidRPr="00064536">
              <w:rPr>
                <w:rFonts w:ascii="Times New Roman" w:hAnsi="Times New Roman" w:cs="Times New Roman"/>
                <w:sz w:val="21"/>
                <w:szCs w:val="21"/>
              </w:rPr>
              <w:t>-0.123</w:t>
            </w:r>
            <w:r w:rsidRPr="00064536">
              <w:rPr>
                <w:rFonts w:ascii="Times New Roman" w:hAnsi="Times New Roman" w:cs="Times New Roman"/>
                <w:sz w:val="21"/>
                <w:szCs w:val="21"/>
              </w:rPr>
              <w:br/>
              <w:t>(1.64</w:t>
            </w:r>
            <w:r w:rsidR="005E1657" w:rsidRPr="00064536">
              <w:rPr>
                <w:rFonts w:ascii="Times New Roman" w:hAnsi="Times New Roman" w:cs="Times New Roman"/>
                <w:sz w:val="21"/>
                <w:szCs w:val="21"/>
              </w:rPr>
              <w:t>0</w:t>
            </w:r>
            <w:r w:rsidRPr="00064536">
              <w:rPr>
                <w:rFonts w:ascii="Times New Roman" w:hAnsi="Times New Roman" w:cs="Times New Roman"/>
                <w:sz w:val="21"/>
                <w:szCs w:val="21"/>
              </w:rPr>
              <w:t>)</w:t>
            </w:r>
          </w:p>
        </w:tc>
        <w:tc>
          <w:tcPr>
            <w:tcW w:w="3600" w:type="dxa"/>
            <w:gridSpan w:val="2"/>
            <w:tcBorders>
              <w:top w:val="nil"/>
              <w:left w:val="nil"/>
              <w:bottom w:val="nil"/>
              <w:right w:val="nil"/>
            </w:tcBorders>
            <w:shd w:val="clear" w:color="auto" w:fill="auto"/>
            <w:vAlign w:val="center"/>
          </w:tcPr>
          <w:p w14:paraId="4909B197" w14:textId="77777777" w:rsidR="00C36DB3" w:rsidRPr="00064536" w:rsidRDefault="00C36DB3" w:rsidP="007E4F88">
            <w:pPr>
              <w:tabs>
                <w:tab w:val="decimal" w:pos="1441"/>
              </w:tabs>
              <w:rPr>
                <w:rFonts w:ascii="Times New Roman" w:hAnsi="Times New Roman" w:cs="Times New Roman"/>
                <w:sz w:val="21"/>
                <w:szCs w:val="21"/>
              </w:rPr>
            </w:pPr>
            <w:r w:rsidRPr="00064536">
              <w:rPr>
                <w:rFonts w:ascii="Times New Roman" w:hAnsi="Times New Roman" w:cs="Times New Roman"/>
                <w:sz w:val="21"/>
                <w:szCs w:val="21"/>
              </w:rPr>
              <w:t>-0.117</w:t>
            </w:r>
            <w:r w:rsidRPr="00064536">
              <w:rPr>
                <w:rFonts w:ascii="Times New Roman" w:hAnsi="Times New Roman" w:cs="Times New Roman"/>
                <w:sz w:val="21"/>
                <w:szCs w:val="21"/>
              </w:rPr>
              <w:br/>
              <w:t>(-0.890)</w:t>
            </w:r>
          </w:p>
        </w:tc>
      </w:tr>
      <w:tr w:rsidR="00C36DB3" w:rsidRPr="00080FF6" w14:paraId="2EF4B3F6" w14:textId="77777777" w:rsidTr="00C40424">
        <w:trPr>
          <w:trHeight w:val="432"/>
        </w:trPr>
        <w:tc>
          <w:tcPr>
            <w:tcW w:w="3780" w:type="dxa"/>
            <w:tcBorders>
              <w:top w:val="nil"/>
              <w:left w:val="nil"/>
              <w:bottom w:val="nil"/>
              <w:right w:val="nil"/>
            </w:tcBorders>
            <w:vAlign w:val="center"/>
          </w:tcPr>
          <w:p w14:paraId="4A502AC2" w14:textId="77777777" w:rsidR="00C36DB3" w:rsidRPr="00064536" w:rsidRDefault="00C36DB3" w:rsidP="00C40424">
            <w:pPr>
              <w:tabs>
                <w:tab w:val="left" w:pos="567"/>
              </w:tabs>
              <w:rPr>
                <w:rFonts w:ascii="Times New Roman" w:hAnsi="Times New Roman" w:cs="Times New Roman"/>
                <w:sz w:val="21"/>
                <w:szCs w:val="21"/>
              </w:rPr>
            </w:pPr>
            <w:r w:rsidRPr="00064536">
              <w:rPr>
                <w:rFonts w:ascii="Times New Roman" w:hAnsi="Times New Roman" w:cs="Times New Roman"/>
                <w:sz w:val="21"/>
                <w:szCs w:val="21"/>
              </w:rPr>
              <w:t>Director busyness (BUSY)</w:t>
            </w:r>
          </w:p>
        </w:tc>
        <w:tc>
          <w:tcPr>
            <w:tcW w:w="3600" w:type="dxa"/>
            <w:tcBorders>
              <w:top w:val="nil"/>
              <w:left w:val="nil"/>
              <w:bottom w:val="nil"/>
              <w:right w:val="nil"/>
            </w:tcBorders>
            <w:shd w:val="clear" w:color="auto" w:fill="auto"/>
            <w:vAlign w:val="center"/>
          </w:tcPr>
          <w:p w14:paraId="008534D7" w14:textId="77777777" w:rsidR="00C36DB3" w:rsidRPr="00064536" w:rsidRDefault="00C36DB3" w:rsidP="007E4F88">
            <w:pPr>
              <w:tabs>
                <w:tab w:val="decimal" w:pos="1497"/>
              </w:tabs>
              <w:rPr>
                <w:rFonts w:ascii="Times New Roman" w:hAnsi="Times New Roman" w:cs="Times New Roman"/>
                <w:sz w:val="21"/>
                <w:szCs w:val="21"/>
              </w:rPr>
            </w:pPr>
            <w:r w:rsidRPr="00064536">
              <w:rPr>
                <w:rFonts w:ascii="Times New Roman" w:hAnsi="Times New Roman" w:cs="Times New Roman"/>
                <w:sz w:val="21"/>
                <w:szCs w:val="21"/>
              </w:rPr>
              <w:t>0.115</w:t>
            </w:r>
            <w:r w:rsidRPr="00064536">
              <w:rPr>
                <w:rFonts w:ascii="Times New Roman" w:hAnsi="Times New Roman" w:cs="Times New Roman"/>
                <w:sz w:val="21"/>
                <w:szCs w:val="21"/>
              </w:rPr>
              <w:br/>
              <w:t>(0.860)</w:t>
            </w:r>
          </w:p>
        </w:tc>
        <w:tc>
          <w:tcPr>
            <w:tcW w:w="3600" w:type="dxa"/>
            <w:gridSpan w:val="2"/>
            <w:tcBorders>
              <w:top w:val="nil"/>
              <w:left w:val="nil"/>
              <w:bottom w:val="nil"/>
              <w:right w:val="nil"/>
            </w:tcBorders>
            <w:shd w:val="clear" w:color="auto" w:fill="auto"/>
            <w:vAlign w:val="center"/>
          </w:tcPr>
          <w:p w14:paraId="1148BFD9" w14:textId="77777777" w:rsidR="00C36DB3" w:rsidRPr="00064536" w:rsidRDefault="00C36DB3" w:rsidP="007E4F88">
            <w:pPr>
              <w:tabs>
                <w:tab w:val="decimal" w:pos="1441"/>
              </w:tabs>
              <w:rPr>
                <w:rFonts w:ascii="Times New Roman" w:hAnsi="Times New Roman" w:cs="Times New Roman"/>
                <w:sz w:val="21"/>
                <w:szCs w:val="21"/>
              </w:rPr>
            </w:pPr>
            <w:r w:rsidRPr="00064536">
              <w:rPr>
                <w:rFonts w:ascii="Times New Roman" w:hAnsi="Times New Roman" w:cs="Times New Roman"/>
                <w:sz w:val="21"/>
                <w:szCs w:val="21"/>
              </w:rPr>
              <w:t>0.</w:t>
            </w:r>
            <w:r w:rsidR="00857063" w:rsidRPr="00064536">
              <w:rPr>
                <w:rFonts w:ascii="Times New Roman" w:hAnsi="Times New Roman" w:cs="Times New Roman"/>
                <w:sz w:val="21"/>
                <w:szCs w:val="21"/>
              </w:rPr>
              <w:t>342</w:t>
            </w:r>
            <w:r w:rsidRPr="00064536">
              <w:rPr>
                <w:rFonts w:ascii="Times New Roman" w:hAnsi="Times New Roman" w:cs="Times New Roman"/>
                <w:sz w:val="21"/>
                <w:szCs w:val="21"/>
              </w:rPr>
              <w:br/>
              <w:t>(0.670)</w:t>
            </w:r>
          </w:p>
        </w:tc>
      </w:tr>
      <w:tr w:rsidR="00C36DB3" w:rsidRPr="00080FF6" w14:paraId="18DC32BB" w14:textId="77777777" w:rsidTr="00C40424">
        <w:trPr>
          <w:trHeight w:val="432"/>
        </w:trPr>
        <w:tc>
          <w:tcPr>
            <w:tcW w:w="3780" w:type="dxa"/>
            <w:tcBorders>
              <w:top w:val="nil"/>
              <w:left w:val="nil"/>
              <w:bottom w:val="nil"/>
              <w:right w:val="nil"/>
            </w:tcBorders>
            <w:vAlign w:val="center"/>
          </w:tcPr>
          <w:p w14:paraId="7CA8B852" w14:textId="77777777" w:rsidR="00C36DB3" w:rsidRPr="00064536" w:rsidRDefault="00C36DB3" w:rsidP="00C40424">
            <w:pPr>
              <w:tabs>
                <w:tab w:val="left" w:pos="567"/>
              </w:tabs>
              <w:rPr>
                <w:rFonts w:ascii="Times New Roman" w:hAnsi="Times New Roman" w:cs="Times New Roman"/>
                <w:sz w:val="21"/>
                <w:szCs w:val="21"/>
              </w:rPr>
            </w:pPr>
            <w:r w:rsidRPr="00064536">
              <w:rPr>
                <w:rFonts w:ascii="Times New Roman" w:hAnsi="Times New Roman" w:cs="Times New Roman"/>
                <w:sz w:val="21"/>
                <w:szCs w:val="21"/>
              </w:rPr>
              <w:t>Directors compensation (DCOM)</w:t>
            </w:r>
          </w:p>
        </w:tc>
        <w:tc>
          <w:tcPr>
            <w:tcW w:w="3600" w:type="dxa"/>
            <w:tcBorders>
              <w:top w:val="nil"/>
              <w:left w:val="nil"/>
              <w:bottom w:val="nil"/>
              <w:right w:val="nil"/>
            </w:tcBorders>
            <w:shd w:val="clear" w:color="auto" w:fill="auto"/>
            <w:vAlign w:val="center"/>
          </w:tcPr>
          <w:p w14:paraId="6FB42313" w14:textId="77777777" w:rsidR="00C36DB3" w:rsidRPr="00064536" w:rsidRDefault="00C36DB3" w:rsidP="007E4F88">
            <w:pPr>
              <w:tabs>
                <w:tab w:val="decimal" w:pos="1497"/>
              </w:tabs>
              <w:rPr>
                <w:rFonts w:ascii="Times New Roman" w:hAnsi="Times New Roman" w:cs="Times New Roman"/>
                <w:sz w:val="21"/>
                <w:szCs w:val="21"/>
              </w:rPr>
            </w:pPr>
            <w:r w:rsidRPr="00064536">
              <w:rPr>
                <w:rFonts w:ascii="Times New Roman" w:hAnsi="Times New Roman" w:cs="Times New Roman"/>
                <w:sz w:val="21"/>
                <w:szCs w:val="21"/>
              </w:rPr>
              <w:t>-0.748*</w:t>
            </w:r>
            <w:r w:rsidRPr="00064536">
              <w:rPr>
                <w:rFonts w:ascii="Times New Roman" w:hAnsi="Times New Roman" w:cs="Times New Roman"/>
                <w:sz w:val="21"/>
                <w:szCs w:val="21"/>
              </w:rPr>
              <w:br/>
              <w:t>(1.88</w:t>
            </w:r>
            <w:r w:rsidR="005E1657" w:rsidRPr="00064536">
              <w:rPr>
                <w:rFonts w:ascii="Times New Roman" w:hAnsi="Times New Roman" w:cs="Times New Roman"/>
                <w:sz w:val="21"/>
                <w:szCs w:val="21"/>
              </w:rPr>
              <w:t>0</w:t>
            </w:r>
            <w:r w:rsidRPr="00064536">
              <w:rPr>
                <w:rFonts w:ascii="Times New Roman" w:hAnsi="Times New Roman" w:cs="Times New Roman"/>
                <w:sz w:val="21"/>
                <w:szCs w:val="21"/>
              </w:rPr>
              <w:t>)</w:t>
            </w:r>
          </w:p>
        </w:tc>
        <w:tc>
          <w:tcPr>
            <w:tcW w:w="3600" w:type="dxa"/>
            <w:gridSpan w:val="2"/>
            <w:tcBorders>
              <w:top w:val="nil"/>
              <w:left w:val="nil"/>
              <w:bottom w:val="nil"/>
              <w:right w:val="nil"/>
            </w:tcBorders>
            <w:shd w:val="clear" w:color="auto" w:fill="auto"/>
            <w:vAlign w:val="center"/>
          </w:tcPr>
          <w:p w14:paraId="6CB28D1B" w14:textId="77777777" w:rsidR="00C36DB3" w:rsidRPr="00064536" w:rsidRDefault="00C36DB3" w:rsidP="007E4F88">
            <w:pPr>
              <w:tabs>
                <w:tab w:val="decimal" w:pos="1441"/>
              </w:tabs>
              <w:rPr>
                <w:rFonts w:ascii="Times New Roman" w:hAnsi="Times New Roman" w:cs="Times New Roman"/>
                <w:sz w:val="21"/>
                <w:szCs w:val="21"/>
              </w:rPr>
            </w:pPr>
            <w:r w:rsidRPr="00064536">
              <w:rPr>
                <w:rFonts w:ascii="Times New Roman" w:hAnsi="Times New Roman" w:cs="Times New Roman"/>
                <w:sz w:val="21"/>
                <w:szCs w:val="21"/>
              </w:rPr>
              <w:t>-0.777**</w:t>
            </w:r>
            <w:r w:rsidRPr="00064536">
              <w:rPr>
                <w:rFonts w:ascii="Times New Roman" w:hAnsi="Times New Roman" w:cs="Times New Roman"/>
                <w:sz w:val="21"/>
                <w:szCs w:val="21"/>
              </w:rPr>
              <w:br/>
              <w:t>(-2.440)</w:t>
            </w:r>
          </w:p>
        </w:tc>
      </w:tr>
      <w:tr w:rsidR="00C36DB3" w:rsidRPr="007713F3" w14:paraId="27CBE564" w14:textId="77777777" w:rsidTr="00C40424">
        <w:trPr>
          <w:trHeight w:val="432"/>
        </w:trPr>
        <w:tc>
          <w:tcPr>
            <w:tcW w:w="3780" w:type="dxa"/>
            <w:tcBorders>
              <w:top w:val="nil"/>
              <w:left w:val="nil"/>
              <w:bottom w:val="nil"/>
              <w:right w:val="nil"/>
            </w:tcBorders>
            <w:vAlign w:val="center"/>
          </w:tcPr>
          <w:p w14:paraId="5292F564" w14:textId="77777777" w:rsidR="00C36DB3" w:rsidRPr="00064536" w:rsidRDefault="00C36DB3" w:rsidP="00C40424">
            <w:pPr>
              <w:tabs>
                <w:tab w:val="left" w:pos="567"/>
              </w:tabs>
              <w:rPr>
                <w:rFonts w:ascii="Times New Roman" w:hAnsi="Times New Roman" w:cs="Times New Roman"/>
                <w:sz w:val="21"/>
                <w:szCs w:val="21"/>
              </w:rPr>
            </w:pPr>
            <w:r w:rsidRPr="00064536">
              <w:rPr>
                <w:rFonts w:ascii="Times New Roman" w:hAnsi="Times New Roman" w:cs="Times New Roman"/>
                <w:sz w:val="21"/>
                <w:szCs w:val="21"/>
              </w:rPr>
              <w:t>CAPX</w:t>
            </w:r>
          </w:p>
        </w:tc>
        <w:tc>
          <w:tcPr>
            <w:tcW w:w="3600" w:type="dxa"/>
            <w:tcBorders>
              <w:top w:val="nil"/>
              <w:left w:val="nil"/>
              <w:bottom w:val="nil"/>
              <w:right w:val="nil"/>
            </w:tcBorders>
            <w:shd w:val="clear" w:color="auto" w:fill="auto"/>
            <w:vAlign w:val="center"/>
          </w:tcPr>
          <w:p w14:paraId="6ADCE5C7" w14:textId="77777777" w:rsidR="00C36DB3" w:rsidRPr="00064536" w:rsidRDefault="00C36DB3" w:rsidP="007E4F88">
            <w:pPr>
              <w:tabs>
                <w:tab w:val="decimal" w:pos="1497"/>
              </w:tabs>
              <w:rPr>
                <w:rFonts w:ascii="Times New Roman" w:hAnsi="Times New Roman" w:cs="Times New Roman"/>
                <w:sz w:val="21"/>
                <w:szCs w:val="21"/>
              </w:rPr>
            </w:pPr>
            <w:r w:rsidRPr="00064536">
              <w:rPr>
                <w:rFonts w:ascii="Times New Roman" w:hAnsi="Times New Roman" w:cs="Times New Roman"/>
                <w:sz w:val="21"/>
                <w:szCs w:val="21"/>
              </w:rPr>
              <w:t>-0.200</w:t>
            </w:r>
            <w:r w:rsidRPr="00064536">
              <w:rPr>
                <w:rFonts w:ascii="Times New Roman" w:hAnsi="Times New Roman" w:cs="Times New Roman"/>
                <w:sz w:val="21"/>
                <w:szCs w:val="21"/>
              </w:rPr>
              <w:br/>
              <w:t>(-0.610)</w:t>
            </w:r>
          </w:p>
        </w:tc>
        <w:tc>
          <w:tcPr>
            <w:tcW w:w="3600" w:type="dxa"/>
            <w:gridSpan w:val="2"/>
            <w:tcBorders>
              <w:top w:val="nil"/>
              <w:left w:val="nil"/>
              <w:bottom w:val="nil"/>
              <w:right w:val="nil"/>
            </w:tcBorders>
            <w:shd w:val="clear" w:color="auto" w:fill="auto"/>
            <w:vAlign w:val="center"/>
          </w:tcPr>
          <w:p w14:paraId="3767E513" w14:textId="77777777" w:rsidR="00C36DB3" w:rsidRPr="00064536" w:rsidRDefault="00C36DB3" w:rsidP="007E4F88">
            <w:pPr>
              <w:tabs>
                <w:tab w:val="decimal" w:pos="1441"/>
              </w:tabs>
              <w:rPr>
                <w:rFonts w:ascii="Times New Roman" w:hAnsi="Times New Roman" w:cs="Times New Roman"/>
                <w:sz w:val="21"/>
                <w:szCs w:val="21"/>
              </w:rPr>
            </w:pPr>
            <w:r w:rsidRPr="00064536">
              <w:rPr>
                <w:rFonts w:ascii="Times New Roman" w:hAnsi="Times New Roman" w:cs="Times New Roman"/>
                <w:sz w:val="21"/>
                <w:szCs w:val="21"/>
              </w:rPr>
              <w:t>-0.198</w:t>
            </w:r>
            <w:r w:rsidRPr="00064536">
              <w:rPr>
                <w:rFonts w:ascii="Times New Roman" w:hAnsi="Times New Roman" w:cs="Times New Roman"/>
                <w:sz w:val="21"/>
                <w:szCs w:val="21"/>
              </w:rPr>
              <w:br/>
              <w:t>(-1.01</w:t>
            </w:r>
            <w:r w:rsidR="005E1657" w:rsidRPr="00064536">
              <w:rPr>
                <w:rFonts w:ascii="Times New Roman" w:hAnsi="Times New Roman" w:cs="Times New Roman"/>
                <w:sz w:val="21"/>
                <w:szCs w:val="21"/>
              </w:rPr>
              <w:t>0</w:t>
            </w:r>
            <w:r w:rsidRPr="00064536">
              <w:rPr>
                <w:rFonts w:ascii="Times New Roman" w:hAnsi="Times New Roman" w:cs="Times New Roman"/>
                <w:sz w:val="21"/>
                <w:szCs w:val="21"/>
              </w:rPr>
              <w:t>)</w:t>
            </w:r>
          </w:p>
        </w:tc>
      </w:tr>
      <w:tr w:rsidR="00C36DB3" w:rsidRPr="007713F3" w14:paraId="5EFD30EE" w14:textId="77777777" w:rsidTr="00C40424">
        <w:trPr>
          <w:trHeight w:val="432"/>
        </w:trPr>
        <w:tc>
          <w:tcPr>
            <w:tcW w:w="3780" w:type="dxa"/>
            <w:tcBorders>
              <w:top w:val="nil"/>
              <w:left w:val="nil"/>
              <w:bottom w:val="nil"/>
              <w:right w:val="nil"/>
            </w:tcBorders>
            <w:vAlign w:val="center"/>
          </w:tcPr>
          <w:p w14:paraId="542BFED9" w14:textId="77777777" w:rsidR="00C36DB3" w:rsidRPr="00064536" w:rsidRDefault="00C36DB3" w:rsidP="00C40424">
            <w:pPr>
              <w:tabs>
                <w:tab w:val="left" w:pos="567"/>
              </w:tabs>
              <w:rPr>
                <w:rFonts w:ascii="Times New Roman" w:hAnsi="Times New Roman" w:cs="Times New Roman"/>
                <w:sz w:val="21"/>
                <w:szCs w:val="21"/>
              </w:rPr>
            </w:pPr>
            <w:r w:rsidRPr="00064536">
              <w:rPr>
                <w:rFonts w:ascii="Times New Roman" w:hAnsi="Times New Roman" w:cs="Times New Roman"/>
                <w:sz w:val="21"/>
                <w:szCs w:val="21"/>
              </w:rPr>
              <w:t>AGE</w:t>
            </w:r>
          </w:p>
        </w:tc>
        <w:tc>
          <w:tcPr>
            <w:tcW w:w="3600" w:type="dxa"/>
            <w:tcBorders>
              <w:top w:val="nil"/>
              <w:left w:val="nil"/>
              <w:bottom w:val="nil"/>
              <w:right w:val="nil"/>
            </w:tcBorders>
            <w:shd w:val="clear" w:color="auto" w:fill="auto"/>
            <w:vAlign w:val="center"/>
          </w:tcPr>
          <w:p w14:paraId="36DCBCA6" w14:textId="77777777" w:rsidR="00C36DB3" w:rsidRPr="00064536" w:rsidRDefault="00C36DB3" w:rsidP="007E4F88">
            <w:pPr>
              <w:tabs>
                <w:tab w:val="decimal" w:pos="1497"/>
              </w:tabs>
              <w:rPr>
                <w:rFonts w:ascii="Times New Roman" w:hAnsi="Times New Roman" w:cs="Times New Roman"/>
                <w:sz w:val="21"/>
                <w:szCs w:val="21"/>
              </w:rPr>
            </w:pPr>
            <w:r w:rsidRPr="00064536">
              <w:rPr>
                <w:rFonts w:ascii="Times New Roman" w:hAnsi="Times New Roman" w:cs="Times New Roman"/>
                <w:sz w:val="21"/>
                <w:szCs w:val="21"/>
              </w:rPr>
              <w:t>0.316*</w:t>
            </w:r>
            <w:r w:rsidRPr="00064536">
              <w:rPr>
                <w:rFonts w:ascii="Times New Roman" w:hAnsi="Times New Roman" w:cs="Times New Roman"/>
                <w:sz w:val="21"/>
                <w:szCs w:val="21"/>
              </w:rPr>
              <w:br/>
              <w:t>(1.940)</w:t>
            </w:r>
          </w:p>
        </w:tc>
        <w:tc>
          <w:tcPr>
            <w:tcW w:w="3600" w:type="dxa"/>
            <w:gridSpan w:val="2"/>
            <w:tcBorders>
              <w:top w:val="nil"/>
              <w:left w:val="nil"/>
              <w:bottom w:val="nil"/>
              <w:right w:val="nil"/>
            </w:tcBorders>
            <w:shd w:val="clear" w:color="auto" w:fill="auto"/>
            <w:vAlign w:val="center"/>
          </w:tcPr>
          <w:p w14:paraId="4D3E02C5" w14:textId="77777777" w:rsidR="00C36DB3" w:rsidRPr="00064536" w:rsidRDefault="00C36DB3" w:rsidP="007E4F88">
            <w:pPr>
              <w:tabs>
                <w:tab w:val="decimal" w:pos="1441"/>
              </w:tabs>
              <w:rPr>
                <w:rFonts w:ascii="Times New Roman" w:hAnsi="Times New Roman" w:cs="Times New Roman"/>
                <w:sz w:val="21"/>
                <w:szCs w:val="21"/>
              </w:rPr>
            </w:pPr>
            <w:r w:rsidRPr="00064536">
              <w:rPr>
                <w:rFonts w:ascii="Times New Roman" w:hAnsi="Times New Roman" w:cs="Times New Roman"/>
                <w:sz w:val="21"/>
                <w:szCs w:val="21"/>
              </w:rPr>
              <w:t>0.643*</w:t>
            </w:r>
            <w:r w:rsidRPr="00064536">
              <w:rPr>
                <w:rFonts w:ascii="Times New Roman" w:hAnsi="Times New Roman" w:cs="Times New Roman"/>
                <w:sz w:val="21"/>
                <w:szCs w:val="21"/>
              </w:rPr>
              <w:br/>
              <w:t>(1.650)</w:t>
            </w:r>
          </w:p>
        </w:tc>
      </w:tr>
      <w:tr w:rsidR="00C36DB3" w:rsidRPr="007713F3" w14:paraId="44770E78" w14:textId="77777777" w:rsidTr="00C40424">
        <w:trPr>
          <w:trHeight w:val="432"/>
        </w:trPr>
        <w:tc>
          <w:tcPr>
            <w:tcW w:w="3780" w:type="dxa"/>
            <w:tcBorders>
              <w:top w:val="nil"/>
              <w:left w:val="nil"/>
              <w:bottom w:val="nil"/>
              <w:right w:val="nil"/>
            </w:tcBorders>
            <w:vAlign w:val="center"/>
          </w:tcPr>
          <w:p w14:paraId="324B13D9" w14:textId="77777777" w:rsidR="00C36DB3" w:rsidRPr="00064536" w:rsidRDefault="00C36DB3" w:rsidP="00C40424">
            <w:pPr>
              <w:tabs>
                <w:tab w:val="left" w:pos="567"/>
              </w:tabs>
              <w:rPr>
                <w:rFonts w:ascii="Times New Roman" w:hAnsi="Times New Roman" w:cs="Times New Roman"/>
                <w:sz w:val="21"/>
                <w:szCs w:val="21"/>
              </w:rPr>
            </w:pPr>
            <w:r w:rsidRPr="00064536">
              <w:rPr>
                <w:rFonts w:ascii="Times New Roman" w:hAnsi="Times New Roman" w:cs="Times New Roman"/>
                <w:sz w:val="21"/>
                <w:szCs w:val="21"/>
              </w:rPr>
              <w:t>LEVG</w:t>
            </w:r>
          </w:p>
        </w:tc>
        <w:tc>
          <w:tcPr>
            <w:tcW w:w="3600" w:type="dxa"/>
            <w:tcBorders>
              <w:top w:val="nil"/>
              <w:left w:val="nil"/>
              <w:bottom w:val="nil"/>
              <w:right w:val="nil"/>
            </w:tcBorders>
            <w:shd w:val="clear" w:color="auto" w:fill="auto"/>
            <w:vAlign w:val="center"/>
          </w:tcPr>
          <w:p w14:paraId="05452934" w14:textId="77777777" w:rsidR="00C36DB3" w:rsidRPr="00064536" w:rsidRDefault="00C36DB3" w:rsidP="007E4F88">
            <w:pPr>
              <w:tabs>
                <w:tab w:val="decimal" w:pos="1497"/>
              </w:tabs>
              <w:rPr>
                <w:rFonts w:ascii="Times New Roman" w:hAnsi="Times New Roman" w:cs="Times New Roman"/>
                <w:sz w:val="21"/>
                <w:szCs w:val="21"/>
              </w:rPr>
            </w:pPr>
            <w:r w:rsidRPr="00064536">
              <w:rPr>
                <w:rFonts w:ascii="Times New Roman" w:hAnsi="Times New Roman" w:cs="Times New Roman"/>
                <w:sz w:val="21"/>
                <w:szCs w:val="21"/>
              </w:rPr>
              <w:t>10.313***</w:t>
            </w:r>
            <w:r w:rsidRPr="00064536">
              <w:rPr>
                <w:rFonts w:ascii="Times New Roman" w:hAnsi="Times New Roman" w:cs="Times New Roman"/>
                <w:sz w:val="21"/>
                <w:szCs w:val="21"/>
              </w:rPr>
              <w:br/>
              <w:t>(2.34</w:t>
            </w:r>
            <w:r w:rsidR="005E1657" w:rsidRPr="00064536">
              <w:rPr>
                <w:rFonts w:ascii="Times New Roman" w:hAnsi="Times New Roman" w:cs="Times New Roman"/>
                <w:sz w:val="21"/>
                <w:szCs w:val="21"/>
              </w:rPr>
              <w:t>0</w:t>
            </w:r>
            <w:r w:rsidRPr="00064536">
              <w:rPr>
                <w:rFonts w:ascii="Times New Roman" w:hAnsi="Times New Roman" w:cs="Times New Roman"/>
                <w:sz w:val="21"/>
                <w:szCs w:val="21"/>
              </w:rPr>
              <w:t>)</w:t>
            </w:r>
          </w:p>
        </w:tc>
        <w:tc>
          <w:tcPr>
            <w:tcW w:w="3600" w:type="dxa"/>
            <w:gridSpan w:val="2"/>
            <w:tcBorders>
              <w:top w:val="nil"/>
              <w:left w:val="nil"/>
              <w:bottom w:val="nil"/>
              <w:right w:val="nil"/>
            </w:tcBorders>
            <w:shd w:val="clear" w:color="auto" w:fill="auto"/>
            <w:vAlign w:val="center"/>
          </w:tcPr>
          <w:p w14:paraId="494A5A4D" w14:textId="77777777" w:rsidR="00C36DB3" w:rsidRPr="00064536" w:rsidRDefault="00C36DB3" w:rsidP="007E4F88">
            <w:pPr>
              <w:tabs>
                <w:tab w:val="decimal" w:pos="1441"/>
              </w:tabs>
              <w:rPr>
                <w:rFonts w:ascii="Times New Roman" w:hAnsi="Times New Roman" w:cs="Times New Roman"/>
                <w:sz w:val="21"/>
                <w:szCs w:val="21"/>
              </w:rPr>
            </w:pPr>
            <w:r w:rsidRPr="00064536">
              <w:rPr>
                <w:rFonts w:ascii="Times New Roman" w:hAnsi="Times New Roman" w:cs="Times New Roman"/>
                <w:sz w:val="21"/>
                <w:szCs w:val="21"/>
              </w:rPr>
              <w:t>18.184***</w:t>
            </w:r>
            <w:r w:rsidRPr="00064536">
              <w:rPr>
                <w:rFonts w:ascii="Times New Roman" w:hAnsi="Times New Roman" w:cs="Times New Roman"/>
                <w:sz w:val="21"/>
                <w:szCs w:val="21"/>
              </w:rPr>
              <w:br/>
              <w:t>(3.620)</w:t>
            </w:r>
          </w:p>
        </w:tc>
      </w:tr>
      <w:tr w:rsidR="00C36DB3" w:rsidRPr="007713F3" w14:paraId="07C15B5A" w14:textId="77777777" w:rsidTr="00C40424">
        <w:trPr>
          <w:trHeight w:val="432"/>
        </w:trPr>
        <w:tc>
          <w:tcPr>
            <w:tcW w:w="3780" w:type="dxa"/>
            <w:tcBorders>
              <w:top w:val="nil"/>
              <w:left w:val="nil"/>
              <w:bottom w:val="nil"/>
              <w:right w:val="nil"/>
            </w:tcBorders>
            <w:vAlign w:val="center"/>
          </w:tcPr>
          <w:p w14:paraId="2672EAE9" w14:textId="77777777" w:rsidR="00C36DB3" w:rsidRPr="00064536" w:rsidRDefault="00C36DB3" w:rsidP="00C40424">
            <w:pPr>
              <w:tabs>
                <w:tab w:val="left" w:pos="567"/>
              </w:tabs>
              <w:rPr>
                <w:rFonts w:ascii="Times New Roman" w:hAnsi="Times New Roman" w:cs="Times New Roman"/>
                <w:sz w:val="21"/>
                <w:szCs w:val="21"/>
              </w:rPr>
            </w:pPr>
            <w:r w:rsidRPr="00064536">
              <w:rPr>
                <w:rFonts w:ascii="Times New Roman" w:hAnsi="Times New Roman" w:cs="Times New Roman"/>
                <w:sz w:val="21"/>
                <w:szCs w:val="21"/>
              </w:rPr>
              <w:t>SIZE</w:t>
            </w:r>
          </w:p>
        </w:tc>
        <w:tc>
          <w:tcPr>
            <w:tcW w:w="3600" w:type="dxa"/>
            <w:tcBorders>
              <w:top w:val="nil"/>
              <w:left w:val="nil"/>
              <w:bottom w:val="nil"/>
              <w:right w:val="nil"/>
            </w:tcBorders>
            <w:shd w:val="clear" w:color="auto" w:fill="auto"/>
            <w:vAlign w:val="center"/>
          </w:tcPr>
          <w:p w14:paraId="21AAB3E7" w14:textId="77777777" w:rsidR="00C36DB3" w:rsidRPr="00064536" w:rsidRDefault="00C36DB3" w:rsidP="007E4F88">
            <w:pPr>
              <w:tabs>
                <w:tab w:val="decimal" w:pos="1497"/>
              </w:tabs>
              <w:rPr>
                <w:rFonts w:ascii="Times New Roman" w:hAnsi="Times New Roman" w:cs="Times New Roman"/>
                <w:sz w:val="21"/>
                <w:szCs w:val="21"/>
              </w:rPr>
            </w:pPr>
            <w:r w:rsidRPr="00064536">
              <w:rPr>
                <w:rFonts w:ascii="Times New Roman" w:hAnsi="Times New Roman" w:cs="Times New Roman"/>
                <w:sz w:val="21"/>
                <w:szCs w:val="21"/>
              </w:rPr>
              <w:t>-1.403***</w:t>
            </w:r>
            <w:r w:rsidRPr="00064536">
              <w:rPr>
                <w:rFonts w:ascii="Times New Roman" w:hAnsi="Times New Roman" w:cs="Times New Roman"/>
                <w:sz w:val="21"/>
                <w:szCs w:val="21"/>
              </w:rPr>
              <w:br/>
              <w:t>(</w:t>
            </w:r>
            <w:r w:rsidR="005457FE" w:rsidRPr="00064536">
              <w:rPr>
                <w:rFonts w:ascii="Times New Roman" w:hAnsi="Times New Roman" w:cs="Times New Roman"/>
                <w:sz w:val="21"/>
                <w:szCs w:val="21"/>
              </w:rPr>
              <w:t>-</w:t>
            </w:r>
            <w:r w:rsidRPr="00064536">
              <w:rPr>
                <w:rFonts w:ascii="Times New Roman" w:hAnsi="Times New Roman" w:cs="Times New Roman"/>
                <w:sz w:val="21"/>
                <w:szCs w:val="21"/>
              </w:rPr>
              <w:t>4.51</w:t>
            </w:r>
            <w:r w:rsidR="005E1657" w:rsidRPr="00064536">
              <w:rPr>
                <w:rFonts w:ascii="Times New Roman" w:hAnsi="Times New Roman" w:cs="Times New Roman"/>
                <w:sz w:val="21"/>
                <w:szCs w:val="21"/>
              </w:rPr>
              <w:t>0</w:t>
            </w:r>
            <w:r w:rsidRPr="00064536">
              <w:rPr>
                <w:rFonts w:ascii="Times New Roman" w:hAnsi="Times New Roman" w:cs="Times New Roman"/>
                <w:sz w:val="21"/>
                <w:szCs w:val="21"/>
              </w:rPr>
              <w:t>)</w:t>
            </w:r>
          </w:p>
        </w:tc>
        <w:tc>
          <w:tcPr>
            <w:tcW w:w="3600" w:type="dxa"/>
            <w:gridSpan w:val="2"/>
            <w:tcBorders>
              <w:top w:val="nil"/>
              <w:left w:val="nil"/>
              <w:bottom w:val="nil"/>
              <w:right w:val="nil"/>
            </w:tcBorders>
            <w:shd w:val="clear" w:color="auto" w:fill="auto"/>
            <w:vAlign w:val="center"/>
          </w:tcPr>
          <w:p w14:paraId="2CC474CB" w14:textId="77777777" w:rsidR="00C36DB3" w:rsidRPr="00064536" w:rsidRDefault="00C36DB3" w:rsidP="007E4F88">
            <w:pPr>
              <w:tabs>
                <w:tab w:val="decimal" w:pos="1441"/>
              </w:tabs>
              <w:rPr>
                <w:rFonts w:ascii="Times New Roman" w:hAnsi="Times New Roman" w:cs="Times New Roman"/>
                <w:sz w:val="21"/>
                <w:szCs w:val="21"/>
              </w:rPr>
            </w:pPr>
            <w:r w:rsidRPr="00064536">
              <w:rPr>
                <w:rFonts w:ascii="Times New Roman" w:hAnsi="Times New Roman" w:cs="Times New Roman"/>
                <w:sz w:val="21"/>
                <w:szCs w:val="21"/>
              </w:rPr>
              <w:t>-1.083***</w:t>
            </w:r>
            <w:r w:rsidRPr="00064536">
              <w:rPr>
                <w:rFonts w:ascii="Times New Roman" w:hAnsi="Times New Roman" w:cs="Times New Roman"/>
                <w:sz w:val="21"/>
                <w:szCs w:val="21"/>
              </w:rPr>
              <w:br/>
              <w:t>(-8.81</w:t>
            </w:r>
            <w:r w:rsidR="005E1657" w:rsidRPr="00064536">
              <w:rPr>
                <w:rFonts w:ascii="Times New Roman" w:hAnsi="Times New Roman" w:cs="Times New Roman"/>
                <w:sz w:val="21"/>
                <w:szCs w:val="21"/>
              </w:rPr>
              <w:t>0</w:t>
            </w:r>
            <w:r w:rsidRPr="00064536">
              <w:rPr>
                <w:rFonts w:ascii="Times New Roman" w:hAnsi="Times New Roman" w:cs="Times New Roman"/>
                <w:sz w:val="21"/>
                <w:szCs w:val="21"/>
              </w:rPr>
              <w:t>)</w:t>
            </w:r>
          </w:p>
        </w:tc>
      </w:tr>
      <w:tr w:rsidR="00C36DB3" w14:paraId="49F82E2C" w14:textId="77777777" w:rsidTr="00C40424">
        <w:trPr>
          <w:trHeight w:val="288"/>
        </w:trPr>
        <w:tc>
          <w:tcPr>
            <w:tcW w:w="3780" w:type="dxa"/>
            <w:tcBorders>
              <w:top w:val="nil"/>
              <w:left w:val="nil"/>
              <w:bottom w:val="nil"/>
              <w:right w:val="nil"/>
            </w:tcBorders>
            <w:vAlign w:val="center"/>
          </w:tcPr>
          <w:p w14:paraId="330334A6" w14:textId="77777777" w:rsidR="00C36DB3" w:rsidRPr="00064536" w:rsidRDefault="00C36DB3" w:rsidP="00C40424">
            <w:pPr>
              <w:tabs>
                <w:tab w:val="left" w:pos="567"/>
              </w:tabs>
              <w:rPr>
                <w:rFonts w:ascii="Times New Roman" w:hAnsi="Times New Roman" w:cs="Times New Roman"/>
                <w:sz w:val="21"/>
                <w:szCs w:val="21"/>
              </w:rPr>
            </w:pPr>
            <w:r w:rsidRPr="00064536">
              <w:rPr>
                <w:rFonts w:ascii="Times New Roman" w:hAnsi="Times New Roman" w:cs="Times New Roman"/>
                <w:sz w:val="21"/>
                <w:szCs w:val="21"/>
              </w:rPr>
              <w:t>Arellano-Bond first order test</w:t>
            </w:r>
          </w:p>
        </w:tc>
        <w:tc>
          <w:tcPr>
            <w:tcW w:w="3600" w:type="dxa"/>
            <w:tcBorders>
              <w:top w:val="nil"/>
              <w:left w:val="nil"/>
              <w:bottom w:val="nil"/>
              <w:right w:val="nil"/>
            </w:tcBorders>
            <w:shd w:val="clear" w:color="auto" w:fill="auto"/>
            <w:vAlign w:val="center"/>
          </w:tcPr>
          <w:p w14:paraId="1D079A8D" w14:textId="77777777" w:rsidR="00C36DB3" w:rsidRPr="00064536" w:rsidRDefault="00C36DB3" w:rsidP="007E4F88">
            <w:pPr>
              <w:tabs>
                <w:tab w:val="decimal" w:pos="1497"/>
              </w:tabs>
              <w:rPr>
                <w:rFonts w:ascii="Times New Roman" w:hAnsi="Times New Roman" w:cs="Times New Roman"/>
                <w:sz w:val="21"/>
                <w:szCs w:val="21"/>
              </w:rPr>
            </w:pPr>
            <w:r w:rsidRPr="00064536">
              <w:rPr>
                <w:rFonts w:ascii="Times New Roman" w:hAnsi="Times New Roman" w:cs="Times New Roman"/>
                <w:sz w:val="21"/>
                <w:szCs w:val="21"/>
              </w:rPr>
              <w:t>0.210</w:t>
            </w:r>
          </w:p>
        </w:tc>
        <w:tc>
          <w:tcPr>
            <w:tcW w:w="3600" w:type="dxa"/>
            <w:gridSpan w:val="2"/>
            <w:tcBorders>
              <w:top w:val="nil"/>
              <w:left w:val="nil"/>
              <w:bottom w:val="nil"/>
              <w:right w:val="nil"/>
            </w:tcBorders>
            <w:shd w:val="clear" w:color="auto" w:fill="auto"/>
            <w:vAlign w:val="center"/>
          </w:tcPr>
          <w:p w14:paraId="47C0C952" w14:textId="77777777" w:rsidR="00C36DB3" w:rsidRPr="00064536" w:rsidRDefault="00C36DB3" w:rsidP="007E4F88">
            <w:pPr>
              <w:tabs>
                <w:tab w:val="decimal" w:pos="1441"/>
              </w:tabs>
              <w:rPr>
                <w:rFonts w:ascii="Times New Roman" w:hAnsi="Times New Roman" w:cs="Times New Roman"/>
                <w:sz w:val="21"/>
                <w:szCs w:val="21"/>
              </w:rPr>
            </w:pPr>
            <w:r w:rsidRPr="00064536">
              <w:rPr>
                <w:rFonts w:ascii="Times New Roman" w:hAnsi="Times New Roman" w:cs="Times New Roman"/>
                <w:sz w:val="21"/>
                <w:szCs w:val="21"/>
              </w:rPr>
              <w:t>0.322</w:t>
            </w:r>
          </w:p>
        </w:tc>
      </w:tr>
      <w:tr w:rsidR="00C36DB3" w:rsidRPr="002E1EC0" w14:paraId="43648298" w14:textId="77777777" w:rsidTr="00C40424">
        <w:trPr>
          <w:trHeight w:val="288"/>
        </w:trPr>
        <w:tc>
          <w:tcPr>
            <w:tcW w:w="3780" w:type="dxa"/>
            <w:tcBorders>
              <w:top w:val="nil"/>
              <w:left w:val="nil"/>
              <w:bottom w:val="nil"/>
              <w:right w:val="nil"/>
            </w:tcBorders>
            <w:vAlign w:val="center"/>
          </w:tcPr>
          <w:p w14:paraId="51103097" w14:textId="77777777" w:rsidR="00C36DB3" w:rsidRPr="00064536" w:rsidRDefault="00C36DB3" w:rsidP="00C40424">
            <w:pPr>
              <w:tabs>
                <w:tab w:val="left" w:pos="567"/>
              </w:tabs>
              <w:rPr>
                <w:rFonts w:ascii="Times New Roman" w:hAnsi="Times New Roman" w:cs="Times New Roman"/>
                <w:sz w:val="21"/>
                <w:szCs w:val="21"/>
              </w:rPr>
            </w:pPr>
            <w:r w:rsidRPr="00064536">
              <w:rPr>
                <w:rFonts w:ascii="Times New Roman" w:hAnsi="Times New Roman" w:cs="Times New Roman"/>
                <w:sz w:val="21"/>
                <w:szCs w:val="21"/>
              </w:rPr>
              <w:t>Arellano-Bond second order test</w:t>
            </w:r>
          </w:p>
        </w:tc>
        <w:tc>
          <w:tcPr>
            <w:tcW w:w="3600" w:type="dxa"/>
            <w:tcBorders>
              <w:top w:val="nil"/>
              <w:left w:val="nil"/>
              <w:bottom w:val="nil"/>
              <w:right w:val="nil"/>
            </w:tcBorders>
            <w:shd w:val="clear" w:color="auto" w:fill="auto"/>
            <w:vAlign w:val="center"/>
          </w:tcPr>
          <w:p w14:paraId="7524EC31" w14:textId="77777777" w:rsidR="00C36DB3" w:rsidRPr="00064536" w:rsidRDefault="00C36DB3" w:rsidP="007E4F88">
            <w:pPr>
              <w:tabs>
                <w:tab w:val="decimal" w:pos="1497"/>
              </w:tabs>
              <w:rPr>
                <w:rFonts w:ascii="Times New Roman" w:hAnsi="Times New Roman" w:cs="Times New Roman"/>
                <w:sz w:val="21"/>
                <w:szCs w:val="21"/>
              </w:rPr>
            </w:pPr>
            <w:r w:rsidRPr="00064536">
              <w:rPr>
                <w:rFonts w:ascii="Times New Roman" w:hAnsi="Times New Roman" w:cs="Times New Roman"/>
                <w:sz w:val="21"/>
                <w:szCs w:val="21"/>
              </w:rPr>
              <w:t>0.197</w:t>
            </w:r>
          </w:p>
        </w:tc>
        <w:tc>
          <w:tcPr>
            <w:tcW w:w="3600" w:type="dxa"/>
            <w:gridSpan w:val="2"/>
            <w:tcBorders>
              <w:top w:val="nil"/>
              <w:left w:val="nil"/>
              <w:bottom w:val="nil"/>
              <w:right w:val="nil"/>
            </w:tcBorders>
            <w:shd w:val="clear" w:color="auto" w:fill="auto"/>
            <w:vAlign w:val="center"/>
          </w:tcPr>
          <w:p w14:paraId="2485FDC0" w14:textId="77777777" w:rsidR="00C36DB3" w:rsidRPr="00064536" w:rsidRDefault="00C36DB3" w:rsidP="007E4F88">
            <w:pPr>
              <w:tabs>
                <w:tab w:val="decimal" w:pos="1441"/>
              </w:tabs>
              <w:rPr>
                <w:rFonts w:ascii="Times New Roman" w:hAnsi="Times New Roman" w:cs="Times New Roman"/>
                <w:sz w:val="21"/>
                <w:szCs w:val="21"/>
              </w:rPr>
            </w:pPr>
            <w:r w:rsidRPr="00064536">
              <w:rPr>
                <w:rFonts w:ascii="Times New Roman" w:hAnsi="Times New Roman" w:cs="Times New Roman"/>
                <w:sz w:val="21"/>
                <w:szCs w:val="21"/>
              </w:rPr>
              <w:t>0.465</w:t>
            </w:r>
          </w:p>
        </w:tc>
      </w:tr>
      <w:tr w:rsidR="00C36DB3" w14:paraId="0C795C76" w14:textId="77777777" w:rsidTr="00C40424">
        <w:trPr>
          <w:trHeight w:val="288"/>
        </w:trPr>
        <w:tc>
          <w:tcPr>
            <w:tcW w:w="3780" w:type="dxa"/>
            <w:tcBorders>
              <w:top w:val="nil"/>
              <w:left w:val="nil"/>
              <w:bottom w:val="nil"/>
              <w:right w:val="nil"/>
            </w:tcBorders>
            <w:vAlign w:val="center"/>
          </w:tcPr>
          <w:p w14:paraId="01F2E4E1" w14:textId="77777777" w:rsidR="00C36DB3" w:rsidRPr="00064536" w:rsidRDefault="00C36DB3" w:rsidP="00C40424">
            <w:pPr>
              <w:tabs>
                <w:tab w:val="left" w:pos="567"/>
              </w:tabs>
              <w:rPr>
                <w:rFonts w:ascii="Times New Roman" w:hAnsi="Times New Roman" w:cs="Times New Roman"/>
                <w:sz w:val="21"/>
                <w:szCs w:val="21"/>
              </w:rPr>
            </w:pPr>
            <w:r w:rsidRPr="00064536">
              <w:rPr>
                <w:rFonts w:ascii="Times New Roman" w:hAnsi="Times New Roman" w:cs="Times New Roman"/>
                <w:sz w:val="21"/>
                <w:szCs w:val="21"/>
              </w:rPr>
              <w:t>Hansen Test of over-identification</w:t>
            </w:r>
          </w:p>
        </w:tc>
        <w:tc>
          <w:tcPr>
            <w:tcW w:w="3600" w:type="dxa"/>
            <w:tcBorders>
              <w:top w:val="nil"/>
              <w:left w:val="nil"/>
              <w:bottom w:val="nil"/>
              <w:right w:val="nil"/>
            </w:tcBorders>
            <w:vAlign w:val="center"/>
          </w:tcPr>
          <w:p w14:paraId="5E432F2E" w14:textId="77777777" w:rsidR="00C36DB3" w:rsidRPr="00064536" w:rsidRDefault="00C36DB3" w:rsidP="007E4F88">
            <w:pPr>
              <w:tabs>
                <w:tab w:val="decimal" w:pos="1497"/>
              </w:tabs>
              <w:rPr>
                <w:rFonts w:ascii="Times New Roman" w:hAnsi="Times New Roman" w:cs="Times New Roman"/>
                <w:sz w:val="21"/>
                <w:szCs w:val="21"/>
              </w:rPr>
            </w:pPr>
            <w:r w:rsidRPr="00064536">
              <w:rPr>
                <w:rFonts w:ascii="Times New Roman" w:hAnsi="Times New Roman" w:cs="Times New Roman"/>
                <w:sz w:val="21"/>
                <w:szCs w:val="21"/>
              </w:rPr>
              <w:t>0.434</w:t>
            </w:r>
          </w:p>
        </w:tc>
        <w:tc>
          <w:tcPr>
            <w:tcW w:w="3600" w:type="dxa"/>
            <w:gridSpan w:val="2"/>
            <w:tcBorders>
              <w:top w:val="nil"/>
              <w:left w:val="nil"/>
              <w:bottom w:val="nil"/>
              <w:right w:val="nil"/>
            </w:tcBorders>
            <w:vAlign w:val="center"/>
          </w:tcPr>
          <w:p w14:paraId="5275CE54" w14:textId="77777777" w:rsidR="00C36DB3" w:rsidRPr="00064536" w:rsidRDefault="00C36DB3" w:rsidP="007E4F88">
            <w:pPr>
              <w:tabs>
                <w:tab w:val="decimal" w:pos="1441"/>
              </w:tabs>
              <w:rPr>
                <w:rFonts w:ascii="Times New Roman" w:hAnsi="Times New Roman" w:cs="Times New Roman"/>
                <w:sz w:val="21"/>
                <w:szCs w:val="21"/>
              </w:rPr>
            </w:pPr>
            <w:r w:rsidRPr="00064536">
              <w:rPr>
                <w:rFonts w:ascii="Times New Roman" w:hAnsi="Times New Roman" w:cs="Times New Roman"/>
                <w:sz w:val="21"/>
                <w:szCs w:val="21"/>
              </w:rPr>
              <w:t>0.280</w:t>
            </w:r>
          </w:p>
        </w:tc>
      </w:tr>
      <w:tr w:rsidR="00C36DB3" w14:paraId="3EDD89D9" w14:textId="77777777" w:rsidTr="00C40424">
        <w:trPr>
          <w:trHeight w:val="288"/>
        </w:trPr>
        <w:tc>
          <w:tcPr>
            <w:tcW w:w="3780" w:type="dxa"/>
            <w:tcBorders>
              <w:top w:val="nil"/>
              <w:left w:val="nil"/>
              <w:bottom w:val="nil"/>
              <w:right w:val="nil"/>
            </w:tcBorders>
            <w:vAlign w:val="center"/>
          </w:tcPr>
          <w:p w14:paraId="26DCDC95" w14:textId="77777777" w:rsidR="00C36DB3" w:rsidRPr="00064536" w:rsidRDefault="00D17BE5" w:rsidP="00C40424">
            <w:pPr>
              <w:tabs>
                <w:tab w:val="left" w:pos="567"/>
              </w:tabs>
              <w:rPr>
                <w:rFonts w:ascii="Times New Roman" w:hAnsi="Times New Roman" w:cs="Times New Roman"/>
                <w:sz w:val="21"/>
                <w:szCs w:val="21"/>
              </w:rPr>
            </w:pPr>
            <w:r w:rsidRPr="00064536">
              <w:rPr>
                <w:rFonts w:ascii="Times New Roman" w:hAnsi="Times New Roman" w:cs="Times New Roman"/>
                <w:sz w:val="21"/>
                <w:szCs w:val="21"/>
              </w:rPr>
              <w:t>Non-</w:t>
            </w:r>
            <w:r w:rsidR="00C36DB3" w:rsidRPr="00064536">
              <w:rPr>
                <w:rFonts w:ascii="Times New Roman" w:hAnsi="Times New Roman" w:cs="Times New Roman"/>
                <w:sz w:val="21"/>
                <w:szCs w:val="21"/>
              </w:rPr>
              <w:t>Bankrupt (bankrupt) firm years</w:t>
            </w:r>
          </w:p>
        </w:tc>
        <w:tc>
          <w:tcPr>
            <w:tcW w:w="3600" w:type="dxa"/>
            <w:tcBorders>
              <w:top w:val="nil"/>
              <w:left w:val="nil"/>
              <w:bottom w:val="nil"/>
              <w:right w:val="nil"/>
            </w:tcBorders>
            <w:shd w:val="clear" w:color="auto" w:fill="auto"/>
            <w:vAlign w:val="center"/>
          </w:tcPr>
          <w:p w14:paraId="0206FF13" w14:textId="77777777" w:rsidR="00C36DB3" w:rsidRPr="00064536" w:rsidRDefault="00C36DB3" w:rsidP="00C40424">
            <w:pPr>
              <w:tabs>
                <w:tab w:val="left" w:pos="567"/>
              </w:tabs>
              <w:jc w:val="center"/>
              <w:rPr>
                <w:rFonts w:ascii="Times New Roman" w:hAnsi="Times New Roman" w:cs="Times New Roman"/>
                <w:sz w:val="21"/>
                <w:szCs w:val="21"/>
              </w:rPr>
            </w:pPr>
            <w:r w:rsidRPr="00064536">
              <w:rPr>
                <w:rFonts w:ascii="Times New Roman" w:hAnsi="Times New Roman" w:cs="Times New Roman"/>
                <w:sz w:val="21"/>
                <w:szCs w:val="21"/>
              </w:rPr>
              <w:t>21,575 (146)</w:t>
            </w:r>
          </w:p>
        </w:tc>
        <w:tc>
          <w:tcPr>
            <w:tcW w:w="3600" w:type="dxa"/>
            <w:gridSpan w:val="2"/>
            <w:tcBorders>
              <w:top w:val="nil"/>
              <w:left w:val="nil"/>
              <w:bottom w:val="nil"/>
              <w:right w:val="nil"/>
            </w:tcBorders>
            <w:shd w:val="clear" w:color="auto" w:fill="auto"/>
            <w:vAlign w:val="center"/>
          </w:tcPr>
          <w:p w14:paraId="61741F31" w14:textId="77777777" w:rsidR="00C36DB3" w:rsidRPr="00064536" w:rsidRDefault="00C36DB3" w:rsidP="00C40424">
            <w:pPr>
              <w:tabs>
                <w:tab w:val="left" w:pos="567"/>
              </w:tabs>
              <w:jc w:val="center"/>
              <w:rPr>
                <w:rFonts w:ascii="Times New Roman" w:hAnsi="Times New Roman" w:cs="Times New Roman"/>
                <w:sz w:val="21"/>
                <w:szCs w:val="21"/>
              </w:rPr>
            </w:pPr>
            <w:r w:rsidRPr="00064536">
              <w:rPr>
                <w:rFonts w:ascii="Times New Roman" w:hAnsi="Times New Roman" w:cs="Times New Roman"/>
                <w:sz w:val="21"/>
                <w:szCs w:val="21"/>
              </w:rPr>
              <w:t>21,575 (146)</w:t>
            </w:r>
          </w:p>
        </w:tc>
      </w:tr>
      <w:tr w:rsidR="00C36DB3" w:rsidRPr="00486141" w14:paraId="1BE0C844" w14:textId="77777777" w:rsidTr="00C40424">
        <w:trPr>
          <w:trHeight w:val="80"/>
        </w:trPr>
        <w:tc>
          <w:tcPr>
            <w:tcW w:w="3780" w:type="dxa"/>
            <w:tcBorders>
              <w:top w:val="nil"/>
              <w:left w:val="nil"/>
              <w:bottom w:val="single" w:sz="6" w:space="0" w:color="auto"/>
              <w:right w:val="nil"/>
            </w:tcBorders>
          </w:tcPr>
          <w:p w14:paraId="53FE1BA7" w14:textId="77777777" w:rsidR="00C36DB3" w:rsidRPr="00486141" w:rsidRDefault="00C36DB3" w:rsidP="00C40424">
            <w:pPr>
              <w:tabs>
                <w:tab w:val="left" w:pos="567"/>
              </w:tabs>
              <w:rPr>
                <w:rFonts w:asciiTheme="majorBidi" w:hAnsiTheme="majorBidi" w:cstheme="majorBidi"/>
                <w:sz w:val="8"/>
                <w:szCs w:val="8"/>
              </w:rPr>
            </w:pPr>
          </w:p>
        </w:tc>
        <w:tc>
          <w:tcPr>
            <w:tcW w:w="3600" w:type="dxa"/>
            <w:tcBorders>
              <w:top w:val="nil"/>
              <w:left w:val="nil"/>
              <w:bottom w:val="single" w:sz="6" w:space="0" w:color="auto"/>
              <w:right w:val="nil"/>
            </w:tcBorders>
            <w:vAlign w:val="center"/>
          </w:tcPr>
          <w:p w14:paraId="5677BCFE" w14:textId="77777777" w:rsidR="00C36DB3" w:rsidRPr="00486141" w:rsidRDefault="00C36DB3" w:rsidP="00C40424">
            <w:pPr>
              <w:tabs>
                <w:tab w:val="left" w:pos="567"/>
              </w:tabs>
              <w:jc w:val="center"/>
              <w:rPr>
                <w:rFonts w:asciiTheme="majorBidi" w:hAnsiTheme="majorBidi" w:cstheme="majorBidi"/>
                <w:sz w:val="8"/>
                <w:szCs w:val="8"/>
              </w:rPr>
            </w:pPr>
          </w:p>
        </w:tc>
        <w:tc>
          <w:tcPr>
            <w:tcW w:w="3600" w:type="dxa"/>
            <w:gridSpan w:val="2"/>
            <w:tcBorders>
              <w:top w:val="nil"/>
              <w:left w:val="nil"/>
              <w:bottom w:val="single" w:sz="6" w:space="0" w:color="auto"/>
              <w:right w:val="nil"/>
            </w:tcBorders>
            <w:vAlign w:val="center"/>
          </w:tcPr>
          <w:p w14:paraId="4A9A489F" w14:textId="77777777" w:rsidR="00C36DB3" w:rsidRPr="00486141" w:rsidRDefault="00C36DB3" w:rsidP="00C40424">
            <w:pPr>
              <w:tabs>
                <w:tab w:val="left" w:pos="567"/>
              </w:tabs>
              <w:jc w:val="center"/>
              <w:rPr>
                <w:rFonts w:asciiTheme="majorBidi" w:hAnsiTheme="majorBidi" w:cstheme="majorBidi"/>
                <w:sz w:val="8"/>
                <w:szCs w:val="8"/>
              </w:rPr>
            </w:pPr>
          </w:p>
        </w:tc>
      </w:tr>
    </w:tbl>
    <w:p w14:paraId="196F9DA4" w14:textId="77777777" w:rsidR="00C74ABB" w:rsidRPr="00A77A23" w:rsidRDefault="00C74ABB" w:rsidP="00C40424">
      <w:pPr>
        <w:tabs>
          <w:tab w:val="left" w:pos="567"/>
        </w:tabs>
        <w:spacing w:after="0" w:line="240" w:lineRule="auto"/>
        <w:rPr>
          <w:rFonts w:ascii="Times New Roman" w:hAnsi="Times New Roman" w:cs="Times New Roman"/>
          <w:sz w:val="24"/>
          <w:szCs w:val="24"/>
        </w:rPr>
      </w:pPr>
    </w:p>
    <w:sectPr w:rsidR="00C74ABB" w:rsidRPr="00A77A23" w:rsidSect="00EB35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D6EA5" w14:textId="77777777" w:rsidR="00145076" w:rsidRDefault="00145076" w:rsidP="00002EAB">
      <w:pPr>
        <w:spacing w:after="0" w:line="240" w:lineRule="auto"/>
      </w:pPr>
      <w:r>
        <w:separator/>
      </w:r>
    </w:p>
  </w:endnote>
  <w:endnote w:type="continuationSeparator" w:id="0">
    <w:p w14:paraId="7C90C119" w14:textId="77777777" w:rsidR="00145076" w:rsidRDefault="00145076" w:rsidP="0000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9CFEC" w14:textId="77777777" w:rsidR="00145076" w:rsidRDefault="00145076" w:rsidP="00002EAB">
      <w:pPr>
        <w:spacing w:after="0" w:line="240" w:lineRule="auto"/>
      </w:pPr>
      <w:r>
        <w:separator/>
      </w:r>
    </w:p>
  </w:footnote>
  <w:footnote w:type="continuationSeparator" w:id="0">
    <w:p w14:paraId="7F76431B" w14:textId="77777777" w:rsidR="00145076" w:rsidRDefault="00145076" w:rsidP="00002EAB">
      <w:pPr>
        <w:spacing w:after="0" w:line="240" w:lineRule="auto"/>
      </w:pPr>
      <w:r>
        <w:continuationSeparator/>
      </w:r>
    </w:p>
  </w:footnote>
  <w:footnote w:id="1">
    <w:p w14:paraId="4B21B290" w14:textId="77777777" w:rsidR="00956BED" w:rsidRPr="00260D7D" w:rsidRDefault="00956BED" w:rsidP="00260D7D">
      <w:pPr>
        <w:pStyle w:val="FootnoteText"/>
        <w:ind w:left="142" w:hanging="142"/>
        <w:jc w:val="both"/>
        <w:rPr>
          <w:rFonts w:ascii="Times New Roman" w:hAnsi="Times New Roman" w:cs="Times New Roman"/>
          <w:sz w:val="22"/>
          <w:szCs w:val="22"/>
        </w:rPr>
      </w:pPr>
      <w:r w:rsidRPr="00260D7D">
        <w:rPr>
          <w:rStyle w:val="FootnoteReference"/>
          <w:rFonts w:ascii="Times New Roman" w:hAnsi="Times New Roman" w:cs="Times New Roman"/>
          <w:sz w:val="22"/>
          <w:szCs w:val="22"/>
        </w:rPr>
        <w:footnoteRef/>
      </w:r>
      <w:r w:rsidRPr="00260D7D">
        <w:rPr>
          <w:rFonts w:ascii="Times New Roman" w:hAnsi="Times New Roman" w:cs="Times New Roman"/>
          <w:sz w:val="22"/>
          <w:szCs w:val="22"/>
        </w:rPr>
        <w:t xml:space="preserve"> While discriminant analysis and regressions estimations use the firm’s last observation only to estimate the model, hazard models utilize more data points over the life of the firm and thus are more likely to provide more accurate and consistent estimates.</w:t>
      </w:r>
    </w:p>
  </w:footnote>
  <w:footnote w:id="2">
    <w:p w14:paraId="66CC1215" w14:textId="63F11757" w:rsidR="00956BED" w:rsidRDefault="00956BED" w:rsidP="00260D7D">
      <w:pPr>
        <w:pStyle w:val="FootnoteText"/>
        <w:ind w:left="284" w:hanging="284"/>
        <w:jc w:val="both"/>
        <w:rPr>
          <w:rFonts w:ascii="Times New Roman" w:hAnsi="Times New Roman" w:cs="Times New Roman"/>
          <w:sz w:val="22"/>
          <w:szCs w:val="22"/>
        </w:rPr>
      </w:pPr>
      <w:r w:rsidRPr="00260D7D">
        <w:rPr>
          <w:rStyle w:val="FootnoteReference"/>
          <w:rFonts w:ascii="Times New Roman" w:hAnsi="Times New Roman" w:cs="Times New Roman"/>
          <w:sz w:val="22"/>
          <w:szCs w:val="22"/>
        </w:rPr>
        <w:footnoteRef/>
      </w:r>
      <w:r w:rsidRPr="00260D7D">
        <w:rPr>
          <w:rFonts w:ascii="Times New Roman" w:hAnsi="Times New Roman" w:cs="Times New Roman"/>
          <w:sz w:val="22"/>
          <w:szCs w:val="22"/>
        </w:rPr>
        <w:t xml:space="preserve"> </w:t>
      </w:r>
      <w:r>
        <w:rPr>
          <w:rFonts w:ascii="Times New Roman" w:hAnsi="Times New Roman" w:cs="Times New Roman"/>
          <w:sz w:val="22"/>
          <w:szCs w:val="22"/>
        </w:rPr>
        <w:tab/>
      </w:r>
      <w:r w:rsidRPr="00260D7D">
        <w:rPr>
          <w:rFonts w:ascii="Times New Roman" w:hAnsi="Times New Roman" w:cs="Times New Roman"/>
          <w:sz w:val="22"/>
          <w:szCs w:val="22"/>
        </w:rPr>
        <w:t>We limit our study to this period only because of the unavailability of sufficient governance data for earlier periods.</w:t>
      </w:r>
    </w:p>
    <w:p w14:paraId="33194B7C" w14:textId="77777777" w:rsidR="00956BED" w:rsidRPr="00D02FF4" w:rsidRDefault="00956BED" w:rsidP="00260D7D">
      <w:pPr>
        <w:pStyle w:val="FootnoteText"/>
        <w:ind w:left="284" w:hanging="284"/>
        <w:jc w:val="both"/>
        <w:rPr>
          <w:rFonts w:ascii="Times New Roman" w:hAnsi="Times New Roman" w:cs="Times New Roman"/>
          <w:sz w:val="8"/>
          <w:szCs w:val="8"/>
        </w:rPr>
      </w:pPr>
    </w:p>
  </w:footnote>
  <w:footnote w:id="3">
    <w:p w14:paraId="3DDE8C51" w14:textId="6C719695" w:rsidR="00956BED" w:rsidRDefault="00956BED" w:rsidP="00260D7D">
      <w:pPr>
        <w:pStyle w:val="FootnoteText"/>
        <w:ind w:left="284" w:hanging="284"/>
        <w:jc w:val="both"/>
        <w:rPr>
          <w:rFonts w:ascii="Times New Roman" w:hAnsi="Times New Roman" w:cs="Times New Roman"/>
          <w:sz w:val="22"/>
          <w:szCs w:val="22"/>
        </w:rPr>
      </w:pPr>
      <w:r w:rsidRPr="00260D7D">
        <w:rPr>
          <w:rStyle w:val="FootnoteReference"/>
          <w:rFonts w:ascii="Times New Roman" w:hAnsi="Times New Roman" w:cs="Times New Roman"/>
          <w:sz w:val="22"/>
          <w:szCs w:val="22"/>
        </w:rPr>
        <w:footnoteRef/>
      </w:r>
      <w:r w:rsidRPr="00260D7D">
        <w:rPr>
          <w:rFonts w:ascii="Times New Roman" w:hAnsi="Times New Roman" w:cs="Times New Roman"/>
          <w:sz w:val="22"/>
          <w:szCs w:val="22"/>
        </w:rPr>
        <w:t xml:space="preserve"> </w:t>
      </w:r>
      <w:r>
        <w:rPr>
          <w:rFonts w:ascii="Times New Roman" w:hAnsi="Times New Roman" w:cs="Times New Roman"/>
          <w:sz w:val="22"/>
          <w:szCs w:val="22"/>
        </w:rPr>
        <w:tab/>
      </w:r>
      <w:r w:rsidRPr="00260D7D">
        <w:rPr>
          <w:rFonts w:ascii="Times New Roman" w:hAnsi="Times New Roman" w:cs="Times New Roman"/>
          <w:sz w:val="22"/>
          <w:szCs w:val="22"/>
        </w:rPr>
        <w:t>These firms are excluded because the dynamics of their balance sheets are significantly different from industrial/service firms which makes the usual bankruptcy prediction models and ratios irrelevant for such firms.</w:t>
      </w:r>
    </w:p>
    <w:p w14:paraId="5CAAB75B" w14:textId="77777777" w:rsidR="00956BED" w:rsidRPr="00D02FF4" w:rsidRDefault="00956BED" w:rsidP="00260D7D">
      <w:pPr>
        <w:pStyle w:val="FootnoteText"/>
        <w:ind w:left="284" w:hanging="284"/>
        <w:jc w:val="both"/>
        <w:rPr>
          <w:rFonts w:ascii="Times New Roman" w:hAnsi="Times New Roman" w:cs="Times New Roman"/>
          <w:sz w:val="8"/>
          <w:szCs w:val="8"/>
        </w:rPr>
      </w:pPr>
    </w:p>
  </w:footnote>
  <w:footnote w:id="4">
    <w:p w14:paraId="1DB9CD5B" w14:textId="6B492EC8" w:rsidR="00956BED" w:rsidRDefault="00956BED" w:rsidP="00260D7D">
      <w:pPr>
        <w:pStyle w:val="FootnoteText"/>
        <w:ind w:left="284" w:hanging="284"/>
        <w:jc w:val="both"/>
        <w:rPr>
          <w:rFonts w:ascii="Times New Roman" w:hAnsi="Times New Roman" w:cs="Times New Roman"/>
          <w:sz w:val="22"/>
          <w:szCs w:val="22"/>
        </w:rPr>
      </w:pPr>
      <w:r w:rsidRPr="00260D7D">
        <w:rPr>
          <w:rStyle w:val="FootnoteReference"/>
          <w:rFonts w:ascii="Times New Roman" w:hAnsi="Times New Roman" w:cs="Times New Roman"/>
          <w:sz w:val="22"/>
          <w:szCs w:val="22"/>
        </w:rPr>
        <w:footnoteRef/>
      </w:r>
      <w:r w:rsidRPr="00260D7D">
        <w:rPr>
          <w:rFonts w:ascii="Times New Roman" w:hAnsi="Times New Roman" w:cs="Times New Roman"/>
          <w:sz w:val="22"/>
          <w:szCs w:val="22"/>
        </w:rPr>
        <w:t xml:space="preserve"> </w:t>
      </w:r>
      <w:r>
        <w:rPr>
          <w:rFonts w:ascii="Times New Roman" w:hAnsi="Times New Roman" w:cs="Times New Roman"/>
          <w:sz w:val="22"/>
          <w:szCs w:val="22"/>
        </w:rPr>
        <w:tab/>
      </w:r>
      <w:r w:rsidRPr="00260D7D">
        <w:rPr>
          <w:rFonts w:ascii="Times New Roman" w:hAnsi="Times New Roman" w:cs="Times New Roman"/>
          <w:sz w:val="22"/>
          <w:szCs w:val="22"/>
        </w:rPr>
        <w:t>For the United States, BoardEx covers all firms part of S&amp;P500, S&amp;P MID CAP 400 and S&amp;P SMALL CAP 600, as well as some notable private firms. We only include publicly listed firms in our study.</w:t>
      </w:r>
    </w:p>
    <w:p w14:paraId="71948FD6" w14:textId="77777777" w:rsidR="00956BED" w:rsidRPr="00D02FF4" w:rsidRDefault="00956BED" w:rsidP="00260D7D">
      <w:pPr>
        <w:pStyle w:val="FootnoteText"/>
        <w:ind w:left="284" w:hanging="284"/>
        <w:jc w:val="both"/>
        <w:rPr>
          <w:rFonts w:ascii="Times New Roman" w:hAnsi="Times New Roman" w:cs="Times New Roman"/>
          <w:sz w:val="8"/>
          <w:szCs w:val="8"/>
        </w:rPr>
      </w:pPr>
    </w:p>
  </w:footnote>
  <w:footnote w:id="5">
    <w:p w14:paraId="7C07CBEF" w14:textId="1C49072F" w:rsidR="00956BED" w:rsidRDefault="00956BED" w:rsidP="00260D7D">
      <w:pPr>
        <w:pStyle w:val="FootnoteText"/>
        <w:ind w:left="284" w:hanging="284"/>
        <w:jc w:val="both"/>
        <w:rPr>
          <w:rFonts w:ascii="Times New Roman" w:hAnsi="Times New Roman" w:cs="Times New Roman"/>
          <w:sz w:val="22"/>
          <w:szCs w:val="22"/>
        </w:rPr>
      </w:pPr>
      <w:r w:rsidRPr="00260D7D">
        <w:rPr>
          <w:rStyle w:val="FootnoteReference"/>
          <w:rFonts w:ascii="Times New Roman" w:hAnsi="Times New Roman" w:cs="Times New Roman"/>
          <w:sz w:val="22"/>
          <w:szCs w:val="22"/>
        </w:rPr>
        <w:footnoteRef/>
      </w:r>
      <w:r w:rsidRPr="00260D7D">
        <w:rPr>
          <w:rFonts w:ascii="Times New Roman" w:hAnsi="Times New Roman" w:cs="Times New Roman"/>
          <w:sz w:val="22"/>
          <w:szCs w:val="22"/>
        </w:rPr>
        <w:t xml:space="preserve"> </w:t>
      </w:r>
      <w:r>
        <w:rPr>
          <w:rFonts w:ascii="Times New Roman" w:hAnsi="Times New Roman" w:cs="Times New Roman"/>
          <w:sz w:val="22"/>
          <w:szCs w:val="22"/>
        </w:rPr>
        <w:tab/>
      </w:r>
      <w:r w:rsidRPr="00260D7D">
        <w:rPr>
          <w:rFonts w:ascii="Times New Roman" w:hAnsi="Times New Roman" w:cs="Times New Roman"/>
          <w:sz w:val="22"/>
          <w:szCs w:val="22"/>
        </w:rPr>
        <w:t xml:space="preserve">These firms would normally fall under the scope of coverage of </w:t>
      </w:r>
      <w:proofErr w:type="gramStart"/>
      <w:r w:rsidRPr="00260D7D">
        <w:rPr>
          <w:rFonts w:ascii="Times New Roman" w:hAnsi="Times New Roman" w:cs="Times New Roman"/>
          <w:sz w:val="22"/>
          <w:szCs w:val="22"/>
        </w:rPr>
        <w:t>BoardEx,</w:t>
      </w:r>
      <w:proofErr w:type="gramEnd"/>
      <w:r w:rsidRPr="00260D7D">
        <w:rPr>
          <w:rFonts w:ascii="Times New Roman" w:hAnsi="Times New Roman" w:cs="Times New Roman"/>
          <w:sz w:val="22"/>
          <w:szCs w:val="22"/>
        </w:rPr>
        <w:t xml:space="preserve"> however, no governance data is available in BoardEx for any of these firms, which is why we resort to collecting the data manually to complete our sample. In some years, some non-bankrupt firms do not exist in BoardEx because of the limited coverage by BoardEx during that year, we exclude these firms from our analysis and utilize several matching techniques to avoid sample bias.</w:t>
      </w:r>
    </w:p>
    <w:p w14:paraId="38A569D8" w14:textId="77777777" w:rsidR="00956BED" w:rsidRPr="00D02FF4" w:rsidRDefault="00956BED" w:rsidP="00260D7D">
      <w:pPr>
        <w:pStyle w:val="FootnoteText"/>
        <w:ind w:left="284" w:hanging="284"/>
        <w:jc w:val="both"/>
        <w:rPr>
          <w:rFonts w:ascii="Times New Roman" w:hAnsi="Times New Roman" w:cs="Times New Roman"/>
          <w:sz w:val="8"/>
          <w:szCs w:val="8"/>
        </w:rPr>
      </w:pPr>
    </w:p>
  </w:footnote>
  <w:footnote w:id="6">
    <w:p w14:paraId="522792A6" w14:textId="3CDA6028" w:rsidR="00956BED" w:rsidRDefault="00956BED" w:rsidP="00260D7D">
      <w:pPr>
        <w:pStyle w:val="FootnoteText"/>
        <w:ind w:left="284" w:hanging="284"/>
        <w:jc w:val="both"/>
        <w:rPr>
          <w:rFonts w:ascii="Times New Roman" w:hAnsi="Times New Roman" w:cs="Times New Roman"/>
          <w:sz w:val="22"/>
          <w:szCs w:val="22"/>
        </w:rPr>
      </w:pPr>
      <w:r w:rsidRPr="00260D7D">
        <w:rPr>
          <w:rStyle w:val="FootnoteReference"/>
          <w:rFonts w:ascii="Times New Roman" w:hAnsi="Times New Roman" w:cs="Times New Roman"/>
          <w:sz w:val="22"/>
          <w:szCs w:val="22"/>
        </w:rPr>
        <w:footnoteRef/>
      </w:r>
      <w:r w:rsidRPr="00260D7D">
        <w:rPr>
          <w:rFonts w:ascii="Times New Roman" w:hAnsi="Times New Roman" w:cs="Times New Roman"/>
          <w:sz w:val="22"/>
          <w:szCs w:val="22"/>
        </w:rPr>
        <w:t xml:space="preserve"> </w:t>
      </w:r>
      <w:r>
        <w:rPr>
          <w:rFonts w:ascii="Times New Roman" w:hAnsi="Times New Roman" w:cs="Times New Roman"/>
          <w:sz w:val="22"/>
          <w:szCs w:val="22"/>
        </w:rPr>
        <w:tab/>
      </w:r>
      <w:r w:rsidRPr="00260D7D">
        <w:rPr>
          <w:rFonts w:ascii="Times New Roman" w:hAnsi="Times New Roman" w:cs="Times New Roman"/>
          <w:sz w:val="22"/>
          <w:szCs w:val="22"/>
        </w:rPr>
        <w:t xml:space="preserve">We use the number of citations and the statistical technique used as the main indicators for including a model in our study. </w:t>
      </w:r>
    </w:p>
    <w:p w14:paraId="20A7AC75" w14:textId="77777777" w:rsidR="00956BED" w:rsidRPr="00D02FF4" w:rsidRDefault="00956BED" w:rsidP="00260D7D">
      <w:pPr>
        <w:pStyle w:val="FootnoteText"/>
        <w:ind w:left="284" w:hanging="284"/>
        <w:jc w:val="both"/>
        <w:rPr>
          <w:rFonts w:ascii="Times New Roman" w:hAnsi="Times New Roman" w:cs="Times New Roman"/>
          <w:sz w:val="8"/>
          <w:szCs w:val="8"/>
        </w:rPr>
      </w:pPr>
    </w:p>
  </w:footnote>
  <w:footnote w:id="7">
    <w:p w14:paraId="5331C9D6" w14:textId="4F3181E9" w:rsidR="00956BED" w:rsidRPr="00260D7D" w:rsidRDefault="00956BED" w:rsidP="00260D7D">
      <w:pPr>
        <w:pStyle w:val="FootnoteText"/>
        <w:ind w:left="284" w:hanging="284"/>
        <w:rPr>
          <w:rFonts w:ascii="Times New Roman" w:hAnsi="Times New Roman" w:cs="Times New Roman"/>
          <w:sz w:val="22"/>
          <w:szCs w:val="22"/>
        </w:rPr>
      </w:pPr>
      <w:r w:rsidRPr="00260D7D">
        <w:rPr>
          <w:rStyle w:val="FootnoteReference"/>
          <w:rFonts w:ascii="Times New Roman" w:hAnsi="Times New Roman" w:cs="Times New Roman"/>
          <w:sz w:val="22"/>
          <w:szCs w:val="22"/>
        </w:rPr>
        <w:footnoteRef/>
      </w:r>
      <w:r w:rsidRPr="00260D7D">
        <w:rPr>
          <w:rFonts w:ascii="Times New Roman" w:hAnsi="Times New Roman" w:cs="Times New Roman"/>
          <w:sz w:val="22"/>
          <w:szCs w:val="22"/>
        </w:rPr>
        <w:t xml:space="preserve"> </w:t>
      </w:r>
      <w:r>
        <w:rPr>
          <w:rFonts w:ascii="Times New Roman" w:hAnsi="Times New Roman" w:cs="Times New Roman"/>
          <w:sz w:val="22"/>
          <w:szCs w:val="22"/>
        </w:rPr>
        <w:tab/>
      </w:r>
      <w:r w:rsidRPr="00260D7D">
        <w:rPr>
          <w:rFonts w:ascii="Times New Roman" w:hAnsi="Times New Roman" w:cs="Times New Roman"/>
          <w:sz w:val="22"/>
          <w:szCs w:val="22"/>
        </w:rPr>
        <w:t>A consensus on whether market-based or accounting-based bankruptcy prediction models are more accurate does not seem to arise in the literature. As a matter of fact, the evidence in the literature suggests that a mixture of both measures might provide a better prediction accuracy than either alone (see Agarwal and Taffler</w:t>
      </w:r>
      <w:r>
        <w:rPr>
          <w:rFonts w:ascii="Times New Roman" w:hAnsi="Times New Roman" w:cs="Times New Roman"/>
          <w:sz w:val="22"/>
          <w:szCs w:val="22"/>
        </w:rPr>
        <w:t xml:space="preserve"> </w:t>
      </w:r>
      <w:r w:rsidRPr="00260D7D">
        <w:rPr>
          <w:rFonts w:ascii="Times New Roman" w:hAnsi="Times New Roman" w:cs="Times New Roman"/>
          <w:sz w:val="22"/>
          <w:szCs w:val="22"/>
        </w:rPr>
        <w:t>2008</w:t>
      </w:r>
      <w:r>
        <w:rPr>
          <w:rFonts w:ascii="Times New Roman" w:hAnsi="Times New Roman" w:cs="Times New Roman"/>
          <w:sz w:val="22"/>
          <w:szCs w:val="22"/>
        </w:rPr>
        <w:t xml:space="preserve">, </w:t>
      </w:r>
      <w:r w:rsidRPr="00260D7D">
        <w:rPr>
          <w:rFonts w:ascii="Times New Roman" w:hAnsi="Times New Roman" w:cs="Times New Roman"/>
          <w:sz w:val="22"/>
          <w:szCs w:val="22"/>
        </w:rPr>
        <w:t xml:space="preserve">Hillegeist </w:t>
      </w:r>
      <w:r w:rsidRPr="00327178">
        <w:rPr>
          <w:rFonts w:ascii="Times New Roman" w:hAnsi="Times New Roman" w:cs="Times New Roman"/>
          <w:i/>
          <w:iCs/>
          <w:sz w:val="22"/>
          <w:szCs w:val="22"/>
        </w:rPr>
        <w:t>et al.</w:t>
      </w:r>
      <w:r w:rsidRPr="00260D7D">
        <w:rPr>
          <w:rFonts w:ascii="Times New Roman" w:hAnsi="Times New Roman" w:cs="Times New Roman"/>
          <w:sz w:val="22"/>
          <w:szCs w:val="22"/>
        </w:rPr>
        <w:t xml:space="preserve"> 2004</w:t>
      </w:r>
      <w:r>
        <w:rPr>
          <w:rFonts w:ascii="Times New Roman" w:hAnsi="Times New Roman" w:cs="Times New Roman"/>
          <w:sz w:val="22"/>
          <w:szCs w:val="22"/>
        </w:rPr>
        <w:t xml:space="preserve">, </w:t>
      </w:r>
      <w:r w:rsidRPr="00260D7D">
        <w:rPr>
          <w:rFonts w:ascii="Times New Roman" w:hAnsi="Times New Roman" w:cs="Times New Roman"/>
          <w:sz w:val="22"/>
          <w:szCs w:val="22"/>
        </w:rPr>
        <w:t xml:space="preserve">Mousavi </w:t>
      </w:r>
      <w:r w:rsidRPr="00327178">
        <w:rPr>
          <w:rFonts w:ascii="Times New Roman" w:hAnsi="Times New Roman" w:cs="Times New Roman"/>
          <w:i/>
          <w:iCs/>
          <w:sz w:val="22"/>
          <w:szCs w:val="22"/>
        </w:rPr>
        <w:t>et al.</w:t>
      </w:r>
      <w:r w:rsidRPr="00260D7D">
        <w:rPr>
          <w:rFonts w:ascii="Times New Roman" w:hAnsi="Times New Roman" w:cs="Times New Roman"/>
          <w:sz w:val="22"/>
          <w:szCs w:val="22"/>
        </w:rPr>
        <w:t xml:space="preserve"> 2015).</w:t>
      </w:r>
    </w:p>
  </w:footnote>
  <w:footnote w:id="8">
    <w:p w14:paraId="38190749" w14:textId="21238E47" w:rsidR="00956BED" w:rsidRPr="00E93057" w:rsidRDefault="00956BED" w:rsidP="00E93057">
      <w:pPr>
        <w:pStyle w:val="FootnoteText"/>
        <w:ind w:left="284" w:hanging="284"/>
        <w:jc w:val="both"/>
        <w:rPr>
          <w:rFonts w:ascii="Times New Roman" w:hAnsi="Times New Roman" w:cs="Times New Roman"/>
          <w:sz w:val="22"/>
          <w:szCs w:val="22"/>
        </w:rPr>
      </w:pPr>
      <w:r w:rsidRPr="00E93057">
        <w:rPr>
          <w:rStyle w:val="FootnoteReference"/>
          <w:rFonts w:ascii="Times New Roman" w:hAnsi="Times New Roman" w:cs="Times New Roman"/>
          <w:sz w:val="22"/>
          <w:szCs w:val="22"/>
        </w:rPr>
        <w:footnoteRef/>
      </w:r>
      <w:r w:rsidRPr="00E93057">
        <w:rPr>
          <w:rFonts w:ascii="Times New Roman" w:hAnsi="Times New Roman" w:cs="Times New Roman"/>
          <w:sz w:val="22"/>
          <w:szCs w:val="22"/>
        </w:rPr>
        <w:t xml:space="preserve"> </w:t>
      </w:r>
      <w:r>
        <w:rPr>
          <w:rFonts w:ascii="Times New Roman" w:hAnsi="Times New Roman" w:cs="Times New Roman"/>
          <w:sz w:val="22"/>
          <w:szCs w:val="22"/>
        </w:rPr>
        <w:tab/>
      </w:r>
      <w:r w:rsidRPr="00E93057">
        <w:rPr>
          <w:rFonts w:ascii="Times New Roman" w:hAnsi="Times New Roman" w:cs="Times New Roman"/>
          <w:sz w:val="22"/>
          <w:szCs w:val="22"/>
        </w:rPr>
        <w:t>A full description of these techniques can be obtained from the literature (see Bharath and Shumway 2008</w:t>
      </w:r>
      <w:r>
        <w:rPr>
          <w:rFonts w:ascii="Times New Roman" w:hAnsi="Times New Roman" w:cs="Times New Roman"/>
          <w:sz w:val="22"/>
          <w:szCs w:val="22"/>
        </w:rPr>
        <w:t>,</w:t>
      </w:r>
      <w:r w:rsidRPr="00E93057">
        <w:rPr>
          <w:rFonts w:ascii="Times New Roman" w:hAnsi="Times New Roman" w:cs="Times New Roman"/>
          <w:sz w:val="22"/>
          <w:szCs w:val="22"/>
        </w:rPr>
        <w:t xml:space="preserve"> Kumar and Ravi</w:t>
      </w:r>
      <w:r>
        <w:rPr>
          <w:rFonts w:ascii="Times New Roman" w:hAnsi="Times New Roman" w:cs="Times New Roman"/>
          <w:sz w:val="22"/>
          <w:szCs w:val="22"/>
        </w:rPr>
        <w:t xml:space="preserve"> </w:t>
      </w:r>
      <w:r w:rsidRPr="00E93057">
        <w:rPr>
          <w:rFonts w:ascii="Times New Roman" w:hAnsi="Times New Roman" w:cs="Times New Roman"/>
          <w:sz w:val="22"/>
          <w:szCs w:val="22"/>
        </w:rPr>
        <w:t>2007</w:t>
      </w:r>
      <w:r>
        <w:rPr>
          <w:rFonts w:ascii="Times New Roman" w:hAnsi="Times New Roman" w:cs="Times New Roman"/>
          <w:sz w:val="22"/>
          <w:szCs w:val="22"/>
        </w:rPr>
        <w:t>,</w:t>
      </w:r>
      <w:r w:rsidRPr="00E93057">
        <w:rPr>
          <w:rFonts w:ascii="Times New Roman" w:hAnsi="Times New Roman" w:cs="Times New Roman"/>
          <w:sz w:val="22"/>
          <w:szCs w:val="22"/>
        </w:rPr>
        <w:t xml:space="preserve"> Malhotra and Malhotra 2003</w:t>
      </w:r>
      <w:r>
        <w:rPr>
          <w:rFonts w:ascii="Times New Roman" w:hAnsi="Times New Roman" w:cs="Times New Roman"/>
          <w:sz w:val="22"/>
          <w:szCs w:val="22"/>
        </w:rPr>
        <w:t>,</w:t>
      </w:r>
      <w:r w:rsidRPr="00E93057">
        <w:rPr>
          <w:rFonts w:ascii="Times New Roman" w:hAnsi="Times New Roman" w:cs="Times New Roman"/>
          <w:sz w:val="22"/>
          <w:szCs w:val="22"/>
        </w:rPr>
        <w:t xml:space="preserve"> Mousavi </w:t>
      </w:r>
      <w:r w:rsidRPr="00327178">
        <w:rPr>
          <w:rFonts w:ascii="Times New Roman" w:hAnsi="Times New Roman" w:cs="Times New Roman"/>
          <w:i/>
          <w:iCs/>
          <w:sz w:val="22"/>
          <w:szCs w:val="22"/>
        </w:rPr>
        <w:t>et al.</w:t>
      </w:r>
      <w:r w:rsidRPr="00E93057">
        <w:rPr>
          <w:rFonts w:ascii="Times New Roman" w:hAnsi="Times New Roman" w:cs="Times New Roman"/>
          <w:sz w:val="22"/>
          <w:szCs w:val="22"/>
        </w:rPr>
        <w:t xml:space="preserve"> 2015</w:t>
      </w:r>
      <w:r>
        <w:rPr>
          <w:rFonts w:ascii="Times New Roman" w:hAnsi="Times New Roman" w:cs="Times New Roman"/>
          <w:sz w:val="22"/>
          <w:szCs w:val="22"/>
        </w:rPr>
        <w:t>,</w:t>
      </w:r>
      <w:r w:rsidRPr="00E93057">
        <w:rPr>
          <w:rFonts w:ascii="Times New Roman" w:hAnsi="Times New Roman" w:cs="Times New Roman"/>
          <w:sz w:val="22"/>
          <w:szCs w:val="22"/>
        </w:rPr>
        <w:t xml:space="preserve"> Premachandra </w:t>
      </w:r>
      <w:r w:rsidRPr="00327178">
        <w:rPr>
          <w:rFonts w:ascii="Times New Roman" w:hAnsi="Times New Roman" w:cs="Times New Roman"/>
          <w:i/>
          <w:iCs/>
          <w:sz w:val="22"/>
          <w:szCs w:val="22"/>
        </w:rPr>
        <w:t>et al.</w:t>
      </w:r>
      <w:r w:rsidRPr="00E93057">
        <w:rPr>
          <w:rFonts w:ascii="Times New Roman" w:hAnsi="Times New Roman" w:cs="Times New Roman"/>
          <w:sz w:val="22"/>
          <w:szCs w:val="22"/>
        </w:rPr>
        <w:t xml:space="preserve"> 2009).</w:t>
      </w:r>
    </w:p>
  </w:footnote>
  <w:footnote w:id="9">
    <w:p w14:paraId="33394E9E" w14:textId="77777777" w:rsidR="00956BED" w:rsidRPr="00CF669B" w:rsidRDefault="00956BED" w:rsidP="00CF669B">
      <w:pPr>
        <w:pStyle w:val="FootnoteText"/>
        <w:ind w:left="142" w:hanging="142"/>
        <w:jc w:val="both"/>
        <w:rPr>
          <w:rFonts w:ascii="Times New Roman" w:hAnsi="Times New Roman" w:cs="Times New Roman"/>
          <w:sz w:val="22"/>
          <w:szCs w:val="22"/>
        </w:rPr>
      </w:pPr>
      <w:r w:rsidRPr="00CF669B">
        <w:rPr>
          <w:rStyle w:val="FootnoteReference"/>
          <w:rFonts w:ascii="Times New Roman" w:hAnsi="Times New Roman" w:cs="Times New Roman"/>
          <w:sz w:val="22"/>
          <w:szCs w:val="22"/>
        </w:rPr>
        <w:footnoteRef/>
      </w:r>
      <w:r w:rsidRPr="00CF669B">
        <w:rPr>
          <w:rFonts w:ascii="Times New Roman" w:hAnsi="Times New Roman" w:cs="Times New Roman"/>
          <w:sz w:val="22"/>
          <w:szCs w:val="22"/>
        </w:rPr>
        <w:t xml:space="preserve"> For a more detailed discussion of the characteristics of such models, see Mousavi </w:t>
      </w:r>
      <w:r w:rsidRPr="00CF669B">
        <w:rPr>
          <w:rFonts w:ascii="Times New Roman" w:hAnsi="Times New Roman" w:cs="Times New Roman"/>
          <w:i/>
          <w:iCs/>
          <w:sz w:val="22"/>
          <w:szCs w:val="22"/>
        </w:rPr>
        <w:t>et al.</w:t>
      </w:r>
      <w:r w:rsidRPr="00CF669B">
        <w:rPr>
          <w:rFonts w:ascii="Times New Roman" w:hAnsi="Times New Roman" w:cs="Times New Roman"/>
          <w:sz w:val="22"/>
          <w:szCs w:val="22"/>
        </w:rPr>
        <w:t xml:space="preserve"> (2015) and Shumway (2001).</w:t>
      </w:r>
    </w:p>
  </w:footnote>
  <w:footnote w:id="10">
    <w:p w14:paraId="3889C7BC" w14:textId="77777777" w:rsidR="00956BED" w:rsidRPr="00CF669B" w:rsidRDefault="00956BED" w:rsidP="00590F01">
      <w:pPr>
        <w:pStyle w:val="FootnoteText"/>
        <w:jc w:val="both"/>
        <w:rPr>
          <w:rFonts w:ascii="Times New Roman" w:hAnsi="Times New Roman" w:cs="Times New Roman"/>
          <w:sz w:val="22"/>
          <w:szCs w:val="22"/>
        </w:rPr>
      </w:pPr>
      <w:r w:rsidRPr="00CF669B">
        <w:rPr>
          <w:rStyle w:val="FootnoteReference"/>
          <w:rFonts w:ascii="Times New Roman" w:hAnsi="Times New Roman" w:cs="Times New Roman"/>
          <w:sz w:val="22"/>
          <w:szCs w:val="22"/>
        </w:rPr>
        <w:footnoteRef/>
      </w:r>
      <w:r w:rsidRPr="00CF669B">
        <w:rPr>
          <w:rFonts w:ascii="Times New Roman" w:hAnsi="Times New Roman" w:cs="Times New Roman"/>
          <w:sz w:val="22"/>
          <w:szCs w:val="22"/>
        </w:rPr>
        <w:t xml:space="preserve"> Stochastic Frontier Analysis is the parametric equivalent of DEA.</w:t>
      </w:r>
    </w:p>
  </w:footnote>
  <w:footnote w:id="11">
    <w:p w14:paraId="18C043F4" w14:textId="3176ECFD" w:rsidR="00956BED" w:rsidRDefault="00956BED" w:rsidP="00BA12FA">
      <w:pPr>
        <w:pStyle w:val="FootnoteText"/>
        <w:ind w:left="284" w:hanging="284"/>
        <w:jc w:val="both"/>
        <w:rPr>
          <w:rFonts w:ascii="Times New Roman" w:hAnsi="Times New Roman" w:cs="Times New Roman"/>
          <w:sz w:val="22"/>
          <w:szCs w:val="22"/>
        </w:rPr>
      </w:pPr>
      <w:r w:rsidRPr="00BA12FA">
        <w:rPr>
          <w:rStyle w:val="FootnoteReference"/>
          <w:rFonts w:ascii="Times New Roman" w:hAnsi="Times New Roman" w:cs="Times New Roman"/>
          <w:sz w:val="22"/>
          <w:szCs w:val="22"/>
        </w:rPr>
        <w:footnoteRef/>
      </w:r>
      <w:r w:rsidRPr="00BA12FA">
        <w:rPr>
          <w:rFonts w:ascii="Times New Roman" w:hAnsi="Times New Roman" w:cs="Times New Roman"/>
          <w:sz w:val="22"/>
          <w:szCs w:val="22"/>
        </w:rPr>
        <w:t xml:space="preserve"> </w:t>
      </w:r>
      <w:r>
        <w:rPr>
          <w:rFonts w:ascii="Times New Roman" w:hAnsi="Times New Roman" w:cs="Times New Roman"/>
          <w:sz w:val="22"/>
          <w:szCs w:val="22"/>
        </w:rPr>
        <w:tab/>
      </w:r>
      <w:r w:rsidRPr="00BA12FA">
        <w:rPr>
          <w:rFonts w:ascii="Times New Roman" w:hAnsi="Times New Roman" w:cs="Times New Roman"/>
          <w:sz w:val="22"/>
          <w:szCs w:val="22"/>
        </w:rPr>
        <w:t>TPR and FPR are also calculated as sensitivity and (1-specifity), respectively (explained earlier).</w:t>
      </w:r>
    </w:p>
    <w:p w14:paraId="3A6E6899" w14:textId="77777777" w:rsidR="002057BC" w:rsidRPr="002057BC" w:rsidRDefault="002057BC" w:rsidP="00BA12FA">
      <w:pPr>
        <w:pStyle w:val="FootnoteText"/>
        <w:ind w:left="284" w:hanging="284"/>
        <w:jc w:val="both"/>
        <w:rPr>
          <w:rFonts w:ascii="Times New Roman" w:hAnsi="Times New Roman" w:cs="Times New Roman"/>
          <w:sz w:val="8"/>
          <w:szCs w:val="8"/>
        </w:rPr>
      </w:pPr>
    </w:p>
  </w:footnote>
  <w:footnote w:id="12">
    <w:p w14:paraId="22FB9426" w14:textId="2C9C011E" w:rsidR="00956BED" w:rsidRPr="00BA12FA" w:rsidRDefault="00956BED" w:rsidP="00BA12FA">
      <w:pPr>
        <w:pStyle w:val="FootnoteText"/>
        <w:ind w:left="284" w:hanging="284"/>
        <w:jc w:val="both"/>
        <w:rPr>
          <w:rFonts w:ascii="Times New Roman" w:hAnsi="Times New Roman" w:cs="Times New Roman"/>
          <w:sz w:val="22"/>
          <w:szCs w:val="22"/>
        </w:rPr>
      </w:pPr>
      <w:r w:rsidRPr="00BA12FA">
        <w:rPr>
          <w:rStyle w:val="FootnoteReference"/>
          <w:rFonts w:ascii="Times New Roman" w:hAnsi="Times New Roman" w:cs="Times New Roman"/>
          <w:sz w:val="22"/>
          <w:szCs w:val="22"/>
        </w:rPr>
        <w:footnoteRef/>
      </w:r>
      <w:r w:rsidRPr="00BA12FA">
        <w:rPr>
          <w:rFonts w:ascii="Times New Roman" w:hAnsi="Times New Roman" w:cs="Times New Roman"/>
          <w:sz w:val="22"/>
          <w:szCs w:val="22"/>
        </w:rPr>
        <w:t xml:space="preserve"> </w:t>
      </w:r>
      <w:r>
        <w:rPr>
          <w:rFonts w:ascii="Times New Roman" w:hAnsi="Times New Roman" w:cs="Times New Roman"/>
          <w:sz w:val="22"/>
          <w:szCs w:val="22"/>
        </w:rPr>
        <w:tab/>
      </w:r>
      <w:r w:rsidRPr="00BA12FA">
        <w:rPr>
          <w:rFonts w:ascii="Times New Roman" w:hAnsi="Times New Roman" w:cs="Times New Roman"/>
          <w:sz w:val="22"/>
          <w:szCs w:val="22"/>
        </w:rPr>
        <w:t>Similar studies in the literature (</w:t>
      </w:r>
      <w:r>
        <w:rPr>
          <w:rFonts w:ascii="Times New Roman" w:hAnsi="Times New Roman" w:cs="Times New Roman"/>
          <w:sz w:val="22"/>
          <w:szCs w:val="22"/>
        </w:rPr>
        <w:t>for example,</w:t>
      </w:r>
      <w:r w:rsidRPr="00BA12FA">
        <w:rPr>
          <w:rFonts w:ascii="Times New Roman" w:hAnsi="Times New Roman" w:cs="Times New Roman"/>
          <w:sz w:val="22"/>
          <w:szCs w:val="22"/>
        </w:rPr>
        <w:t xml:space="preserve"> Agarwal and Taffler, 2008; Liang </w:t>
      </w:r>
      <w:r w:rsidRPr="00BA12FA">
        <w:rPr>
          <w:rFonts w:ascii="Times New Roman" w:hAnsi="Times New Roman" w:cs="Times New Roman"/>
          <w:i/>
          <w:iCs/>
          <w:sz w:val="22"/>
          <w:szCs w:val="22"/>
        </w:rPr>
        <w:t>et al.</w:t>
      </w:r>
      <w:r w:rsidRPr="00BA12FA">
        <w:rPr>
          <w:rFonts w:ascii="Times New Roman" w:hAnsi="Times New Roman" w:cs="Times New Roman"/>
          <w:sz w:val="22"/>
          <w:szCs w:val="22"/>
        </w:rPr>
        <w:t xml:space="preserve"> 2016; Mousavi </w:t>
      </w:r>
      <w:r w:rsidRPr="00BA12FA">
        <w:rPr>
          <w:rFonts w:ascii="Times New Roman" w:hAnsi="Times New Roman" w:cs="Times New Roman"/>
          <w:i/>
          <w:iCs/>
          <w:sz w:val="22"/>
          <w:szCs w:val="22"/>
        </w:rPr>
        <w:t>et al.</w:t>
      </w:r>
      <w:r w:rsidRPr="00BA12FA">
        <w:rPr>
          <w:rFonts w:ascii="Times New Roman" w:hAnsi="Times New Roman" w:cs="Times New Roman"/>
          <w:sz w:val="22"/>
          <w:szCs w:val="22"/>
        </w:rPr>
        <w:t xml:space="preserve"> 2015, among others) use the Log-likelihood statistic and the Pseudo-R</w:t>
      </w:r>
      <w:r w:rsidRPr="00BA12FA">
        <w:rPr>
          <w:rFonts w:ascii="Times New Roman" w:hAnsi="Times New Roman" w:cs="Times New Roman"/>
          <w:sz w:val="22"/>
          <w:szCs w:val="22"/>
          <w:vertAlign w:val="superscript"/>
        </w:rPr>
        <w:t>2</w:t>
      </w:r>
      <w:r w:rsidRPr="00BA12FA">
        <w:rPr>
          <w:rFonts w:ascii="Times New Roman" w:hAnsi="Times New Roman" w:cs="Times New Roman"/>
          <w:sz w:val="22"/>
          <w:szCs w:val="22"/>
        </w:rPr>
        <w:t xml:space="preserve"> measure.</w:t>
      </w:r>
    </w:p>
  </w:footnote>
  <w:footnote w:id="13">
    <w:p w14:paraId="286F4B99" w14:textId="39D44181" w:rsidR="00956BED" w:rsidRDefault="00956BED" w:rsidP="00E93057">
      <w:pPr>
        <w:pStyle w:val="FootnoteText"/>
        <w:ind w:left="284" w:hanging="284"/>
        <w:jc w:val="both"/>
        <w:rPr>
          <w:rFonts w:ascii="Times New Roman" w:hAnsi="Times New Roman" w:cs="Times New Roman"/>
          <w:sz w:val="22"/>
          <w:szCs w:val="22"/>
        </w:rPr>
      </w:pPr>
      <w:r w:rsidRPr="00E93057">
        <w:rPr>
          <w:rStyle w:val="FootnoteReference"/>
          <w:rFonts w:ascii="Times New Roman" w:hAnsi="Times New Roman" w:cs="Times New Roman"/>
          <w:sz w:val="22"/>
          <w:szCs w:val="22"/>
        </w:rPr>
        <w:footnoteRef/>
      </w:r>
      <w:r w:rsidRPr="00E93057">
        <w:rPr>
          <w:rFonts w:ascii="Times New Roman" w:hAnsi="Times New Roman" w:cs="Times New Roman"/>
          <w:sz w:val="22"/>
          <w:szCs w:val="22"/>
        </w:rPr>
        <w:t xml:space="preserve"> </w:t>
      </w:r>
      <w:r>
        <w:rPr>
          <w:rFonts w:ascii="Times New Roman" w:hAnsi="Times New Roman" w:cs="Times New Roman"/>
          <w:sz w:val="22"/>
          <w:szCs w:val="22"/>
        </w:rPr>
        <w:tab/>
      </w:r>
      <w:r w:rsidRPr="00E93057">
        <w:rPr>
          <w:rFonts w:ascii="Times New Roman" w:hAnsi="Times New Roman" w:cs="Times New Roman"/>
          <w:sz w:val="22"/>
          <w:szCs w:val="22"/>
        </w:rPr>
        <w:t>The accuracy ratios will be different due to the higher representation in table 6 of the bankrupt firms (as a proportion) as opposed to Table 4 which uses the full sample of healthy firms.</w:t>
      </w:r>
    </w:p>
    <w:p w14:paraId="1EE1B3A7" w14:textId="77777777" w:rsidR="00956BED" w:rsidRPr="00205F75" w:rsidRDefault="00956BED" w:rsidP="00E93057">
      <w:pPr>
        <w:pStyle w:val="FootnoteText"/>
        <w:ind w:left="284" w:hanging="284"/>
        <w:jc w:val="both"/>
        <w:rPr>
          <w:rFonts w:ascii="Times New Roman" w:hAnsi="Times New Roman" w:cs="Times New Roman"/>
          <w:sz w:val="8"/>
          <w:szCs w:val="8"/>
        </w:rPr>
      </w:pPr>
    </w:p>
  </w:footnote>
  <w:footnote w:id="14">
    <w:p w14:paraId="50B40599" w14:textId="53B5D393" w:rsidR="00956BED" w:rsidRDefault="00956BED" w:rsidP="00E93057">
      <w:pPr>
        <w:pStyle w:val="FootnoteText"/>
        <w:ind w:left="284" w:hanging="284"/>
        <w:jc w:val="both"/>
        <w:rPr>
          <w:rFonts w:ascii="Times New Roman" w:hAnsi="Times New Roman" w:cs="Times New Roman"/>
          <w:sz w:val="22"/>
          <w:szCs w:val="22"/>
        </w:rPr>
      </w:pPr>
      <w:r w:rsidRPr="00E93057">
        <w:rPr>
          <w:rStyle w:val="FootnoteReference"/>
          <w:rFonts w:ascii="Times New Roman" w:hAnsi="Times New Roman" w:cs="Times New Roman"/>
          <w:sz w:val="22"/>
          <w:szCs w:val="22"/>
        </w:rPr>
        <w:footnoteRef/>
      </w:r>
      <w:r w:rsidRPr="00E93057">
        <w:rPr>
          <w:rFonts w:ascii="Times New Roman" w:hAnsi="Times New Roman" w:cs="Times New Roman"/>
          <w:sz w:val="22"/>
          <w:szCs w:val="22"/>
        </w:rPr>
        <w:t xml:space="preserve"> </w:t>
      </w:r>
      <w:r>
        <w:rPr>
          <w:rFonts w:ascii="Times New Roman" w:hAnsi="Times New Roman" w:cs="Times New Roman"/>
          <w:sz w:val="22"/>
          <w:szCs w:val="22"/>
        </w:rPr>
        <w:tab/>
      </w:r>
      <w:r w:rsidRPr="00E93057">
        <w:rPr>
          <w:rFonts w:ascii="Times New Roman" w:hAnsi="Times New Roman" w:cs="Times New Roman"/>
          <w:sz w:val="22"/>
          <w:szCs w:val="22"/>
        </w:rPr>
        <w:t>The matching is done through selecting ten non-bankrupt firms with the same SIC code that are closest in terms of market value during the year of observation to the bankrupt firm. 76</w:t>
      </w:r>
      <w:r>
        <w:rPr>
          <w:rFonts w:ascii="Times New Roman" w:hAnsi="Times New Roman" w:cs="Times New Roman"/>
          <w:sz w:val="22"/>
          <w:szCs w:val="22"/>
        </w:rPr>
        <w:t xml:space="preserve"> percent</w:t>
      </w:r>
      <w:r w:rsidRPr="00E93057">
        <w:rPr>
          <w:rFonts w:ascii="Times New Roman" w:hAnsi="Times New Roman" w:cs="Times New Roman"/>
          <w:sz w:val="22"/>
          <w:szCs w:val="22"/>
        </w:rPr>
        <w:t xml:space="preserve"> of the bankrupt firms in our sample are matched with non-bankrupt firms that are within 10-15 market value.</w:t>
      </w:r>
    </w:p>
    <w:p w14:paraId="01829A4E" w14:textId="77777777" w:rsidR="00956BED" w:rsidRPr="00205F75" w:rsidRDefault="00956BED" w:rsidP="00E93057">
      <w:pPr>
        <w:pStyle w:val="FootnoteText"/>
        <w:ind w:left="284" w:hanging="284"/>
        <w:jc w:val="both"/>
        <w:rPr>
          <w:rFonts w:ascii="Times New Roman" w:hAnsi="Times New Roman" w:cs="Times New Roman"/>
          <w:sz w:val="8"/>
          <w:szCs w:val="8"/>
        </w:rPr>
      </w:pPr>
    </w:p>
  </w:footnote>
  <w:footnote w:id="15">
    <w:p w14:paraId="25479055" w14:textId="315543D4" w:rsidR="00956BED" w:rsidRPr="00E93057" w:rsidRDefault="00956BED" w:rsidP="00E93057">
      <w:pPr>
        <w:pStyle w:val="FootnoteText"/>
        <w:ind w:left="284" w:hanging="284"/>
        <w:jc w:val="both"/>
        <w:rPr>
          <w:rFonts w:ascii="Times New Roman" w:hAnsi="Times New Roman" w:cs="Times New Roman"/>
          <w:sz w:val="22"/>
          <w:szCs w:val="22"/>
        </w:rPr>
      </w:pPr>
      <w:r w:rsidRPr="00E93057">
        <w:rPr>
          <w:rStyle w:val="FootnoteReference"/>
          <w:rFonts w:ascii="Times New Roman" w:hAnsi="Times New Roman" w:cs="Times New Roman"/>
          <w:sz w:val="22"/>
          <w:szCs w:val="22"/>
        </w:rPr>
        <w:footnoteRef/>
      </w:r>
      <w:r w:rsidRPr="00E93057">
        <w:rPr>
          <w:rFonts w:ascii="Times New Roman" w:hAnsi="Times New Roman" w:cs="Times New Roman"/>
          <w:sz w:val="22"/>
          <w:szCs w:val="22"/>
        </w:rPr>
        <w:t xml:space="preserve"> </w:t>
      </w:r>
      <w:r>
        <w:rPr>
          <w:rFonts w:ascii="Times New Roman" w:hAnsi="Times New Roman" w:cs="Times New Roman"/>
          <w:sz w:val="22"/>
          <w:szCs w:val="22"/>
        </w:rPr>
        <w:tab/>
      </w:r>
      <w:r w:rsidRPr="00E93057">
        <w:rPr>
          <w:rFonts w:ascii="Times New Roman" w:hAnsi="Times New Roman" w:cs="Times New Roman"/>
          <w:sz w:val="22"/>
          <w:szCs w:val="22"/>
        </w:rPr>
        <w:t>Our overall conclusions remain essentially the same when we match each bankrupt firm to one non-bankrupt firm only, or match firms based on propensity scores, or when we run a sample with the same proportion of bankrupt to non-bankrupt firms as observed in reality.</w:t>
      </w:r>
    </w:p>
  </w:footnote>
  <w:footnote w:id="16">
    <w:p w14:paraId="4578C6E0" w14:textId="6E000499" w:rsidR="00956BED" w:rsidRPr="00E93057" w:rsidRDefault="00956BED" w:rsidP="00E93057">
      <w:pPr>
        <w:pStyle w:val="FootnoteText"/>
        <w:ind w:left="284" w:hanging="284"/>
        <w:jc w:val="both"/>
        <w:rPr>
          <w:rFonts w:ascii="Times New Roman" w:hAnsi="Times New Roman" w:cs="Times New Roman"/>
          <w:sz w:val="22"/>
          <w:szCs w:val="22"/>
        </w:rPr>
      </w:pPr>
      <w:r w:rsidRPr="00E93057">
        <w:rPr>
          <w:rStyle w:val="FootnoteReference"/>
          <w:rFonts w:ascii="Times New Roman" w:hAnsi="Times New Roman" w:cs="Times New Roman"/>
          <w:sz w:val="22"/>
          <w:szCs w:val="22"/>
        </w:rPr>
        <w:footnoteRef/>
      </w:r>
      <w:r w:rsidRPr="00E93057">
        <w:rPr>
          <w:rFonts w:ascii="Times New Roman" w:hAnsi="Times New Roman" w:cs="Times New Roman"/>
          <w:sz w:val="22"/>
          <w:szCs w:val="22"/>
        </w:rPr>
        <w:t xml:space="preserve"> </w:t>
      </w:r>
      <w:r w:rsidRPr="00E93057">
        <w:rPr>
          <w:rFonts w:ascii="Times New Roman" w:hAnsi="Times New Roman" w:cs="Times New Roman"/>
          <w:sz w:val="22"/>
          <w:szCs w:val="22"/>
        </w:rPr>
        <w:tab/>
        <w:t>Probability of default is estimated using the discrete-time hazard rate and logistic regression analysis as explained earlier.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2E58"/>
    <w:multiLevelType w:val="multilevel"/>
    <w:tmpl w:val="0DA86B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50219B9"/>
    <w:multiLevelType w:val="hybridMultilevel"/>
    <w:tmpl w:val="F3EE86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8A33C9"/>
    <w:multiLevelType w:val="hybridMultilevel"/>
    <w:tmpl w:val="32B4B4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C732B5"/>
    <w:multiLevelType w:val="hybridMultilevel"/>
    <w:tmpl w:val="225A3A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9D23BB"/>
    <w:multiLevelType w:val="multilevel"/>
    <w:tmpl w:val="CB18FA7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6B71ED"/>
    <w:multiLevelType w:val="hybridMultilevel"/>
    <w:tmpl w:val="32B4B4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1D6A50"/>
    <w:multiLevelType w:val="hybridMultilevel"/>
    <w:tmpl w:val="7A9E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7696F"/>
    <w:multiLevelType w:val="hybridMultilevel"/>
    <w:tmpl w:val="9642DCA2"/>
    <w:lvl w:ilvl="0" w:tplc="EC6EE54E">
      <w:start w:val="2"/>
      <w:numFmt w:val="bullet"/>
      <w:lvlText w:val=""/>
      <w:lvlJc w:val="left"/>
      <w:pPr>
        <w:ind w:left="360" w:hanging="360"/>
      </w:pPr>
      <w:rPr>
        <w:rFonts w:ascii="Wingdings" w:eastAsiaTheme="minorEastAsia" w:hAnsi="Wingdings" w:cstheme="maj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48A207E"/>
    <w:multiLevelType w:val="hybridMultilevel"/>
    <w:tmpl w:val="83A4A5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366DAD"/>
    <w:multiLevelType w:val="multilevel"/>
    <w:tmpl w:val="8984F0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37A2AF4"/>
    <w:multiLevelType w:val="multilevel"/>
    <w:tmpl w:val="3428471A"/>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62475E7"/>
    <w:multiLevelType w:val="hybridMultilevel"/>
    <w:tmpl w:val="CFE2D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55A06"/>
    <w:multiLevelType w:val="hybridMultilevel"/>
    <w:tmpl w:val="A57E7F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F75684"/>
    <w:multiLevelType w:val="hybridMultilevel"/>
    <w:tmpl w:val="DCBA83E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4561072"/>
    <w:multiLevelType w:val="hybridMultilevel"/>
    <w:tmpl w:val="2708D7C6"/>
    <w:lvl w:ilvl="0" w:tplc="030C62D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0"/>
  </w:num>
  <w:num w:numId="4">
    <w:abstractNumId w:val="9"/>
  </w:num>
  <w:num w:numId="5">
    <w:abstractNumId w:val="14"/>
  </w:num>
  <w:num w:numId="6">
    <w:abstractNumId w:val="6"/>
  </w:num>
  <w:num w:numId="7">
    <w:abstractNumId w:val="11"/>
  </w:num>
  <w:num w:numId="8">
    <w:abstractNumId w:val="8"/>
  </w:num>
  <w:num w:numId="9">
    <w:abstractNumId w:val="1"/>
  </w:num>
  <w:num w:numId="10">
    <w:abstractNumId w:val="12"/>
  </w:num>
  <w:num w:numId="11">
    <w:abstractNumId w:val="2"/>
  </w:num>
  <w:num w:numId="12">
    <w:abstractNumId w:val="5"/>
  </w:num>
  <w:num w:numId="13">
    <w:abstractNumId w:val="7"/>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US" w:vendorID="64" w:dllVersion="4096" w:nlCheck="1" w:checkStyle="0"/>
  <w:activeWritingStyle w:appName="MSWord" w:lang="fr-FR" w:vendorID="64" w:dllVersion="4096"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E0"/>
    <w:rsid w:val="000007BF"/>
    <w:rsid w:val="00002EAB"/>
    <w:rsid w:val="00005AF6"/>
    <w:rsid w:val="0000782D"/>
    <w:rsid w:val="00013CEA"/>
    <w:rsid w:val="00016DCD"/>
    <w:rsid w:val="00021CAF"/>
    <w:rsid w:val="000314C8"/>
    <w:rsid w:val="00031D24"/>
    <w:rsid w:val="00033041"/>
    <w:rsid w:val="00041967"/>
    <w:rsid w:val="00044C6D"/>
    <w:rsid w:val="00046C3B"/>
    <w:rsid w:val="00054446"/>
    <w:rsid w:val="000614DD"/>
    <w:rsid w:val="00061CF7"/>
    <w:rsid w:val="0006207B"/>
    <w:rsid w:val="00064536"/>
    <w:rsid w:val="00070260"/>
    <w:rsid w:val="000702E3"/>
    <w:rsid w:val="00071B7F"/>
    <w:rsid w:val="00071E42"/>
    <w:rsid w:val="00073287"/>
    <w:rsid w:val="0007389A"/>
    <w:rsid w:val="000740B3"/>
    <w:rsid w:val="00075909"/>
    <w:rsid w:val="0007793F"/>
    <w:rsid w:val="0008042E"/>
    <w:rsid w:val="00080C9A"/>
    <w:rsid w:val="000847B4"/>
    <w:rsid w:val="00084D2D"/>
    <w:rsid w:val="00092D88"/>
    <w:rsid w:val="000A0E22"/>
    <w:rsid w:val="000A1D5D"/>
    <w:rsid w:val="000A2C05"/>
    <w:rsid w:val="000B1B55"/>
    <w:rsid w:val="000B1F7D"/>
    <w:rsid w:val="000B4C47"/>
    <w:rsid w:val="000B5311"/>
    <w:rsid w:val="000B54A8"/>
    <w:rsid w:val="000B7B5C"/>
    <w:rsid w:val="000C32E0"/>
    <w:rsid w:val="000C3736"/>
    <w:rsid w:val="000C410E"/>
    <w:rsid w:val="000C5DD9"/>
    <w:rsid w:val="000C7138"/>
    <w:rsid w:val="000D5347"/>
    <w:rsid w:val="000E63BB"/>
    <w:rsid w:val="000F3080"/>
    <w:rsid w:val="000F6AF6"/>
    <w:rsid w:val="000F7E79"/>
    <w:rsid w:val="0010077C"/>
    <w:rsid w:val="0010668C"/>
    <w:rsid w:val="00112354"/>
    <w:rsid w:val="00114A6D"/>
    <w:rsid w:val="00114EE5"/>
    <w:rsid w:val="00121973"/>
    <w:rsid w:val="00123F74"/>
    <w:rsid w:val="00126285"/>
    <w:rsid w:val="001308C6"/>
    <w:rsid w:val="00140F8F"/>
    <w:rsid w:val="00145076"/>
    <w:rsid w:val="001466F1"/>
    <w:rsid w:val="0014681E"/>
    <w:rsid w:val="001536AC"/>
    <w:rsid w:val="001536D2"/>
    <w:rsid w:val="001574CB"/>
    <w:rsid w:val="00165625"/>
    <w:rsid w:val="00170587"/>
    <w:rsid w:val="00173C51"/>
    <w:rsid w:val="00175D82"/>
    <w:rsid w:val="00186016"/>
    <w:rsid w:val="00187EFD"/>
    <w:rsid w:val="00191A27"/>
    <w:rsid w:val="0019792D"/>
    <w:rsid w:val="001A21E0"/>
    <w:rsid w:val="001A2E0A"/>
    <w:rsid w:val="001A31AC"/>
    <w:rsid w:val="001B00D2"/>
    <w:rsid w:val="001B68FE"/>
    <w:rsid w:val="001B7B8E"/>
    <w:rsid w:val="001C047D"/>
    <w:rsid w:val="001C04F1"/>
    <w:rsid w:val="001C0A29"/>
    <w:rsid w:val="001D1272"/>
    <w:rsid w:val="001D2B72"/>
    <w:rsid w:val="001D5E22"/>
    <w:rsid w:val="001E3AFB"/>
    <w:rsid w:val="001E51FF"/>
    <w:rsid w:val="001E558A"/>
    <w:rsid w:val="001E7699"/>
    <w:rsid w:val="001F426E"/>
    <w:rsid w:val="001F4F1E"/>
    <w:rsid w:val="001F5C74"/>
    <w:rsid w:val="001F7296"/>
    <w:rsid w:val="001F7FE1"/>
    <w:rsid w:val="0020478C"/>
    <w:rsid w:val="002057BC"/>
    <w:rsid w:val="00205F71"/>
    <w:rsid w:val="00205F75"/>
    <w:rsid w:val="00206274"/>
    <w:rsid w:val="00210F5F"/>
    <w:rsid w:val="00212664"/>
    <w:rsid w:val="00213B24"/>
    <w:rsid w:val="00216370"/>
    <w:rsid w:val="002212AF"/>
    <w:rsid w:val="00222523"/>
    <w:rsid w:val="00223BFA"/>
    <w:rsid w:val="002331DC"/>
    <w:rsid w:val="002341D2"/>
    <w:rsid w:val="00235501"/>
    <w:rsid w:val="00237C68"/>
    <w:rsid w:val="00237FA5"/>
    <w:rsid w:val="00241658"/>
    <w:rsid w:val="00242D0B"/>
    <w:rsid w:val="0024474D"/>
    <w:rsid w:val="00244A22"/>
    <w:rsid w:val="00245573"/>
    <w:rsid w:val="00246BE7"/>
    <w:rsid w:val="002507B2"/>
    <w:rsid w:val="00260D7D"/>
    <w:rsid w:val="00265EDB"/>
    <w:rsid w:val="00267474"/>
    <w:rsid w:val="0027218C"/>
    <w:rsid w:val="00272894"/>
    <w:rsid w:val="00273097"/>
    <w:rsid w:val="00275ECD"/>
    <w:rsid w:val="002808FB"/>
    <w:rsid w:val="00280944"/>
    <w:rsid w:val="00283738"/>
    <w:rsid w:val="00287E8C"/>
    <w:rsid w:val="00296365"/>
    <w:rsid w:val="00297108"/>
    <w:rsid w:val="0029757F"/>
    <w:rsid w:val="002A270E"/>
    <w:rsid w:val="002A757E"/>
    <w:rsid w:val="002B0DB1"/>
    <w:rsid w:val="002B0E8F"/>
    <w:rsid w:val="002B31D8"/>
    <w:rsid w:val="002C4258"/>
    <w:rsid w:val="002C6C11"/>
    <w:rsid w:val="002D238B"/>
    <w:rsid w:val="002D5090"/>
    <w:rsid w:val="002E3F0E"/>
    <w:rsid w:val="002F0DFF"/>
    <w:rsid w:val="002F5CFB"/>
    <w:rsid w:val="00306FA4"/>
    <w:rsid w:val="003105B8"/>
    <w:rsid w:val="00310F1F"/>
    <w:rsid w:val="00317E02"/>
    <w:rsid w:val="003243FD"/>
    <w:rsid w:val="00327178"/>
    <w:rsid w:val="003323BA"/>
    <w:rsid w:val="00342B84"/>
    <w:rsid w:val="00343342"/>
    <w:rsid w:val="00343761"/>
    <w:rsid w:val="00356695"/>
    <w:rsid w:val="003605E6"/>
    <w:rsid w:val="00361B8F"/>
    <w:rsid w:val="003733BE"/>
    <w:rsid w:val="003735C0"/>
    <w:rsid w:val="003777EB"/>
    <w:rsid w:val="003906F3"/>
    <w:rsid w:val="003932AB"/>
    <w:rsid w:val="003948F1"/>
    <w:rsid w:val="003A1996"/>
    <w:rsid w:val="003A2177"/>
    <w:rsid w:val="003A2E67"/>
    <w:rsid w:val="003B46EF"/>
    <w:rsid w:val="003B4D77"/>
    <w:rsid w:val="003B6363"/>
    <w:rsid w:val="003B7127"/>
    <w:rsid w:val="003B7749"/>
    <w:rsid w:val="003C722C"/>
    <w:rsid w:val="003D05C7"/>
    <w:rsid w:val="003D5A61"/>
    <w:rsid w:val="003D5AA4"/>
    <w:rsid w:val="003D7655"/>
    <w:rsid w:val="003E457A"/>
    <w:rsid w:val="003F0690"/>
    <w:rsid w:val="004004E7"/>
    <w:rsid w:val="00400DF8"/>
    <w:rsid w:val="00400EBF"/>
    <w:rsid w:val="00401492"/>
    <w:rsid w:val="00402297"/>
    <w:rsid w:val="00402998"/>
    <w:rsid w:val="00405871"/>
    <w:rsid w:val="00405C24"/>
    <w:rsid w:val="00410831"/>
    <w:rsid w:val="0042128A"/>
    <w:rsid w:val="004212AB"/>
    <w:rsid w:val="004228BE"/>
    <w:rsid w:val="00424FD5"/>
    <w:rsid w:val="00427B3A"/>
    <w:rsid w:val="0043251B"/>
    <w:rsid w:val="00434272"/>
    <w:rsid w:val="00437B89"/>
    <w:rsid w:val="004414B0"/>
    <w:rsid w:val="004425A6"/>
    <w:rsid w:val="00444216"/>
    <w:rsid w:val="00452C23"/>
    <w:rsid w:val="00453818"/>
    <w:rsid w:val="00456BCF"/>
    <w:rsid w:val="00462585"/>
    <w:rsid w:val="004710A5"/>
    <w:rsid w:val="00473819"/>
    <w:rsid w:val="00473A01"/>
    <w:rsid w:val="004741B1"/>
    <w:rsid w:val="00476317"/>
    <w:rsid w:val="00476607"/>
    <w:rsid w:val="00480FC2"/>
    <w:rsid w:val="004818B9"/>
    <w:rsid w:val="004825DB"/>
    <w:rsid w:val="004829EA"/>
    <w:rsid w:val="0048653A"/>
    <w:rsid w:val="0049067C"/>
    <w:rsid w:val="0049324B"/>
    <w:rsid w:val="00493771"/>
    <w:rsid w:val="00495F7A"/>
    <w:rsid w:val="004A26B9"/>
    <w:rsid w:val="004A2C97"/>
    <w:rsid w:val="004A4ECF"/>
    <w:rsid w:val="004A6C39"/>
    <w:rsid w:val="004B301C"/>
    <w:rsid w:val="004B76DE"/>
    <w:rsid w:val="004C049C"/>
    <w:rsid w:val="004C2965"/>
    <w:rsid w:val="004C6606"/>
    <w:rsid w:val="004C68AF"/>
    <w:rsid w:val="004C69C5"/>
    <w:rsid w:val="004C7894"/>
    <w:rsid w:val="004C78D5"/>
    <w:rsid w:val="004D511A"/>
    <w:rsid w:val="004D7D5B"/>
    <w:rsid w:val="004E3BEE"/>
    <w:rsid w:val="004F015B"/>
    <w:rsid w:val="004F2A14"/>
    <w:rsid w:val="004F4871"/>
    <w:rsid w:val="004F619A"/>
    <w:rsid w:val="00501757"/>
    <w:rsid w:val="00503A4A"/>
    <w:rsid w:val="0051230F"/>
    <w:rsid w:val="0051524F"/>
    <w:rsid w:val="005154A6"/>
    <w:rsid w:val="005164F3"/>
    <w:rsid w:val="005232A2"/>
    <w:rsid w:val="0052491E"/>
    <w:rsid w:val="00525657"/>
    <w:rsid w:val="0052589C"/>
    <w:rsid w:val="00527C24"/>
    <w:rsid w:val="00530A11"/>
    <w:rsid w:val="00531D3B"/>
    <w:rsid w:val="0053378C"/>
    <w:rsid w:val="00541B9F"/>
    <w:rsid w:val="00543F59"/>
    <w:rsid w:val="005443DA"/>
    <w:rsid w:val="0054442B"/>
    <w:rsid w:val="005457FE"/>
    <w:rsid w:val="005462D2"/>
    <w:rsid w:val="0055031D"/>
    <w:rsid w:val="00554A7E"/>
    <w:rsid w:val="00567FD7"/>
    <w:rsid w:val="005715AF"/>
    <w:rsid w:val="0057282A"/>
    <w:rsid w:val="00576122"/>
    <w:rsid w:val="00580EE1"/>
    <w:rsid w:val="00582569"/>
    <w:rsid w:val="00590F01"/>
    <w:rsid w:val="005A2CEE"/>
    <w:rsid w:val="005A3E38"/>
    <w:rsid w:val="005A4EE1"/>
    <w:rsid w:val="005A7C10"/>
    <w:rsid w:val="005B0C37"/>
    <w:rsid w:val="005B501E"/>
    <w:rsid w:val="005C594F"/>
    <w:rsid w:val="005C5F23"/>
    <w:rsid w:val="005C766E"/>
    <w:rsid w:val="005D0694"/>
    <w:rsid w:val="005D0B00"/>
    <w:rsid w:val="005D0B6F"/>
    <w:rsid w:val="005D407B"/>
    <w:rsid w:val="005D725B"/>
    <w:rsid w:val="005E1657"/>
    <w:rsid w:val="005F2C31"/>
    <w:rsid w:val="00600828"/>
    <w:rsid w:val="00605419"/>
    <w:rsid w:val="00605845"/>
    <w:rsid w:val="006067A9"/>
    <w:rsid w:val="00613B29"/>
    <w:rsid w:val="00614F0A"/>
    <w:rsid w:val="00615414"/>
    <w:rsid w:val="00626551"/>
    <w:rsid w:val="0063046A"/>
    <w:rsid w:val="00631751"/>
    <w:rsid w:val="00631A0D"/>
    <w:rsid w:val="00631F41"/>
    <w:rsid w:val="0063303C"/>
    <w:rsid w:val="0063403B"/>
    <w:rsid w:val="006444C6"/>
    <w:rsid w:val="006469DC"/>
    <w:rsid w:val="00647898"/>
    <w:rsid w:val="00651B62"/>
    <w:rsid w:val="00657DEE"/>
    <w:rsid w:val="00662071"/>
    <w:rsid w:val="006659C5"/>
    <w:rsid w:val="00665B24"/>
    <w:rsid w:val="00665F69"/>
    <w:rsid w:val="00671DAD"/>
    <w:rsid w:val="006805C2"/>
    <w:rsid w:val="0068341D"/>
    <w:rsid w:val="00683ECA"/>
    <w:rsid w:val="0069218B"/>
    <w:rsid w:val="0069473F"/>
    <w:rsid w:val="00696502"/>
    <w:rsid w:val="00697C98"/>
    <w:rsid w:val="006A4313"/>
    <w:rsid w:val="006A654F"/>
    <w:rsid w:val="006A7E8A"/>
    <w:rsid w:val="006C1288"/>
    <w:rsid w:val="006D0B4D"/>
    <w:rsid w:val="006D0F12"/>
    <w:rsid w:val="006D590A"/>
    <w:rsid w:val="006D5DD3"/>
    <w:rsid w:val="006E3F3A"/>
    <w:rsid w:val="006E4EC4"/>
    <w:rsid w:val="006F243A"/>
    <w:rsid w:val="006F4237"/>
    <w:rsid w:val="006F4608"/>
    <w:rsid w:val="006F67D9"/>
    <w:rsid w:val="00707274"/>
    <w:rsid w:val="007135A4"/>
    <w:rsid w:val="00716A72"/>
    <w:rsid w:val="00721100"/>
    <w:rsid w:val="00721DD6"/>
    <w:rsid w:val="00722906"/>
    <w:rsid w:val="007230D2"/>
    <w:rsid w:val="007251A6"/>
    <w:rsid w:val="00727553"/>
    <w:rsid w:val="00730E52"/>
    <w:rsid w:val="007321DE"/>
    <w:rsid w:val="0073344A"/>
    <w:rsid w:val="00733FAE"/>
    <w:rsid w:val="007350B8"/>
    <w:rsid w:val="00735F94"/>
    <w:rsid w:val="00736BCB"/>
    <w:rsid w:val="00742468"/>
    <w:rsid w:val="00745ECF"/>
    <w:rsid w:val="007522EE"/>
    <w:rsid w:val="0075479A"/>
    <w:rsid w:val="00755BB0"/>
    <w:rsid w:val="0075729E"/>
    <w:rsid w:val="0075795D"/>
    <w:rsid w:val="007621E3"/>
    <w:rsid w:val="00762C44"/>
    <w:rsid w:val="00765E31"/>
    <w:rsid w:val="00767C89"/>
    <w:rsid w:val="00770D01"/>
    <w:rsid w:val="007713F3"/>
    <w:rsid w:val="00776975"/>
    <w:rsid w:val="00781235"/>
    <w:rsid w:val="0078141F"/>
    <w:rsid w:val="0078328D"/>
    <w:rsid w:val="00791B28"/>
    <w:rsid w:val="007A0F81"/>
    <w:rsid w:val="007A2D17"/>
    <w:rsid w:val="007A2EDA"/>
    <w:rsid w:val="007A57CF"/>
    <w:rsid w:val="007B4911"/>
    <w:rsid w:val="007C031E"/>
    <w:rsid w:val="007D4A20"/>
    <w:rsid w:val="007D5E58"/>
    <w:rsid w:val="007E2C0D"/>
    <w:rsid w:val="007E2FCF"/>
    <w:rsid w:val="007E4F88"/>
    <w:rsid w:val="007E5280"/>
    <w:rsid w:val="007E5E65"/>
    <w:rsid w:val="007F2D76"/>
    <w:rsid w:val="00800225"/>
    <w:rsid w:val="00800D02"/>
    <w:rsid w:val="00804451"/>
    <w:rsid w:val="008051DA"/>
    <w:rsid w:val="00805868"/>
    <w:rsid w:val="008100D8"/>
    <w:rsid w:val="00811130"/>
    <w:rsid w:val="0081300E"/>
    <w:rsid w:val="00814980"/>
    <w:rsid w:val="00817B82"/>
    <w:rsid w:val="00820E7F"/>
    <w:rsid w:val="00822A4E"/>
    <w:rsid w:val="00831F8C"/>
    <w:rsid w:val="00836D68"/>
    <w:rsid w:val="00841629"/>
    <w:rsid w:val="008434C2"/>
    <w:rsid w:val="00843D66"/>
    <w:rsid w:val="00844C99"/>
    <w:rsid w:val="00855AB3"/>
    <w:rsid w:val="00855B96"/>
    <w:rsid w:val="00857063"/>
    <w:rsid w:val="008622D0"/>
    <w:rsid w:val="00862BC3"/>
    <w:rsid w:val="008636D7"/>
    <w:rsid w:val="00865CCD"/>
    <w:rsid w:val="0086790B"/>
    <w:rsid w:val="008702F4"/>
    <w:rsid w:val="00872EE3"/>
    <w:rsid w:val="0087303E"/>
    <w:rsid w:val="008764E1"/>
    <w:rsid w:val="008800AA"/>
    <w:rsid w:val="0088395E"/>
    <w:rsid w:val="00884458"/>
    <w:rsid w:val="008848D9"/>
    <w:rsid w:val="00886C86"/>
    <w:rsid w:val="00887A64"/>
    <w:rsid w:val="00890B36"/>
    <w:rsid w:val="00890E75"/>
    <w:rsid w:val="00892687"/>
    <w:rsid w:val="00892C61"/>
    <w:rsid w:val="008A2248"/>
    <w:rsid w:val="008A4063"/>
    <w:rsid w:val="008A7E75"/>
    <w:rsid w:val="008B08A9"/>
    <w:rsid w:val="008C50CF"/>
    <w:rsid w:val="008C6B47"/>
    <w:rsid w:val="008D2E00"/>
    <w:rsid w:val="008D47A3"/>
    <w:rsid w:val="008D6A29"/>
    <w:rsid w:val="008E198A"/>
    <w:rsid w:val="008E1EBB"/>
    <w:rsid w:val="008F0782"/>
    <w:rsid w:val="008F0EFA"/>
    <w:rsid w:val="008F2D39"/>
    <w:rsid w:val="008F42CF"/>
    <w:rsid w:val="008F650E"/>
    <w:rsid w:val="00903DE9"/>
    <w:rsid w:val="009058BC"/>
    <w:rsid w:val="0090684E"/>
    <w:rsid w:val="00907DCD"/>
    <w:rsid w:val="0091531D"/>
    <w:rsid w:val="00915FE1"/>
    <w:rsid w:val="00916306"/>
    <w:rsid w:val="00916D72"/>
    <w:rsid w:val="00917710"/>
    <w:rsid w:val="00921057"/>
    <w:rsid w:val="00923ABB"/>
    <w:rsid w:val="00925474"/>
    <w:rsid w:val="00943BA6"/>
    <w:rsid w:val="0094575E"/>
    <w:rsid w:val="00946205"/>
    <w:rsid w:val="009477C9"/>
    <w:rsid w:val="00956BED"/>
    <w:rsid w:val="00961559"/>
    <w:rsid w:val="00962350"/>
    <w:rsid w:val="00970968"/>
    <w:rsid w:val="00971EAB"/>
    <w:rsid w:val="009828BC"/>
    <w:rsid w:val="00990BD4"/>
    <w:rsid w:val="00997F2E"/>
    <w:rsid w:val="009A4FA9"/>
    <w:rsid w:val="009B0CD3"/>
    <w:rsid w:val="009B2891"/>
    <w:rsid w:val="009B3D47"/>
    <w:rsid w:val="009C1D17"/>
    <w:rsid w:val="009C4DCB"/>
    <w:rsid w:val="009C55FE"/>
    <w:rsid w:val="009D20C5"/>
    <w:rsid w:val="009D4CA4"/>
    <w:rsid w:val="009D4E8C"/>
    <w:rsid w:val="009D4F34"/>
    <w:rsid w:val="009E120C"/>
    <w:rsid w:val="009E1E70"/>
    <w:rsid w:val="009E2698"/>
    <w:rsid w:val="009E38BC"/>
    <w:rsid w:val="009F2172"/>
    <w:rsid w:val="009F69D7"/>
    <w:rsid w:val="00A14AF4"/>
    <w:rsid w:val="00A2132D"/>
    <w:rsid w:val="00A238D9"/>
    <w:rsid w:val="00A24E6D"/>
    <w:rsid w:val="00A267ED"/>
    <w:rsid w:val="00A3027A"/>
    <w:rsid w:val="00A35C11"/>
    <w:rsid w:val="00A42B0A"/>
    <w:rsid w:val="00A42CCC"/>
    <w:rsid w:val="00A430FB"/>
    <w:rsid w:val="00A45A9E"/>
    <w:rsid w:val="00A47F98"/>
    <w:rsid w:val="00A531B1"/>
    <w:rsid w:val="00A54D71"/>
    <w:rsid w:val="00A554B8"/>
    <w:rsid w:val="00A564D5"/>
    <w:rsid w:val="00A65497"/>
    <w:rsid w:val="00A65D3C"/>
    <w:rsid w:val="00A66F9A"/>
    <w:rsid w:val="00A67866"/>
    <w:rsid w:val="00A72A8F"/>
    <w:rsid w:val="00A74ED4"/>
    <w:rsid w:val="00A74F0A"/>
    <w:rsid w:val="00A77A23"/>
    <w:rsid w:val="00A80831"/>
    <w:rsid w:val="00A83C07"/>
    <w:rsid w:val="00A85399"/>
    <w:rsid w:val="00A856B6"/>
    <w:rsid w:val="00A91993"/>
    <w:rsid w:val="00A91ECA"/>
    <w:rsid w:val="00A928BA"/>
    <w:rsid w:val="00A96951"/>
    <w:rsid w:val="00AA3F89"/>
    <w:rsid w:val="00AA501B"/>
    <w:rsid w:val="00AB0186"/>
    <w:rsid w:val="00AB1E5B"/>
    <w:rsid w:val="00AB3E0D"/>
    <w:rsid w:val="00AB79EB"/>
    <w:rsid w:val="00AC3CCC"/>
    <w:rsid w:val="00AC751D"/>
    <w:rsid w:val="00AE1292"/>
    <w:rsid w:val="00AE7A63"/>
    <w:rsid w:val="00AF10F6"/>
    <w:rsid w:val="00AF181A"/>
    <w:rsid w:val="00AF6859"/>
    <w:rsid w:val="00B030C1"/>
    <w:rsid w:val="00B065CA"/>
    <w:rsid w:val="00B07A99"/>
    <w:rsid w:val="00B17980"/>
    <w:rsid w:val="00B2462D"/>
    <w:rsid w:val="00B25E69"/>
    <w:rsid w:val="00B31A58"/>
    <w:rsid w:val="00B378F3"/>
    <w:rsid w:val="00B37E57"/>
    <w:rsid w:val="00B4619B"/>
    <w:rsid w:val="00B46920"/>
    <w:rsid w:val="00B70B2F"/>
    <w:rsid w:val="00B77B57"/>
    <w:rsid w:val="00B815F1"/>
    <w:rsid w:val="00B82F79"/>
    <w:rsid w:val="00B95973"/>
    <w:rsid w:val="00B97226"/>
    <w:rsid w:val="00B9771A"/>
    <w:rsid w:val="00B97A5A"/>
    <w:rsid w:val="00BA12FA"/>
    <w:rsid w:val="00BA3249"/>
    <w:rsid w:val="00BA4134"/>
    <w:rsid w:val="00BB5224"/>
    <w:rsid w:val="00BB78B6"/>
    <w:rsid w:val="00BC1C1C"/>
    <w:rsid w:val="00BC3CC7"/>
    <w:rsid w:val="00BC3F74"/>
    <w:rsid w:val="00BC6E63"/>
    <w:rsid w:val="00BC7EC2"/>
    <w:rsid w:val="00BD32E3"/>
    <w:rsid w:val="00BD5FCF"/>
    <w:rsid w:val="00BD674C"/>
    <w:rsid w:val="00BD68C8"/>
    <w:rsid w:val="00BD6977"/>
    <w:rsid w:val="00BD7C76"/>
    <w:rsid w:val="00BD7F11"/>
    <w:rsid w:val="00BE2B3E"/>
    <w:rsid w:val="00BE30AA"/>
    <w:rsid w:val="00BE6750"/>
    <w:rsid w:val="00BE6C54"/>
    <w:rsid w:val="00BE73DD"/>
    <w:rsid w:val="00BF45DE"/>
    <w:rsid w:val="00BF746E"/>
    <w:rsid w:val="00BF7B47"/>
    <w:rsid w:val="00BF7E05"/>
    <w:rsid w:val="00C00711"/>
    <w:rsid w:val="00C01E54"/>
    <w:rsid w:val="00C01F80"/>
    <w:rsid w:val="00C029D8"/>
    <w:rsid w:val="00C11F67"/>
    <w:rsid w:val="00C12235"/>
    <w:rsid w:val="00C15543"/>
    <w:rsid w:val="00C211F0"/>
    <w:rsid w:val="00C256D3"/>
    <w:rsid w:val="00C279D6"/>
    <w:rsid w:val="00C32776"/>
    <w:rsid w:val="00C33FE3"/>
    <w:rsid w:val="00C36DB3"/>
    <w:rsid w:val="00C36E55"/>
    <w:rsid w:val="00C37005"/>
    <w:rsid w:val="00C40424"/>
    <w:rsid w:val="00C42888"/>
    <w:rsid w:val="00C42D3F"/>
    <w:rsid w:val="00C44EDF"/>
    <w:rsid w:val="00C4614E"/>
    <w:rsid w:val="00C4672F"/>
    <w:rsid w:val="00C47991"/>
    <w:rsid w:val="00C513B8"/>
    <w:rsid w:val="00C52CB9"/>
    <w:rsid w:val="00C57F00"/>
    <w:rsid w:val="00C62891"/>
    <w:rsid w:val="00C63E0C"/>
    <w:rsid w:val="00C6528E"/>
    <w:rsid w:val="00C66D80"/>
    <w:rsid w:val="00C73D97"/>
    <w:rsid w:val="00C74ABB"/>
    <w:rsid w:val="00C752D5"/>
    <w:rsid w:val="00C755B1"/>
    <w:rsid w:val="00C75AD6"/>
    <w:rsid w:val="00C801F4"/>
    <w:rsid w:val="00C83782"/>
    <w:rsid w:val="00C8408A"/>
    <w:rsid w:val="00C907A7"/>
    <w:rsid w:val="00C921D0"/>
    <w:rsid w:val="00C963AC"/>
    <w:rsid w:val="00C97685"/>
    <w:rsid w:val="00CA4F35"/>
    <w:rsid w:val="00CA77CD"/>
    <w:rsid w:val="00CB4A3E"/>
    <w:rsid w:val="00CB6DC4"/>
    <w:rsid w:val="00CC4BEB"/>
    <w:rsid w:val="00CC7C73"/>
    <w:rsid w:val="00CD57F5"/>
    <w:rsid w:val="00CE52D6"/>
    <w:rsid w:val="00CE5633"/>
    <w:rsid w:val="00CE77A8"/>
    <w:rsid w:val="00CE7A4C"/>
    <w:rsid w:val="00CF4B98"/>
    <w:rsid w:val="00CF669B"/>
    <w:rsid w:val="00CF7AF0"/>
    <w:rsid w:val="00D00C5F"/>
    <w:rsid w:val="00D027C8"/>
    <w:rsid w:val="00D02FB4"/>
    <w:rsid w:val="00D02FF4"/>
    <w:rsid w:val="00D1065B"/>
    <w:rsid w:val="00D13469"/>
    <w:rsid w:val="00D145BE"/>
    <w:rsid w:val="00D15C56"/>
    <w:rsid w:val="00D16787"/>
    <w:rsid w:val="00D1700D"/>
    <w:rsid w:val="00D179BC"/>
    <w:rsid w:val="00D17BE5"/>
    <w:rsid w:val="00D20824"/>
    <w:rsid w:val="00D240EA"/>
    <w:rsid w:val="00D2626A"/>
    <w:rsid w:val="00D30624"/>
    <w:rsid w:val="00D3362E"/>
    <w:rsid w:val="00D33AB1"/>
    <w:rsid w:val="00D33B91"/>
    <w:rsid w:val="00D36B8D"/>
    <w:rsid w:val="00D4457C"/>
    <w:rsid w:val="00D46E54"/>
    <w:rsid w:val="00D50F55"/>
    <w:rsid w:val="00D8071B"/>
    <w:rsid w:val="00D81288"/>
    <w:rsid w:val="00D870FD"/>
    <w:rsid w:val="00DA101A"/>
    <w:rsid w:val="00DA21FC"/>
    <w:rsid w:val="00DB0295"/>
    <w:rsid w:val="00DB0480"/>
    <w:rsid w:val="00DB4281"/>
    <w:rsid w:val="00DC1C3C"/>
    <w:rsid w:val="00DC707A"/>
    <w:rsid w:val="00DD0065"/>
    <w:rsid w:val="00DD4097"/>
    <w:rsid w:val="00DD4C3C"/>
    <w:rsid w:val="00DD5A97"/>
    <w:rsid w:val="00DE233F"/>
    <w:rsid w:val="00DE4F21"/>
    <w:rsid w:val="00DF1326"/>
    <w:rsid w:val="00DF49AC"/>
    <w:rsid w:val="00DF55F8"/>
    <w:rsid w:val="00DF6B85"/>
    <w:rsid w:val="00DF7C73"/>
    <w:rsid w:val="00E04BB3"/>
    <w:rsid w:val="00E119AC"/>
    <w:rsid w:val="00E13DE5"/>
    <w:rsid w:val="00E21285"/>
    <w:rsid w:val="00E21ABD"/>
    <w:rsid w:val="00E420D5"/>
    <w:rsid w:val="00E43976"/>
    <w:rsid w:val="00E52E0C"/>
    <w:rsid w:val="00E55258"/>
    <w:rsid w:val="00E55338"/>
    <w:rsid w:val="00E556ED"/>
    <w:rsid w:val="00E56060"/>
    <w:rsid w:val="00E5625A"/>
    <w:rsid w:val="00E612A6"/>
    <w:rsid w:val="00E614B1"/>
    <w:rsid w:val="00E61DB1"/>
    <w:rsid w:val="00E63206"/>
    <w:rsid w:val="00E64A02"/>
    <w:rsid w:val="00E65922"/>
    <w:rsid w:val="00E67687"/>
    <w:rsid w:val="00E7202E"/>
    <w:rsid w:val="00E727BA"/>
    <w:rsid w:val="00E74F74"/>
    <w:rsid w:val="00E75169"/>
    <w:rsid w:val="00E75990"/>
    <w:rsid w:val="00E77F07"/>
    <w:rsid w:val="00E82E80"/>
    <w:rsid w:val="00E84A49"/>
    <w:rsid w:val="00E91099"/>
    <w:rsid w:val="00E93057"/>
    <w:rsid w:val="00EA26AE"/>
    <w:rsid w:val="00EA2A80"/>
    <w:rsid w:val="00EA4D84"/>
    <w:rsid w:val="00EB35A0"/>
    <w:rsid w:val="00EB4F81"/>
    <w:rsid w:val="00EB6774"/>
    <w:rsid w:val="00EC06ED"/>
    <w:rsid w:val="00EC5D22"/>
    <w:rsid w:val="00ED4AB8"/>
    <w:rsid w:val="00EE5EFA"/>
    <w:rsid w:val="00F02104"/>
    <w:rsid w:val="00F02D81"/>
    <w:rsid w:val="00F03275"/>
    <w:rsid w:val="00F037AA"/>
    <w:rsid w:val="00F04577"/>
    <w:rsid w:val="00F0777C"/>
    <w:rsid w:val="00F13725"/>
    <w:rsid w:val="00F13F35"/>
    <w:rsid w:val="00F14D33"/>
    <w:rsid w:val="00F15F2A"/>
    <w:rsid w:val="00F23B43"/>
    <w:rsid w:val="00F24C64"/>
    <w:rsid w:val="00F25B1F"/>
    <w:rsid w:val="00F25CBD"/>
    <w:rsid w:val="00F27D9E"/>
    <w:rsid w:val="00F30C48"/>
    <w:rsid w:val="00F33CCF"/>
    <w:rsid w:val="00F41BB8"/>
    <w:rsid w:val="00F41E56"/>
    <w:rsid w:val="00F435B0"/>
    <w:rsid w:val="00F47549"/>
    <w:rsid w:val="00F57C1C"/>
    <w:rsid w:val="00F6414E"/>
    <w:rsid w:val="00F64921"/>
    <w:rsid w:val="00F67563"/>
    <w:rsid w:val="00F675C1"/>
    <w:rsid w:val="00F75E0A"/>
    <w:rsid w:val="00F76E0B"/>
    <w:rsid w:val="00F77DB0"/>
    <w:rsid w:val="00F84819"/>
    <w:rsid w:val="00F911E5"/>
    <w:rsid w:val="00F922F5"/>
    <w:rsid w:val="00F9258E"/>
    <w:rsid w:val="00F92CE2"/>
    <w:rsid w:val="00F9325F"/>
    <w:rsid w:val="00F960CA"/>
    <w:rsid w:val="00FA4297"/>
    <w:rsid w:val="00FA44C4"/>
    <w:rsid w:val="00FA5B4C"/>
    <w:rsid w:val="00FA6F9F"/>
    <w:rsid w:val="00FA7844"/>
    <w:rsid w:val="00FB1524"/>
    <w:rsid w:val="00FB6650"/>
    <w:rsid w:val="00FB7882"/>
    <w:rsid w:val="00FC5F81"/>
    <w:rsid w:val="00FC7F47"/>
    <w:rsid w:val="00FD2F67"/>
    <w:rsid w:val="00FD6988"/>
    <w:rsid w:val="00FD725F"/>
    <w:rsid w:val="00FD7B19"/>
    <w:rsid w:val="00FE0537"/>
    <w:rsid w:val="00FE306A"/>
    <w:rsid w:val="00FE5A03"/>
    <w:rsid w:val="00FF10D8"/>
    <w:rsid w:val="00FF4E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5C05704"/>
  <w15:chartTrackingRefBased/>
  <w15:docId w15:val="{A5A5C115-27F0-4EF2-B433-0B971870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4C4"/>
  </w:style>
  <w:style w:type="paragraph" w:styleId="Heading3">
    <w:name w:val="heading 3"/>
    <w:basedOn w:val="Normal"/>
    <w:next w:val="Normal"/>
    <w:link w:val="Heading3Char"/>
    <w:uiPriority w:val="9"/>
    <w:unhideWhenUsed/>
    <w:qFormat/>
    <w:rsid w:val="009457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457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888"/>
    <w:pPr>
      <w:ind w:left="720"/>
      <w:contextualSpacing/>
    </w:pPr>
  </w:style>
  <w:style w:type="paragraph" w:styleId="FootnoteText">
    <w:name w:val="footnote text"/>
    <w:basedOn w:val="Normal"/>
    <w:link w:val="FootnoteTextChar"/>
    <w:uiPriority w:val="99"/>
    <w:semiHidden/>
    <w:unhideWhenUsed/>
    <w:rsid w:val="00002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EAB"/>
    <w:rPr>
      <w:sz w:val="20"/>
      <w:szCs w:val="20"/>
    </w:rPr>
  </w:style>
  <w:style w:type="character" w:styleId="FootnoteReference">
    <w:name w:val="footnote reference"/>
    <w:basedOn w:val="DefaultParagraphFont"/>
    <w:uiPriority w:val="99"/>
    <w:semiHidden/>
    <w:unhideWhenUsed/>
    <w:rsid w:val="00002EAB"/>
    <w:rPr>
      <w:vertAlign w:val="superscript"/>
    </w:rPr>
  </w:style>
  <w:style w:type="table" w:styleId="TableGrid">
    <w:name w:val="Table Grid"/>
    <w:basedOn w:val="TableNormal"/>
    <w:uiPriority w:val="39"/>
    <w:rsid w:val="00945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575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4575E"/>
    <w:rPr>
      <w:rFonts w:asciiTheme="majorHAnsi" w:eastAsiaTheme="majorEastAsia" w:hAnsiTheme="majorHAnsi" w:cstheme="majorBidi"/>
      <w:i/>
      <w:iCs/>
      <w:color w:val="2F5496" w:themeColor="accent1" w:themeShade="BF"/>
    </w:rPr>
  </w:style>
  <w:style w:type="paragraph" w:styleId="NormalWeb">
    <w:name w:val="Normal (Web)"/>
    <w:basedOn w:val="Normal"/>
    <w:semiHidden/>
    <w:unhideWhenUsed/>
    <w:rsid w:val="004212AB"/>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212AB"/>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4212AB"/>
    <w:rPr>
      <w:rFonts w:ascii="Courier New" w:eastAsia="SimSun" w:hAnsi="Courier New" w:cs="Courier New"/>
      <w:sz w:val="20"/>
      <w:szCs w:val="20"/>
      <w:lang w:eastAsia="zh-CN"/>
    </w:rPr>
  </w:style>
  <w:style w:type="paragraph" w:styleId="BalloonText">
    <w:name w:val="Balloon Text"/>
    <w:basedOn w:val="Normal"/>
    <w:link w:val="BalloonTextChar"/>
    <w:uiPriority w:val="99"/>
    <w:semiHidden/>
    <w:unhideWhenUsed/>
    <w:rsid w:val="00FA7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58278">
      <w:bodyDiv w:val="1"/>
      <w:marLeft w:val="0"/>
      <w:marRight w:val="0"/>
      <w:marTop w:val="0"/>
      <w:marBottom w:val="0"/>
      <w:divBdr>
        <w:top w:val="none" w:sz="0" w:space="0" w:color="auto"/>
        <w:left w:val="none" w:sz="0" w:space="0" w:color="auto"/>
        <w:bottom w:val="none" w:sz="0" w:space="0" w:color="auto"/>
        <w:right w:val="none" w:sz="0" w:space="0" w:color="auto"/>
      </w:divBdr>
    </w:div>
    <w:div w:id="280723090">
      <w:bodyDiv w:val="1"/>
      <w:marLeft w:val="0"/>
      <w:marRight w:val="0"/>
      <w:marTop w:val="0"/>
      <w:marBottom w:val="0"/>
      <w:divBdr>
        <w:top w:val="none" w:sz="0" w:space="0" w:color="auto"/>
        <w:left w:val="none" w:sz="0" w:space="0" w:color="auto"/>
        <w:bottom w:val="none" w:sz="0" w:space="0" w:color="auto"/>
        <w:right w:val="none" w:sz="0" w:space="0" w:color="auto"/>
      </w:divBdr>
    </w:div>
    <w:div w:id="890044456">
      <w:bodyDiv w:val="1"/>
      <w:marLeft w:val="0"/>
      <w:marRight w:val="0"/>
      <w:marTop w:val="0"/>
      <w:marBottom w:val="0"/>
      <w:divBdr>
        <w:top w:val="none" w:sz="0" w:space="0" w:color="auto"/>
        <w:left w:val="none" w:sz="0" w:space="0" w:color="auto"/>
        <w:bottom w:val="none" w:sz="0" w:space="0" w:color="auto"/>
        <w:right w:val="none" w:sz="0" w:space="0" w:color="auto"/>
      </w:divBdr>
    </w:div>
    <w:div w:id="988749837">
      <w:bodyDiv w:val="1"/>
      <w:marLeft w:val="0"/>
      <w:marRight w:val="0"/>
      <w:marTop w:val="0"/>
      <w:marBottom w:val="0"/>
      <w:divBdr>
        <w:top w:val="none" w:sz="0" w:space="0" w:color="auto"/>
        <w:left w:val="none" w:sz="0" w:space="0" w:color="auto"/>
        <w:bottom w:val="none" w:sz="0" w:space="0" w:color="auto"/>
        <w:right w:val="none" w:sz="0" w:space="0" w:color="auto"/>
      </w:divBdr>
    </w:div>
    <w:div w:id="1271552095">
      <w:bodyDiv w:val="1"/>
      <w:marLeft w:val="0"/>
      <w:marRight w:val="0"/>
      <w:marTop w:val="0"/>
      <w:marBottom w:val="0"/>
      <w:divBdr>
        <w:top w:val="none" w:sz="0" w:space="0" w:color="auto"/>
        <w:left w:val="none" w:sz="0" w:space="0" w:color="auto"/>
        <w:bottom w:val="none" w:sz="0" w:space="0" w:color="auto"/>
        <w:right w:val="none" w:sz="0" w:space="0" w:color="auto"/>
      </w:divBdr>
    </w:div>
    <w:div w:id="152609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3FB56-E417-4B8E-AB15-BA336F70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13988</TotalTime>
  <Pages>32</Pages>
  <Words>12188</Words>
  <Characters>69477</Characters>
  <Application>Microsoft Office Word</Application>
  <DocSecurity>0</DocSecurity>
  <Lines>578</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Nawaf</dc:creator>
  <cp:keywords/>
  <dc:description/>
  <cp:lastModifiedBy>silverab71@gmail.com</cp:lastModifiedBy>
  <cp:revision>147</cp:revision>
  <dcterms:created xsi:type="dcterms:W3CDTF">2018-07-17T03:41:00Z</dcterms:created>
  <dcterms:modified xsi:type="dcterms:W3CDTF">2020-06-19T01:46:00Z</dcterms:modified>
</cp:coreProperties>
</file>