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DC4A9" w14:textId="77777777" w:rsidR="00E67C79" w:rsidRDefault="00E67C79" w:rsidP="00E67C79">
      <w:pPr>
        <w:spacing w:after="0" w:line="300" w:lineRule="auto"/>
        <w:rPr>
          <w:rFonts w:eastAsia="Times New Roman"/>
          <w:b/>
          <w:bCs/>
          <w:sz w:val="28"/>
          <w:lang w:val="en-US"/>
        </w:rPr>
      </w:pPr>
      <w:bookmarkStart w:id="0" w:name="_GoBack"/>
      <w:bookmarkEnd w:id="0"/>
    </w:p>
    <w:p w14:paraId="0C0E4A89" w14:textId="77777777" w:rsidR="00E67C79" w:rsidRDefault="00E67C79" w:rsidP="00E67C79">
      <w:pPr>
        <w:pStyle w:val="PlainText"/>
        <w:tabs>
          <w:tab w:val="left" w:pos="284"/>
        </w:tabs>
        <w:jc w:val="center"/>
        <w:rPr>
          <w:rFonts w:ascii="Times New Roman" w:hAnsi="Times New Roman"/>
          <w:b/>
          <w:sz w:val="28"/>
        </w:rPr>
      </w:pPr>
    </w:p>
    <w:p w14:paraId="1B4E13A8" w14:textId="77777777" w:rsidR="00D673BF" w:rsidRDefault="00D673BF" w:rsidP="00D673BF">
      <w:pPr>
        <w:pStyle w:val="PlainText"/>
        <w:tabs>
          <w:tab w:val="left" w:pos="284"/>
        </w:tabs>
        <w:jc w:val="center"/>
        <w:rPr>
          <w:rFonts w:ascii="Times New Roman" w:hAnsi="Times New Roman"/>
          <w:b/>
          <w:sz w:val="28"/>
        </w:rPr>
      </w:pPr>
      <w:r>
        <w:rPr>
          <w:rFonts w:ascii="Times New Roman" w:hAnsi="Times New Roman"/>
          <w:b/>
          <w:sz w:val="28"/>
        </w:rPr>
        <w:t>UNIVERSITY OF WAIKATO</w:t>
      </w:r>
    </w:p>
    <w:p w14:paraId="1D54DC1D" w14:textId="77777777" w:rsidR="00D673BF" w:rsidRDefault="00D673BF" w:rsidP="00D673BF">
      <w:pPr>
        <w:pStyle w:val="PlainText"/>
        <w:tabs>
          <w:tab w:val="left" w:pos="284"/>
        </w:tabs>
        <w:jc w:val="center"/>
        <w:rPr>
          <w:rFonts w:ascii="Times New Roman" w:hAnsi="Times New Roman"/>
          <w:b/>
          <w:sz w:val="28"/>
        </w:rPr>
      </w:pPr>
    </w:p>
    <w:p w14:paraId="5B8D1455" w14:textId="77777777" w:rsidR="00D673BF" w:rsidRDefault="00D673BF" w:rsidP="00D673BF">
      <w:pPr>
        <w:pStyle w:val="PlainText"/>
        <w:tabs>
          <w:tab w:val="left" w:pos="284"/>
        </w:tabs>
        <w:jc w:val="center"/>
        <w:rPr>
          <w:rFonts w:ascii="Times New Roman" w:hAnsi="Times New Roman"/>
          <w:b/>
          <w:sz w:val="28"/>
        </w:rPr>
      </w:pPr>
      <w:r>
        <w:rPr>
          <w:rFonts w:ascii="Times New Roman" w:hAnsi="Times New Roman"/>
          <w:b/>
          <w:sz w:val="28"/>
        </w:rPr>
        <w:t>Hamilton</w:t>
      </w:r>
    </w:p>
    <w:p w14:paraId="4E51EBE0" w14:textId="77777777" w:rsidR="00D673BF" w:rsidRDefault="00D673BF" w:rsidP="00D673BF">
      <w:pPr>
        <w:pStyle w:val="PlainText"/>
        <w:tabs>
          <w:tab w:val="left" w:pos="284"/>
        </w:tabs>
        <w:jc w:val="center"/>
        <w:rPr>
          <w:rFonts w:ascii="Times New Roman" w:hAnsi="Times New Roman"/>
          <w:b/>
          <w:sz w:val="28"/>
        </w:rPr>
      </w:pPr>
      <w:r>
        <w:rPr>
          <w:rFonts w:ascii="Times New Roman" w:hAnsi="Times New Roman"/>
          <w:b/>
          <w:sz w:val="28"/>
        </w:rPr>
        <w:t>New Zealand</w:t>
      </w:r>
    </w:p>
    <w:p w14:paraId="37D2D8E7" w14:textId="77777777" w:rsidR="00D673BF" w:rsidRDefault="00D673BF" w:rsidP="00D673BF">
      <w:pPr>
        <w:pStyle w:val="PlainText"/>
        <w:tabs>
          <w:tab w:val="left" w:pos="284"/>
        </w:tabs>
        <w:jc w:val="center"/>
        <w:rPr>
          <w:rFonts w:ascii="Times New Roman" w:hAnsi="Times New Roman"/>
          <w:b/>
          <w:sz w:val="28"/>
        </w:rPr>
      </w:pPr>
    </w:p>
    <w:p w14:paraId="2ED7D84E" w14:textId="77777777" w:rsidR="00D673BF" w:rsidRDefault="00D673BF" w:rsidP="00D673BF">
      <w:pPr>
        <w:pStyle w:val="PlainText"/>
        <w:tabs>
          <w:tab w:val="left" w:pos="284"/>
        </w:tabs>
        <w:jc w:val="center"/>
        <w:rPr>
          <w:rFonts w:ascii="Times New Roman" w:hAnsi="Times New Roman"/>
          <w:b/>
          <w:sz w:val="28"/>
        </w:rPr>
      </w:pPr>
    </w:p>
    <w:p w14:paraId="2991FFA1" w14:textId="77777777" w:rsidR="00D673BF" w:rsidRPr="00E67C79" w:rsidRDefault="00D673BF" w:rsidP="00D673B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bCs/>
          <w:sz w:val="14"/>
          <w:szCs w:val="14"/>
        </w:rPr>
      </w:pPr>
      <w:r w:rsidRPr="00D943DD">
        <w:rPr>
          <w:rFonts w:asciiTheme="majorBidi" w:hAnsiTheme="majorBidi" w:cstheme="majorBidi"/>
          <w:b/>
          <w:bCs/>
          <w:sz w:val="12"/>
          <w:szCs w:val="12"/>
        </w:rPr>
        <w:br/>
      </w:r>
      <w:r w:rsidRPr="00EB6147">
        <w:rPr>
          <w:rFonts w:asciiTheme="majorBidi" w:hAnsiTheme="majorBidi" w:cstheme="majorBidi"/>
          <w:b/>
          <w:bCs/>
          <w:sz w:val="28"/>
          <w:szCs w:val="28"/>
        </w:rPr>
        <w:t xml:space="preserve">Cost Efficiency Analysis using Operating Profit Margin </w:t>
      </w:r>
      <w:r>
        <w:rPr>
          <w:rFonts w:asciiTheme="majorBidi" w:hAnsiTheme="majorBidi" w:cstheme="majorBidi"/>
          <w:b/>
          <w:bCs/>
          <w:sz w:val="28"/>
          <w:szCs w:val="28"/>
        </w:rPr>
        <w:br/>
      </w:r>
      <w:r w:rsidRPr="00EB6147">
        <w:rPr>
          <w:rFonts w:asciiTheme="majorBidi" w:hAnsiTheme="majorBidi" w:cstheme="majorBidi"/>
          <w:b/>
          <w:bCs/>
          <w:sz w:val="28"/>
          <w:szCs w:val="28"/>
        </w:rPr>
        <w:t>for the</w:t>
      </w:r>
      <w:r>
        <w:rPr>
          <w:rFonts w:asciiTheme="majorBidi" w:hAnsiTheme="majorBidi" w:cstheme="majorBidi"/>
          <w:b/>
          <w:bCs/>
          <w:sz w:val="28"/>
          <w:szCs w:val="28"/>
        </w:rPr>
        <w:t xml:space="preserve"> </w:t>
      </w:r>
      <w:r w:rsidRPr="00EB6147">
        <w:rPr>
          <w:rFonts w:asciiTheme="majorBidi" w:hAnsiTheme="majorBidi" w:cstheme="majorBidi"/>
          <w:b/>
          <w:bCs/>
          <w:sz w:val="28"/>
          <w:szCs w:val="28"/>
        </w:rPr>
        <w:t>New Zealand Dairy Industry</w:t>
      </w:r>
      <w:r w:rsidRPr="00E67C79">
        <w:rPr>
          <w:rFonts w:cs="Arial"/>
          <w:b/>
          <w:bCs/>
          <w:sz w:val="28"/>
          <w:szCs w:val="28"/>
        </w:rPr>
        <w:br/>
      </w:r>
      <w:r w:rsidRPr="00E67C79">
        <w:rPr>
          <w:rFonts w:ascii="Times New Roman" w:hAnsi="Times New Roman"/>
          <w:b/>
          <w:bCs/>
          <w:sz w:val="28"/>
          <w:szCs w:val="28"/>
        </w:rPr>
        <w:t xml:space="preserve"> </w:t>
      </w:r>
    </w:p>
    <w:p w14:paraId="61088E6A" w14:textId="2B6711A5" w:rsidR="00D673BF" w:rsidRDefault="00D673BF" w:rsidP="00D673B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sz w:val="28"/>
        </w:rPr>
      </w:pPr>
      <w:r>
        <w:rPr>
          <w:rFonts w:ascii="Times New Roman" w:hAnsi="Times New Roman"/>
          <w:sz w:val="28"/>
        </w:rPr>
        <w:t>Robbie Maris</w:t>
      </w:r>
      <w:r w:rsidR="00322F3F">
        <w:rPr>
          <w:rFonts w:ascii="Times New Roman" w:hAnsi="Times New Roman"/>
          <w:sz w:val="28"/>
        </w:rPr>
        <w:t xml:space="preserve"> and </w:t>
      </w:r>
      <w:r>
        <w:rPr>
          <w:rFonts w:ascii="Times New Roman" w:hAnsi="Times New Roman"/>
          <w:sz w:val="28"/>
        </w:rPr>
        <w:t>Zack Dorner</w:t>
      </w:r>
    </w:p>
    <w:p w14:paraId="204C6AED" w14:textId="77777777" w:rsidR="00D673BF" w:rsidRDefault="00D673BF" w:rsidP="00D673B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8"/>
        </w:rPr>
      </w:pPr>
    </w:p>
    <w:p w14:paraId="2EAEC796" w14:textId="77777777" w:rsidR="00D673BF" w:rsidRDefault="00D673BF" w:rsidP="00D673BF">
      <w:pPr>
        <w:pStyle w:val="PlainText"/>
        <w:tabs>
          <w:tab w:val="left" w:pos="284"/>
        </w:tabs>
        <w:rPr>
          <w:rFonts w:ascii="Times New Roman" w:hAnsi="Times New Roman"/>
          <w:b/>
          <w:sz w:val="28"/>
        </w:rPr>
      </w:pPr>
    </w:p>
    <w:p w14:paraId="022B95E5" w14:textId="77777777" w:rsidR="00D673BF" w:rsidRDefault="00D673BF" w:rsidP="00D673BF">
      <w:pPr>
        <w:pStyle w:val="PlainText"/>
        <w:tabs>
          <w:tab w:val="left" w:pos="284"/>
        </w:tabs>
        <w:rPr>
          <w:rFonts w:ascii="Times New Roman" w:hAnsi="Times New Roman"/>
          <w:b/>
          <w:sz w:val="28"/>
        </w:rPr>
      </w:pPr>
    </w:p>
    <w:p w14:paraId="5D2221D8" w14:textId="77777777" w:rsidR="00D673BF" w:rsidRDefault="00D673BF" w:rsidP="00D673BF">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Working Paper in Economics 4/21</w:t>
      </w:r>
    </w:p>
    <w:p w14:paraId="01794965" w14:textId="77777777" w:rsidR="00D673BF" w:rsidRDefault="00D673BF" w:rsidP="00D673BF">
      <w:pPr>
        <w:pStyle w:val="PlainText"/>
        <w:tabs>
          <w:tab w:val="left" w:pos="284"/>
        </w:tabs>
        <w:spacing w:before="100" w:line="360" w:lineRule="auto"/>
        <w:jc w:val="center"/>
        <w:rPr>
          <w:rFonts w:ascii="Times New Roman" w:hAnsi="Times New Roman"/>
          <w:sz w:val="28"/>
        </w:rPr>
      </w:pPr>
      <w:r>
        <w:rPr>
          <w:rFonts w:ascii="Times New Roman" w:hAnsi="Times New Roman"/>
          <w:sz w:val="28"/>
        </w:rPr>
        <w:t>May 2021</w:t>
      </w:r>
    </w:p>
    <w:p w14:paraId="25015DB7" w14:textId="77777777" w:rsidR="00D673BF" w:rsidRPr="00EB6147" w:rsidRDefault="00D673BF" w:rsidP="00D673BF">
      <w:pPr>
        <w:spacing w:after="0" w:line="276" w:lineRule="auto"/>
        <w:jc w:val="center"/>
        <w:rPr>
          <w:rFonts w:asciiTheme="majorBidi" w:hAnsiTheme="majorBidi" w:cstheme="majorBidi"/>
          <w:b/>
          <w:bCs/>
        </w:rPr>
      </w:pPr>
      <w:r>
        <w:rPr>
          <w:sz w:val="32"/>
          <w:szCs w:val="32"/>
        </w:rPr>
        <w:br/>
      </w:r>
      <w:r w:rsidRPr="00EB6147">
        <w:rPr>
          <w:rFonts w:asciiTheme="majorBidi" w:hAnsiTheme="majorBidi" w:cstheme="majorBidi"/>
          <w:b/>
          <w:bCs/>
        </w:rPr>
        <w:t>Robbie Maris</w:t>
      </w:r>
    </w:p>
    <w:p w14:paraId="648A69AA" w14:textId="77777777" w:rsidR="004A7DD0" w:rsidRDefault="004A7DD0" w:rsidP="004A7DD0">
      <w:pPr>
        <w:pStyle w:val="CM23"/>
        <w:spacing w:after="0"/>
        <w:jc w:val="center"/>
      </w:pPr>
      <w:r w:rsidRPr="0076045F">
        <w:t xml:space="preserve">School of Accounting, Finance </w:t>
      </w:r>
    </w:p>
    <w:p w14:paraId="2D04809E" w14:textId="77777777" w:rsidR="004A7DD0" w:rsidRPr="0076045F" w:rsidRDefault="004A7DD0" w:rsidP="004A7DD0">
      <w:pPr>
        <w:pStyle w:val="CM23"/>
        <w:spacing w:after="0"/>
        <w:jc w:val="center"/>
      </w:pPr>
      <w:r>
        <w:t xml:space="preserve">and </w:t>
      </w:r>
      <w:r w:rsidRPr="0076045F">
        <w:t>Economics</w:t>
      </w:r>
    </w:p>
    <w:p w14:paraId="20C6E96B" w14:textId="77777777" w:rsidR="004A7DD0" w:rsidRPr="0076045F" w:rsidRDefault="004A7DD0" w:rsidP="004A7DD0">
      <w:pPr>
        <w:pStyle w:val="CM23"/>
        <w:spacing w:after="0"/>
        <w:jc w:val="center"/>
      </w:pPr>
      <w:r w:rsidRPr="0076045F">
        <w:t>University of Waikato</w:t>
      </w:r>
    </w:p>
    <w:p w14:paraId="09F5744F" w14:textId="77777777" w:rsidR="004A7DD0" w:rsidRPr="0076045F" w:rsidRDefault="004A7DD0" w:rsidP="004A7DD0">
      <w:pPr>
        <w:pStyle w:val="CM23"/>
        <w:spacing w:after="0"/>
        <w:jc w:val="center"/>
      </w:pPr>
      <w:r w:rsidRPr="0076045F">
        <w:t>Private Bag 3105</w:t>
      </w:r>
    </w:p>
    <w:p w14:paraId="287BA449" w14:textId="77777777" w:rsidR="004A7DD0" w:rsidRPr="0076045F" w:rsidRDefault="004A7DD0" w:rsidP="004A7DD0">
      <w:pPr>
        <w:pStyle w:val="CM23"/>
        <w:spacing w:after="0"/>
        <w:jc w:val="center"/>
      </w:pPr>
      <w:r w:rsidRPr="0076045F">
        <w:t>Hamilton, 3240</w:t>
      </w:r>
    </w:p>
    <w:p w14:paraId="65A2FC6B" w14:textId="0B5B8909" w:rsidR="00D673BF" w:rsidRDefault="004A7DD0" w:rsidP="004A7DD0">
      <w:pPr>
        <w:pStyle w:val="CM23"/>
        <w:spacing w:after="0"/>
        <w:jc w:val="center"/>
      </w:pPr>
      <w:r>
        <w:t xml:space="preserve">New Zealand </w:t>
      </w:r>
    </w:p>
    <w:p w14:paraId="51A4CFB9" w14:textId="3E5639C1" w:rsidR="004A7DD0" w:rsidRPr="004A7DD0" w:rsidRDefault="004A7DD0" w:rsidP="004A7DD0">
      <w:pPr>
        <w:pStyle w:val="Default"/>
        <w:jc w:val="center"/>
        <w:rPr>
          <w:lang w:val="en-US" w:eastAsia="en-US"/>
        </w:rPr>
      </w:pPr>
      <w:r>
        <w:rPr>
          <w:lang w:val="en-US" w:eastAsia="en-US"/>
        </w:rPr>
        <w:t>Email: robbiem8910@gmail.com</w:t>
      </w:r>
    </w:p>
    <w:p w14:paraId="19928FBB" w14:textId="77777777" w:rsidR="004A7DD0" w:rsidRPr="004A7DD0" w:rsidRDefault="004A7DD0" w:rsidP="004A7DD0">
      <w:pPr>
        <w:pStyle w:val="Default"/>
        <w:rPr>
          <w:lang w:val="en-US" w:eastAsia="en-US"/>
        </w:rPr>
      </w:pPr>
    </w:p>
    <w:p w14:paraId="38BA7E85" w14:textId="77777777" w:rsidR="00D673BF" w:rsidRPr="0076045F" w:rsidRDefault="00D673BF" w:rsidP="00D673BF">
      <w:pPr>
        <w:pStyle w:val="CM4"/>
        <w:spacing w:before="60" w:line="240" w:lineRule="auto"/>
        <w:jc w:val="center"/>
      </w:pPr>
      <w:r>
        <w:rPr>
          <w:b/>
          <w:bCs/>
        </w:rPr>
        <w:t>Zack Dorner</w:t>
      </w:r>
    </w:p>
    <w:p w14:paraId="65949280" w14:textId="77777777" w:rsidR="00D673BF" w:rsidRDefault="00D673BF" w:rsidP="00D673BF">
      <w:pPr>
        <w:pStyle w:val="CM23"/>
        <w:spacing w:after="0"/>
        <w:jc w:val="center"/>
      </w:pPr>
      <w:r w:rsidRPr="0076045F">
        <w:t xml:space="preserve">School of Accounting, Finance </w:t>
      </w:r>
    </w:p>
    <w:p w14:paraId="0FC51EB5" w14:textId="77777777" w:rsidR="00D673BF" w:rsidRPr="0076045F" w:rsidRDefault="00D673BF" w:rsidP="00D673BF">
      <w:pPr>
        <w:pStyle w:val="CM23"/>
        <w:spacing w:after="0"/>
        <w:jc w:val="center"/>
      </w:pPr>
      <w:r>
        <w:t xml:space="preserve">and </w:t>
      </w:r>
      <w:r w:rsidRPr="0076045F">
        <w:t>Economics</w:t>
      </w:r>
    </w:p>
    <w:p w14:paraId="1837AFF1" w14:textId="77777777" w:rsidR="00D673BF" w:rsidRPr="0076045F" w:rsidRDefault="00D673BF" w:rsidP="00D673BF">
      <w:pPr>
        <w:pStyle w:val="CM23"/>
        <w:spacing w:after="0"/>
        <w:jc w:val="center"/>
      </w:pPr>
      <w:r w:rsidRPr="0076045F">
        <w:t>University of Waikato</w:t>
      </w:r>
    </w:p>
    <w:p w14:paraId="2B656E25" w14:textId="77777777" w:rsidR="00D673BF" w:rsidRPr="0076045F" w:rsidRDefault="00D673BF" w:rsidP="00D673BF">
      <w:pPr>
        <w:pStyle w:val="CM23"/>
        <w:spacing w:after="0"/>
        <w:jc w:val="center"/>
      </w:pPr>
      <w:r w:rsidRPr="0076045F">
        <w:t>Private Bag 3105</w:t>
      </w:r>
    </w:p>
    <w:p w14:paraId="6D3F40C1" w14:textId="77777777" w:rsidR="00D673BF" w:rsidRPr="0076045F" w:rsidRDefault="00D673BF" w:rsidP="00D673BF">
      <w:pPr>
        <w:pStyle w:val="CM23"/>
        <w:spacing w:after="0"/>
        <w:jc w:val="center"/>
      </w:pPr>
      <w:r w:rsidRPr="0076045F">
        <w:t>Hamilton, 3240</w:t>
      </w:r>
    </w:p>
    <w:p w14:paraId="2EA4189C" w14:textId="77777777" w:rsidR="00D673BF" w:rsidRPr="00D255DC" w:rsidRDefault="00D673BF" w:rsidP="00D673BF">
      <w:pPr>
        <w:pStyle w:val="CM23"/>
        <w:spacing w:after="0"/>
        <w:jc w:val="center"/>
      </w:pPr>
      <w:r>
        <w:t xml:space="preserve">New Zealand </w:t>
      </w:r>
    </w:p>
    <w:p w14:paraId="6850F31C" w14:textId="77777777" w:rsidR="00D673BF" w:rsidRPr="0076045F" w:rsidRDefault="00D673BF" w:rsidP="00D673BF">
      <w:pPr>
        <w:pStyle w:val="CM3"/>
        <w:jc w:val="center"/>
        <w:rPr>
          <w:bCs/>
        </w:rPr>
      </w:pPr>
      <w:r w:rsidRPr="0076045F">
        <w:rPr>
          <w:bCs/>
        </w:rPr>
        <w:t xml:space="preserve">Email: </w:t>
      </w:r>
      <w:r>
        <w:rPr>
          <w:bCs/>
        </w:rPr>
        <w:t>zack.dorner</w:t>
      </w:r>
      <w:r w:rsidRPr="0076045F">
        <w:rPr>
          <w:bCs/>
        </w:rPr>
        <w:t>@waikato.ac.nz</w:t>
      </w:r>
    </w:p>
    <w:p w14:paraId="048B5C3B" w14:textId="77777777" w:rsidR="00D673BF" w:rsidRPr="00AE73E2" w:rsidRDefault="00D673BF" w:rsidP="00D673BF">
      <w:pPr>
        <w:spacing w:after="0" w:line="276" w:lineRule="auto"/>
        <w:jc w:val="center"/>
        <w:rPr>
          <w:lang w:val="en-US"/>
        </w:rPr>
      </w:pPr>
    </w:p>
    <w:p w14:paraId="5B7A286C" w14:textId="77777777" w:rsidR="005D3F48" w:rsidRDefault="005D3F48" w:rsidP="00322F3F">
      <w:pPr>
        <w:spacing w:line="240" w:lineRule="auto"/>
        <w:rPr>
          <w:b/>
          <w:bCs/>
        </w:rPr>
      </w:pPr>
    </w:p>
    <w:p w14:paraId="36304240" w14:textId="77777777" w:rsidR="00322F3F" w:rsidRDefault="00322F3F" w:rsidP="00D673BF">
      <w:pPr>
        <w:spacing w:line="240" w:lineRule="auto"/>
        <w:jc w:val="center"/>
        <w:rPr>
          <w:rFonts w:asciiTheme="majorBidi" w:hAnsiTheme="majorBidi" w:cstheme="majorBidi"/>
          <w:b/>
        </w:rPr>
      </w:pPr>
    </w:p>
    <w:p w14:paraId="2FE636B0" w14:textId="77777777" w:rsidR="00322F3F" w:rsidRDefault="00322F3F" w:rsidP="00D673BF">
      <w:pPr>
        <w:spacing w:line="240" w:lineRule="auto"/>
        <w:jc w:val="center"/>
        <w:rPr>
          <w:rFonts w:asciiTheme="majorBidi" w:hAnsiTheme="majorBidi" w:cstheme="majorBidi"/>
          <w:b/>
        </w:rPr>
      </w:pPr>
    </w:p>
    <w:p w14:paraId="22966BF9" w14:textId="77777777" w:rsidR="00322F3F" w:rsidRDefault="00322F3F" w:rsidP="00D673BF">
      <w:pPr>
        <w:spacing w:line="240" w:lineRule="auto"/>
        <w:jc w:val="center"/>
        <w:rPr>
          <w:rFonts w:asciiTheme="majorBidi" w:hAnsiTheme="majorBidi" w:cstheme="majorBidi"/>
          <w:b/>
        </w:rPr>
      </w:pPr>
    </w:p>
    <w:p w14:paraId="786DA646" w14:textId="2DCCBDB4" w:rsidR="00D673BF" w:rsidRPr="00384F51" w:rsidRDefault="00D673BF" w:rsidP="00D673BF">
      <w:pPr>
        <w:spacing w:line="240" w:lineRule="auto"/>
        <w:jc w:val="center"/>
        <w:rPr>
          <w:rFonts w:asciiTheme="majorBidi" w:hAnsiTheme="majorBidi" w:cstheme="majorBidi"/>
          <w:b/>
        </w:rPr>
      </w:pPr>
      <w:r w:rsidRPr="00384F51">
        <w:rPr>
          <w:rFonts w:asciiTheme="majorBidi" w:hAnsiTheme="majorBidi" w:cstheme="majorBidi"/>
          <w:b/>
        </w:rPr>
        <w:lastRenderedPageBreak/>
        <w:t>Abstract</w:t>
      </w:r>
    </w:p>
    <w:p w14:paraId="2190D2FA" w14:textId="77777777" w:rsidR="00D673BF" w:rsidRPr="00384F51" w:rsidRDefault="00D673BF" w:rsidP="00D673BF">
      <w:pPr>
        <w:spacing w:line="240" w:lineRule="auto"/>
        <w:jc w:val="center"/>
        <w:rPr>
          <w:rFonts w:asciiTheme="majorBidi" w:hAnsiTheme="majorBidi" w:cstheme="majorBidi"/>
          <w:b/>
        </w:rPr>
      </w:pPr>
    </w:p>
    <w:p w14:paraId="4BFA8AED" w14:textId="77777777" w:rsidR="00D673BF" w:rsidRPr="00384F51" w:rsidRDefault="00D673BF" w:rsidP="00D673BF">
      <w:pPr>
        <w:spacing w:after="0" w:line="360" w:lineRule="auto"/>
        <w:jc w:val="both"/>
        <w:rPr>
          <w:rFonts w:asciiTheme="majorBidi" w:eastAsia="Times New Roman" w:hAnsiTheme="majorBidi" w:cstheme="majorBidi"/>
        </w:rPr>
      </w:pPr>
      <w:r w:rsidRPr="00384F51">
        <w:rPr>
          <w:rFonts w:asciiTheme="majorBidi" w:hAnsiTheme="majorBidi" w:cstheme="majorBidi"/>
          <w:bCs/>
          <w:lang w:val="en-US"/>
        </w:rPr>
        <w:t xml:space="preserve">Cost efficiency analysis has not been widely applied in the dairy industry, despite its role in driving profitability, resilience and debt serviceability in low subsidy export-oriented farming systems. We </w:t>
      </w:r>
      <w:proofErr w:type="spellStart"/>
      <w:r w:rsidRPr="00384F51">
        <w:rPr>
          <w:rFonts w:asciiTheme="majorBidi" w:hAnsiTheme="majorBidi" w:cstheme="majorBidi"/>
          <w:bCs/>
          <w:lang w:val="en-US"/>
        </w:rPr>
        <w:t>analyse</w:t>
      </w:r>
      <w:proofErr w:type="spellEnd"/>
      <w:r w:rsidRPr="00384F51">
        <w:rPr>
          <w:rFonts w:asciiTheme="majorBidi" w:hAnsiTheme="majorBidi" w:cstheme="majorBidi"/>
          <w:bCs/>
          <w:lang w:val="en-US"/>
        </w:rPr>
        <w:t xml:space="preserve"> cost efficiency using operating profit margin (a reliable, well-supported and easily interpretable parameter from the DuPont framework) for the first time on New Zealand dairy farms. We </w:t>
      </w:r>
      <w:proofErr w:type="spellStart"/>
      <w:r w:rsidRPr="00384F51">
        <w:rPr>
          <w:rFonts w:asciiTheme="majorBidi" w:hAnsiTheme="majorBidi" w:cstheme="majorBidi"/>
          <w:bCs/>
          <w:lang w:val="en-US"/>
        </w:rPr>
        <w:t>utilise</w:t>
      </w:r>
      <w:proofErr w:type="spellEnd"/>
      <w:r w:rsidRPr="00384F51">
        <w:rPr>
          <w:rFonts w:asciiTheme="majorBidi" w:hAnsiTheme="majorBidi" w:cstheme="majorBidi"/>
          <w:bCs/>
          <w:lang w:val="en-US"/>
        </w:rPr>
        <w:t xml:space="preserve"> a 10-year panel dataset, developed using sample and population data, to get a representative picture of the industry. We begin by grouping farms into quartiles of their long-run cost efficiency (10-year average) and perform non-parametric Games-Howell hypothesis testing to investigate differences in the groups. We then estimate a fixed effects panel regression model for each quartile to examine the factors correlated with cost efficiency over time within low to high performing groups. We find cost-efficient farms use less supplement and nitrogen </w:t>
      </w:r>
      <w:proofErr w:type="spellStart"/>
      <w:r w:rsidRPr="00384F51">
        <w:rPr>
          <w:rFonts w:asciiTheme="majorBidi" w:hAnsiTheme="majorBidi" w:cstheme="majorBidi"/>
          <w:bCs/>
          <w:lang w:val="en-US"/>
        </w:rPr>
        <w:t>fertiliser</w:t>
      </w:r>
      <w:proofErr w:type="spellEnd"/>
      <w:r w:rsidRPr="00384F51">
        <w:rPr>
          <w:rFonts w:asciiTheme="majorBidi" w:hAnsiTheme="majorBidi" w:cstheme="majorBidi"/>
          <w:bCs/>
          <w:lang w:val="en-US"/>
        </w:rPr>
        <w:t xml:space="preserve"> over the long run, milk price fluctuations disproportionately impact lower quartile groups, and farms may be able to reduce GHG emissions whilst maintaining strong cost efficiency. Our exercise demonstrates that </w:t>
      </w:r>
      <w:proofErr w:type="spellStart"/>
      <w:r w:rsidRPr="00384F51">
        <w:rPr>
          <w:rFonts w:asciiTheme="majorBidi" w:hAnsiTheme="majorBidi" w:cstheme="majorBidi"/>
          <w:bCs/>
          <w:lang w:val="en-US"/>
        </w:rPr>
        <w:t>analysing</w:t>
      </w:r>
      <w:proofErr w:type="spellEnd"/>
      <w:r w:rsidRPr="00384F51">
        <w:rPr>
          <w:rFonts w:asciiTheme="majorBidi" w:hAnsiTheme="majorBidi" w:cstheme="majorBidi"/>
          <w:bCs/>
          <w:lang w:val="en-US"/>
        </w:rPr>
        <w:t xml:space="preserve"> cost efficiency using operating profit margin can produce valuable insights for low subsidy export-oriented agricultural industries.</w:t>
      </w:r>
    </w:p>
    <w:p w14:paraId="65B07239" w14:textId="77777777" w:rsidR="00D673BF" w:rsidRPr="00384F51" w:rsidRDefault="00D673BF" w:rsidP="00D673BF">
      <w:pPr>
        <w:tabs>
          <w:tab w:val="left" w:pos="426"/>
        </w:tabs>
        <w:spacing w:line="300" w:lineRule="auto"/>
        <w:rPr>
          <w:rFonts w:asciiTheme="majorBidi" w:hAnsiTheme="majorBidi" w:cstheme="majorBidi"/>
        </w:rPr>
      </w:pPr>
    </w:p>
    <w:p w14:paraId="3D1AE387" w14:textId="77777777" w:rsidR="00D673BF" w:rsidRPr="00384F51" w:rsidRDefault="00D673BF" w:rsidP="00D673BF">
      <w:pPr>
        <w:spacing w:after="0" w:line="300" w:lineRule="auto"/>
        <w:jc w:val="center"/>
        <w:rPr>
          <w:rFonts w:asciiTheme="majorBidi" w:eastAsia="Times New Roman" w:hAnsiTheme="majorBidi" w:cstheme="majorBidi"/>
          <w:b/>
          <w:lang w:val="en-US"/>
        </w:rPr>
      </w:pPr>
      <w:r w:rsidRPr="00384F51">
        <w:rPr>
          <w:rFonts w:asciiTheme="majorBidi" w:eastAsia="Times New Roman" w:hAnsiTheme="majorBidi" w:cstheme="majorBidi"/>
          <w:b/>
          <w:lang w:val="en-US"/>
        </w:rPr>
        <w:t>Keywords</w:t>
      </w:r>
    </w:p>
    <w:p w14:paraId="4B977E52" w14:textId="3A5B1802" w:rsidR="00D673BF" w:rsidRPr="00384F51" w:rsidRDefault="00F42619" w:rsidP="00F42619">
      <w:pPr>
        <w:spacing w:after="0" w:line="360" w:lineRule="auto"/>
        <w:jc w:val="center"/>
        <w:rPr>
          <w:rFonts w:asciiTheme="majorBidi" w:eastAsia="Times New Roman" w:hAnsiTheme="majorBidi" w:cstheme="majorBidi"/>
          <w:bCs/>
          <w:lang w:val="en-US"/>
        </w:rPr>
      </w:pPr>
      <w:r>
        <w:rPr>
          <w:rFonts w:asciiTheme="majorBidi" w:eastAsia="Batang" w:hAnsiTheme="majorBidi" w:cstheme="majorBidi"/>
          <w:lang w:val="en-US" w:eastAsia="ko-KR"/>
        </w:rPr>
        <w:t>cost efficiency</w:t>
      </w:r>
      <w:r>
        <w:rPr>
          <w:rFonts w:asciiTheme="majorBidi" w:eastAsia="Batang" w:hAnsiTheme="majorBidi" w:cstheme="majorBidi"/>
          <w:lang w:val="en-US" w:eastAsia="ko-KR"/>
        </w:rPr>
        <w:br/>
        <w:t>dairy i</w:t>
      </w:r>
      <w:r w:rsidR="00D673BF">
        <w:rPr>
          <w:rFonts w:asciiTheme="majorBidi" w:eastAsia="Batang" w:hAnsiTheme="majorBidi" w:cstheme="majorBidi"/>
          <w:lang w:val="en-US" w:eastAsia="ko-KR"/>
        </w:rPr>
        <w:t>ndustry</w:t>
      </w:r>
      <w:r w:rsidR="00D673BF">
        <w:rPr>
          <w:rFonts w:asciiTheme="majorBidi" w:eastAsia="Batang" w:hAnsiTheme="majorBidi" w:cstheme="majorBidi"/>
          <w:lang w:val="en-US" w:eastAsia="ko-KR"/>
        </w:rPr>
        <w:br/>
        <w:t>New Zealand</w:t>
      </w:r>
      <w:r w:rsidR="00D673BF">
        <w:rPr>
          <w:rFonts w:asciiTheme="majorBidi" w:eastAsia="Batang" w:hAnsiTheme="majorBidi" w:cstheme="majorBidi"/>
          <w:lang w:val="en-US" w:eastAsia="ko-KR"/>
        </w:rPr>
        <w:br/>
      </w:r>
      <w:r>
        <w:rPr>
          <w:rFonts w:asciiTheme="majorBidi" w:eastAsia="Batang" w:hAnsiTheme="majorBidi" w:cstheme="majorBidi"/>
          <w:lang w:val="en-US" w:eastAsia="ko-KR"/>
        </w:rPr>
        <w:t>o</w:t>
      </w:r>
      <w:r w:rsidR="00D673BF" w:rsidRPr="00384F51">
        <w:rPr>
          <w:rFonts w:asciiTheme="majorBidi" w:eastAsia="Batang" w:hAnsiTheme="majorBidi" w:cstheme="majorBidi"/>
          <w:lang w:val="en-US" w:eastAsia="ko-KR"/>
        </w:rPr>
        <w:t>pe</w:t>
      </w:r>
      <w:r>
        <w:rPr>
          <w:rFonts w:asciiTheme="majorBidi" w:eastAsia="Batang" w:hAnsiTheme="majorBidi" w:cstheme="majorBidi"/>
          <w:lang w:val="en-US" w:eastAsia="ko-KR"/>
        </w:rPr>
        <w:t>rating profit m</w:t>
      </w:r>
      <w:r w:rsidR="00D673BF" w:rsidRPr="00384F51">
        <w:rPr>
          <w:rFonts w:asciiTheme="majorBidi" w:eastAsia="Batang" w:hAnsiTheme="majorBidi" w:cstheme="majorBidi"/>
          <w:lang w:val="en-US" w:eastAsia="ko-KR"/>
        </w:rPr>
        <w:t>argin</w:t>
      </w:r>
      <w:r w:rsidR="00D673BF">
        <w:rPr>
          <w:rFonts w:asciiTheme="majorBidi" w:eastAsia="Batang" w:hAnsiTheme="majorBidi" w:cstheme="majorBidi"/>
          <w:lang w:val="en-US" w:eastAsia="ko-KR"/>
        </w:rPr>
        <w:br/>
      </w:r>
      <w:r>
        <w:rPr>
          <w:rFonts w:asciiTheme="majorBidi" w:eastAsia="Batang" w:hAnsiTheme="majorBidi" w:cstheme="majorBidi"/>
          <w:lang w:val="en-US" w:eastAsia="ko-KR"/>
        </w:rPr>
        <w:t>panel d</w:t>
      </w:r>
      <w:r w:rsidR="00D673BF" w:rsidRPr="00384F51">
        <w:rPr>
          <w:rFonts w:asciiTheme="majorBidi" w:eastAsia="Batang" w:hAnsiTheme="majorBidi" w:cstheme="majorBidi"/>
          <w:lang w:val="en-US" w:eastAsia="ko-KR"/>
        </w:rPr>
        <w:t>ata</w:t>
      </w:r>
    </w:p>
    <w:p w14:paraId="0DD5E62F" w14:textId="77777777" w:rsidR="00D673BF" w:rsidRPr="00384F51" w:rsidRDefault="00D673BF" w:rsidP="00D673BF">
      <w:pPr>
        <w:spacing w:after="0" w:line="360" w:lineRule="auto"/>
        <w:jc w:val="center"/>
        <w:rPr>
          <w:rFonts w:asciiTheme="majorBidi" w:eastAsia="Times New Roman" w:hAnsiTheme="majorBidi" w:cstheme="majorBidi"/>
          <w:b/>
          <w:lang w:val="en-US"/>
        </w:rPr>
      </w:pPr>
      <w:r w:rsidRPr="00384F51">
        <w:rPr>
          <w:rFonts w:asciiTheme="majorBidi" w:eastAsia="Times New Roman" w:hAnsiTheme="majorBidi" w:cstheme="majorBidi"/>
          <w:bCs/>
          <w:lang w:val="en-US"/>
        </w:rPr>
        <w:br/>
      </w:r>
      <w:r w:rsidRPr="00384F51">
        <w:rPr>
          <w:rFonts w:asciiTheme="majorBidi" w:eastAsia="Times New Roman" w:hAnsiTheme="majorBidi" w:cstheme="majorBidi"/>
          <w:b/>
          <w:lang w:val="en-US"/>
        </w:rPr>
        <w:t>JEL Classification</w:t>
      </w:r>
    </w:p>
    <w:p w14:paraId="43BCD250" w14:textId="4E062905" w:rsidR="00D673BF" w:rsidRDefault="009F6DF9" w:rsidP="004A7DD0">
      <w:pPr>
        <w:spacing w:after="0" w:line="300" w:lineRule="auto"/>
        <w:jc w:val="center"/>
        <w:rPr>
          <w:rFonts w:asciiTheme="majorBidi" w:eastAsia="Batang" w:hAnsiTheme="majorBidi" w:cstheme="majorBidi"/>
          <w:lang w:val="en-US" w:eastAsia="ko-KR"/>
        </w:rPr>
      </w:pPr>
      <w:r>
        <w:rPr>
          <w:rFonts w:asciiTheme="majorBidi" w:eastAsia="Batang" w:hAnsiTheme="majorBidi" w:cstheme="majorBidi"/>
          <w:lang w:val="en-US" w:eastAsia="ko-KR"/>
        </w:rPr>
        <w:t>C12</w:t>
      </w:r>
      <w:r w:rsidR="00F42619">
        <w:rPr>
          <w:rFonts w:asciiTheme="majorBidi" w:eastAsia="Batang" w:hAnsiTheme="majorBidi" w:cstheme="majorBidi"/>
          <w:lang w:val="en-US" w:eastAsia="ko-KR"/>
        </w:rPr>
        <w:t>,</w:t>
      </w:r>
      <w:r>
        <w:rPr>
          <w:rFonts w:asciiTheme="majorBidi" w:eastAsia="Batang" w:hAnsiTheme="majorBidi" w:cstheme="majorBidi"/>
          <w:lang w:val="en-US" w:eastAsia="ko-KR"/>
        </w:rPr>
        <w:t xml:space="preserve"> </w:t>
      </w:r>
      <w:r w:rsidR="00ED696F">
        <w:rPr>
          <w:rFonts w:asciiTheme="majorBidi" w:eastAsia="Batang" w:hAnsiTheme="majorBidi" w:cstheme="majorBidi"/>
          <w:lang w:val="en-US" w:eastAsia="ko-KR"/>
        </w:rPr>
        <w:t>C23</w:t>
      </w:r>
      <w:r w:rsidR="00F42619">
        <w:rPr>
          <w:rFonts w:asciiTheme="majorBidi" w:eastAsia="Batang" w:hAnsiTheme="majorBidi" w:cstheme="majorBidi"/>
          <w:lang w:val="en-US" w:eastAsia="ko-KR"/>
        </w:rPr>
        <w:t>,</w:t>
      </w:r>
      <w:r w:rsidR="00ED696F">
        <w:rPr>
          <w:rFonts w:asciiTheme="majorBidi" w:eastAsia="Batang" w:hAnsiTheme="majorBidi" w:cstheme="majorBidi"/>
          <w:lang w:val="en-US" w:eastAsia="ko-KR"/>
        </w:rPr>
        <w:t xml:space="preserve"> </w:t>
      </w:r>
      <w:r w:rsidR="004A7DD0">
        <w:rPr>
          <w:rFonts w:asciiTheme="majorBidi" w:eastAsia="Batang" w:hAnsiTheme="majorBidi" w:cstheme="majorBidi"/>
          <w:lang w:val="en-US" w:eastAsia="ko-KR"/>
        </w:rPr>
        <w:t>Q12</w:t>
      </w:r>
    </w:p>
    <w:p w14:paraId="0E991FDB" w14:textId="77777777" w:rsidR="004A7DD0" w:rsidRPr="004A7DD0" w:rsidRDefault="004A7DD0" w:rsidP="004A7DD0">
      <w:pPr>
        <w:spacing w:after="0" w:line="300" w:lineRule="auto"/>
        <w:jc w:val="center"/>
        <w:rPr>
          <w:rFonts w:asciiTheme="majorBidi" w:eastAsia="Batang" w:hAnsiTheme="majorBidi" w:cstheme="majorBidi"/>
          <w:lang w:val="en-US" w:eastAsia="ko-KR"/>
        </w:rPr>
      </w:pPr>
    </w:p>
    <w:p w14:paraId="3DDD2A6B" w14:textId="77777777" w:rsidR="00D673BF" w:rsidRPr="00384F51" w:rsidRDefault="00D673BF" w:rsidP="00D673BF">
      <w:pPr>
        <w:spacing w:after="0" w:line="300" w:lineRule="auto"/>
        <w:rPr>
          <w:rFonts w:asciiTheme="majorBidi" w:eastAsia="Times New Roman" w:hAnsiTheme="majorBidi" w:cstheme="majorBidi"/>
          <w:bCs/>
        </w:rPr>
      </w:pPr>
    </w:p>
    <w:p w14:paraId="68B11F2A" w14:textId="77777777" w:rsidR="00D673BF" w:rsidRPr="00384F51" w:rsidRDefault="00D673BF" w:rsidP="00D673BF">
      <w:pPr>
        <w:spacing w:after="0" w:line="300" w:lineRule="auto"/>
        <w:jc w:val="center"/>
        <w:rPr>
          <w:rFonts w:asciiTheme="majorBidi" w:eastAsia="Times New Roman" w:hAnsiTheme="majorBidi" w:cstheme="majorBidi"/>
          <w:b/>
        </w:rPr>
      </w:pPr>
      <w:r w:rsidRPr="00384F51">
        <w:rPr>
          <w:rFonts w:asciiTheme="majorBidi" w:eastAsia="Times New Roman" w:hAnsiTheme="majorBidi" w:cstheme="majorBidi"/>
          <w:b/>
        </w:rPr>
        <w:t>Acknowledgements</w:t>
      </w:r>
    </w:p>
    <w:p w14:paraId="6E05755B" w14:textId="1C0C86FA" w:rsidR="005D3F48" w:rsidRPr="00D673BF" w:rsidRDefault="00D673BF" w:rsidP="00D673BF">
      <w:pPr>
        <w:tabs>
          <w:tab w:val="left" w:pos="426"/>
        </w:tabs>
        <w:spacing w:line="300" w:lineRule="auto"/>
        <w:jc w:val="both"/>
        <w:rPr>
          <w:rFonts w:asciiTheme="majorBidi" w:hAnsiTheme="majorBidi" w:cstheme="majorBidi"/>
          <w:bCs/>
        </w:rPr>
      </w:pPr>
      <w:r w:rsidRPr="00CD15CE">
        <w:rPr>
          <w:rFonts w:asciiTheme="majorBidi" w:hAnsiTheme="majorBidi" w:cstheme="majorBidi"/>
        </w:rPr>
        <w:t>We</w:t>
      </w:r>
      <w:r w:rsidR="00AF46F9">
        <w:rPr>
          <w:rFonts w:asciiTheme="majorBidi" w:hAnsiTheme="majorBidi" w:cstheme="majorBidi"/>
        </w:rPr>
        <w:t xml:space="preserve"> </w:t>
      </w:r>
      <w:r w:rsidRPr="00CD15CE">
        <w:rPr>
          <w:rFonts w:asciiTheme="majorBidi" w:hAnsiTheme="majorBidi" w:cstheme="majorBidi"/>
        </w:rPr>
        <w:t>thank</w:t>
      </w:r>
      <w:r w:rsidR="00322F3F">
        <w:rPr>
          <w:rFonts w:asciiTheme="majorBidi" w:hAnsiTheme="majorBidi" w:cstheme="majorBidi"/>
        </w:rPr>
        <w:t xml:space="preserve"> </w:t>
      </w:r>
      <w:r w:rsidR="00CA47BC">
        <w:rPr>
          <w:rFonts w:asciiTheme="majorBidi" w:hAnsiTheme="majorBidi" w:cstheme="majorBidi"/>
        </w:rPr>
        <w:t xml:space="preserve">the </w:t>
      </w:r>
      <w:r w:rsidR="00A21BBD">
        <w:rPr>
          <w:rFonts w:asciiTheme="majorBidi" w:hAnsiTheme="majorBidi" w:cstheme="majorBidi"/>
        </w:rPr>
        <w:t xml:space="preserve">University of Waikato for providing </w:t>
      </w:r>
      <w:r w:rsidRPr="00CD15CE">
        <w:rPr>
          <w:rFonts w:asciiTheme="majorBidi" w:hAnsiTheme="majorBidi" w:cstheme="majorBidi"/>
        </w:rPr>
        <w:t xml:space="preserve">funding </w:t>
      </w:r>
      <w:r w:rsidR="00A21BBD">
        <w:rPr>
          <w:rFonts w:asciiTheme="majorBidi" w:hAnsiTheme="majorBidi" w:cstheme="majorBidi"/>
        </w:rPr>
        <w:t xml:space="preserve">for </w:t>
      </w:r>
      <w:r w:rsidRPr="00CD15CE">
        <w:rPr>
          <w:rFonts w:asciiTheme="majorBidi" w:hAnsiTheme="majorBidi" w:cstheme="majorBidi"/>
        </w:rPr>
        <w:t>this research</w:t>
      </w:r>
      <w:r w:rsidR="00CA47BC">
        <w:rPr>
          <w:rFonts w:asciiTheme="majorBidi" w:hAnsiTheme="majorBidi" w:cstheme="majorBidi"/>
        </w:rPr>
        <w:t xml:space="preserve"> through the</w:t>
      </w:r>
      <w:r w:rsidR="00056E98">
        <w:rPr>
          <w:rFonts w:asciiTheme="majorBidi" w:hAnsiTheme="majorBidi" w:cstheme="majorBidi"/>
        </w:rPr>
        <w:t>ir</w:t>
      </w:r>
      <w:r w:rsidR="00CA47BC">
        <w:rPr>
          <w:rFonts w:asciiTheme="majorBidi" w:hAnsiTheme="majorBidi" w:cstheme="majorBidi"/>
        </w:rPr>
        <w:t xml:space="preserve"> </w:t>
      </w:r>
      <w:r w:rsidR="00056E98">
        <w:rPr>
          <w:rFonts w:asciiTheme="majorBidi" w:hAnsiTheme="majorBidi" w:cstheme="majorBidi"/>
        </w:rPr>
        <w:t>S</w:t>
      </w:r>
      <w:r w:rsidR="00CA47BC">
        <w:rPr>
          <w:rFonts w:asciiTheme="majorBidi" w:hAnsiTheme="majorBidi" w:cstheme="majorBidi"/>
        </w:rPr>
        <w:t xml:space="preserve">ummer </w:t>
      </w:r>
      <w:r w:rsidR="00056E98">
        <w:rPr>
          <w:rFonts w:asciiTheme="majorBidi" w:hAnsiTheme="majorBidi" w:cstheme="majorBidi"/>
        </w:rPr>
        <w:t>R</w:t>
      </w:r>
      <w:r w:rsidR="00CA47BC">
        <w:rPr>
          <w:rFonts w:asciiTheme="majorBidi" w:hAnsiTheme="majorBidi" w:cstheme="majorBidi"/>
        </w:rPr>
        <w:t xml:space="preserve">esearch </w:t>
      </w:r>
      <w:r w:rsidR="00056E98">
        <w:rPr>
          <w:rFonts w:asciiTheme="majorBidi" w:hAnsiTheme="majorBidi" w:cstheme="majorBidi"/>
        </w:rPr>
        <w:t>S</w:t>
      </w:r>
      <w:r w:rsidR="00CA47BC">
        <w:rPr>
          <w:rFonts w:asciiTheme="majorBidi" w:hAnsiTheme="majorBidi" w:cstheme="majorBidi"/>
        </w:rPr>
        <w:t xml:space="preserve">cholarship </w:t>
      </w:r>
      <w:r w:rsidR="00056E98">
        <w:rPr>
          <w:rFonts w:asciiTheme="majorBidi" w:hAnsiTheme="majorBidi" w:cstheme="majorBidi"/>
        </w:rPr>
        <w:t xml:space="preserve">2020/21 </w:t>
      </w:r>
      <w:r w:rsidR="005D3116">
        <w:rPr>
          <w:rFonts w:asciiTheme="majorBidi" w:hAnsiTheme="majorBidi" w:cstheme="majorBidi"/>
        </w:rPr>
        <w:t xml:space="preserve">programme (project </w:t>
      </w:r>
      <w:r w:rsidR="00A35CEA">
        <w:rPr>
          <w:rFonts w:asciiTheme="majorBidi" w:hAnsiTheme="majorBidi" w:cstheme="majorBidi"/>
        </w:rPr>
        <w:t>#51).</w:t>
      </w:r>
      <w:r w:rsidR="005D3F48">
        <w:rPr>
          <w:rFonts w:cs="Arial"/>
          <w:b/>
          <w:bCs/>
          <w:sz w:val="28"/>
          <w:szCs w:val="28"/>
        </w:rPr>
        <w:br w:type="page"/>
      </w:r>
    </w:p>
    <w:p w14:paraId="627421DD" w14:textId="77777777" w:rsidR="002C5B8B" w:rsidRPr="008A622D" w:rsidRDefault="004327EE" w:rsidP="00675115">
      <w:pPr>
        <w:spacing w:after="0" w:line="360" w:lineRule="auto"/>
        <w:rPr>
          <w:rFonts w:asciiTheme="majorBidi" w:hAnsiTheme="majorBidi" w:cstheme="majorBidi"/>
          <w:bCs/>
          <w:lang w:val="en-AU"/>
        </w:rPr>
      </w:pPr>
      <w:r w:rsidRPr="008A622D">
        <w:rPr>
          <w:rFonts w:asciiTheme="majorBidi" w:hAnsiTheme="majorBidi" w:cstheme="majorBidi"/>
          <w:b/>
          <w:bCs/>
        </w:rPr>
        <w:lastRenderedPageBreak/>
        <w:t>I.</w:t>
      </w:r>
      <w:r w:rsidRPr="008A622D">
        <w:rPr>
          <w:rFonts w:asciiTheme="majorBidi" w:hAnsiTheme="majorBidi" w:cstheme="majorBidi"/>
          <w:b/>
          <w:bCs/>
        </w:rPr>
        <w:tab/>
        <w:t>Introduction</w:t>
      </w:r>
      <w:r w:rsidRPr="008A622D">
        <w:rPr>
          <w:rFonts w:asciiTheme="majorBidi" w:hAnsiTheme="majorBidi" w:cstheme="majorBidi"/>
          <w:bCs/>
          <w:lang w:val="en-AU"/>
        </w:rPr>
        <w:t xml:space="preserve"> </w:t>
      </w:r>
    </w:p>
    <w:p w14:paraId="1C43F43A" w14:textId="77777777" w:rsidR="00D673BF" w:rsidRPr="007C0AEE" w:rsidRDefault="00D673BF" w:rsidP="00D673BF">
      <w:pPr>
        <w:spacing w:after="100" w:afterAutospacing="1" w:line="288" w:lineRule="auto"/>
        <w:jc w:val="both"/>
        <w:rPr>
          <w:rFonts w:asciiTheme="majorBidi" w:hAnsiTheme="majorBidi" w:cstheme="majorBidi"/>
        </w:rPr>
      </w:pPr>
      <w:r w:rsidRPr="007C0AEE">
        <w:rPr>
          <w:rFonts w:asciiTheme="majorBidi" w:hAnsiTheme="majorBidi" w:cstheme="majorBidi"/>
        </w:rPr>
        <w:t xml:space="preserve">The low subsidy, export-orientated agriculture sectors of Australasia must strive for efficiency to compete in international markets. Indeed, understanding the fundamentals of profitability is more important than ever, as Australasian farms are subject to stricter environmental standards, and heightened business risks such as price volatility and high levels of debt. Cost efficiency is the ability to produce a given level of revenue at the lowest cost (Jiang and </w:t>
      </w:r>
      <w:proofErr w:type="spellStart"/>
      <w:r w:rsidRPr="007C0AEE">
        <w:rPr>
          <w:rFonts w:asciiTheme="majorBidi" w:hAnsiTheme="majorBidi" w:cstheme="majorBidi"/>
        </w:rPr>
        <w:t>Sharb</w:t>
      </w:r>
      <w:proofErr w:type="spellEnd"/>
      <w:r w:rsidRPr="007C0AEE">
        <w:rPr>
          <w:rFonts w:asciiTheme="majorBidi" w:hAnsiTheme="majorBidi" w:cstheme="majorBidi"/>
        </w:rPr>
        <w:t>, 2014). Cost efficiency has been identified as a crucial factor in achieving profitability and resilience on New Zealand dairy farms (Neal et al., 2018). Shadbolt et al. (2018) show that cost efficiency also improves a farms ability to service and reduce debt. Additionally, cost efficiency is a simple measure of farm performance, which can easily be calculated and interpreted by a farm manager. By building knowledge of drivers of cost efficiency across farms, managers can be supported to improve the profitability of their farms. However, there has been little research conducted on cost efficiency for New Zealand farms.</w:t>
      </w:r>
    </w:p>
    <w:p w14:paraId="75FD1FD9" w14:textId="77777777" w:rsidR="00D673BF" w:rsidRPr="007C0AEE" w:rsidRDefault="00D673BF" w:rsidP="00D673B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 xml:space="preserve">Thus, we conduct an analysis on drivers of cost efficiency for New Zealand dairy farms. This industry provides an excellent case study of how cost efficiency analysis can contribute to understanding competitiveness and profitability in a low subsidy, export-oriented agriculture sector. We take advantage of a novel, 10-year balanced panel data set for the dairy-focused region of Waikato and compare performance between and within low to high performing quartiles. The only other study of cost efficiency on New Zealand dairy farms that we are aware of is Jiang and </w:t>
      </w:r>
      <w:proofErr w:type="spellStart"/>
      <w:r w:rsidRPr="007C0AEE">
        <w:rPr>
          <w:rFonts w:asciiTheme="majorBidi" w:hAnsiTheme="majorBidi" w:cstheme="majorBidi"/>
        </w:rPr>
        <w:t>Sharb</w:t>
      </w:r>
      <w:proofErr w:type="spellEnd"/>
      <w:r w:rsidRPr="007C0AEE">
        <w:rPr>
          <w:rFonts w:asciiTheme="majorBidi" w:hAnsiTheme="majorBidi" w:cstheme="majorBidi"/>
        </w:rPr>
        <w:t xml:space="preserve"> (2014). They provide some useful insights, using an unbalanced panel data set, and a more complex stochastic cost frontier model. We build on their work by analysing cost efficiency with balanced panel data set and an easier cost-efficiency measure for farmers to understand and interpret.  </w:t>
      </w:r>
    </w:p>
    <w:p w14:paraId="0ABBAC51" w14:textId="77777777" w:rsidR="00D673BF" w:rsidRPr="007C0AEE" w:rsidRDefault="00D673BF" w:rsidP="00D673B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In this study, we use operating profit margin (OPM) as a measure of farm cost efficiency. OPM was originally derived from the DuPont formulation (</w:t>
      </w:r>
      <w:r w:rsidRPr="007C0AEE">
        <w:rPr>
          <w:rFonts w:asciiTheme="majorBidi" w:hAnsiTheme="majorBidi" w:cstheme="majorBidi"/>
          <w:b/>
          <w:bCs/>
        </w:rPr>
        <w:t>1</w:t>
      </w:r>
      <w:r w:rsidRPr="007C0AEE">
        <w:rPr>
          <w:rFonts w:asciiTheme="majorBidi" w:hAnsiTheme="majorBidi" w:cstheme="majorBidi"/>
        </w:rPr>
        <w:t>) and is operating profit (OP) divided by operating revenue (OR). It is one of the three parameters in the decomposed DuPont formulation (</w:t>
      </w:r>
      <w:r w:rsidRPr="007C0AEE">
        <w:rPr>
          <w:rFonts w:asciiTheme="majorBidi" w:hAnsiTheme="majorBidi" w:cstheme="majorBidi"/>
          <w:b/>
          <w:bCs/>
        </w:rPr>
        <w:t>1</w:t>
      </w:r>
      <w:r w:rsidRPr="007C0AEE">
        <w:rPr>
          <w:rFonts w:asciiTheme="majorBidi" w:hAnsiTheme="majorBidi" w:cstheme="majorBidi"/>
        </w:rPr>
        <w:t>) which describes return on equity (</w:t>
      </w:r>
      <w:proofErr w:type="spellStart"/>
      <w:r w:rsidRPr="007C0AEE">
        <w:rPr>
          <w:rFonts w:asciiTheme="majorBidi" w:hAnsiTheme="majorBidi" w:cstheme="majorBidi"/>
        </w:rPr>
        <w:t>RoE</w:t>
      </w:r>
      <w:proofErr w:type="spellEnd"/>
      <w:r w:rsidRPr="007C0AEE">
        <w:rPr>
          <w:rFonts w:asciiTheme="majorBidi" w:hAnsiTheme="majorBidi" w:cstheme="majorBidi"/>
        </w:rPr>
        <w:t>). The other two parameters are asset turnover, OR divided by total assets (A), and the leverage ratio, A divided by total equity (E). It is widely acknowledged that OPM measures cost efficiency, asset turnover measures revenue efficiency and the leverage ratio describes the leverage and solvency of a business (</w:t>
      </w:r>
      <w:proofErr w:type="spellStart"/>
      <w:r w:rsidRPr="007C0AEE">
        <w:rPr>
          <w:rFonts w:asciiTheme="majorBidi" w:hAnsiTheme="majorBidi" w:cstheme="majorBidi"/>
        </w:rPr>
        <w:t>Doole</w:t>
      </w:r>
      <w:proofErr w:type="spellEnd"/>
      <w:r w:rsidRPr="007C0AEE">
        <w:rPr>
          <w:rFonts w:asciiTheme="majorBidi" w:hAnsiTheme="majorBidi" w:cstheme="majorBidi"/>
        </w:rPr>
        <w:t xml:space="preserve"> and </w:t>
      </w:r>
      <w:proofErr w:type="spellStart"/>
      <w:r w:rsidRPr="007C0AEE">
        <w:rPr>
          <w:rFonts w:asciiTheme="majorBidi" w:hAnsiTheme="majorBidi" w:cstheme="majorBidi"/>
        </w:rPr>
        <w:t>Te</w:t>
      </w:r>
      <w:proofErr w:type="spellEnd"/>
      <w:r w:rsidRPr="007C0AEE">
        <w:rPr>
          <w:rFonts w:asciiTheme="majorBidi" w:hAnsiTheme="majorBidi" w:cstheme="majorBidi"/>
        </w:rPr>
        <w:t xml:space="preserve"> </w:t>
      </w:r>
      <w:proofErr w:type="spellStart"/>
      <w:r w:rsidRPr="007C0AEE">
        <w:rPr>
          <w:rFonts w:asciiTheme="majorBidi" w:hAnsiTheme="majorBidi" w:cstheme="majorBidi"/>
        </w:rPr>
        <w:t>Rito</w:t>
      </w:r>
      <w:proofErr w:type="spellEnd"/>
      <w:r w:rsidRPr="007C0AEE">
        <w:rPr>
          <w:rFonts w:asciiTheme="majorBidi" w:hAnsiTheme="majorBidi" w:cstheme="majorBidi"/>
        </w:rPr>
        <w:t xml:space="preserve">, 2019). </w:t>
      </w:r>
    </w:p>
    <w:p w14:paraId="5CCE42DE" w14:textId="314C0510" w:rsidR="00D673BF" w:rsidRPr="00C8414C" w:rsidRDefault="00C8414C" w:rsidP="00D673BF">
      <w:pPr>
        <w:spacing w:after="100" w:afterAutospacing="1" w:line="288" w:lineRule="auto"/>
        <w:ind w:firstLine="720"/>
        <w:jc w:val="both"/>
      </w:pPr>
      <w:proofErr w:type="spellStart"/>
      <m:oMathPara>
        <m:oMath>
          <m:r>
            <m:rPr>
              <m:nor/>
            </m:rPr>
            <m:t>RoE</m:t>
          </m:r>
          <w:proofErr w:type="spellEnd"/>
          <m:r>
            <m:rPr>
              <m:nor/>
            </m:rPr>
            <w:rPr>
              <w:rFonts w:ascii="Cambria Math"/>
            </w:rPr>
            <m:t xml:space="preserve"> </m:t>
          </m:r>
          <m:r>
            <m:rPr>
              <m:nor/>
            </m:rPr>
            <m:t xml:space="preserve">= </m:t>
          </m:r>
          <m:f>
            <m:fPr>
              <m:ctrlPr>
                <w:rPr>
                  <w:rFonts w:ascii="Cambria Math" w:hAnsi="Cambria Math"/>
                  <w:i/>
                </w:rPr>
              </m:ctrlPr>
            </m:fPr>
            <m:num>
              <m:r>
                <m:rPr>
                  <m:nor/>
                </m:rPr>
                <m:t>OP</m:t>
              </m:r>
            </m:num>
            <m:den>
              <m:r>
                <m:rPr>
                  <m:nor/>
                </m:rPr>
                <m:t>OR</m:t>
              </m:r>
            </m:den>
          </m:f>
          <m:r>
            <m:rPr>
              <m:nor/>
            </m:rPr>
            <m:t>·</m:t>
          </m:r>
          <m:f>
            <m:fPr>
              <m:ctrlPr>
                <w:rPr>
                  <w:rFonts w:ascii="Cambria Math" w:hAnsi="Cambria Math"/>
                  <w:i/>
                </w:rPr>
              </m:ctrlPr>
            </m:fPr>
            <m:num>
              <m:r>
                <m:rPr>
                  <m:nor/>
                </m:rPr>
                <m:t>OR</m:t>
              </m:r>
            </m:num>
            <m:den>
              <m:r>
                <m:rPr>
                  <m:nor/>
                </m:rPr>
                <m:t>A</m:t>
              </m:r>
            </m:den>
          </m:f>
          <m:r>
            <m:rPr>
              <m:nor/>
            </m:rPr>
            <m:t>·</m:t>
          </m:r>
          <m:f>
            <m:fPr>
              <m:ctrlPr>
                <w:rPr>
                  <w:rFonts w:ascii="Cambria Math" w:hAnsi="Cambria Math"/>
                  <w:i/>
                </w:rPr>
              </m:ctrlPr>
            </m:fPr>
            <m:num>
              <m:r>
                <m:rPr>
                  <m:nor/>
                </m:rPr>
                <m:t>A</m:t>
              </m:r>
            </m:num>
            <m:den>
              <m:r>
                <m:rPr>
                  <m:nor/>
                </m:rPr>
                <m:t>E</m:t>
              </m:r>
            </m:den>
          </m:f>
          <m:r>
            <m:rPr>
              <m:nor/>
            </m:rPr>
            <m:t xml:space="preserve">    (</m:t>
          </m:r>
          <m:r>
            <m:rPr>
              <m:nor/>
            </m:rPr>
            <w:rPr>
              <w:b/>
            </w:rPr>
            <m:t>1</m:t>
          </m:r>
          <m:r>
            <m:rPr>
              <m:nor/>
            </m:rPr>
            <m:t>)</m:t>
          </m:r>
        </m:oMath>
      </m:oMathPara>
    </w:p>
    <w:p w14:paraId="6FE81543" w14:textId="77777777" w:rsidR="0044512F" w:rsidRDefault="00D673BF" w:rsidP="00D673BF">
      <w:pPr>
        <w:widowControl w:val="0"/>
        <w:spacing w:after="0" w:line="288" w:lineRule="auto"/>
        <w:ind w:firstLine="720"/>
        <w:jc w:val="both"/>
        <w:rPr>
          <w:rFonts w:asciiTheme="majorBidi" w:hAnsiTheme="majorBidi" w:cstheme="majorBidi"/>
        </w:rPr>
      </w:pPr>
      <w:r w:rsidRPr="007C0AEE">
        <w:rPr>
          <w:rFonts w:asciiTheme="majorBidi" w:hAnsiTheme="majorBidi" w:cstheme="majorBidi"/>
        </w:rPr>
        <w:t>The DuPont formulation has been used extensively since its establishment in 1912 by the DuPont Corporation (</w:t>
      </w:r>
      <w:proofErr w:type="spellStart"/>
      <w:r w:rsidRPr="007C0AEE">
        <w:rPr>
          <w:rFonts w:asciiTheme="majorBidi" w:hAnsiTheme="majorBidi" w:cstheme="majorBidi"/>
        </w:rPr>
        <w:t>Doole</w:t>
      </w:r>
      <w:proofErr w:type="spellEnd"/>
      <w:r w:rsidRPr="007C0AEE">
        <w:rPr>
          <w:rFonts w:asciiTheme="majorBidi" w:hAnsiTheme="majorBidi" w:cstheme="majorBidi"/>
        </w:rPr>
        <w:t xml:space="preserve"> and </w:t>
      </w:r>
      <w:proofErr w:type="spellStart"/>
      <w:r w:rsidRPr="007C0AEE">
        <w:rPr>
          <w:rFonts w:asciiTheme="majorBidi" w:hAnsiTheme="majorBidi" w:cstheme="majorBidi"/>
        </w:rPr>
        <w:t>Te</w:t>
      </w:r>
      <w:proofErr w:type="spellEnd"/>
      <w:r w:rsidRPr="007C0AEE">
        <w:rPr>
          <w:rFonts w:asciiTheme="majorBidi" w:hAnsiTheme="majorBidi" w:cstheme="majorBidi"/>
        </w:rPr>
        <w:t xml:space="preserve"> </w:t>
      </w:r>
      <w:proofErr w:type="spellStart"/>
      <w:r w:rsidRPr="007C0AEE">
        <w:rPr>
          <w:rFonts w:asciiTheme="majorBidi" w:hAnsiTheme="majorBidi" w:cstheme="majorBidi"/>
        </w:rPr>
        <w:t>Rito</w:t>
      </w:r>
      <w:proofErr w:type="spellEnd"/>
      <w:r w:rsidRPr="007C0AEE">
        <w:rPr>
          <w:rFonts w:asciiTheme="majorBidi" w:hAnsiTheme="majorBidi" w:cstheme="majorBidi"/>
        </w:rPr>
        <w:t>, 2019). The formulation is robust, globally applied and recognised as a useful tool for the dairy industry by pertinent stakeholders (</w:t>
      </w:r>
      <w:proofErr w:type="spellStart"/>
      <w:r w:rsidRPr="007C0AEE">
        <w:rPr>
          <w:rFonts w:asciiTheme="majorBidi" w:hAnsiTheme="majorBidi" w:cstheme="majorBidi"/>
        </w:rPr>
        <w:t>Doole</w:t>
      </w:r>
      <w:proofErr w:type="spellEnd"/>
      <w:r w:rsidRPr="007C0AEE">
        <w:rPr>
          <w:rFonts w:asciiTheme="majorBidi" w:hAnsiTheme="majorBidi" w:cstheme="majorBidi"/>
        </w:rPr>
        <w:t xml:space="preserve"> and </w:t>
      </w:r>
      <w:proofErr w:type="spellStart"/>
      <w:r w:rsidRPr="007C0AEE">
        <w:rPr>
          <w:rFonts w:asciiTheme="majorBidi" w:hAnsiTheme="majorBidi" w:cstheme="majorBidi"/>
        </w:rPr>
        <w:t>Te</w:t>
      </w:r>
      <w:proofErr w:type="spellEnd"/>
      <w:r w:rsidRPr="007C0AEE">
        <w:rPr>
          <w:rFonts w:asciiTheme="majorBidi" w:hAnsiTheme="majorBidi" w:cstheme="majorBidi"/>
        </w:rPr>
        <w:t xml:space="preserve"> </w:t>
      </w:r>
      <w:proofErr w:type="spellStart"/>
      <w:r w:rsidRPr="007C0AEE">
        <w:rPr>
          <w:rFonts w:asciiTheme="majorBidi" w:hAnsiTheme="majorBidi" w:cstheme="majorBidi"/>
        </w:rPr>
        <w:t>Rito</w:t>
      </w:r>
      <w:proofErr w:type="spellEnd"/>
      <w:r w:rsidRPr="007C0AEE">
        <w:rPr>
          <w:rFonts w:asciiTheme="majorBidi" w:hAnsiTheme="majorBidi" w:cstheme="majorBidi"/>
        </w:rPr>
        <w:t xml:space="preserve">, 2019; </w:t>
      </w:r>
      <w:proofErr w:type="spellStart"/>
      <w:r w:rsidRPr="007C0AEE">
        <w:rPr>
          <w:rFonts w:asciiTheme="majorBidi" w:hAnsiTheme="majorBidi" w:cstheme="majorBidi"/>
        </w:rPr>
        <w:t>Grashius</w:t>
      </w:r>
      <w:proofErr w:type="spellEnd"/>
      <w:r w:rsidRPr="007C0AEE">
        <w:rPr>
          <w:rFonts w:asciiTheme="majorBidi" w:hAnsiTheme="majorBidi" w:cstheme="majorBidi"/>
        </w:rPr>
        <w:t xml:space="preserve">, 2018). The formula for OPM is understandable and accessible to most farmers, rendering it a suitable and robust alternative to a stochastic cost frontier; which utilises </w:t>
      </w:r>
      <w:r w:rsidRPr="007C0AEE">
        <w:rPr>
          <w:rFonts w:asciiTheme="majorBidi" w:hAnsiTheme="majorBidi" w:cstheme="majorBidi"/>
        </w:rPr>
        <w:lastRenderedPageBreak/>
        <w:t xml:space="preserve">involved econometric formulations of cost functions (Jiang and </w:t>
      </w:r>
      <w:proofErr w:type="spellStart"/>
      <w:r w:rsidRPr="007C0AEE">
        <w:rPr>
          <w:rFonts w:asciiTheme="majorBidi" w:hAnsiTheme="majorBidi" w:cstheme="majorBidi"/>
        </w:rPr>
        <w:t>Sharb</w:t>
      </w:r>
      <w:proofErr w:type="spellEnd"/>
      <w:r w:rsidRPr="007C0AEE">
        <w:rPr>
          <w:rFonts w:asciiTheme="majorBidi" w:hAnsiTheme="majorBidi" w:cstheme="majorBidi"/>
        </w:rPr>
        <w:t>, 2014).</w:t>
      </w:r>
    </w:p>
    <w:p w14:paraId="3584AAA5" w14:textId="77777777" w:rsidR="0044512F" w:rsidRDefault="0044512F" w:rsidP="0044512F">
      <w:pPr>
        <w:widowControl w:val="0"/>
        <w:spacing w:after="0" w:line="288" w:lineRule="auto"/>
        <w:jc w:val="both"/>
        <w:rPr>
          <w:rFonts w:asciiTheme="majorBidi" w:hAnsiTheme="majorBidi" w:cstheme="majorBidi"/>
        </w:rPr>
      </w:pPr>
    </w:p>
    <w:p w14:paraId="3D9346CC" w14:textId="77777777" w:rsidR="0073696C" w:rsidRDefault="0044512F" w:rsidP="0073696C">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 xml:space="preserve">At a basic level, OP can be decomposed into operating revenue (OR) </w:t>
      </w:r>
      <w:proofErr w:type="gramStart"/>
      <w:r w:rsidRPr="007C0AEE">
        <w:rPr>
          <w:rFonts w:asciiTheme="majorBidi" w:hAnsiTheme="majorBidi" w:cstheme="majorBidi"/>
        </w:rPr>
        <w:t>less</w:t>
      </w:r>
      <w:proofErr w:type="gramEnd"/>
      <w:r w:rsidRPr="007C0AEE">
        <w:rPr>
          <w:rFonts w:asciiTheme="majorBidi" w:hAnsiTheme="majorBidi" w:cstheme="majorBidi"/>
        </w:rPr>
        <w:t xml:space="preserve"> operating costs (OC). This leads to the simplification that OPM is equal to 1 less a cost ratio (OC/OR). This demonstrates that if operating costs increase for a fixed level of revenue, the cost ratio (OC/OR) increases. Subsequently, the value of OPM falls, demonstrating that the farm is less cost-efficient because they produce the same level of revenue with a higher cost (refer to the earlier definition of cost efficiency). Conversely, if operating costs fall, OPM will increase, demonstrating an increase in cost efficiency.</w:t>
      </w:r>
      <w:r w:rsidR="0073696C">
        <w:rPr>
          <w:rFonts w:asciiTheme="majorBidi" w:hAnsiTheme="majorBidi" w:cstheme="majorBidi"/>
        </w:rPr>
        <w:t xml:space="preserve"> </w:t>
      </w:r>
    </w:p>
    <w:p w14:paraId="560FC531" w14:textId="22E0FE17" w:rsidR="0044512F" w:rsidRPr="00C8414C" w:rsidRDefault="00C8414C" w:rsidP="0073696C">
      <w:pPr>
        <w:spacing w:after="100" w:afterAutospacing="1" w:line="288" w:lineRule="auto"/>
        <w:ind w:firstLine="720"/>
        <w:jc w:val="both"/>
        <w:rPr>
          <w:rFonts w:asciiTheme="majorBidi" w:hAnsiTheme="majorBidi" w:cstheme="majorBidi"/>
        </w:rPr>
      </w:pPr>
      <m:oMathPara>
        <m:oMath>
          <m:r>
            <m:rPr>
              <m:nor/>
            </m:rPr>
            <w:rPr>
              <w:rFonts w:asciiTheme="majorBidi" w:hAnsiTheme="majorBidi" w:cstheme="majorBidi"/>
            </w:rPr>
            <m:t>OPM</m:t>
          </m:r>
          <m:r>
            <m:rPr>
              <m:nor/>
            </m:rPr>
            <w:rPr>
              <w:rFonts w:ascii="Cambria Math" w:hAnsiTheme="majorBidi" w:cstheme="majorBidi"/>
            </w:rPr>
            <m:t xml:space="preserve"> </m:t>
          </m:r>
          <m:r>
            <m:rPr>
              <m:nor/>
            </m:rPr>
            <w:rPr>
              <w:rFonts w:asciiTheme="majorBidi" w:hAnsiTheme="majorBidi" w:cstheme="majorBidi"/>
            </w:rPr>
            <m:t>=</m:t>
          </m:r>
          <m:r>
            <w:rPr>
              <w:rFonts w:ascii="Cambria Math" w:hAnsi="Cambria Math" w:cstheme="majorBidi"/>
            </w:rPr>
            <m:t xml:space="preserve"> </m:t>
          </m:r>
          <m:f>
            <m:fPr>
              <m:ctrlPr>
                <w:rPr>
                  <w:rFonts w:ascii="Cambria Math" w:hAnsi="Cambria Math" w:cstheme="majorBidi"/>
                  <w:i/>
                </w:rPr>
              </m:ctrlPr>
            </m:fPr>
            <m:num>
              <m:r>
                <m:rPr>
                  <m:nor/>
                </m:rPr>
                <w:rPr>
                  <w:rFonts w:asciiTheme="majorBidi" w:hAnsiTheme="majorBidi" w:cstheme="majorBidi"/>
                </w:rPr>
                <m:t>OP</m:t>
              </m:r>
            </m:num>
            <m:den>
              <m:r>
                <m:rPr>
                  <m:nor/>
                </m:rPr>
                <w:rPr>
                  <w:rFonts w:asciiTheme="majorBidi" w:hAnsiTheme="majorBidi" w:cstheme="majorBidi"/>
                </w:rPr>
                <m:t>OR</m:t>
              </m:r>
            </m:den>
          </m:f>
          <m:r>
            <m:rPr>
              <m:nor/>
            </m:rPr>
            <w:rPr>
              <w:rFonts w:ascii="Cambria Math" w:hAnsiTheme="majorBidi" w:cstheme="majorBidi"/>
            </w:rPr>
            <m:t xml:space="preserve"> </m:t>
          </m:r>
          <m:r>
            <m:rPr>
              <m:nor/>
            </m:rPr>
            <w:rPr>
              <w:rFonts w:asciiTheme="majorBidi" w:hAnsiTheme="majorBidi" w:cstheme="majorBidi"/>
            </w:rPr>
            <m:t>=</m:t>
          </m:r>
          <m:r>
            <w:rPr>
              <w:rFonts w:ascii="Cambria Math" w:hAnsi="Cambria Math" w:cstheme="majorBidi"/>
            </w:rPr>
            <m:t xml:space="preserve"> </m:t>
          </m:r>
          <m:f>
            <m:fPr>
              <m:ctrlPr>
                <w:rPr>
                  <w:rFonts w:ascii="Cambria Math" w:hAnsi="Cambria Math" w:cstheme="majorBidi"/>
                  <w:i/>
                </w:rPr>
              </m:ctrlPr>
            </m:fPr>
            <m:num>
              <m:r>
                <m:rPr>
                  <m:nor/>
                </m:rPr>
                <w:rPr>
                  <w:rFonts w:asciiTheme="majorBidi" w:hAnsiTheme="majorBidi" w:cstheme="majorBidi"/>
                </w:rPr>
                <m:t>OR</m:t>
              </m:r>
              <m:r>
                <m:rPr>
                  <m:nor/>
                </m:rPr>
                <w:rPr>
                  <w:rFonts w:ascii="Cambria Math" w:hAnsiTheme="majorBidi" w:cstheme="majorBidi"/>
                </w:rPr>
                <m:t xml:space="preserve"> </m:t>
              </m:r>
              <m:r>
                <m:rPr>
                  <m:nor/>
                </m:rPr>
                <w:rPr>
                  <w:rFonts w:asciiTheme="majorBidi" w:hAnsiTheme="majorBidi" w:cstheme="majorBidi"/>
                </w:rPr>
                <m:t>-</m:t>
              </m:r>
              <m:r>
                <m:rPr>
                  <m:nor/>
                </m:rPr>
                <w:rPr>
                  <w:rFonts w:ascii="Cambria Math" w:hAnsiTheme="majorBidi" w:cstheme="majorBidi"/>
                </w:rPr>
                <m:t xml:space="preserve"> </m:t>
              </m:r>
              <m:r>
                <m:rPr>
                  <m:nor/>
                </m:rPr>
                <w:rPr>
                  <w:rFonts w:asciiTheme="majorBidi" w:hAnsiTheme="majorBidi" w:cstheme="majorBidi"/>
                </w:rPr>
                <m:t>OC</m:t>
              </m:r>
            </m:num>
            <m:den>
              <m:r>
                <m:rPr>
                  <m:nor/>
                </m:rPr>
                <w:rPr>
                  <w:rFonts w:asciiTheme="majorBidi" w:hAnsiTheme="majorBidi" w:cstheme="majorBidi"/>
                </w:rPr>
                <m:t>OR</m:t>
              </m:r>
            </m:den>
          </m:f>
          <m:r>
            <m:rPr>
              <m:nor/>
            </m:rPr>
            <w:rPr>
              <w:rFonts w:asciiTheme="majorBidi" w:hAnsiTheme="majorBidi" w:cstheme="majorBidi"/>
            </w:rPr>
            <m:t>=</m:t>
          </m:r>
          <m:r>
            <m:rPr>
              <m:nor/>
            </m:rPr>
            <w:rPr>
              <w:rFonts w:ascii="Cambria Math" w:hAnsiTheme="majorBidi" w:cstheme="majorBidi"/>
            </w:rPr>
            <m:t xml:space="preserve"> </m:t>
          </m:r>
          <m:r>
            <m:rPr>
              <m:nor/>
            </m:rPr>
            <w:rPr>
              <w:rFonts w:asciiTheme="majorBidi" w:hAnsiTheme="majorBidi" w:cstheme="majorBidi"/>
            </w:rPr>
            <m:t>1</m:t>
          </m:r>
          <m:r>
            <m:rPr>
              <m:nor/>
            </m:rPr>
            <w:rPr>
              <w:rFonts w:ascii="Cambria Math" w:hAnsiTheme="majorBidi" w:cstheme="majorBidi"/>
            </w:rPr>
            <m:t xml:space="preserve"> </m:t>
          </m:r>
          <m:r>
            <m:rPr>
              <m:nor/>
            </m:rPr>
            <w:rPr>
              <w:rFonts w:asciiTheme="majorBidi" w:hAnsiTheme="majorBidi" w:cstheme="majorBidi"/>
            </w:rPr>
            <m:t>-</m:t>
          </m:r>
          <m:r>
            <w:rPr>
              <w:rFonts w:ascii="Cambria Math" w:hAnsi="Cambria Math" w:cstheme="majorBidi"/>
            </w:rPr>
            <m:t xml:space="preserve"> </m:t>
          </m:r>
          <m:f>
            <m:fPr>
              <m:ctrlPr>
                <w:rPr>
                  <w:rFonts w:ascii="Cambria Math" w:hAnsi="Cambria Math" w:cstheme="majorBidi"/>
                  <w:i/>
                </w:rPr>
              </m:ctrlPr>
            </m:fPr>
            <m:num>
              <m:r>
                <m:rPr>
                  <m:nor/>
                </m:rPr>
                <w:rPr>
                  <w:rFonts w:asciiTheme="majorBidi" w:hAnsiTheme="majorBidi" w:cstheme="majorBidi"/>
                </w:rPr>
                <m:t>OC</m:t>
              </m:r>
            </m:num>
            <m:den>
              <m:r>
                <m:rPr>
                  <m:nor/>
                </m:rPr>
                <w:rPr>
                  <w:rFonts w:asciiTheme="majorBidi" w:hAnsiTheme="majorBidi" w:cstheme="majorBidi"/>
                </w:rPr>
                <m:t>OR</m:t>
              </m:r>
            </m:den>
          </m:f>
          <m:r>
            <w:rPr>
              <w:rFonts w:ascii="Cambria Math" w:hAnsi="Cambria Math" w:cstheme="majorBidi"/>
            </w:rPr>
            <m:t xml:space="preserve">    (</m:t>
          </m:r>
          <m:r>
            <m:rPr>
              <m:sty m:val="bi"/>
            </m:rPr>
            <w:rPr>
              <w:rFonts w:ascii="Cambria Math" w:hAnsi="Cambria Math" w:cstheme="majorBidi"/>
            </w:rPr>
            <m:t>2</m:t>
          </m:r>
          <m:r>
            <w:rPr>
              <w:rFonts w:ascii="Cambria Math" w:hAnsi="Cambria Math" w:cstheme="majorBidi"/>
            </w:rPr>
            <m:t>)</m:t>
          </m:r>
        </m:oMath>
      </m:oMathPara>
    </w:p>
    <w:p w14:paraId="360CD4C6" w14:textId="77777777" w:rsidR="0044512F" w:rsidRPr="007C0AEE"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 xml:space="preserve">The aim of this study is to comprehensively investigate factors correlated with cost efficiency through time over the long and short-run to produce valuable and interpretable insights for addressing challenges in dairy farming. We benchmark farms into quartiles, based on their long-term cost efficiency performance, and used Games-Howell tests to examine differences in farm variables between the groups. This indicates which farm variables are related to cost efficiency. Furthermore, we formulate a fixed effects (FE) panel regression model for each quartile to investigate the correlations between cost efficiency and pertinent farm variables (such as pasture and crop eaten, supplement costs and fertiliser costs) through time, whilst controlling for other relevant variables and farm-level effects. </w:t>
      </w:r>
      <w:bookmarkStart w:id="1" w:name="_Toc64014169"/>
      <w:r w:rsidR="007C1894">
        <w:rPr>
          <w:rFonts w:asciiTheme="majorBidi" w:hAnsiTheme="majorBidi" w:cstheme="majorBidi"/>
        </w:rPr>
        <w:br/>
      </w:r>
    </w:p>
    <w:p w14:paraId="254B7FF4" w14:textId="77777777" w:rsidR="0044512F" w:rsidRPr="00631DCC" w:rsidRDefault="0044512F" w:rsidP="0044512F">
      <w:pPr>
        <w:spacing w:line="288" w:lineRule="auto"/>
        <w:rPr>
          <w:rFonts w:asciiTheme="majorBidi" w:hAnsiTheme="majorBidi" w:cstheme="majorBidi"/>
          <w:b/>
          <w:bCs/>
        </w:rPr>
      </w:pPr>
      <w:r w:rsidRPr="00631DCC">
        <w:rPr>
          <w:rFonts w:asciiTheme="majorBidi" w:hAnsiTheme="majorBidi" w:cstheme="majorBidi"/>
          <w:b/>
          <w:bCs/>
        </w:rPr>
        <w:t>2. Literature Review</w:t>
      </w:r>
      <w:bookmarkEnd w:id="1"/>
    </w:p>
    <w:p w14:paraId="5C788D2E" w14:textId="77777777" w:rsidR="0044512F" w:rsidRPr="007C0AEE" w:rsidRDefault="0044512F" w:rsidP="0044512F">
      <w:pPr>
        <w:spacing w:line="288" w:lineRule="auto"/>
      </w:pPr>
      <w:r w:rsidRPr="00631DCC">
        <w:rPr>
          <w:rFonts w:asciiTheme="majorBidi" w:hAnsiTheme="majorBidi" w:cstheme="majorBidi"/>
          <w:b/>
          <w:bCs/>
        </w:rPr>
        <w:t>2.1 Case study background</w:t>
      </w:r>
    </w:p>
    <w:p w14:paraId="17CCF9E0" w14:textId="77777777" w:rsidR="0044512F" w:rsidRPr="007C0AEE" w:rsidRDefault="0044512F" w:rsidP="0044512F">
      <w:pPr>
        <w:spacing w:after="100" w:afterAutospacing="1" w:line="288" w:lineRule="auto"/>
        <w:jc w:val="both"/>
        <w:rPr>
          <w:rFonts w:asciiTheme="majorBidi" w:hAnsiTheme="majorBidi" w:cstheme="majorBidi"/>
        </w:rPr>
      </w:pPr>
      <w:r w:rsidRPr="007C0AEE">
        <w:rPr>
          <w:rFonts w:asciiTheme="majorBidi" w:hAnsiTheme="majorBidi" w:cstheme="majorBidi"/>
        </w:rPr>
        <w:t xml:space="preserve">New Zealand has an export-orientated dairy industry, exporting 95% of domestic dairy production to international markets (Barry and </w:t>
      </w:r>
      <w:proofErr w:type="spellStart"/>
      <w:r w:rsidRPr="007C0AEE">
        <w:rPr>
          <w:rFonts w:asciiTheme="majorBidi" w:hAnsiTheme="majorBidi" w:cstheme="majorBidi"/>
        </w:rPr>
        <w:t>Patullo</w:t>
      </w:r>
      <w:proofErr w:type="spellEnd"/>
      <w:r w:rsidRPr="007C0AEE">
        <w:rPr>
          <w:rFonts w:asciiTheme="majorBidi" w:hAnsiTheme="majorBidi" w:cstheme="majorBidi"/>
        </w:rPr>
        <w:t xml:space="preserve">, 2020). This accounts for over 20% of New Zealand exports and 3% of GDP, making dairy the largest export industry for New Zealand (Barry and </w:t>
      </w:r>
      <w:proofErr w:type="spellStart"/>
      <w:r w:rsidRPr="007C0AEE">
        <w:rPr>
          <w:rFonts w:asciiTheme="majorBidi" w:hAnsiTheme="majorBidi" w:cstheme="majorBidi"/>
        </w:rPr>
        <w:t>Patullo</w:t>
      </w:r>
      <w:proofErr w:type="spellEnd"/>
      <w:r w:rsidRPr="007C0AEE">
        <w:rPr>
          <w:rFonts w:asciiTheme="majorBidi" w:hAnsiTheme="majorBidi" w:cstheme="majorBidi"/>
        </w:rPr>
        <w:t>, 2020). Moreover, the industry is worth NZD $17 billion per annum (</w:t>
      </w:r>
      <w:proofErr w:type="spellStart"/>
      <w:r w:rsidRPr="007C0AEE">
        <w:rPr>
          <w:rFonts w:asciiTheme="majorBidi" w:hAnsiTheme="majorBidi" w:cstheme="majorBidi"/>
        </w:rPr>
        <w:t>Ballingall</w:t>
      </w:r>
      <w:proofErr w:type="spellEnd"/>
      <w:r w:rsidRPr="007C0AEE">
        <w:rPr>
          <w:rFonts w:asciiTheme="majorBidi" w:hAnsiTheme="majorBidi" w:cstheme="majorBidi"/>
        </w:rPr>
        <w:t xml:space="preserve"> and </w:t>
      </w:r>
      <w:proofErr w:type="spellStart"/>
      <w:r w:rsidRPr="007C0AEE">
        <w:rPr>
          <w:rFonts w:asciiTheme="majorBidi" w:hAnsiTheme="majorBidi" w:cstheme="majorBidi"/>
        </w:rPr>
        <w:t>Pambudi</w:t>
      </w:r>
      <w:proofErr w:type="spellEnd"/>
      <w:r w:rsidRPr="007C0AEE">
        <w:rPr>
          <w:rFonts w:asciiTheme="majorBidi" w:hAnsiTheme="majorBidi" w:cstheme="majorBidi"/>
        </w:rPr>
        <w:t xml:space="preserve">, 2017). However, New Zealand makes up 3% of global production which categorises New Zealand as a price taker on the global market. In addition, the New Zealand dairy industry receives no subsidies from the government which increases exposure to market fluctuations and risk. </w:t>
      </w:r>
    </w:p>
    <w:p w14:paraId="2D9AC9E3" w14:textId="77777777" w:rsidR="0044512F" w:rsidRPr="007C0AEE"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 xml:space="preserve">Meanwhile, the industry faces several other challenges including addressing environmental concerns, heightened price fluctuations and high levels of indebtedness. New Zealand dairy farmers are under increasing scrutiny around the environmental impacts of their farming practices. Farmers are developing action plans in concordance with The Action for Healthy Waterways and The Sustainable Dairying Water Accord (MFE &amp; MPI, 2020). Moreover, the government has an interim target to reduce biogenic methane emissions by 10%, below 2017 levels, by 2030 (MFE, 2019). Recent modelling from the Climate Change </w:t>
      </w:r>
      <w:r w:rsidRPr="007C0AEE">
        <w:rPr>
          <w:rFonts w:asciiTheme="majorBidi" w:hAnsiTheme="majorBidi" w:cstheme="majorBidi"/>
        </w:rPr>
        <w:lastRenderedPageBreak/>
        <w:t xml:space="preserve">Commission (2021) indicates, absent any new technological innovation, herd sizes need to fall by 15% (below 2018 levels) by 2030 to meet those targets. Hence, possible decreases in milk production (as herd size falls or farmers decrease their system intensity to manage their environmental impacts) and increases in compliance costs - associated with these new environmental regulations - pose a risk to profitability. </w:t>
      </w:r>
    </w:p>
    <w:p w14:paraId="263FD631" w14:textId="77777777" w:rsidR="007C1894" w:rsidRPr="007C0AEE" w:rsidRDefault="0044512F" w:rsidP="007C1894">
      <w:pPr>
        <w:spacing w:line="288" w:lineRule="auto"/>
        <w:ind w:firstLine="720"/>
        <w:jc w:val="both"/>
        <w:rPr>
          <w:rFonts w:asciiTheme="majorBidi" w:hAnsiTheme="majorBidi" w:cstheme="majorBidi"/>
        </w:rPr>
      </w:pPr>
      <w:r w:rsidRPr="007C0AEE">
        <w:rPr>
          <w:rFonts w:asciiTheme="majorBidi" w:hAnsiTheme="majorBidi" w:cstheme="majorBidi"/>
        </w:rPr>
        <w:t>Milk price and input price volatility present a threat to the stability of farm revenue and costs (Neal et al., 2018). This volatility greatly impacts the instability of farm profits and may necessitate the use of farm management strategies to mitigate against it (Neal &amp; Roche, 2020). Finally, New Zealand farms have one of the highest levels of indebtedness worldwide (</w:t>
      </w:r>
      <w:proofErr w:type="spellStart"/>
      <w:r w:rsidRPr="007C0AEE">
        <w:rPr>
          <w:rFonts w:asciiTheme="majorBidi" w:hAnsiTheme="majorBidi" w:cstheme="majorBidi"/>
        </w:rPr>
        <w:t>Doole</w:t>
      </w:r>
      <w:proofErr w:type="spellEnd"/>
      <w:r w:rsidRPr="007C0AEE">
        <w:rPr>
          <w:rFonts w:asciiTheme="majorBidi" w:hAnsiTheme="majorBidi" w:cstheme="majorBidi"/>
        </w:rPr>
        <w:t xml:space="preserve"> and </w:t>
      </w:r>
      <w:proofErr w:type="spellStart"/>
      <w:r w:rsidRPr="007C0AEE">
        <w:rPr>
          <w:rFonts w:asciiTheme="majorBidi" w:hAnsiTheme="majorBidi" w:cstheme="majorBidi"/>
        </w:rPr>
        <w:t>Te</w:t>
      </w:r>
      <w:proofErr w:type="spellEnd"/>
      <w:r w:rsidRPr="007C0AEE">
        <w:rPr>
          <w:rFonts w:asciiTheme="majorBidi" w:hAnsiTheme="majorBidi" w:cstheme="majorBidi"/>
        </w:rPr>
        <w:t xml:space="preserve"> </w:t>
      </w:r>
      <w:proofErr w:type="spellStart"/>
      <w:r w:rsidRPr="007C0AEE">
        <w:rPr>
          <w:rFonts w:asciiTheme="majorBidi" w:hAnsiTheme="majorBidi" w:cstheme="majorBidi"/>
        </w:rPr>
        <w:t>Rito</w:t>
      </w:r>
      <w:proofErr w:type="spellEnd"/>
      <w:r w:rsidRPr="007C0AEE">
        <w:rPr>
          <w:rFonts w:asciiTheme="majorBidi" w:hAnsiTheme="majorBidi" w:cstheme="majorBidi"/>
        </w:rPr>
        <w:t>, 2019). High debt levels on dairy farms can negatively impact productivity, resilience and profitability, as farms have less flexibility to respond to climatic, price and production shocks (Greig, 2010; Ma et al., 2020; Shadbolt et al., 2013). With these on-going pressures, and the need to compete internationally against subsidised agricultural sectors, it is important for the NZ dairy industry to continuously improve.</w:t>
      </w:r>
      <w:bookmarkStart w:id="2" w:name="_Toc64014170"/>
      <w:r w:rsidR="007C1894">
        <w:rPr>
          <w:rFonts w:asciiTheme="majorBidi" w:hAnsiTheme="majorBidi" w:cstheme="majorBidi"/>
        </w:rPr>
        <w:br/>
      </w:r>
    </w:p>
    <w:p w14:paraId="7A08EFA3" w14:textId="77777777" w:rsidR="0044512F" w:rsidRPr="00631DCC" w:rsidRDefault="0044512F" w:rsidP="0044512F">
      <w:pPr>
        <w:spacing w:line="288" w:lineRule="auto"/>
        <w:rPr>
          <w:rFonts w:asciiTheme="majorBidi" w:hAnsiTheme="majorBidi" w:cstheme="majorBidi"/>
          <w:b/>
          <w:bCs/>
        </w:rPr>
      </w:pPr>
      <w:r w:rsidRPr="00631DCC">
        <w:rPr>
          <w:rFonts w:asciiTheme="majorBidi" w:hAnsiTheme="majorBidi" w:cstheme="majorBidi"/>
          <w:b/>
          <w:bCs/>
        </w:rPr>
        <w:t>2.2 OPM definition</w:t>
      </w:r>
      <w:bookmarkEnd w:id="2"/>
      <w:r w:rsidRPr="00631DCC">
        <w:rPr>
          <w:rFonts w:asciiTheme="majorBidi" w:hAnsiTheme="majorBidi" w:cstheme="majorBidi"/>
          <w:b/>
          <w:bCs/>
        </w:rPr>
        <w:t xml:space="preserve"> </w:t>
      </w:r>
    </w:p>
    <w:p w14:paraId="43DE3840" w14:textId="77777777" w:rsidR="0044512F" w:rsidRPr="007C0AEE" w:rsidRDefault="0044512F" w:rsidP="0044512F">
      <w:pPr>
        <w:spacing w:after="100" w:afterAutospacing="1" w:line="288" w:lineRule="auto"/>
        <w:jc w:val="both"/>
        <w:rPr>
          <w:rFonts w:asciiTheme="majorBidi" w:hAnsiTheme="majorBidi" w:cstheme="majorBidi"/>
        </w:rPr>
      </w:pPr>
      <w:r w:rsidRPr="007C0AEE">
        <w:rPr>
          <w:rFonts w:asciiTheme="majorBidi" w:hAnsiTheme="majorBidi" w:cstheme="majorBidi"/>
        </w:rPr>
        <w:t>Within the dairy industry, OPM is given as (</w:t>
      </w:r>
      <w:proofErr w:type="spellStart"/>
      <w:r w:rsidRPr="007C0AEE">
        <w:rPr>
          <w:rFonts w:asciiTheme="majorBidi" w:hAnsiTheme="majorBidi" w:cstheme="majorBidi"/>
        </w:rPr>
        <w:t>Doole</w:t>
      </w:r>
      <w:proofErr w:type="spellEnd"/>
      <w:r w:rsidRPr="007C0AEE">
        <w:rPr>
          <w:rFonts w:asciiTheme="majorBidi" w:hAnsiTheme="majorBidi" w:cstheme="majorBidi"/>
        </w:rPr>
        <w:t xml:space="preserve"> &amp; </w:t>
      </w:r>
      <w:proofErr w:type="spellStart"/>
      <w:r w:rsidRPr="007C0AEE">
        <w:rPr>
          <w:rFonts w:asciiTheme="majorBidi" w:hAnsiTheme="majorBidi" w:cstheme="majorBidi"/>
        </w:rPr>
        <w:t>Te</w:t>
      </w:r>
      <w:proofErr w:type="spellEnd"/>
      <w:r w:rsidRPr="007C0AEE">
        <w:rPr>
          <w:rFonts w:asciiTheme="majorBidi" w:hAnsiTheme="majorBidi" w:cstheme="majorBidi"/>
        </w:rPr>
        <w:t xml:space="preserve"> </w:t>
      </w:r>
      <w:proofErr w:type="spellStart"/>
      <w:r w:rsidRPr="007C0AEE">
        <w:rPr>
          <w:rFonts w:asciiTheme="majorBidi" w:hAnsiTheme="majorBidi" w:cstheme="majorBidi"/>
        </w:rPr>
        <w:t>Rito</w:t>
      </w:r>
      <w:proofErr w:type="spellEnd"/>
      <w:r w:rsidRPr="007C0AEE">
        <w:rPr>
          <w:rFonts w:asciiTheme="majorBidi" w:hAnsiTheme="majorBidi" w:cstheme="majorBidi"/>
        </w:rPr>
        <w:t>, 2019):</w:t>
      </w:r>
    </w:p>
    <w:p w14:paraId="3F20C8CA" w14:textId="64D17C27" w:rsidR="0044512F" w:rsidRPr="00ED696F" w:rsidRDefault="00C8414C" w:rsidP="0044512F">
      <w:pPr>
        <w:spacing w:after="100" w:afterAutospacing="1" w:line="288" w:lineRule="auto"/>
        <w:ind w:firstLine="720"/>
        <w:jc w:val="both"/>
        <w:rPr>
          <w:rFonts w:asciiTheme="majorBidi" w:hAnsiTheme="majorBidi" w:cstheme="majorBidi"/>
        </w:rPr>
      </w:pPr>
      <m:oMathPara>
        <m:oMath>
          <m:r>
            <m:rPr>
              <m:nor/>
            </m:rPr>
            <w:rPr>
              <w:rFonts w:asciiTheme="majorBidi" w:hAnsiTheme="majorBidi" w:cstheme="majorBidi"/>
            </w:rPr>
            <m:t>OPM=</m:t>
          </m:r>
          <m:f>
            <m:fPr>
              <m:ctrlPr>
                <w:rPr>
                  <w:rFonts w:ascii="Cambria Math" w:hAnsi="Cambria Math" w:cstheme="majorBidi"/>
                  <w:i/>
                </w:rPr>
              </m:ctrlPr>
            </m:fPr>
            <m:num>
              <m:r>
                <m:rPr>
                  <m:nor/>
                </m:rPr>
                <w:rPr>
                  <w:rFonts w:asciiTheme="majorBidi" w:hAnsiTheme="majorBidi" w:cstheme="majorBidi"/>
                </w:rPr>
                <m:t>Dairy Operating Profit</m:t>
              </m:r>
            </m:num>
            <m:den>
              <m:r>
                <m:rPr>
                  <m:nor/>
                </m:rPr>
                <w:rPr>
                  <w:rFonts w:asciiTheme="majorBidi" w:hAnsiTheme="majorBidi" w:cstheme="majorBidi"/>
                </w:rPr>
                <m:t>Dairy Gross Farm Revenue</m:t>
              </m:r>
            </m:den>
          </m:f>
          <m:r>
            <w:rPr>
              <w:rFonts w:ascii="Cambria Math" w:eastAsiaTheme="minorEastAsia" w:hAnsi="Cambria Math" w:cstheme="majorBidi"/>
            </w:rPr>
            <m:t xml:space="preserve">    (</m:t>
          </m:r>
          <m:r>
            <m:rPr>
              <m:sty m:val="bi"/>
            </m:rPr>
            <w:rPr>
              <w:rFonts w:ascii="Cambria Math" w:eastAsiaTheme="minorEastAsia" w:hAnsi="Cambria Math" w:cstheme="majorBidi"/>
            </w:rPr>
            <m:t>3</m:t>
          </m:r>
          <m:r>
            <w:rPr>
              <w:rFonts w:ascii="Cambria Math" w:eastAsiaTheme="minorEastAsia" w:hAnsi="Cambria Math" w:cstheme="majorBidi"/>
            </w:rPr>
            <m:t>)</m:t>
          </m:r>
        </m:oMath>
      </m:oMathPara>
    </w:p>
    <w:p w14:paraId="67C3C98B" w14:textId="77777777" w:rsidR="0044512F" w:rsidRPr="007C0AEE"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For dairy OP, interest repayments are added, and unpaid family labour is subtracted (to compare across farms with varying levels of debt and allocations of labour resources). The literature is somewhat divided on the interpretation of OPM; however, one interpretation is more appropriate to the context of this paper. Predominantly, OPM is described and used as a financial measure of cost efficiency and operating efficiency (</w:t>
      </w:r>
      <w:proofErr w:type="spellStart"/>
      <w:r w:rsidRPr="007C0AEE">
        <w:rPr>
          <w:rFonts w:asciiTheme="majorBidi" w:hAnsiTheme="majorBidi" w:cstheme="majorBidi"/>
        </w:rPr>
        <w:t>Beca</w:t>
      </w:r>
      <w:proofErr w:type="spellEnd"/>
      <w:r w:rsidRPr="007C0AEE">
        <w:rPr>
          <w:rFonts w:asciiTheme="majorBidi" w:hAnsiTheme="majorBidi" w:cstheme="majorBidi"/>
        </w:rPr>
        <w:t xml:space="preserve">, 2020; </w:t>
      </w:r>
      <w:proofErr w:type="spellStart"/>
      <w:r w:rsidRPr="007C0AEE">
        <w:rPr>
          <w:rFonts w:asciiTheme="majorBidi" w:hAnsiTheme="majorBidi" w:cstheme="majorBidi"/>
        </w:rPr>
        <w:t>Doole</w:t>
      </w:r>
      <w:proofErr w:type="spellEnd"/>
      <w:r w:rsidRPr="007C0AEE">
        <w:rPr>
          <w:rFonts w:asciiTheme="majorBidi" w:hAnsiTheme="majorBidi" w:cstheme="majorBidi"/>
        </w:rPr>
        <w:t xml:space="preserve"> &amp; </w:t>
      </w:r>
      <w:proofErr w:type="spellStart"/>
      <w:r w:rsidRPr="007C0AEE">
        <w:rPr>
          <w:rFonts w:asciiTheme="majorBidi" w:hAnsiTheme="majorBidi" w:cstheme="majorBidi"/>
        </w:rPr>
        <w:t>Te</w:t>
      </w:r>
      <w:proofErr w:type="spellEnd"/>
      <w:r w:rsidRPr="007C0AEE">
        <w:rPr>
          <w:rFonts w:asciiTheme="majorBidi" w:hAnsiTheme="majorBidi" w:cstheme="majorBidi"/>
        </w:rPr>
        <w:t xml:space="preserve"> </w:t>
      </w:r>
      <w:proofErr w:type="spellStart"/>
      <w:r w:rsidRPr="007C0AEE">
        <w:rPr>
          <w:rFonts w:asciiTheme="majorBidi" w:hAnsiTheme="majorBidi" w:cstheme="majorBidi"/>
        </w:rPr>
        <w:t>Rito</w:t>
      </w:r>
      <w:proofErr w:type="spellEnd"/>
      <w:r w:rsidRPr="007C0AEE">
        <w:rPr>
          <w:rFonts w:asciiTheme="majorBidi" w:hAnsiTheme="majorBidi" w:cstheme="majorBidi"/>
        </w:rPr>
        <w:t xml:space="preserve">, 2019; </w:t>
      </w:r>
      <w:proofErr w:type="spellStart"/>
      <w:r w:rsidRPr="007C0AEE">
        <w:rPr>
          <w:rFonts w:asciiTheme="majorBidi" w:hAnsiTheme="majorBidi" w:cstheme="majorBidi"/>
        </w:rPr>
        <w:t>Grashuis</w:t>
      </w:r>
      <w:proofErr w:type="spellEnd"/>
      <w:r w:rsidRPr="007C0AEE">
        <w:rPr>
          <w:rFonts w:asciiTheme="majorBidi" w:hAnsiTheme="majorBidi" w:cstheme="majorBidi"/>
        </w:rPr>
        <w:t>, 2018; Ho et al., 2013; Pinochet-Chateau et al., 2005; Wolf et al., 2020). That is, the ability of a firm to minimise their costs of producing a given level of revenue. This definition is featured prominently in the literature for New Zealand dairy farms and is generally cited as a key driver of profitability (</w:t>
      </w:r>
      <w:proofErr w:type="spellStart"/>
      <w:r w:rsidRPr="007C0AEE">
        <w:rPr>
          <w:rFonts w:asciiTheme="majorBidi" w:hAnsiTheme="majorBidi" w:cstheme="majorBidi"/>
        </w:rPr>
        <w:t>Beca</w:t>
      </w:r>
      <w:proofErr w:type="spellEnd"/>
      <w:r w:rsidRPr="007C0AEE">
        <w:rPr>
          <w:rFonts w:asciiTheme="majorBidi" w:hAnsiTheme="majorBidi" w:cstheme="majorBidi"/>
        </w:rPr>
        <w:t xml:space="preserve">, 2020; </w:t>
      </w:r>
      <w:proofErr w:type="spellStart"/>
      <w:r w:rsidRPr="007C0AEE">
        <w:rPr>
          <w:rFonts w:asciiTheme="majorBidi" w:hAnsiTheme="majorBidi" w:cstheme="majorBidi"/>
        </w:rPr>
        <w:t>Doole</w:t>
      </w:r>
      <w:proofErr w:type="spellEnd"/>
      <w:r w:rsidRPr="007C0AEE">
        <w:rPr>
          <w:rFonts w:asciiTheme="majorBidi" w:hAnsiTheme="majorBidi" w:cstheme="majorBidi"/>
        </w:rPr>
        <w:t xml:space="preserve"> &amp; </w:t>
      </w:r>
      <w:proofErr w:type="spellStart"/>
      <w:r w:rsidRPr="007C0AEE">
        <w:rPr>
          <w:rFonts w:asciiTheme="majorBidi" w:hAnsiTheme="majorBidi" w:cstheme="majorBidi"/>
        </w:rPr>
        <w:t>Te</w:t>
      </w:r>
      <w:proofErr w:type="spellEnd"/>
      <w:r w:rsidRPr="007C0AEE">
        <w:rPr>
          <w:rFonts w:asciiTheme="majorBidi" w:hAnsiTheme="majorBidi" w:cstheme="majorBidi"/>
        </w:rPr>
        <w:t xml:space="preserve"> </w:t>
      </w:r>
      <w:proofErr w:type="spellStart"/>
      <w:r w:rsidRPr="007C0AEE">
        <w:rPr>
          <w:rFonts w:asciiTheme="majorBidi" w:hAnsiTheme="majorBidi" w:cstheme="majorBidi"/>
        </w:rPr>
        <w:t>Rito</w:t>
      </w:r>
      <w:proofErr w:type="spellEnd"/>
      <w:r w:rsidRPr="007C0AEE">
        <w:rPr>
          <w:rFonts w:asciiTheme="majorBidi" w:hAnsiTheme="majorBidi" w:cstheme="majorBidi"/>
        </w:rPr>
        <w:t xml:space="preserve">, 2019; Ho et al., 2013). Alternatively, some authors have defined OPM as a measure of profitability itself (Hoppe, 2014; </w:t>
      </w:r>
      <w:proofErr w:type="spellStart"/>
      <w:r w:rsidRPr="007C0AEE">
        <w:rPr>
          <w:rFonts w:asciiTheme="majorBidi" w:hAnsiTheme="majorBidi" w:cstheme="majorBidi"/>
        </w:rPr>
        <w:t>Langemeier</w:t>
      </w:r>
      <w:proofErr w:type="spellEnd"/>
      <w:r w:rsidRPr="007C0AEE">
        <w:rPr>
          <w:rFonts w:asciiTheme="majorBidi" w:hAnsiTheme="majorBidi" w:cstheme="majorBidi"/>
        </w:rPr>
        <w:t xml:space="preserve">, 2016; </w:t>
      </w:r>
      <w:proofErr w:type="spellStart"/>
      <w:r w:rsidRPr="007C0AEE">
        <w:rPr>
          <w:rFonts w:asciiTheme="majorBidi" w:hAnsiTheme="majorBidi" w:cstheme="majorBidi"/>
        </w:rPr>
        <w:t>Langemeier</w:t>
      </w:r>
      <w:proofErr w:type="spellEnd"/>
      <w:r w:rsidRPr="007C0AEE">
        <w:rPr>
          <w:rFonts w:asciiTheme="majorBidi" w:hAnsiTheme="majorBidi" w:cstheme="majorBidi"/>
        </w:rPr>
        <w:t xml:space="preserve"> &amp; Yeager, 2018; Snider &amp; </w:t>
      </w:r>
      <w:proofErr w:type="spellStart"/>
      <w:r w:rsidRPr="007C0AEE">
        <w:rPr>
          <w:rFonts w:asciiTheme="majorBidi" w:hAnsiTheme="majorBidi" w:cstheme="majorBidi"/>
        </w:rPr>
        <w:t>Langemeier</w:t>
      </w:r>
      <w:proofErr w:type="spellEnd"/>
      <w:r w:rsidRPr="007C0AEE">
        <w:rPr>
          <w:rFonts w:asciiTheme="majorBidi" w:hAnsiTheme="majorBidi" w:cstheme="majorBidi"/>
        </w:rPr>
        <w:t xml:space="preserve">, 2009; </w:t>
      </w:r>
      <w:proofErr w:type="spellStart"/>
      <w:r w:rsidRPr="007C0AEE">
        <w:rPr>
          <w:rFonts w:asciiTheme="majorBidi" w:hAnsiTheme="majorBidi" w:cstheme="majorBidi"/>
        </w:rPr>
        <w:t>Uzea</w:t>
      </w:r>
      <w:proofErr w:type="spellEnd"/>
      <w:r w:rsidRPr="007C0AEE">
        <w:rPr>
          <w:rFonts w:asciiTheme="majorBidi" w:hAnsiTheme="majorBidi" w:cstheme="majorBidi"/>
        </w:rPr>
        <w:t xml:space="preserve"> et al., 2014). This strand of the literature focuses on dairy farms in the U.S. - which exhibit large systematic differences to farms in New Zealand. As a result, this study operates on the premise that OPM measures cost efficiency - which is a driver of profitability. </w:t>
      </w:r>
    </w:p>
    <w:p w14:paraId="5D17C35E" w14:textId="77777777" w:rsidR="0044512F" w:rsidRPr="007C0AEE"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 xml:space="preserve">There are few studies in the literature which focus primarily on cost efficiency (Alvarez et al., 2008; </w:t>
      </w:r>
      <w:proofErr w:type="spellStart"/>
      <w:r w:rsidRPr="007C0AEE">
        <w:rPr>
          <w:rFonts w:asciiTheme="majorBidi" w:hAnsiTheme="majorBidi" w:cstheme="majorBidi"/>
        </w:rPr>
        <w:t>Grashuis</w:t>
      </w:r>
      <w:proofErr w:type="spellEnd"/>
      <w:r w:rsidRPr="007C0AEE">
        <w:rPr>
          <w:rFonts w:asciiTheme="majorBidi" w:hAnsiTheme="majorBidi" w:cstheme="majorBidi"/>
        </w:rPr>
        <w:t xml:space="preserve">, 2018; Jiang &amp; </w:t>
      </w:r>
      <w:proofErr w:type="spellStart"/>
      <w:r w:rsidRPr="007C0AEE">
        <w:rPr>
          <w:rFonts w:asciiTheme="majorBidi" w:hAnsiTheme="majorBidi" w:cstheme="majorBidi"/>
        </w:rPr>
        <w:t>Sharb</w:t>
      </w:r>
      <w:proofErr w:type="spellEnd"/>
      <w:r w:rsidRPr="007C0AEE">
        <w:rPr>
          <w:rFonts w:asciiTheme="majorBidi" w:hAnsiTheme="majorBidi" w:cstheme="majorBidi"/>
        </w:rPr>
        <w:t>., 2014; Yeager, 2016). Only two studies that we are aware of are centred around OPM as the measure of cost efficiency (</w:t>
      </w:r>
      <w:proofErr w:type="spellStart"/>
      <w:r w:rsidRPr="007C0AEE">
        <w:rPr>
          <w:rFonts w:asciiTheme="majorBidi" w:hAnsiTheme="majorBidi" w:cstheme="majorBidi"/>
        </w:rPr>
        <w:t>Grashuis</w:t>
      </w:r>
      <w:proofErr w:type="spellEnd"/>
      <w:r w:rsidRPr="007C0AEE">
        <w:rPr>
          <w:rFonts w:asciiTheme="majorBidi" w:hAnsiTheme="majorBidi" w:cstheme="majorBidi"/>
        </w:rPr>
        <w:t xml:space="preserve">, 2018; Wolf et al., 2020) and these studies are based on U.S. farms (Wolf et al., 2020) and U.S. farm </w:t>
      </w:r>
      <w:r w:rsidRPr="007C0AEE">
        <w:rPr>
          <w:rFonts w:asciiTheme="majorBidi" w:hAnsiTheme="majorBidi" w:cstheme="majorBidi"/>
        </w:rPr>
        <w:lastRenderedPageBreak/>
        <w:t>cooperatives (</w:t>
      </w:r>
      <w:proofErr w:type="spellStart"/>
      <w:r w:rsidRPr="007C0AEE">
        <w:rPr>
          <w:rFonts w:asciiTheme="majorBidi" w:hAnsiTheme="majorBidi" w:cstheme="majorBidi"/>
        </w:rPr>
        <w:t>Grashuis</w:t>
      </w:r>
      <w:proofErr w:type="spellEnd"/>
      <w:r w:rsidRPr="007C0AEE">
        <w:rPr>
          <w:rFonts w:asciiTheme="majorBidi" w:hAnsiTheme="majorBidi" w:cstheme="majorBidi"/>
        </w:rPr>
        <w:t xml:space="preserve">, 2018). Research on cost efficiency for New Zealand farms has been limited to stochastic cost frontier analysis (Jiang &amp; </w:t>
      </w:r>
      <w:proofErr w:type="spellStart"/>
      <w:r w:rsidRPr="007C0AEE">
        <w:rPr>
          <w:rFonts w:asciiTheme="majorBidi" w:hAnsiTheme="majorBidi" w:cstheme="majorBidi"/>
        </w:rPr>
        <w:t>Sharb</w:t>
      </w:r>
      <w:proofErr w:type="spellEnd"/>
      <w:r w:rsidRPr="007C0AEE">
        <w:rPr>
          <w:rFonts w:asciiTheme="majorBidi" w:hAnsiTheme="majorBidi" w:cstheme="majorBidi"/>
        </w:rPr>
        <w:t>., 2014). Moreover, efficiency papers for New Zealand farms to date have predominantly focussed on technical efficiency (Ho et al., 2013; Ma et al., 2018). Our work addresses this gap by providing deeper insights into cost efficiency, using OPM as a novel measure for New Zealand farms.</w:t>
      </w:r>
    </w:p>
    <w:p w14:paraId="73AEE03C" w14:textId="77777777" w:rsidR="0044512F" w:rsidRPr="00631DCC" w:rsidRDefault="0044512F" w:rsidP="0044512F">
      <w:pPr>
        <w:spacing w:line="288" w:lineRule="auto"/>
        <w:rPr>
          <w:rFonts w:asciiTheme="majorBidi" w:hAnsiTheme="majorBidi" w:cstheme="majorBidi"/>
          <w:b/>
          <w:bCs/>
        </w:rPr>
      </w:pPr>
      <w:bookmarkStart w:id="3" w:name="_Toc64014171"/>
      <w:r w:rsidRPr="00631DCC">
        <w:rPr>
          <w:rFonts w:asciiTheme="majorBidi" w:hAnsiTheme="majorBidi" w:cstheme="majorBidi"/>
          <w:b/>
          <w:bCs/>
        </w:rPr>
        <w:t>2.3 OPM and benchmarking performance</w:t>
      </w:r>
      <w:bookmarkEnd w:id="3"/>
    </w:p>
    <w:p w14:paraId="16DD5E01" w14:textId="77777777" w:rsidR="0044512F" w:rsidRPr="007C0AEE" w:rsidRDefault="0044512F" w:rsidP="0044512F">
      <w:pPr>
        <w:spacing w:after="100" w:afterAutospacing="1" w:line="288" w:lineRule="auto"/>
        <w:jc w:val="both"/>
        <w:rPr>
          <w:rFonts w:asciiTheme="majorBidi" w:hAnsiTheme="majorBidi" w:cstheme="majorBidi"/>
        </w:rPr>
      </w:pPr>
      <w:r w:rsidRPr="007C0AEE">
        <w:rPr>
          <w:rFonts w:asciiTheme="majorBidi" w:hAnsiTheme="majorBidi" w:cstheme="majorBidi"/>
        </w:rPr>
        <w:t>OPM is a practical tool that can be used to benchmark farms by financial performance (</w:t>
      </w:r>
      <w:proofErr w:type="spellStart"/>
      <w:r w:rsidRPr="007C0AEE">
        <w:rPr>
          <w:rFonts w:asciiTheme="majorBidi" w:hAnsiTheme="majorBidi" w:cstheme="majorBidi"/>
        </w:rPr>
        <w:t>Langemeier</w:t>
      </w:r>
      <w:proofErr w:type="spellEnd"/>
      <w:r w:rsidRPr="007C0AEE">
        <w:rPr>
          <w:rFonts w:asciiTheme="majorBidi" w:hAnsiTheme="majorBidi" w:cstheme="majorBidi"/>
        </w:rPr>
        <w:t xml:space="preserve"> &amp; Yeager, 2018). OPM has the benefit of being a transferable benchmark, both globally and cross-industry, due to its widespread use and the robustness of the DuPont formulation (</w:t>
      </w:r>
      <w:proofErr w:type="spellStart"/>
      <w:r w:rsidRPr="007C0AEE">
        <w:rPr>
          <w:rFonts w:asciiTheme="majorBidi" w:hAnsiTheme="majorBidi" w:cstheme="majorBidi"/>
        </w:rPr>
        <w:t>Doole</w:t>
      </w:r>
      <w:proofErr w:type="spellEnd"/>
      <w:r w:rsidRPr="007C0AEE">
        <w:rPr>
          <w:rFonts w:asciiTheme="majorBidi" w:hAnsiTheme="majorBidi" w:cstheme="majorBidi"/>
        </w:rPr>
        <w:t xml:space="preserve"> &amp; </w:t>
      </w:r>
      <w:proofErr w:type="spellStart"/>
      <w:r w:rsidRPr="007C0AEE">
        <w:rPr>
          <w:rFonts w:asciiTheme="majorBidi" w:hAnsiTheme="majorBidi" w:cstheme="majorBidi"/>
        </w:rPr>
        <w:t>Te</w:t>
      </w:r>
      <w:proofErr w:type="spellEnd"/>
      <w:r w:rsidRPr="007C0AEE">
        <w:rPr>
          <w:rFonts w:asciiTheme="majorBidi" w:hAnsiTheme="majorBidi" w:cstheme="majorBidi"/>
        </w:rPr>
        <w:t xml:space="preserve"> </w:t>
      </w:r>
      <w:proofErr w:type="spellStart"/>
      <w:r w:rsidRPr="007C0AEE">
        <w:rPr>
          <w:rFonts w:asciiTheme="majorBidi" w:hAnsiTheme="majorBidi" w:cstheme="majorBidi"/>
        </w:rPr>
        <w:t>Rito</w:t>
      </w:r>
      <w:proofErr w:type="spellEnd"/>
      <w:r w:rsidRPr="007C0AEE">
        <w:rPr>
          <w:rFonts w:asciiTheme="majorBidi" w:hAnsiTheme="majorBidi" w:cstheme="majorBidi"/>
        </w:rPr>
        <w:t xml:space="preserve">, 2019). Despite this, most longitudinal benchmarking studies have used incomplete panel data, which inhibits analysis on how OPM varies at the farm-level with time (Jiang &amp; </w:t>
      </w:r>
      <w:proofErr w:type="spellStart"/>
      <w:r w:rsidRPr="007C0AEE">
        <w:rPr>
          <w:rFonts w:asciiTheme="majorBidi" w:hAnsiTheme="majorBidi" w:cstheme="majorBidi"/>
        </w:rPr>
        <w:t>Sharb</w:t>
      </w:r>
      <w:proofErr w:type="spellEnd"/>
      <w:r w:rsidRPr="007C0AEE">
        <w:rPr>
          <w:rFonts w:asciiTheme="majorBidi" w:hAnsiTheme="majorBidi" w:cstheme="majorBidi"/>
        </w:rPr>
        <w:t>., 2014; Ma et al., 2018). However, a novel study of farms in Kansas, U.S., used a complete panel to investigate how OPM varies with time (Wolf et al., 2020). They find that using a single year to benchmark farms is inaccurate and misrepresentative of the true relative financial performance of farms. This is consistent with previous work (</w:t>
      </w:r>
      <w:proofErr w:type="spellStart"/>
      <w:r w:rsidRPr="007C0AEE">
        <w:rPr>
          <w:rFonts w:asciiTheme="majorBidi" w:hAnsiTheme="majorBidi" w:cstheme="majorBidi"/>
        </w:rPr>
        <w:t>Langemeier</w:t>
      </w:r>
      <w:proofErr w:type="spellEnd"/>
      <w:r w:rsidRPr="007C0AEE">
        <w:rPr>
          <w:rFonts w:asciiTheme="majorBidi" w:hAnsiTheme="majorBidi" w:cstheme="majorBidi"/>
        </w:rPr>
        <w:t xml:space="preserve">, 2010, 2016; Mishra et al., 2012; Yeager et al., 2016) demonstrating that OPM is subject to external shocks and a central value ought to be taken to improve the accuracy of farm performance categorisation. </w:t>
      </w:r>
    </w:p>
    <w:p w14:paraId="456BF7BF" w14:textId="77777777" w:rsidR="0044512F" w:rsidRPr="007C0AEE"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Wolf et al. (2020) use a five-year farm average of OPM for benchmarking purposes. They decompose variation in OPM over time into three effects: the firm effect, the industry effect and an error term. However, the error term was the largest effect, which suggests future models need to be refined to include more detail. We build on the work of Wolf et al. (2020) by benchmarking farms and developing a fixed effects model for OPM which uses a complete 10-year panel dataset and has a high degree of explanatory power. Furthermore, we perform robust Games-Howell hypothesis testing to investigate differences between the benchmarked groups. As far as we are aware, our work is the first time OPM and cost efficiency has been examined over time for New Zealand dairy farms, and even pasture-based dairy farming industries.</w:t>
      </w:r>
    </w:p>
    <w:p w14:paraId="5A0C3ABE" w14:textId="77777777" w:rsidR="0044512F" w:rsidRPr="00631DCC" w:rsidRDefault="0044512F" w:rsidP="0044512F">
      <w:pPr>
        <w:spacing w:line="288" w:lineRule="auto"/>
        <w:rPr>
          <w:rFonts w:asciiTheme="majorBidi" w:hAnsiTheme="majorBidi" w:cstheme="majorBidi"/>
          <w:b/>
          <w:bCs/>
        </w:rPr>
      </w:pPr>
      <w:bookmarkStart w:id="4" w:name="_Toc64014172"/>
      <w:r w:rsidRPr="00631DCC">
        <w:rPr>
          <w:rFonts w:asciiTheme="majorBidi" w:hAnsiTheme="majorBidi" w:cstheme="majorBidi"/>
          <w:b/>
          <w:bCs/>
        </w:rPr>
        <w:t>2.4 Factors impacting OPM</w:t>
      </w:r>
      <w:bookmarkEnd w:id="4"/>
    </w:p>
    <w:p w14:paraId="22367B7E" w14:textId="77777777" w:rsidR="0044512F" w:rsidRPr="007C0AEE" w:rsidRDefault="0044512F" w:rsidP="0044512F">
      <w:pPr>
        <w:spacing w:after="100" w:afterAutospacing="1" w:line="288" w:lineRule="auto"/>
        <w:jc w:val="both"/>
        <w:rPr>
          <w:rFonts w:asciiTheme="majorBidi" w:hAnsiTheme="majorBidi" w:cstheme="majorBidi"/>
        </w:rPr>
      </w:pPr>
      <w:r w:rsidRPr="007C0AEE">
        <w:rPr>
          <w:rFonts w:asciiTheme="majorBidi" w:hAnsiTheme="majorBidi" w:cstheme="majorBidi"/>
        </w:rPr>
        <w:t xml:space="preserve">Snider and </w:t>
      </w:r>
      <w:proofErr w:type="spellStart"/>
      <w:r w:rsidRPr="007C0AEE">
        <w:rPr>
          <w:rFonts w:asciiTheme="majorBidi" w:hAnsiTheme="majorBidi" w:cstheme="majorBidi"/>
        </w:rPr>
        <w:t>Langemeier</w:t>
      </w:r>
      <w:proofErr w:type="spellEnd"/>
      <w:r w:rsidRPr="007C0AEE">
        <w:rPr>
          <w:rFonts w:asciiTheme="majorBidi" w:hAnsiTheme="majorBidi" w:cstheme="majorBidi"/>
        </w:rPr>
        <w:t xml:space="preserve"> (2009) find that OPM is positively correlated with farm size, which aligns with work done by Mishra et al. (2012). They also indicate that profitability is influenced by farm size. Both studies were done with U.S. farm data and directly contradict research by </w:t>
      </w:r>
      <w:proofErr w:type="spellStart"/>
      <w:r w:rsidRPr="007C0AEE">
        <w:rPr>
          <w:rFonts w:asciiTheme="majorBidi" w:hAnsiTheme="majorBidi" w:cstheme="majorBidi"/>
        </w:rPr>
        <w:t>Beca</w:t>
      </w:r>
      <w:proofErr w:type="spellEnd"/>
      <w:r w:rsidRPr="007C0AEE">
        <w:rPr>
          <w:rFonts w:asciiTheme="majorBidi" w:hAnsiTheme="majorBidi" w:cstheme="majorBidi"/>
        </w:rPr>
        <w:t xml:space="preserve"> (2020) who show that there was no relationship between farm size and profitability for Australian farms. However, Jiang and </w:t>
      </w:r>
      <w:proofErr w:type="spellStart"/>
      <w:r w:rsidRPr="007C0AEE">
        <w:rPr>
          <w:rFonts w:asciiTheme="majorBidi" w:hAnsiTheme="majorBidi" w:cstheme="majorBidi"/>
        </w:rPr>
        <w:t>Sharb</w:t>
      </w:r>
      <w:proofErr w:type="spellEnd"/>
      <w:r w:rsidRPr="007C0AEE">
        <w:rPr>
          <w:rFonts w:asciiTheme="majorBidi" w:hAnsiTheme="majorBidi" w:cstheme="majorBidi"/>
        </w:rPr>
        <w:t xml:space="preserve"> (2014) demonstrate that cost efficiency (using an alternative measure to OPM) increases with farm size and operator experience. However, U.S. farms operate on an intensive feedlot production system whilst New Zealand and Australian farms are predominantly pasture based.</w:t>
      </w:r>
    </w:p>
    <w:p w14:paraId="1F2C5CE7" w14:textId="77777777" w:rsidR="0044512F" w:rsidRPr="007C0AEE"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lastRenderedPageBreak/>
        <w:t xml:space="preserve">Studies suggest that high OPMs may be associated with increased business risk within a dairy industry (Alvarez et al., 2008; Hedley and </w:t>
      </w:r>
      <w:proofErr w:type="spellStart"/>
      <w:r w:rsidRPr="007C0AEE">
        <w:rPr>
          <w:rFonts w:asciiTheme="majorBidi" w:hAnsiTheme="majorBidi" w:cstheme="majorBidi"/>
        </w:rPr>
        <w:t>Kolver</w:t>
      </w:r>
      <w:proofErr w:type="spellEnd"/>
      <w:r w:rsidRPr="007C0AEE">
        <w:rPr>
          <w:rFonts w:asciiTheme="majorBidi" w:hAnsiTheme="majorBidi" w:cstheme="majorBidi"/>
        </w:rPr>
        <w:t xml:space="preserve">, 2016). Conversely, Pinochet-Chateau et al. (2005) show that farms with lower OPMs have greater financial risk measured by </w:t>
      </w:r>
      <w:proofErr w:type="spellStart"/>
      <w:r w:rsidRPr="007C0AEE">
        <w:rPr>
          <w:rFonts w:asciiTheme="majorBidi" w:hAnsiTheme="majorBidi" w:cstheme="majorBidi"/>
        </w:rPr>
        <w:t>RoE</w:t>
      </w:r>
      <w:proofErr w:type="spellEnd"/>
      <w:r w:rsidRPr="007C0AEE">
        <w:rPr>
          <w:rFonts w:asciiTheme="majorBidi" w:hAnsiTheme="majorBidi" w:cstheme="majorBidi"/>
        </w:rPr>
        <w:t xml:space="preserve"> - a generally accepted proxy for financial risk. This supports Gabriel and Baker’s (1980) notion that farms can substitute between business and financial risk. Consequently, risk preferences and attitudes will likely have an impact on OPM. This is corroborated by Yeager (2016), who shows that farm inefficiencies will be inaccurately exacerbated if risk preferences are not accounted for. Yeager (2016) uses a non-parametric approach to efficiency and there are no studies to our knowledge that account for risk when analysing farm OPMs. </w:t>
      </w:r>
    </w:p>
    <w:p w14:paraId="03F4D261" w14:textId="77777777" w:rsidR="0044512F" w:rsidRPr="007C0AEE"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Generally, the literature agrees that OPM is positively correlated with profitability, measured by return on assets (</w:t>
      </w:r>
      <w:proofErr w:type="spellStart"/>
      <w:r w:rsidRPr="007C0AEE">
        <w:rPr>
          <w:rFonts w:asciiTheme="majorBidi" w:hAnsiTheme="majorBidi" w:cstheme="majorBidi"/>
        </w:rPr>
        <w:t>RoA</w:t>
      </w:r>
      <w:proofErr w:type="spellEnd"/>
      <w:r w:rsidRPr="007C0AEE">
        <w:rPr>
          <w:rFonts w:asciiTheme="majorBidi" w:hAnsiTheme="majorBidi" w:cstheme="majorBidi"/>
        </w:rPr>
        <w:t>) or equity (</w:t>
      </w:r>
      <w:proofErr w:type="spellStart"/>
      <w:r w:rsidRPr="007C0AEE">
        <w:rPr>
          <w:rFonts w:asciiTheme="majorBidi" w:hAnsiTheme="majorBidi" w:cstheme="majorBidi"/>
        </w:rPr>
        <w:t>RoE</w:t>
      </w:r>
      <w:proofErr w:type="spellEnd"/>
      <w:r w:rsidRPr="007C0AEE">
        <w:rPr>
          <w:rFonts w:asciiTheme="majorBidi" w:hAnsiTheme="majorBidi" w:cstheme="majorBidi"/>
        </w:rPr>
        <w:t>). This conclusion is expected, given the DuPont formulation formally relates these parameters (</w:t>
      </w:r>
      <w:proofErr w:type="spellStart"/>
      <w:r w:rsidRPr="007C0AEE">
        <w:rPr>
          <w:rFonts w:asciiTheme="majorBidi" w:hAnsiTheme="majorBidi" w:cstheme="majorBidi"/>
        </w:rPr>
        <w:t>Beca</w:t>
      </w:r>
      <w:proofErr w:type="spellEnd"/>
      <w:r w:rsidRPr="007C0AEE">
        <w:rPr>
          <w:rFonts w:asciiTheme="majorBidi" w:hAnsiTheme="majorBidi" w:cstheme="majorBidi"/>
        </w:rPr>
        <w:t xml:space="preserve">, 2020; </w:t>
      </w:r>
      <w:proofErr w:type="spellStart"/>
      <w:r w:rsidRPr="007C0AEE">
        <w:rPr>
          <w:rFonts w:asciiTheme="majorBidi" w:hAnsiTheme="majorBidi" w:cstheme="majorBidi"/>
        </w:rPr>
        <w:t>Grashuis</w:t>
      </w:r>
      <w:proofErr w:type="spellEnd"/>
      <w:r w:rsidRPr="007C0AEE">
        <w:rPr>
          <w:rFonts w:asciiTheme="majorBidi" w:hAnsiTheme="majorBidi" w:cstheme="majorBidi"/>
        </w:rPr>
        <w:t>, 2018; Ma et al., 2018; Mishra et al., 2012). Adopting a different approach, Fairfield and Yohan’s (2001) find that OPM is uncorrelated with future profitability.</w:t>
      </w:r>
    </w:p>
    <w:p w14:paraId="62377926" w14:textId="77777777" w:rsidR="0044512F" w:rsidRPr="007C0AEE"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 xml:space="preserve">Ma et al. (2018) finds that OPM fell with intensification and </w:t>
      </w:r>
      <w:proofErr w:type="spellStart"/>
      <w:r w:rsidRPr="007C0AEE">
        <w:rPr>
          <w:rFonts w:asciiTheme="majorBidi" w:hAnsiTheme="majorBidi" w:cstheme="majorBidi"/>
        </w:rPr>
        <w:t>RoA</w:t>
      </w:r>
      <w:proofErr w:type="spellEnd"/>
      <w:r w:rsidRPr="007C0AEE">
        <w:rPr>
          <w:rFonts w:asciiTheme="majorBidi" w:hAnsiTheme="majorBidi" w:cstheme="majorBidi"/>
        </w:rPr>
        <w:t xml:space="preserve"> was unchanged, Shadbolt (2012) states that there was no correlation between OPM and intensity and Ho et al. (2013) find that </w:t>
      </w:r>
      <w:proofErr w:type="spellStart"/>
      <w:r w:rsidRPr="007C0AEE">
        <w:rPr>
          <w:rFonts w:asciiTheme="majorBidi" w:hAnsiTheme="majorBidi" w:cstheme="majorBidi"/>
        </w:rPr>
        <w:t>RoA</w:t>
      </w:r>
      <w:proofErr w:type="spellEnd"/>
      <w:r w:rsidRPr="007C0AEE">
        <w:rPr>
          <w:rFonts w:asciiTheme="majorBidi" w:hAnsiTheme="majorBidi" w:cstheme="majorBidi"/>
        </w:rPr>
        <w:t xml:space="preserve"> (inherently linked to OPM) increases with intensification. These studies focus on pasture-based dairy farms. Mishra et al. (2012) find positive correlations between OPM and operator education, farm size and diversification.</w:t>
      </w:r>
    </w:p>
    <w:p w14:paraId="052FA390" w14:textId="77777777" w:rsidR="0044512F" w:rsidRPr="00631DCC" w:rsidRDefault="0044512F" w:rsidP="0044512F">
      <w:pPr>
        <w:spacing w:line="288" w:lineRule="auto"/>
        <w:rPr>
          <w:rFonts w:asciiTheme="majorBidi" w:hAnsiTheme="majorBidi" w:cstheme="majorBidi"/>
          <w:b/>
          <w:bCs/>
        </w:rPr>
      </w:pPr>
      <w:bookmarkStart w:id="5" w:name="_Toc64014173"/>
      <w:r w:rsidRPr="00631DCC">
        <w:rPr>
          <w:rFonts w:asciiTheme="majorBidi" w:hAnsiTheme="majorBidi" w:cstheme="majorBidi"/>
          <w:b/>
          <w:bCs/>
        </w:rPr>
        <w:t>2.5 Risk attitude</w:t>
      </w:r>
      <w:bookmarkEnd w:id="5"/>
    </w:p>
    <w:p w14:paraId="0FA28F5A" w14:textId="77777777" w:rsidR="0044512F" w:rsidRPr="007C0AEE" w:rsidRDefault="0044512F" w:rsidP="0044512F">
      <w:pPr>
        <w:spacing w:after="100" w:afterAutospacing="1" w:line="288" w:lineRule="auto"/>
        <w:jc w:val="both"/>
        <w:rPr>
          <w:rFonts w:asciiTheme="majorBidi" w:hAnsiTheme="majorBidi" w:cstheme="majorBidi"/>
        </w:rPr>
      </w:pPr>
      <w:r w:rsidRPr="007C0AEE">
        <w:rPr>
          <w:rFonts w:asciiTheme="majorBidi" w:hAnsiTheme="majorBidi" w:cstheme="majorBidi"/>
        </w:rPr>
        <w:t>Dairy farming has uncertainty and is risk prevalent in many areas (such as production, marketing and financing). Consequently, farmers and analysts are interested in the sources of risk, how such risk is managed and how farmers’ risk preferences vary.  Pinochet-Chateau et al. (2005) show that OPM is negatively correlated with risk exposure. Other authors have shown that financial performance (cost efficiency is one example) is a key tool in managing farm risk (</w:t>
      </w:r>
      <w:proofErr w:type="spellStart"/>
      <w:r w:rsidRPr="007C0AEE">
        <w:rPr>
          <w:rFonts w:asciiTheme="majorBidi" w:hAnsiTheme="majorBidi" w:cstheme="majorBidi"/>
        </w:rPr>
        <w:t>Bardhan</w:t>
      </w:r>
      <w:proofErr w:type="spellEnd"/>
      <w:r w:rsidRPr="007C0AEE">
        <w:rPr>
          <w:rFonts w:asciiTheme="majorBidi" w:hAnsiTheme="majorBidi" w:cstheme="majorBidi"/>
        </w:rPr>
        <w:t xml:space="preserve"> et al., 2006; </w:t>
      </w:r>
      <w:proofErr w:type="spellStart"/>
      <w:r w:rsidRPr="007C0AEE">
        <w:rPr>
          <w:rFonts w:asciiTheme="majorBidi" w:hAnsiTheme="majorBidi" w:cstheme="majorBidi"/>
        </w:rPr>
        <w:t>Flaten</w:t>
      </w:r>
      <w:proofErr w:type="spellEnd"/>
      <w:r w:rsidRPr="007C0AEE">
        <w:rPr>
          <w:rFonts w:asciiTheme="majorBidi" w:hAnsiTheme="majorBidi" w:cstheme="majorBidi"/>
        </w:rPr>
        <w:t xml:space="preserve"> et al., 2005). Consequently, we would expect financial performance measures (such as OPM) to be correlated with risk attitude. Therefore, we include an indicator of risk attitude in our analysis of OPM.</w:t>
      </w:r>
    </w:p>
    <w:p w14:paraId="6A622079" w14:textId="77777777" w:rsidR="0044512F" w:rsidRPr="007C0AEE"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In agricultural literature, risk is often divided into two categories: financial risk and business risk. Financial risk relates to the capital structure of a farm and how it has been financed (Collins, 1985; Farina et al., 2013; Hardaker et al., 2004). Conversely, business risk can be defined as the aggregate remaining uncertainty relating to production, milk price, input prices and climate (Farina et al., 2013; Hardaker et al., 2004).</w:t>
      </w:r>
    </w:p>
    <w:p w14:paraId="5184A550" w14:textId="77777777" w:rsidR="0044512F" w:rsidRPr="007C0AEE"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 xml:space="preserve">In the DuPont formulation for the </w:t>
      </w:r>
      <w:proofErr w:type="spellStart"/>
      <w:r w:rsidRPr="007C0AEE">
        <w:rPr>
          <w:rFonts w:asciiTheme="majorBidi" w:hAnsiTheme="majorBidi" w:cstheme="majorBidi"/>
        </w:rPr>
        <w:t>RoE</w:t>
      </w:r>
      <w:proofErr w:type="spellEnd"/>
      <w:r w:rsidRPr="007C0AEE">
        <w:rPr>
          <w:rFonts w:asciiTheme="majorBidi" w:hAnsiTheme="majorBidi" w:cstheme="majorBidi"/>
        </w:rPr>
        <w:t xml:space="preserve">, the leverage and asset turnover ratios should incorporate the financial risk of the farm (as these ratios relate to the capital structure of the farm). Consequently, it appears reasonable to suggest that the variation in OPM would represent business risk. OPM incorporates farm revenues and farm costs, which are influenced </w:t>
      </w:r>
      <w:r w:rsidRPr="007C0AEE">
        <w:rPr>
          <w:rFonts w:asciiTheme="majorBidi" w:hAnsiTheme="majorBidi" w:cstheme="majorBidi"/>
        </w:rPr>
        <w:lastRenderedPageBreak/>
        <w:t>by the elements included in the business risk definition (production, prices, and climate). Further, there is support for using the standard deviation of outcome variables as an indicator of risk in agriculture (</w:t>
      </w:r>
      <w:proofErr w:type="spellStart"/>
      <w:r w:rsidRPr="007C0AEE">
        <w:rPr>
          <w:rFonts w:asciiTheme="majorBidi" w:hAnsiTheme="majorBidi" w:cstheme="majorBidi"/>
        </w:rPr>
        <w:t>Sulewski</w:t>
      </w:r>
      <w:proofErr w:type="spellEnd"/>
      <w:r w:rsidRPr="007C0AEE">
        <w:rPr>
          <w:rFonts w:asciiTheme="majorBidi" w:hAnsiTheme="majorBidi" w:cstheme="majorBidi"/>
        </w:rPr>
        <w:t xml:space="preserve"> et al., 2020). In banking, the standard deviation of OPM has been used as a measure of risk associated with businesses (Yu et al., 2019). Given the universality of the DuPont formulation (</w:t>
      </w:r>
      <w:proofErr w:type="spellStart"/>
      <w:r w:rsidRPr="007C0AEE">
        <w:rPr>
          <w:rFonts w:asciiTheme="majorBidi" w:hAnsiTheme="majorBidi" w:cstheme="majorBidi"/>
        </w:rPr>
        <w:t>Doole</w:t>
      </w:r>
      <w:proofErr w:type="spellEnd"/>
      <w:r w:rsidRPr="007C0AEE">
        <w:rPr>
          <w:rFonts w:asciiTheme="majorBidi" w:hAnsiTheme="majorBidi" w:cstheme="majorBidi"/>
        </w:rPr>
        <w:t xml:space="preserve"> &amp; </w:t>
      </w:r>
      <w:proofErr w:type="spellStart"/>
      <w:r w:rsidRPr="007C0AEE">
        <w:rPr>
          <w:rFonts w:asciiTheme="majorBidi" w:hAnsiTheme="majorBidi" w:cstheme="majorBidi"/>
        </w:rPr>
        <w:t>Te</w:t>
      </w:r>
      <w:proofErr w:type="spellEnd"/>
      <w:r w:rsidRPr="007C0AEE">
        <w:rPr>
          <w:rFonts w:asciiTheme="majorBidi" w:hAnsiTheme="majorBidi" w:cstheme="majorBidi"/>
        </w:rPr>
        <w:t xml:space="preserve"> </w:t>
      </w:r>
      <w:proofErr w:type="spellStart"/>
      <w:r w:rsidRPr="007C0AEE">
        <w:rPr>
          <w:rFonts w:asciiTheme="majorBidi" w:hAnsiTheme="majorBidi" w:cstheme="majorBidi"/>
        </w:rPr>
        <w:t>Rito</w:t>
      </w:r>
      <w:proofErr w:type="spellEnd"/>
      <w:r w:rsidRPr="007C0AEE">
        <w:rPr>
          <w:rFonts w:asciiTheme="majorBidi" w:hAnsiTheme="majorBidi" w:cstheme="majorBidi"/>
        </w:rPr>
        <w:t>, 2019), work by Yu et al. (2019) supports the use of the standard deviation of OPM as a measure of business risk in agriculture.</w:t>
      </w:r>
    </w:p>
    <w:p w14:paraId="68C6C25B" w14:textId="44365BAE" w:rsidR="0044512F" w:rsidRPr="007C0AEE" w:rsidRDefault="0044512F" w:rsidP="00F42619">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 xml:space="preserve">As far as we are aware, this is the first paper to analyse the relationship between risk preferences and OPM on dairy farms. However, future research can extend our work by calculating robust empirical risk aversion coefficients and modelling these in OPM models. Abdullahi (2003) and </w:t>
      </w:r>
      <w:proofErr w:type="spellStart"/>
      <w:r w:rsidRPr="007C0AEE">
        <w:rPr>
          <w:rFonts w:asciiTheme="majorBidi" w:hAnsiTheme="majorBidi" w:cstheme="majorBidi"/>
        </w:rPr>
        <w:t>Saha</w:t>
      </w:r>
      <w:proofErr w:type="spellEnd"/>
      <w:r w:rsidRPr="007C0AEE">
        <w:rPr>
          <w:rFonts w:asciiTheme="majorBidi" w:hAnsiTheme="majorBidi" w:cstheme="majorBidi"/>
        </w:rPr>
        <w:t xml:space="preserve"> (1997) present an excellent formulation for this type of analysis. An applied analysis of the dairy sector using such a method would merit a separate paper in itself.</w:t>
      </w:r>
      <w:r w:rsidR="007C1894">
        <w:rPr>
          <w:rFonts w:asciiTheme="majorBidi" w:hAnsiTheme="majorBidi" w:cstheme="majorBidi"/>
        </w:rPr>
        <w:br/>
      </w:r>
    </w:p>
    <w:p w14:paraId="2C1B0429" w14:textId="77777777" w:rsidR="0044512F" w:rsidRPr="00631DCC" w:rsidRDefault="0044512F" w:rsidP="0044512F">
      <w:pPr>
        <w:spacing w:line="288" w:lineRule="auto"/>
        <w:rPr>
          <w:rFonts w:asciiTheme="majorBidi" w:hAnsiTheme="majorBidi" w:cstheme="majorBidi"/>
          <w:b/>
          <w:bCs/>
        </w:rPr>
      </w:pPr>
      <w:bookmarkStart w:id="6" w:name="_Toc64014174"/>
      <w:r w:rsidRPr="00631DCC">
        <w:rPr>
          <w:rFonts w:asciiTheme="majorBidi" w:hAnsiTheme="majorBidi" w:cstheme="majorBidi"/>
          <w:b/>
          <w:bCs/>
        </w:rPr>
        <w:t>3. Data</w:t>
      </w:r>
      <w:bookmarkEnd w:id="6"/>
    </w:p>
    <w:p w14:paraId="237B7057" w14:textId="77777777" w:rsidR="0044512F" w:rsidRPr="007C0AEE" w:rsidRDefault="0044512F" w:rsidP="0044512F">
      <w:pPr>
        <w:spacing w:after="100" w:afterAutospacing="1" w:line="288" w:lineRule="auto"/>
        <w:jc w:val="both"/>
        <w:rPr>
          <w:rFonts w:asciiTheme="majorBidi" w:hAnsiTheme="majorBidi" w:cstheme="majorBidi"/>
        </w:rPr>
      </w:pPr>
      <w:r w:rsidRPr="007C0AEE">
        <w:rPr>
          <w:rFonts w:asciiTheme="majorBidi" w:hAnsiTheme="majorBidi" w:cstheme="majorBidi"/>
        </w:rPr>
        <w:t xml:space="preserve">We source our data from </w:t>
      </w:r>
      <w:proofErr w:type="spellStart"/>
      <w:r w:rsidRPr="007C0AEE">
        <w:rPr>
          <w:rFonts w:asciiTheme="majorBidi" w:hAnsiTheme="majorBidi" w:cstheme="majorBidi"/>
        </w:rPr>
        <w:t>Doole</w:t>
      </w:r>
      <w:proofErr w:type="spellEnd"/>
      <w:r w:rsidRPr="007C0AEE">
        <w:rPr>
          <w:rFonts w:asciiTheme="majorBidi" w:hAnsiTheme="majorBidi" w:cstheme="majorBidi"/>
        </w:rPr>
        <w:t xml:space="preserve"> et al. (2021), who draw on sample and population data to develop a complete picture of the New Zealand dairy farming population. They take population data from the Livestock Improvement Corporation (LIC, a farmer-owned co-operative responsible for herd improvement and other production activities) for the 2018/19 season. They then build a picture of the population over 10 years by using a sample dataset from the more detailed industry dataset </w:t>
      </w:r>
      <w:proofErr w:type="spellStart"/>
      <w:r w:rsidRPr="007C0AEE">
        <w:rPr>
          <w:rFonts w:asciiTheme="majorBidi" w:hAnsiTheme="majorBidi" w:cstheme="majorBidi"/>
        </w:rPr>
        <w:t>DairyBase</w:t>
      </w:r>
      <w:proofErr w:type="spellEnd"/>
      <w:r w:rsidRPr="007C0AEE">
        <w:rPr>
          <w:rFonts w:asciiTheme="majorBidi" w:hAnsiTheme="majorBidi" w:cstheme="majorBidi"/>
        </w:rPr>
        <w:t>, which is made representative by removing outliers and using a binary optimisation process for each year. The data are simulated for the entire population, at a farm level, over the 10 years for key economic farm variables while preserving population distributions in key variables in the LIC dataset. The milk price included is the observed milk price for farmers over the 10 years, and all input cost data are deflated using the Farm Expenses Price Index, generated by the government statisticians, Statistics New Zealand. Biophysical variables are estimated using a dynamic, simulation-based framework that models the biophysical interdependencies on the farm. This detailed model is calibrated using real data.</w:t>
      </w:r>
    </w:p>
    <w:p w14:paraId="51916C1B" w14:textId="77777777" w:rsidR="0044512F" w:rsidRPr="007C0AEE"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 xml:space="preserve">The dataset we use is the best dataset available to us of the New Zealand dairy farm population over time. It utilises two major dairy datasets and brings them together, leveraging the strengths of both. </w:t>
      </w:r>
      <w:proofErr w:type="spellStart"/>
      <w:r w:rsidRPr="007C0AEE">
        <w:rPr>
          <w:rFonts w:asciiTheme="majorBidi" w:hAnsiTheme="majorBidi" w:cstheme="majorBidi"/>
        </w:rPr>
        <w:t>Dairybase</w:t>
      </w:r>
      <w:proofErr w:type="spellEnd"/>
      <w:r w:rsidRPr="007C0AEE">
        <w:rPr>
          <w:rFonts w:asciiTheme="majorBidi" w:hAnsiTheme="majorBidi" w:cstheme="majorBidi"/>
        </w:rPr>
        <w:t xml:space="preserve"> is the most detailed dataset for New Zealand dairy farms, but comprises of a sample of self-selected dairy farmers submitting questionnaires and financial books. Therefore, the choice to submit farm data is correlated with aspects of the farm and its management (for example, financial astuteness). It is also a heavily restricted dataset, meaning only select individuals and organisations may analyse it. Conversely, our data characterises the entire population, using LIC population data and representative samples from the </w:t>
      </w:r>
      <w:proofErr w:type="spellStart"/>
      <w:r w:rsidRPr="007C0AEE">
        <w:rPr>
          <w:rFonts w:asciiTheme="majorBidi" w:hAnsiTheme="majorBidi" w:cstheme="majorBidi"/>
        </w:rPr>
        <w:t>DairyBase</w:t>
      </w:r>
      <w:proofErr w:type="spellEnd"/>
      <w:r w:rsidRPr="007C0AEE">
        <w:rPr>
          <w:rFonts w:asciiTheme="majorBidi" w:hAnsiTheme="majorBidi" w:cstheme="majorBidi"/>
        </w:rPr>
        <w:t xml:space="preserve"> data. This avoids the issues of self-selection and sampling biases. However, as the data are largely simulated over time, there is potential for some estimation error due to the original construction of the data. We believe the sophisticated, farm-level construction of the dataset from underlying observed data at a population level sufficiently ameliorates this concern. </w:t>
      </w:r>
      <w:r w:rsidRPr="007C0AEE">
        <w:rPr>
          <w:rFonts w:asciiTheme="majorBidi" w:hAnsiTheme="majorBidi" w:cstheme="majorBidi"/>
        </w:rPr>
        <w:lastRenderedPageBreak/>
        <w:t>Furthermore, it should not undermine our wider purpose in this paper to highlight the use of OPM in analysing farm performance. The fact that this is the best available dataset for New Zealand dairy farms over time is also a good argument for its use here, while highlighting the need for better collection and sharing of industry data in future.</w:t>
      </w:r>
    </w:p>
    <w:p w14:paraId="52ED31FB" w14:textId="77777777" w:rsidR="0044512F" w:rsidRPr="007C0AEE"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 xml:space="preserve">We restrict the population to farms from the Waikato region, due to its large sample size (3745 farms) and diverse geographical nature. Previous studies have shown considerable regional heterogeneity across dairy farms in New Zealand, driven by climatic and topographical factors (Jiang &amp; </w:t>
      </w:r>
      <w:proofErr w:type="spellStart"/>
      <w:r w:rsidRPr="007C0AEE">
        <w:rPr>
          <w:rFonts w:asciiTheme="majorBidi" w:hAnsiTheme="majorBidi" w:cstheme="majorBidi"/>
        </w:rPr>
        <w:t>Sharb</w:t>
      </w:r>
      <w:proofErr w:type="spellEnd"/>
      <w:r w:rsidRPr="007C0AEE">
        <w:rPr>
          <w:rFonts w:asciiTheme="majorBidi" w:hAnsiTheme="majorBidi" w:cstheme="majorBidi"/>
        </w:rPr>
        <w:t xml:space="preserve">, 2014; Wales &amp; </w:t>
      </w:r>
      <w:proofErr w:type="spellStart"/>
      <w:r w:rsidRPr="007C0AEE">
        <w:rPr>
          <w:rFonts w:asciiTheme="majorBidi" w:hAnsiTheme="majorBidi" w:cstheme="majorBidi"/>
        </w:rPr>
        <w:t>Kolver</w:t>
      </w:r>
      <w:proofErr w:type="spellEnd"/>
      <w:r w:rsidRPr="007C0AEE">
        <w:rPr>
          <w:rFonts w:asciiTheme="majorBidi" w:hAnsiTheme="majorBidi" w:cstheme="majorBidi"/>
        </w:rPr>
        <w:t xml:space="preserve">, 2017). There are also some regional differences in regulations faced by farms. Not accounting for such heterogeneity may lead to regional effects dominating model parameters. By reducing the sample to the Waikato region, we can accurately model the region and make valid inferences with greater confidence. </w:t>
      </w:r>
    </w:p>
    <w:p w14:paraId="70A352C8" w14:textId="77777777" w:rsidR="00877125" w:rsidRDefault="0044512F" w:rsidP="00877125">
      <w:pPr>
        <w:tabs>
          <w:tab w:val="left" w:pos="1985"/>
          <w:tab w:val="left" w:pos="2268"/>
        </w:tabs>
        <w:spacing w:after="100" w:afterAutospacing="1" w:line="288" w:lineRule="auto"/>
        <w:ind w:firstLine="720"/>
        <w:jc w:val="both"/>
        <w:rPr>
          <w:rFonts w:asciiTheme="majorBidi" w:hAnsiTheme="majorBidi" w:cstheme="majorBidi"/>
        </w:rPr>
      </w:pPr>
      <w:r w:rsidRPr="007C0AEE">
        <w:rPr>
          <w:rFonts w:asciiTheme="majorBidi" w:hAnsiTheme="majorBidi" w:cstheme="majorBidi"/>
        </w:rPr>
        <w:t>During data cleaning, we remove 228, leaving us with 3517 farms. Farms are removed from the sample if they meet at least one of the criteria below:</w:t>
      </w:r>
    </w:p>
    <w:p w14:paraId="44ABB260" w14:textId="77777777" w:rsidR="00877125" w:rsidRDefault="0044512F" w:rsidP="00877125">
      <w:pPr>
        <w:pStyle w:val="ListParagraph"/>
        <w:numPr>
          <w:ilvl w:val="0"/>
          <w:numId w:val="13"/>
        </w:numPr>
        <w:tabs>
          <w:tab w:val="left" w:pos="1985"/>
          <w:tab w:val="left" w:pos="2268"/>
        </w:tabs>
        <w:spacing w:after="100" w:afterAutospacing="1" w:line="288" w:lineRule="auto"/>
        <w:jc w:val="both"/>
        <w:rPr>
          <w:rFonts w:asciiTheme="majorBidi" w:hAnsiTheme="majorBidi" w:cstheme="majorBidi"/>
        </w:rPr>
      </w:pPr>
      <w:r w:rsidRPr="00877125">
        <w:rPr>
          <w:rFonts w:asciiTheme="majorBidi" w:hAnsiTheme="majorBidi" w:cstheme="majorBidi"/>
        </w:rPr>
        <w:t>Farms that have zero milk solids or zero land because the farm has left the industry.</w:t>
      </w:r>
    </w:p>
    <w:p w14:paraId="09E6E020" w14:textId="77777777" w:rsidR="0044512F" w:rsidRPr="00877125" w:rsidRDefault="0044512F" w:rsidP="00877125">
      <w:pPr>
        <w:pStyle w:val="ListParagraph"/>
        <w:numPr>
          <w:ilvl w:val="0"/>
          <w:numId w:val="13"/>
        </w:numPr>
        <w:tabs>
          <w:tab w:val="left" w:pos="1985"/>
          <w:tab w:val="left" w:pos="2268"/>
        </w:tabs>
        <w:spacing w:after="100" w:afterAutospacing="1" w:line="288" w:lineRule="auto"/>
        <w:jc w:val="both"/>
        <w:rPr>
          <w:rFonts w:asciiTheme="majorBidi" w:hAnsiTheme="majorBidi" w:cstheme="majorBidi"/>
        </w:rPr>
      </w:pPr>
      <w:r w:rsidRPr="00877125">
        <w:rPr>
          <w:rFonts w:asciiTheme="majorBidi" w:hAnsiTheme="majorBidi" w:cstheme="majorBidi"/>
        </w:rPr>
        <w:t>Farms that have an OPM observation less than –1.0, as these farms are assumed to be too cost-inefficient to continue production.</w:t>
      </w:r>
    </w:p>
    <w:p w14:paraId="7930D788" w14:textId="77777777" w:rsidR="0044512F" w:rsidRPr="007C0AEE"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 xml:space="preserve">Consultation with dairy industry experts and analysis of </w:t>
      </w:r>
      <w:proofErr w:type="spellStart"/>
      <w:r w:rsidRPr="007C0AEE">
        <w:rPr>
          <w:rFonts w:asciiTheme="majorBidi" w:hAnsiTheme="majorBidi" w:cstheme="majorBidi"/>
        </w:rPr>
        <w:t>DairyBase</w:t>
      </w:r>
      <w:proofErr w:type="spellEnd"/>
      <w:r w:rsidRPr="007C0AEE">
        <w:rPr>
          <w:rFonts w:asciiTheme="majorBidi" w:hAnsiTheme="majorBidi" w:cstheme="majorBidi"/>
        </w:rPr>
        <w:t xml:space="preserve"> data demonstrates that the distribution of OPM does not fall below –1.0. Therefore, we remove farms with OPM values lower than -1.0, to ensure our data is representative. </w:t>
      </w:r>
    </w:p>
    <w:p w14:paraId="61C9672D" w14:textId="77777777" w:rsidR="0044512F" w:rsidRPr="007C0AEE"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We choose our model variables based on pertinent areas of farm management (cost variables, production yield, milk production, stocking rate, meat revenue) and variables of interest given current dairy trends (nitrogen leaching, total emissions). We include several control variables (cash operating surplus, pasture and crop eaten, leverage ratio) whose effects on cost efficiency and OPM are already known. The full list of variables is reported in Table 1 in the results section (which provides summary statistics and units for the variables).</w:t>
      </w:r>
    </w:p>
    <w:p w14:paraId="06882369" w14:textId="77777777" w:rsidR="0044512F" w:rsidRPr="007C0AEE"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 xml:space="preserve">Production yield is the ratio between a farms actual and potential milk production (kg MS/cow). The potential milk production term represents the output possible under a perfectly efficient environment, one where all farm inputs are utilised most efficiently (Ma et al., 2018). In this sense, the production yield is a partial productivity measure (as it only accounts for biophysical inputs and processes - see </w:t>
      </w:r>
      <w:proofErr w:type="spellStart"/>
      <w:r w:rsidRPr="007C0AEE">
        <w:rPr>
          <w:rFonts w:asciiTheme="majorBidi" w:hAnsiTheme="majorBidi" w:cstheme="majorBidi"/>
        </w:rPr>
        <w:t>Doole</w:t>
      </w:r>
      <w:proofErr w:type="spellEnd"/>
      <w:r w:rsidRPr="007C0AEE">
        <w:rPr>
          <w:rFonts w:asciiTheme="majorBidi" w:hAnsiTheme="majorBidi" w:cstheme="majorBidi"/>
        </w:rPr>
        <w:t xml:space="preserve"> et al. 2021).</w:t>
      </w:r>
    </w:p>
    <w:p w14:paraId="2FC32280" w14:textId="10ADB69A" w:rsidR="0044512F" w:rsidRPr="00ED696F" w:rsidRDefault="0044512F" w:rsidP="0044512F">
      <w:pPr>
        <w:spacing w:after="100" w:afterAutospacing="1" w:line="288" w:lineRule="auto"/>
        <w:ind w:firstLine="720"/>
        <w:jc w:val="both"/>
        <w:rPr>
          <w:rFonts w:asciiTheme="majorBidi" w:eastAsiaTheme="majorEastAsia" w:hAnsiTheme="majorBidi" w:cstheme="majorBidi"/>
          <w:color w:val="1F4E79" w:themeColor="accent1" w:themeShade="80"/>
        </w:rPr>
      </w:pPr>
      <m:oMathPara>
        <m:oMath>
          <m:r>
            <w:rPr>
              <w:rFonts w:ascii="Cambria Math" w:hAnsi="Cambria Math" w:cstheme="majorBidi"/>
            </w:rPr>
            <m:t xml:space="preserve"> </m:t>
          </m:r>
          <m:r>
            <m:rPr>
              <m:nor/>
            </m:rPr>
            <w:rPr>
              <w:rFonts w:asciiTheme="majorBidi" w:hAnsiTheme="majorBidi" w:cstheme="majorBidi"/>
            </w:rPr>
            <m:t>Production Yield=</m:t>
          </m:r>
          <m:f>
            <m:fPr>
              <m:ctrlPr>
                <w:rPr>
                  <w:rFonts w:ascii="Cambria Math" w:hAnsi="Cambria Math" w:cstheme="majorBidi"/>
                  <w:iCs/>
                </w:rPr>
              </m:ctrlPr>
            </m:fPr>
            <m:num>
              <m:r>
                <m:rPr>
                  <m:nor/>
                </m:rPr>
                <w:rPr>
                  <w:rFonts w:asciiTheme="majorBidi" w:hAnsiTheme="majorBidi" w:cstheme="majorBidi"/>
                </w:rPr>
                <m:t>Milk solids per cow (kg</m:t>
              </m:r>
              <m:f>
                <m:fPr>
                  <m:ctrlPr>
                    <w:rPr>
                      <w:rFonts w:ascii="Cambria Math" w:hAnsi="Cambria Math" w:cstheme="majorBidi"/>
                      <w:iCs/>
                    </w:rPr>
                  </m:ctrlPr>
                </m:fPr>
                <m:num>
                  <m:r>
                    <m:rPr>
                      <m:nor/>
                    </m:rPr>
                    <w:rPr>
                      <w:rFonts w:asciiTheme="majorBidi" w:hAnsiTheme="majorBidi" w:cstheme="majorBidi"/>
                    </w:rPr>
                    <m:t>MS</m:t>
                  </m:r>
                </m:num>
                <m:den>
                  <m:r>
                    <m:rPr>
                      <m:nor/>
                    </m:rPr>
                    <w:rPr>
                      <w:rFonts w:asciiTheme="majorBidi" w:hAnsiTheme="majorBidi" w:cstheme="majorBidi"/>
                    </w:rPr>
                    <m:t>cow</m:t>
                  </m:r>
                </m:den>
              </m:f>
              <m:r>
                <m:rPr>
                  <m:nor/>
                </m:rPr>
                <w:rPr>
                  <w:rFonts w:asciiTheme="majorBidi" w:hAnsiTheme="majorBidi" w:cstheme="majorBidi"/>
                </w:rPr>
                <m:t>)</m:t>
              </m:r>
            </m:num>
            <m:den>
              <m:r>
                <m:rPr>
                  <m:nor/>
                </m:rPr>
                <w:rPr>
                  <w:rFonts w:asciiTheme="majorBidi" w:hAnsiTheme="majorBidi" w:cstheme="majorBidi"/>
                </w:rPr>
                <m:t>Potential milk solids per cow</m:t>
              </m:r>
              <m:r>
                <m:rPr>
                  <m:sty m:val="p"/>
                </m:rPr>
                <w:rPr>
                  <w:rFonts w:ascii="Cambria Math" w:hAnsi="Cambria Math" w:cstheme="majorBidi"/>
                </w:rPr>
                <m:t xml:space="preserve"> </m:t>
              </m:r>
              <m:d>
                <m:dPr>
                  <m:ctrlPr>
                    <w:rPr>
                      <w:rFonts w:ascii="Cambria Math" w:hAnsi="Cambria Math" w:cstheme="majorBidi"/>
                      <w:iCs/>
                    </w:rPr>
                  </m:ctrlPr>
                </m:dPr>
                <m:e>
                  <m:r>
                    <m:rPr>
                      <m:nor/>
                    </m:rPr>
                    <w:rPr>
                      <w:rFonts w:asciiTheme="majorBidi" w:hAnsiTheme="majorBidi" w:cstheme="majorBidi"/>
                    </w:rPr>
                    <m:t>kg</m:t>
                  </m:r>
                  <m:f>
                    <m:fPr>
                      <m:ctrlPr>
                        <w:rPr>
                          <w:rFonts w:ascii="Cambria Math" w:hAnsi="Cambria Math" w:cstheme="majorBidi"/>
                          <w:iCs/>
                        </w:rPr>
                      </m:ctrlPr>
                    </m:fPr>
                    <m:num>
                      <m:r>
                        <m:rPr>
                          <m:nor/>
                        </m:rPr>
                        <w:rPr>
                          <w:rFonts w:asciiTheme="majorBidi" w:hAnsiTheme="majorBidi" w:cstheme="majorBidi"/>
                        </w:rPr>
                        <m:t>MS</m:t>
                      </m:r>
                    </m:num>
                    <m:den>
                      <m:r>
                        <m:rPr>
                          <m:nor/>
                        </m:rPr>
                        <w:rPr>
                          <w:rFonts w:asciiTheme="majorBidi" w:hAnsiTheme="majorBidi" w:cstheme="majorBidi"/>
                        </w:rPr>
                        <m:t>cow</m:t>
                      </m:r>
                    </m:den>
                  </m:f>
                </m:e>
              </m:d>
            </m:den>
          </m:f>
          <m:r>
            <m:rPr>
              <m:nor/>
            </m:rPr>
            <w:rPr>
              <w:rFonts w:asciiTheme="majorBidi" w:eastAsiaTheme="minorEastAsia" w:hAnsiTheme="majorBidi" w:cstheme="majorBidi"/>
              <w:iCs/>
            </w:rPr>
            <m:t xml:space="preserve">    (</m:t>
          </m:r>
          <m:r>
            <m:rPr>
              <m:nor/>
            </m:rPr>
            <w:rPr>
              <w:rFonts w:asciiTheme="majorBidi" w:eastAsiaTheme="minorEastAsia" w:hAnsiTheme="majorBidi" w:cstheme="majorBidi"/>
              <w:b/>
              <w:bCs/>
              <w:iCs/>
            </w:rPr>
            <m:t>4</m:t>
          </m:r>
          <m:r>
            <m:rPr>
              <m:nor/>
            </m:rPr>
            <w:rPr>
              <w:rFonts w:asciiTheme="majorBidi" w:eastAsiaTheme="minorEastAsia" w:hAnsiTheme="majorBidi" w:cstheme="majorBidi"/>
              <w:iCs/>
            </w:rPr>
            <m:t>)</m:t>
          </m:r>
        </m:oMath>
      </m:oMathPara>
      <w:bookmarkStart w:id="7" w:name="_Toc64014175"/>
    </w:p>
    <w:p w14:paraId="6C0F5A8B" w14:textId="77777777" w:rsidR="007C1894" w:rsidRDefault="007C1894" w:rsidP="0044512F">
      <w:pPr>
        <w:spacing w:line="288" w:lineRule="auto"/>
        <w:rPr>
          <w:rFonts w:asciiTheme="majorBidi" w:hAnsiTheme="majorBidi" w:cstheme="majorBidi"/>
          <w:b/>
          <w:bCs/>
        </w:rPr>
      </w:pPr>
    </w:p>
    <w:p w14:paraId="241182BB" w14:textId="77777777" w:rsidR="0044512F" w:rsidRPr="00631DCC" w:rsidRDefault="0044512F" w:rsidP="0044512F">
      <w:pPr>
        <w:spacing w:line="288" w:lineRule="auto"/>
        <w:rPr>
          <w:rFonts w:asciiTheme="majorBidi" w:hAnsiTheme="majorBidi" w:cstheme="majorBidi"/>
          <w:b/>
          <w:bCs/>
        </w:rPr>
      </w:pPr>
      <w:r w:rsidRPr="00631DCC">
        <w:rPr>
          <w:rFonts w:asciiTheme="majorBidi" w:hAnsiTheme="majorBidi" w:cstheme="majorBidi"/>
          <w:b/>
          <w:bCs/>
        </w:rPr>
        <w:lastRenderedPageBreak/>
        <w:t>4. Econometric methods</w:t>
      </w:r>
      <w:bookmarkEnd w:id="7"/>
    </w:p>
    <w:p w14:paraId="4ED0F9B4" w14:textId="77777777" w:rsidR="0044512F" w:rsidRPr="007C0AEE" w:rsidRDefault="0044512F" w:rsidP="0044512F">
      <w:pPr>
        <w:spacing w:after="100" w:afterAutospacing="1" w:line="288" w:lineRule="auto"/>
        <w:jc w:val="both"/>
        <w:rPr>
          <w:rFonts w:asciiTheme="majorBidi" w:hAnsiTheme="majorBidi" w:cstheme="majorBidi"/>
        </w:rPr>
      </w:pPr>
      <w:r w:rsidRPr="007C0AEE">
        <w:rPr>
          <w:rFonts w:asciiTheme="majorBidi" w:hAnsiTheme="majorBidi" w:cstheme="majorBidi"/>
        </w:rPr>
        <w:t>We initially categorise and benchmark farms by long-run cost efficiency performance. In line with Wolf et al. (2020), we divide farms into quartiles based on their long-run (10-year) mean OPM. Quartile 1 represents the least cost-efficient farms and quartile 4 represents the most cost-efficient farms. Wolf et al. (2020) find benchmarking farms in this way gives clearly defined and distinguishable characteristics within the groups. Thus, benchmarking by OPM is a useful way to investigate the factors associated with relative cost efficiency performance. Moreover, benchmarking farms into groups with similar characteristics provides greater depth for our FE analysis. For example, we can compare how cost efficiency varies with time between more efficient farms (farms in higher quartiles) and worse performing farms (farms in lower quartiles).</w:t>
      </w:r>
    </w:p>
    <w:p w14:paraId="420849F4" w14:textId="77777777" w:rsidR="0044512F" w:rsidRPr="007C0AEE"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Following the benchmarking process, we perform a series of Games-Howell post-hoc tests on the data. The Games-Howell test is a pairwise comparison test that allows us to determine if there are significant differences in farm variables between quartiles. The test is based on the Welch correction with the t-test and the studentised range statistic (</w:t>
      </w:r>
      <w:proofErr w:type="spellStart"/>
      <w:r w:rsidRPr="007C0AEE">
        <w:rPr>
          <w:rFonts w:asciiTheme="majorBidi" w:hAnsiTheme="majorBidi" w:cstheme="majorBidi"/>
        </w:rPr>
        <w:t>Shingala</w:t>
      </w:r>
      <w:proofErr w:type="spellEnd"/>
      <w:r w:rsidRPr="007C0AEE">
        <w:rPr>
          <w:rFonts w:asciiTheme="majorBidi" w:hAnsiTheme="majorBidi" w:cstheme="majorBidi"/>
        </w:rPr>
        <w:t xml:space="preserve"> &amp; </w:t>
      </w:r>
      <w:proofErr w:type="spellStart"/>
      <w:r w:rsidRPr="007C0AEE">
        <w:rPr>
          <w:rFonts w:asciiTheme="majorBidi" w:hAnsiTheme="majorBidi" w:cstheme="majorBidi"/>
        </w:rPr>
        <w:t>Rajyaguru</w:t>
      </w:r>
      <w:proofErr w:type="spellEnd"/>
      <w:r w:rsidRPr="007C0AEE">
        <w:rPr>
          <w:rFonts w:asciiTheme="majorBidi" w:hAnsiTheme="majorBidi" w:cstheme="majorBidi"/>
        </w:rPr>
        <w:t xml:space="preserve">, 2015). It controls for and reduces the incidence of type I errors whilst maintaining a high degree of power (Sauder &amp; </w:t>
      </w:r>
      <w:proofErr w:type="spellStart"/>
      <w:r w:rsidRPr="007C0AEE">
        <w:rPr>
          <w:rFonts w:asciiTheme="majorBidi" w:hAnsiTheme="majorBidi" w:cstheme="majorBidi"/>
        </w:rPr>
        <w:t>DeMars</w:t>
      </w:r>
      <w:proofErr w:type="spellEnd"/>
      <w:r w:rsidRPr="007C0AEE">
        <w:rPr>
          <w:rFonts w:asciiTheme="majorBidi" w:hAnsiTheme="majorBidi" w:cstheme="majorBidi"/>
        </w:rPr>
        <w:t xml:space="preserve">, 2019). The Games-Howell test allows us to account for unequal variances between the cost efficiency quartiles and heteroskedasticity in the model errors (Sauder &amp; </w:t>
      </w:r>
      <w:proofErr w:type="spellStart"/>
      <w:r w:rsidRPr="007C0AEE">
        <w:rPr>
          <w:rFonts w:asciiTheme="majorBidi" w:hAnsiTheme="majorBidi" w:cstheme="majorBidi"/>
        </w:rPr>
        <w:t>DeMars</w:t>
      </w:r>
      <w:proofErr w:type="spellEnd"/>
      <w:r w:rsidRPr="007C0AEE">
        <w:rPr>
          <w:rFonts w:asciiTheme="majorBidi" w:hAnsiTheme="majorBidi" w:cstheme="majorBidi"/>
        </w:rPr>
        <w:t xml:space="preserve">, 2019; </w:t>
      </w:r>
      <w:proofErr w:type="spellStart"/>
      <w:r w:rsidRPr="007C0AEE">
        <w:rPr>
          <w:rFonts w:asciiTheme="majorBidi" w:hAnsiTheme="majorBidi" w:cstheme="majorBidi"/>
        </w:rPr>
        <w:t>Shingala</w:t>
      </w:r>
      <w:proofErr w:type="spellEnd"/>
      <w:r w:rsidRPr="007C0AEE">
        <w:rPr>
          <w:rFonts w:asciiTheme="majorBidi" w:hAnsiTheme="majorBidi" w:cstheme="majorBidi"/>
        </w:rPr>
        <w:t xml:space="preserve"> &amp; </w:t>
      </w:r>
      <w:proofErr w:type="spellStart"/>
      <w:r w:rsidRPr="007C0AEE">
        <w:rPr>
          <w:rFonts w:asciiTheme="majorBidi" w:hAnsiTheme="majorBidi" w:cstheme="majorBidi"/>
        </w:rPr>
        <w:t>Rajyaguru</w:t>
      </w:r>
      <w:proofErr w:type="spellEnd"/>
      <w:r w:rsidRPr="007C0AEE">
        <w:rPr>
          <w:rFonts w:asciiTheme="majorBidi" w:hAnsiTheme="majorBidi" w:cstheme="majorBidi"/>
        </w:rPr>
        <w:t>, 2015). We use the Games-Howell tests to determine if there are significant differences between the means of a farm variable based on quartile. As simple pairwise comparison tests, they do not control for other variables. Nonetheless, the results provide useful descriptive statistics for further modelling and suggestions as to which variables may be related to cost efficiency.</w:t>
      </w:r>
    </w:p>
    <w:p w14:paraId="5309EE21" w14:textId="6C42983F" w:rsidR="0044512F"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 xml:space="preserve">To develop our understanding of the relationships between cost efficiency and farm variables, we formulate FE panel regression models on OPM, including several key farm metrics and control variables as regressors. Hausman statistical tests informed the selection of FE modelling over a random-effects approach. We use a separate model for each quartile. In the models, the individual intercepts account for the unobservable characteristics (for each farm) that do not vary with time. We exclude regressors that remain near constant over time to avoid perturbation of the individual farm intercept terms. Consequently, neither stocking rate (cows per ha) or milk platform (ha) are included as regressors in the models. These variables had little variation over time and exhibited large levels of multicollinearity with the farm-level intercepts. We also exclude the standard deviation of OPM as it had a dominating and distorting effect on model estimates. These FE models allow us to examine cost efficiency relationships through time for each quartile and control for individual, farm-level variation. This is a useful progression from the Games-Howell tests, which only provides information on long-run differences in farm variables between cost efficiency quartiles. </w:t>
      </w:r>
    </w:p>
    <w:p w14:paraId="51D79502" w14:textId="77777777" w:rsidR="008D6368" w:rsidRPr="007C0AEE" w:rsidRDefault="008D6368" w:rsidP="0044512F">
      <w:pPr>
        <w:spacing w:after="100" w:afterAutospacing="1" w:line="288" w:lineRule="auto"/>
        <w:ind w:firstLine="720"/>
        <w:jc w:val="both"/>
        <w:rPr>
          <w:rFonts w:asciiTheme="majorBidi" w:hAnsiTheme="majorBidi" w:cstheme="majorBidi"/>
        </w:rPr>
      </w:pPr>
    </w:p>
    <w:p w14:paraId="3F0155AF" w14:textId="77777777" w:rsidR="0044512F" w:rsidRPr="007C0AEE"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lastRenderedPageBreak/>
        <w:t>We estimate the following fixed effects model:</w:t>
      </w:r>
    </w:p>
    <w:p w14:paraId="3140F16B" w14:textId="3C503E1B" w:rsidR="0044512F" w:rsidRPr="00ED696F" w:rsidRDefault="00DE7A0B" w:rsidP="0044512F">
      <w:pPr>
        <w:spacing w:after="100" w:afterAutospacing="1" w:line="288" w:lineRule="auto"/>
        <w:ind w:firstLine="720"/>
        <w:jc w:val="both"/>
        <w:rPr>
          <w:rFonts w:asciiTheme="majorBidi" w:hAnsiTheme="majorBidi" w:cstheme="majorBidi"/>
        </w:rPr>
      </w:pPr>
      <m:oMathPara>
        <m:oMath>
          <m:sSub>
            <m:sSubPr>
              <m:ctrlPr>
                <w:rPr>
                  <w:rFonts w:ascii="Cambria Math" w:hAnsi="Cambria Math" w:cstheme="majorBidi"/>
                  <w:i/>
                </w:rPr>
              </m:ctrlPr>
            </m:sSubPr>
            <m:e>
              <m:r>
                <m:rPr>
                  <m:nor/>
                </m:rPr>
                <w:rPr>
                  <w:rFonts w:asciiTheme="majorBidi" w:hAnsiTheme="majorBidi" w:cstheme="majorBidi"/>
                </w:rPr>
                <m:t>OPM</m:t>
              </m:r>
            </m:e>
            <m:sub>
              <m:r>
                <m:rPr>
                  <m:nor/>
                </m:rPr>
                <w:rPr>
                  <w:rFonts w:asciiTheme="majorBidi" w:hAnsiTheme="majorBidi" w:cstheme="majorBidi"/>
                </w:rPr>
                <m:t>it</m:t>
              </m:r>
            </m:sub>
          </m:sSub>
          <m:r>
            <m:rPr>
              <m:nor/>
            </m:rPr>
            <w:rPr>
              <w:rFonts w:ascii="Cambria Math" w:hAnsiTheme="majorBidi" w:cstheme="majorBidi"/>
            </w:rPr>
            <m:t xml:space="preserve"> </m:t>
          </m:r>
          <m:r>
            <m:rPr>
              <m:nor/>
            </m:rPr>
            <w:rPr>
              <w:rFonts w:asciiTheme="majorBidi" w:hAnsiTheme="majorBidi" w:cstheme="majorBidi"/>
            </w:rPr>
            <m:t xml:space="preserve">= </m:t>
          </m:r>
          <m:sSub>
            <m:sSubPr>
              <m:ctrlPr>
                <w:rPr>
                  <w:rFonts w:ascii="Cambria Math" w:hAnsi="Cambria Math" w:cstheme="majorBidi"/>
                  <w:i/>
                </w:rPr>
              </m:ctrlPr>
            </m:sSubPr>
            <m:e>
              <m:r>
                <m:rPr>
                  <m:nor/>
                </m:rPr>
                <w:rPr>
                  <w:rFonts w:asciiTheme="majorBidi" w:hAnsiTheme="majorBidi" w:cstheme="majorBidi"/>
                </w:rPr>
                <m:t>α</m:t>
              </m:r>
            </m:e>
            <m:sub>
              <m:r>
                <m:rPr>
                  <m:nor/>
                </m:rPr>
                <w:rPr>
                  <w:rFonts w:asciiTheme="majorBidi" w:hAnsiTheme="majorBidi" w:cstheme="majorBidi"/>
                </w:rPr>
                <m:t>i</m:t>
              </m:r>
            </m:sub>
          </m:sSub>
          <m:r>
            <m:rPr>
              <m:nor/>
            </m:rPr>
            <w:rPr>
              <w:rFonts w:ascii="Cambria Math" w:hAnsiTheme="majorBidi" w:cstheme="majorBidi"/>
            </w:rPr>
            <m:t xml:space="preserve"> </m:t>
          </m:r>
          <m:r>
            <m:rPr>
              <m:nor/>
            </m:rPr>
            <w:rPr>
              <w:rFonts w:asciiTheme="majorBidi" w:hAnsiTheme="majorBidi" w:cstheme="majorBidi"/>
            </w:rPr>
            <m:t>+</m:t>
          </m:r>
          <m:r>
            <m:rPr>
              <m:nor/>
            </m:rPr>
            <w:rPr>
              <w:rFonts w:ascii="Cambria Math" w:hAnsiTheme="majorBidi" w:cstheme="majorBidi"/>
            </w:rPr>
            <m:t xml:space="preserve"> </m:t>
          </m:r>
          <m:sSub>
            <m:sSubPr>
              <m:ctrlPr>
                <w:rPr>
                  <w:rFonts w:ascii="Cambria Math" w:hAnsi="Cambria Math" w:cstheme="majorBidi"/>
                  <w:i/>
                </w:rPr>
              </m:ctrlPr>
            </m:sSubPr>
            <m:e>
              <m:r>
                <m:rPr>
                  <m:nor/>
                </m:rPr>
                <w:rPr>
                  <w:rFonts w:asciiTheme="majorBidi" w:hAnsiTheme="majorBidi" w:cstheme="majorBidi"/>
                  <w:b/>
                </w:rPr>
                <m:t>β</m:t>
              </m:r>
            </m:e>
            <m:sub>
              <m:r>
                <m:rPr>
                  <m:nor/>
                </m:rPr>
                <w:rPr>
                  <w:rFonts w:asciiTheme="majorBidi" w:hAnsiTheme="majorBidi" w:cstheme="majorBidi"/>
                </w:rPr>
                <m:t>1</m:t>
              </m:r>
            </m:sub>
          </m:sSub>
          <m:sSub>
            <m:sSubPr>
              <m:ctrlPr>
                <w:rPr>
                  <w:rFonts w:ascii="Cambria Math" w:hAnsi="Cambria Math" w:cstheme="majorBidi"/>
                  <w:b/>
                  <w:bCs/>
                  <w:i/>
                </w:rPr>
              </m:ctrlPr>
            </m:sSubPr>
            <m:e>
              <m:r>
                <m:rPr>
                  <m:nor/>
                </m:rPr>
                <w:rPr>
                  <w:rFonts w:asciiTheme="majorBidi" w:hAnsiTheme="majorBidi" w:cstheme="majorBidi"/>
                  <w:b/>
                </w:rPr>
                <m:t>X</m:t>
              </m:r>
            </m:e>
            <m:sub>
              <m:r>
                <m:rPr>
                  <m:nor/>
                </m:rPr>
                <w:rPr>
                  <w:rFonts w:asciiTheme="majorBidi" w:hAnsiTheme="majorBidi" w:cstheme="majorBidi"/>
                  <w:b/>
                </w:rPr>
                <m:t>it</m:t>
              </m:r>
            </m:sub>
          </m:sSub>
          <m:r>
            <m:rPr>
              <m:nor/>
            </m:rPr>
            <w:rPr>
              <w:rFonts w:ascii="Cambria Math" w:hAnsiTheme="majorBidi" w:cstheme="majorBidi"/>
              <w:b/>
            </w:rPr>
            <m:t xml:space="preserve"> </m:t>
          </m:r>
          <m:r>
            <m:rPr>
              <m:nor/>
            </m:rPr>
            <w:rPr>
              <w:rFonts w:asciiTheme="majorBidi" w:hAnsiTheme="majorBidi" w:cstheme="majorBidi"/>
              <w:b/>
            </w:rPr>
            <m:t xml:space="preserve">+ </m:t>
          </m:r>
          <m:sSub>
            <m:sSubPr>
              <m:ctrlPr>
                <w:rPr>
                  <w:rFonts w:ascii="Cambria Math" w:hAnsi="Cambria Math" w:cstheme="majorBidi"/>
                  <w:i/>
                </w:rPr>
              </m:ctrlPr>
            </m:sSubPr>
            <m:e>
              <m:r>
                <m:rPr>
                  <m:nor/>
                </m:rPr>
                <w:rPr>
                  <w:rFonts w:asciiTheme="majorBidi" w:hAnsiTheme="majorBidi" w:cstheme="majorBidi"/>
                </w:rPr>
                <m:t>μ</m:t>
              </m:r>
            </m:e>
            <m:sub>
              <m:r>
                <m:rPr>
                  <m:nor/>
                </m:rPr>
                <w:rPr>
                  <w:rFonts w:asciiTheme="majorBidi" w:hAnsiTheme="majorBidi" w:cstheme="majorBidi"/>
                </w:rPr>
                <m:t>it</m:t>
              </m:r>
            </m:sub>
          </m:sSub>
          <m:r>
            <m:rPr>
              <m:nor/>
            </m:rPr>
            <w:rPr>
              <w:rFonts w:asciiTheme="majorBidi" w:hAnsiTheme="majorBidi" w:cstheme="majorBidi"/>
            </w:rPr>
            <m:t xml:space="preserve">    (</m:t>
          </m:r>
          <m:r>
            <m:rPr>
              <m:nor/>
            </m:rPr>
            <w:rPr>
              <w:rFonts w:asciiTheme="majorBidi" w:hAnsiTheme="majorBidi" w:cstheme="majorBidi"/>
              <w:b/>
              <w:bCs/>
            </w:rPr>
            <m:t>5</m:t>
          </m:r>
          <m:r>
            <m:rPr>
              <m:nor/>
            </m:rPr>
            <w:rPr>
              <w:rFonts w:asciiTheme="majorBidi" w:hAnsiTheme="majorBidi" w:cstheme="majorBidi"/>
            </w:rPr>
            <m:t>)</m:t>
          </m:r>
        </m:oMath>
      </m:oMathPara>
    </w:p>
    <w:p w14:paraId="237A5D5B" w14:textId="008077FD" w:rsidR="0044512F" w:rsidRPr="007C0AEE" w:rsidRDefault="00DE7A0B" w:rsidP="00F42619">
      <w:pPr>
        <w:spacing w:after="100" w:afterAutospacing="1" w:line="288" w:lineRule="auto"/>
        <w:jc w:val="both"/>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OPM</m:t>
            </m:r>
          </m:e>
          <m:sub>
            <m:r>
              <w:rPr>
                <w:rFonts w:ascii="Cambria Math" w:hAnsi="Cambria Math" w:cstheme="majorBidi"/>
              </w:rPr>
              <m:t>it</m:t>
            </m:r>
          </m:sub>
        </m:sSub>
      </m:oMath>
      <w:r w:rsidR="0044512F" w:rsidRPr="007C0AEE">
        <w:rPr>
          <w:rFonts w:asciiTheme="majorBidi" w:hAnsiTheme="majorBidi" w:cstheme="majorBidi"/>
        </w:rPr>
        <w:t xml:space="preserve"> represents the OPM for individual </w:t>
      </w:r>
      <m:oMath>
        <m:r>
          <w:rPr>
            <w:rFonts w:ascii="Cambria Math" w:hAnsi="Cambria Math" w:cstheme="majorBidi"/>
          </w:rPr>
          <m:t>i</m:t>
        </m:r>
      </m:oMath>
      <w:r w:rsidR="0044512F" w:rsidRPr="007C0AEE">
        <w:rPr>
          <w:rFonts w:asciiTheme="majorBidi" w:hAnsiTheme="majorBidi" w:cstheme="majorBidi"/>
        </w:rPr>
        <w:t xml:space="preserve"> at time </w:t>
      </w:r>
      <m:oMath>
        <m:r>
          <w:rPr>
            <w:rFonts w:ascii="Cambria Math" w:hAnsi="Cambria Math" w:cstheme="majorBidi"/>
          </w:rPr>
          <m:t>t</m:t>
        </m:r>
      </m:oMath>
      <w:r w:rsidR="0044512F" w:rsidRPr="007C0AEE">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α</m:t>
            </m:r>
          </m:e>
          <m:sub>
            <m:r>
              <w:rPr>
                <w:rFonts w:ascii="Cambria Math" w:hAnsi="Cambria Math" w:cstheme="majorBidi"/>
              </w:rPr>
              <m:t>i</m:t>
            </m:r>
          </m:sub>
        </m:sSub>
      </m:oMath>
      <w:r w:rsidR="0044512F" w:rsidRPr="007C0AEE">
        <w:rPr>
          <w:rFonts w:asciiTheme="majorBidi" w:hAnsiTheme="majorBidi" w:cstheme="majorBidi"/>
        </w:rPr>
        <w:t xml:space="preserve"> is </w:t>
      </w:r>
      <w:r w:rsidR="0044512F" w:rsidRPr="00ED696F">
        <w:rPr>
          <w:rFonts w:asciiTheme="majorBidi" w:hAnsiTheme="majorBidi" w:cstheme="majorBidi"/>
        </w:rPr>
        <w:t xml:space="preserve">the time-independent intercept for each individual </w:t>
      </w:r>
      <m:oMath>
        <m:r>
          <w:rPr>
            <w:rFonts w:ascii="Cambria Math" w:hAnsi="Cambria Math" w:cstheme="majorBidi"/>
          </w:rPr>
          <m:t>i</m:t>
        </m:r>
      </m:oMath>
      <w:r w:rsidR="0044512F" w:rsidRPr="00ED696F">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it</m:t>
            </m:r>
          </m:sub>
        </m:sSub>
      </m:oMath>
      <w:r w:rsidR="0044512F" w:rsidRPr="00ED696F">
        <w:rPr>
          <w:rFonts w:asciiTheme="majorBidi" w:hAnsiTheme="majorBidi" w:cstheme="majorBidi"/>
        </w:rPr>
        <w:t xml:space="preserve"> is an error term for individual </w:t>
      </w:r>
      <m:oMath>
        <m:r>
          <w:rPr>
            <w:rFonts w:ascii="Cambria Math" w:hAnsi="Cambria Math" w:cstheme="majorBidi"/>
          </w:rPr>
          <m:t>i</m:t>
        </m:r>
      </m:oMath>
      <w:r w:rsidR="0044512F" w:rsidRPr="00ED696F">
        <w:rPr>
          <w:rFonts w:asciiTheme="majorBidi" w:hAnsiTheme="majorBidi" w:cstheme="majorBidi"/>
        </w:rPr>
        <w:t xml:space="preserve"> at time </w:t>
      </w:r>
      <m:oMath>
        <m:r>
          <w:rPr>
            <w:rFonts w:ascii="Cambria Math" w:hAnsi="Cambria Math" w:cstheme="majorBidi"/>
          </w:rPr>
          <m:t>t</m:t>
        </m:r>
      </m:oMath>
      <w:r w:rsidR="0044512F" w:rsidRPr="00ED696F">
        <w:rPr>
          <w:rFonts w:asciiTheme="majorBidi" w:hAnsiTheme="majorBidi" w:cstheme="majorBidi"/>
        </w:rPr>
        <w:t xml:space="preserve">, </w:t>
      </w:r>
      <m:oMath>
        <m:sSub>
          <m:sSubPr>
            <m:ctrlPr>
              <w:rPr>
                <w:rFonts w:ascii="Cambria Math" w:hAnsi="Cambria Math" w:cstheme="majorBidi"/>
                <w:b/>
                <w:bCs/>
                <w:i/>
              </w:rPr>
            </m:ctrlPr>
          </m:sSubPr>
          <m:e>
            <m:r>
              <m:rPr>
                <m:nor/>
              </m:rPr>
              <w:rPr>
                <w:rFonts w:asciiTheme="majorBidi" w:hAnsiTheme="majorBidi" w:cstheme="majorBidi"/>
                <w:b/>
              </w:rPr>
              <m:t>X</m:t>
            </m:r>
          </m:e>
          <m:sub>
            <m:r>
              <m:rPr>
                <m:nor/>
              </m:rPr>
              <w:rPr>
                <w:rFonts w:asciiTheme="majorBidi" w:hAnsiTheme="majorBidi" w:cstheme="majorBidi"/>
                <w:b/>
              </w:rPr>
              <m:t>it</m:t>
            </m:r>
          </m:sub>
        </m:sSub>
      </m:oMath>
      <w:r w:rsidR="0044512F" w:rsidRPr="00ED696F">
        <w:rPr>
          <w:rFonts w:asciiTheme="majorBidi" w:hAnsiTheme="majorBidi" w:cstheme="majorBidi"/>
        </w:rPr>
        <w:t xml:space="preserve"> is a column vector of independent variables (regressors) and </w:t>
      </w:r>
      <m:oMath>
        <m:sSub>
          <m:sSubPr>
            <m:ctrlPr>
              <w:rPr>
                <w:rFonts w:ascii="Cambria Math" w:hAnsi="Cambria Math" w:cstheme="majorBidi"/>
                <w:i/>
              </w:rPr>
            </m:ctrlPr>
          </m:sSubPr>
          <m:e>
            <m:r>
              <m:rPr>
                <m:nor/>
              </m:rPr>
              <w:rPr>
                <w:rFonts w:asciiTheme="majorBidi" w:hAnsiTheme="majorBidi" w:cstheme="majorBidi"/>
                <w:b/>
              </w:rPr>
              <m:t>β</m:t>
            </m:r>
          </m:e>
          <m:sub>
            <m:r>
              <m:rPr>
                <m:nor/>
              </m:rPr>
              <w:rPr>
                <w:rFonts w:asciiTheme="majorBidi" w:hAnsiTheme="majorBidi" w:cstheme="majorBidi"/>
              </w:rPr>
              <m:t>1</m:t>
            </m:r>
          </m:sub>
        </m:sSub>
      </m:oMath>
      <w:r w:rsidR="0044512F" w:rsidRPr="007C0AEE">
        <w:rPr>
          <w:rFonts w:asciiTheme="majorBidi" w:hAnsiTheme="majorBidi" w:cstheme="majorBidi"/>
        </w:rPr>
        <w:t xml:space="preserve"> is a row vector of coefficients</w:t>
      </w:r>
      <m:oMath>
        <m:r>
          <m:rPr>
            <m:sty m:val="bi"/>
          </m:rPr>
          <w:rPr>
            <w:rFonts w:ascii="Cambria Math" w:hAnsi="Cambria Math" w:cstheme="majorBidi"/>
          </w:rPr>
          <m:t xml:space="preserve">. </m:t>
        </m:r>
      </m:oMath>
      <w:r w:rsidR="0044512F" w:rsidRPr="007C0AEE">
        <w:rPr>
          <w:rFonts w:asciiTheme="majorBidi" w:hAnsiTheme="majorBidi" w:cstheme="majorBidi"/>
        </w:rPr>
        <w:t xml:space="preserve">We estimate a robust covariance matrix to account for autocorrelation and heteroskedasticity in the FE model errors (Torres-Reyna, 2010).  </w:t>
      </w:r>
    </w:p>
    <w:p w14:paraId="285C2A7A" w14:textId="77777777" w:rsidR="0044512F" w:rsidRPr="007C0AEE"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We find multicollinearity to be a serious issue in our initial FE models. To account for this, we examine a Pearson correlation matrix and consult with farm systems experts to identify culprit variables. Following this, we run the model omitting each culprit variable and regress the model residuals on the omitted variable, examining the coefficient. If this coefficient is insignificant at α = 0.1, the removed variable is excluded from the FE models. If the coefficient is significant, the removed variable is not excluded from the FE model as it adds additional explanatory power. We repeat this process for each variable that is characterised as posing a serious multicollinearity risk to the FE models. Following this process, these variables are removed from the FE models:</w:t>
      </w:r>
    </w:p>
    <w:p w14:paraId="72D6498F" w14:textId="77777777" w:rsidR="0044512F" w:rsidRPr="007C0AEE" w:rsidRDefault="0044512F" w:rsidP="00F04F45">
      <w:pPr>
        <w:pStyle w:val="ListParagraph"/>
        <w:numPr>
          <w:ilvl w:val="0"/>
          <w:numId w:val="15"/>
        </w:numPr>
        <w:spacing w:after="100" w:afterAutospacing="1" w:line="360" w:lineRule="auto"/>
        <w:jc w:val="both"/>
        <w:rPr>
          <w:rFonts w:asciiTheme="majorBidi" w:hAnsiTheme="majorBidi" w:cstheme="majorBidi"/>
        </w:rPr>
      </w:pPr>
      <w:r w:rsidRPr="007C0AEE">
        <w:rPr>
          <w:rFonts w:asciiTheme="majorBidi" w:hAnsiTheme="majorBidi" w:cstheme="majorBidi"/>
        </w:rPr>
        <w:t>Nitrogen leaching (kg N/ha)</w:t>
      </w:r>
    </w:p>
    <w:p w14:paraId="21D0D87B" w14:textId="77777777" w:rsidR="0044512F" w:rsidRPr="007C0AEE" w:rsidRDefault="0044512F" w:rsidP="00F04F45">
      <w:pPr>
        <w:pStyle w:val="ListParagraph"/>
        <w:numPr>
          <w:ilvl w:val="0"/>
          <w:numId w:val="15"/>
        </w:numPr>
        <w:spacing w:after="100" w:afterAutospacing="1" w:line="360" w:lineRule="auto"/>
        <w:jc w:val="both"/>
        <w:rPr>
          <w:rFonts w:asciiTheme="majorBidi" w:hAnsiTheme="majorBidi" w:cstheme="majorBidi"/>
        </w:rPr>
      </w:pPr>
      <w:r w:rsidRPr="007C0AEE">
        <w:rPr>
          <w:rFonts w:asciiTheme="majorBidi" w:hAnsiTheme="majorBidi" w:cstheme="majorBidi"/>
        </w:rPr>
        <w:t>Total emissions (kg GHG-e/ha)</w:t>
      </w:r>
    </w:p>
    <w:p w14:paraId="640D9EF4" w14:textId="77777777" w:rsidR="0044512F" w:rsidRPr="007C0AEE" w:rsidRDefault="0044512F" w:rsidP="00F04F45">
      <w:pPr>
        <w:pStyle w:val="ListParagraph"/>
        <w:numPr>
          <w:ilvl w:val="0"/>
          <w:numId w:val="15"/>
        </w:numPr>
        <w:spacing w:after="100" w:afterAutospacing="1" w:line="360" w:lineRule="auto"/>
        <w:jc w:val="both"/>
        <w:rPr>
          <w:rFonts w:asciiTheme="majorBidi" w:hAnsiTheme="majorBidi" w:cstheme="majorBidi"/>
        </w:rPr>
      </w:pPr>
      <w:r w:rsidRPr="007C0AEE">
        <w:rPr>
          <w:rFonts w:asciiTheme="majorBidi" w:hAnsiTheme="majorBidi" w:cstheme="majorBidi"/>
        </w:rPr>
        <w:t>Supplement cost ($/ha)</w:t>
      </w:r>
    </w:p>
    <w:p w14:paraId="7997E049" w14:textId="77777777" w:rsidR="0044512F" w:rsidRPr="007C0AEE" w:rsidRDefault="0044512F" w:rsidP="00F04F45">
      <w:pPr>
        <w:pStyle w:val="ListParagraph"/>
        <w:numPr>
          <w:ilvl w:val="0"/>
          <w:numId w:val="15"/>
        </w:numPr>
        <w:spacing w:after="100" w:afterAutospacing="1" w:line="360" w:lineRule="auto"/>
        <w:jc w:val="both"/>
        <w:rPr>
          <w:rFonts w:asciiTheme="majorBidi" w:hAnsiTheme="majorBidi" w:cstheme="majorBidi"/>
        </w:rPr>
      </w:pPr>
      <w:r w:rsidRPr="007C0AEE">
        <w:rPr>
          <w:rFonts w:asciiTheme="majorBidi" w:hAnsiTheme="majorBidi" w:cstheme="majorBidi"/>
        </w:rPr>
        <w:t>Other fertiliser cost ($/ha)</w:t>
      </w:r>
    </w:p>
    <w:p w14:paraId="52845511" w14:textId="3EAAC1A9" w:rsidR="0044512F" w:rsidRDefault="0044512F" w:rsidP="0044512F">
      <w:pPr>
        <w:spacing w:after="100" w:afterAutospacing="1" w:line="288" w:lineRule="auto"/>
        <w:ind w:firstLine="720"/>
        <w:jc w:val="both"/>
        <w:rPr>
          <w:rFonts w:asciiTheme="majorBidi" w:hAnsiTheme="majorBidi" w:cstheme="majorBidi"/>
        </w:rPr>
      </w:pPr>
      <w:r w:rsidRPr="007C0AEE">
        <w:rPr>
          <w:rFonts w:asciiTheme="majorBidi" w:hAnsiTheme="majorBidi" w:cstheme="majorBidi"/>
        </w:rPr>
        <w:t xml:space="preserve">Nitrogen leaching is highly correlated with the nitrogen fertiliser term, supplement cost with the proportion of feed consisting of supplement, and total emissions with the nitrogen fertiliser, milk production and production yield terms. Moreover, the other fertiliser cost ($/ha) variable is highly correlated with nitrogen fertiliser cost ($/ha). </w:t>
      </w:r>
    </w:p>
    <w:p w14:paraId="37D4449D" w14:textId="77777777" w:rsidR="008D6368" w:rsidRPr="00F42619" w:rsidRDefault="008D6368" w:rsidP="0044512F">
      <w:pPr>
        <w:spacing w:after="100" w:afterAutospacing="1" w:line="288" w:lineRule="auto"/>
        <w:ind w:firstLine="720"/>
        <w:jc w:val="both"/>
        <w:rPr>
          <w:rFonts w:asciiTheme="majorBidi" w:hAnsiTheme="majorBidi" w:cstheme="majorBidi"/>
          <w:sz w:val="6"/>
          <w:szCs w:val="6"/>
        </w:rPr>
      </w:pPr>
    </w:p>
    <w:p w14:paraId="39C05374" w14:textId="77777777" w:rsidR="0044512F" w:rsidRPr="00631DCC" w:rsidRDefault="0044512F" w:rsidP="007C1894">
      <w:pPr>
        <w:rPr>
          <w:rFonts w:asciiTheme="majorBidi" w:hAnsiTheme="majorBidi" w:cstheme="majorBidi"/>
          <w:b/>
          <w:bCs/>
        </w:rPr>
      </w:pPr>
      <w:bookmarkStart w:id="8" w:name="_Toc64014176"/>
      <w:r w:rsidRPr="00631DCC">
        <w:rPr>
          <w:rFonts w:asciiTheme="majorBidi" w:hAnsiTheme="majorBidi" w:cstheme="majorBidi"/>
          <w:b/>
          <w:bCs/>
        </w:rPr>
        <w:t>5. Empirical Results and Discussion</w:t>
      </w:r>
      <w:bookmarkEnd w:id="8"/>
    </w:p>
    <w:p w14:paraId="224E60A9" w14:textId="55E2F02F" w:rsidR="0044512F" w:rsidRPr="00F42619" w:rsidRDefault="0044512F" w:rsidP="0044512F">
      <w:pPr>
        <w:spacing w:line="288" w:lineRule="auto"/>
        <w:rPr>
          <w:rFonts w:asciiTheme="majorBidi" w:hAnsiTheme="majorBidi" w:cstheme="majorBidi"/>
          <w:b/>
          <w:bCs/>
          <w:sz w:val="8"/>
          <w:szCs w:val="8"/>
        </w:rPr>
      </w:pPr>
      <w:r w:rsidRPr="00631DCC">
        <w:rPr>
          <w:rFonts w:asciiTheme="majorBidi" w:hAnsiTheme="majorBidi" w:cstheme="majorBidi"/>
          <w:b/>
          <w:bCs/>
        </w:rPr>
        <w:t>5.1 Summary statistics</w:t>
      </w:r>
      <w:r w:rsidR="008D6368">
        <w:rPr>
          <w:rFonts w:asciiTheme="majorBidi" w:hAnsiTheme="majorBidi" w:cstheme="majorBidi"/>
          <w:b/>
          <w:bCs/>
        </w:rPr>
        <w:br/>
      </w:r>
    </w:p>
    <w:p w14:paraId="33DEECDE" w14:textId="7A78DD82" w:rsidR="0044512F" w:rsidRDefault="0044512F" w:rsidP="0073696C">
      <w:pPr>
        <w:spacing w:line="288" w:lineRule="auto"/>
        <w:jc w:val="both"/>
        <w:rPr>
          <w:rFonts w:asciiTheme="majorBidi" w:hAnsiTheme="majorBidi" w:cstheme="majorBidi"/>
        </w:rPr>
      </w:pPr>
      <w:r w:rsidRPr="007C0AEE">
        <w:rPr>
          <w:rFonts w:asciiTheme="majorBidi" w:hAnsiTheme="majorBidi" w:cstheme="majorBidi"/>
        </w:rPr>
        <w:t>Table 1 provides summary statistics for the variables included in our hypotheses testing and FE modelling. Units are included in the table for reference when reading the results and discussion. The statistics are summarised over the entire 10-year period across all farms. Consequently, each farm has ten observations (one for each year) contributing to the overall summary statistics.</w:t>
      </w:r>
    </w:p>
    <w:p w14:paraId="09D6C299" w14:textId="77777777" w:rsidR="008D6368" w:rsidRPr="0073696C" w:rsidRDefault="008D6368" w:rsidP="0073696C">
      <w:pPr>
        <w:spacing w:line="288" w:lineRule="auto"/>
        <w:jc w:val="both"/>
        <w:rPr>
          <w:rFonts w:asciiTheme="majorBidi" w:hAnsiTheme="majorBidi" w:cstheme="majorBidi"/>
        </w:rPr>
      </w:pPr>
    </w:p>
    <w:p w14:paraId="0A31C057" w14:textId="77777777" w:rsidR="0044512F" w:rsidRPr="00897B87" w:rsidRDefault="0044512F" w:rsidP="0044512F">
      <w:pPr>
        <w:rPr>
          <w:rFonts w:asciiTheme="majorBidi" w:hAnsiTheme="majorBidi" w:cstheme="majorBidi"/>
          <w:b/>
          <w:bCs/>
          <w:sz w:val="22"/>
          <w:szCs w:val="22"/>
        </w:rPr>
      </w:pPr>
      <w:r w:rsidRPr="00897B87">
        <w:rPr>
          <w:rFonts w:asciiTheme="majorBidi" w:hAnsiTheme="majorBidi" w:cstheme="majorBidi"/>
          <w:b/>
          <w:bCs/>
          <w:sz w:val="22"/>
          <w:szCs w:val="22"/>
        </w:rPr>
        <w:lastRenderedPageBreak/>
        <w:t>Table 1. Summary statistics for farm variables in Games-Howell tests and FE models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1699"/>
        <w:gridCol w:w="1685"/>
        <w:gridCol w:w="1665"/>
      </w:tblGrid>
      <w:tr w:rsidR="0044512F" w:rsidRPr="00897B87" w14:paraId="7483D087" w14:textId="77777777" w:rsidTr="0044512F">
        <w:tc>
          <w:tcPr>
            <w:tcW w:w="4360" w:type="dxa"/>
            <w:tcBorders>
              <w:top w:val="single" w:sz="4" w:space="0" w:color="auto"/>
              <w:bottom w:val="single" w:sz="4" w:space="0" w:color="auto"/>
            </w:tcBorders>
          </w:tcPr>
          <w:p w14:paraId="31AC8C38" w14:textId="77777777" w:rsidR="0044512F" w:rsidRPr="00897B87" w:rsidRDefault="0044512F" w:rsidP="0044512F">
            <w:pPr>
              <w:rPr>
                <w:rFonts w:asciiTheme="majorBidi" w:hAnsiTheme="majorBidi" w:cstheme="majorBidi"/>
                <w:sz w:val="22"/>
                <w:szCs w:val="22"/>
              </w:rPr>
            </w:pPr>
            <w:r w:rsidRPr="00897B87">
              <w:rPr>
                <w:rFonts w:asciiTheme="majorBidi" w:hAnsiTheme="majorBidi" w:cstheme="majorBidi"/>
                <w:sz w:val="22"/>
                <w:szCs w:val="22"/>
              </w:rPr>
              <w:t>Variable</w:t>
            </w:r>
          </w:p>
        </w:tc>
        <w:tc>
          <w:tcPr>
            <w:tcW w:w="1792" w:type="dxa"/>
            <w:tcBorders>
              <w:top w:val="single" w:sz="4" w:space="0" w:color="auto"/>
              <w:bottom w:val="single" w:sz="4" w:space="0" w:color="auto"/>
            </w:tcBorders>
          </w:tcPr>
          <w:p w14:paraId="438C062D"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Mean</w:t>
            </w:r>
          </w:p>
        </w:tc>
        <w:tc>
          <w:tcPr>
            <w:tcW w:w="1792" w:type="dxa"/>
            <w:tcBorders>
              <w:top w:val="single" w:sz="4" w:space="0" w:color="auto"/>
              <w:bottom w:val="single" w:sz="4" w:space="0" w:color="auto"/>
            </w:tcBorders>
          </w:tcPr>
          <w:p w14:paraId="6DD5D146"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Std dev</w:t>
            </w:r>
          </w:p>
        </w:tc>
        <w:tc>
          <w:tcPr>
            <w:tcW w:w="1792" w:type="dxa"/>
            <w:tcBorders>
              <w:top w:val="single" w:sz="4" w:space="0" w:color="auto"/>
              <w:bottom w:val="single" w:sz="4" w:space="0" w:color="auto"/>
            </w:tcBorders>
          </w:tcPr>
          <w:p w14:paraId="3ECA5DF8"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Count (N x 10)</w:t>
            </w:r>
          </w:p>
        </w:tc>
      </w:tr>
      <w:tr w:rsidR="0044512F" w:rsidRPr="00897B87" w14:paraId="075DC813" w14:textId="77777777" w:rsidTr="0044512F">
        <w:tc>
          <w:tcPr>
            <w:tcW w:w="4360" w:type="dxa"/>
            <w:tcBorders>
              <w:top w:val="single" w:sz="4" w:space="0" w:color="auto"/>
            </w:tcBorders>
          </w:tcPr>
          <w:p w14:paraId="7FE3B849" w14:textId="77777777" w:rsidR="0044512F" w:rsidRPr="00897B87" w:rsidRDefault="0044512F" w:rsidP="0044512F">
            <w:pPr>
              <w:rPr>
                <w:rFonts w:asciiTheme="majorBidi" w:hAnsiTheme="majorBidi" w:cstheme="majorBidi"/>
                <w:sz w:val="22"/>
                <w:szCs w:val="22"/>
              </w:rPr>
            </w:pPr>
            <w:r w:rsidRPr="00897B87">
              <w:rPr>
                <w:rFonts w:asciiTheme="majorBidi" w:hAnsiTheme="majorBidi" w:cstheme="majorBidi"/>
                <w:sz w:val="22"/>
                <w:szCs w:val="22"/>
              </w:rPr>
              <w:t>Milk price ($)</w:t>
            </w:r>
          </w:p>
        </w:tc>
        <w:tc>
          <w:tcPr>
            <w:tcW w:w="1792" w:type="dxa"/>
            <w:tcBorders>
              <w:top w:val="single" w:sz="4" w:space="0" w:color="auto"/>
            </w:tcBorders>
          </w:tcPr>
          <w:p w14:paraId="5E21C26D"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6.68</w:t>
            </w:r>
          </w:p>
        </w:tc>
        <w:tc>
          <w:tcPr>
            <w:tcW w:w="1792" w:type="dxa"/>
            <w:tcBorders>
              <w:top w:val="single" w:sz="4" w:space="0" w:color="auto"/>
            </w:tcBorders>
          </w:tcPr>
          <w:p w14:paraId="502CBDD1"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1.12</w:t>
            </w:r>
          </w:p>
        </w:tc>
        <w:tc>
          <w:tcPr>
            <w:tcW w:w="1792" w:type="dxa"/>
            <w:tcBorders>
              <w:top w:val="single" w:sz="4" w:space="0" w:color="auto"/>
            </w:tcBorders>
          </w:tcPr>
          <w:p w14:paraId="5F7ADC2E"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36620</w:t>
            </w:r>
          </w:p>
        </w:tc>
      </w:tr>
      <w:tr w:rsidR="0044512F" w:rsidRPr="00897B87" w14:paraId="1E911E6C" w14:textId="77777777" w:rsidTr="0044512F">
        <w:tc>
          <w:tcPr>
            <w:tcW w:w="4360" w:type="dxa"/>
          </w:tcPr>
          <w:p w14:paraId="33D141F1" w14:textId="77777777" w:rsidR="0044512F" w:rsidRPr="00897B87" w:rsidRDefault="0044512F" w:rsidP="0044512F">
            <w:pPr>
              <w:rPr>
                <w:rFonts w:asciiTheme="majorBidi" w:hAnsiTheme="majorBidi" w:cstheme="majorBidi"/>
                <w:sz w:val="22"/>
                <w:szCs w:val="22"/>
              </w:rPr>
            </w:pPr>
            <w:r w:rsidRPr="00897B87">
              <w:rPr>
                <w:rFonts w:asciiTheme="majorBidi" w:hAnsiTheme="majorBidi" w:cstheme="majorBidi"/>
                <w:sz w:val="22"/>
                <w:szCs w:val="22"/>
              </w:rPr>
              <w:t>Stocking rate (cows/ha)</w:t>
            </w:r>
          </w:p>
        </w:tc>
        <w:tc>
          <w:tcPr>
            <w:tcW w:w="1792" w:type="dxa"/>
          </w:tcPr>
          <w:p w14:paraId="7DDB8780"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2.86</w:t>
            </w:r>
          </w:p>
        </w:tc>
        <w:tc>
          <w:tcPr>
            <w:tcW w:w="1792" w:type="dxa"/>
          </w:tcPr>
          <w:p w14:paraId="69EA283E"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0.33</w:t>
            </w:r>
          </w:p>
        </w:tc>
        <w:tc>
          <w:tcPr>
            <w:tcW w:w="1792" w:type="dxa"/>
          </w:tcPr>
          <w:p w14:paraId="5716BE58"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36620</w:t>
            </w:r>
          </w:p>
        </w:tc>
      </w:tr>
      <w:tr w:rsidR="0044512F" w:rsidRPr="00897B87" w14:paraId="24DA9267" w14:textId="77777777" w:rsidTr="0044512F">
        <w:tc>
          <w:tcPr>
            <w:tcW w:w="4360" w:type="dxa"/>
          </w:tcPr>
          <w:p w14:paraId="4048D0A7" w14:textId="77777777" w:rsidR="0044512F" w:rsidRPr="00897B87" w:rsidRDefault="0044512F" w:rsidP="0044512F">
            <w:pPr>
              <w:rPr>
                <w:rFonts w:asciiTheme="majorBidi" w:hAnsiTheme="majorBidi" w:cstheme="majorBidi"/>
                <w:sz w:val="22"/>
                <w:szCs w:val="22"/>
              </w:rPr>
            </w:pPr>
            <w:r w:rsidRPr="00897B87">
              <w:rPr>
                <w:rFonts w:asciiTheme="majorBidi" w:hAnsiTheme="majorBidi" w:cstheme="majorBidi"/>
                <w:sz w:val="22"/>
                <w:szCs w:val="22"/>
              </w:rPr>
              <w:t>Production yield</w:t>
            </w:r>
          </w:p>
        </w:tc>
        <w:tc>
          <w:tcPr>
            <w:tcW w:w="1792" w:type="dxa"/>
          </w:tcPr>
          <w:p w14:paraId="44797215"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0.82</w:t>
            </w:r>
          </w:p>
        </w:tc>
        <w:tc>
          <w:tcPr>
            <w:tcW w:w="1792" w:type="dxa"/>
          </w:tcPr>
          <w:p w14:paraId="021A5A30"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0.08</w:t>
            </w:r>
          </w:p>
        </w:tc>
        <w:tc>
          <w:tcPr>
            <w:tcW w:w="1792" w:type="dxa"/>
          </w:tcPr>
          <w:p w14:paraId="48028CA6"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36620</w:t>
            </w:r>
          </w:p>
        </w:tc>
      </w:tr>
      <w:tr w:rsidR="0044512F" w:rsidRPr="00897B87" w14:paraId="1F982A00" w14:textId="77777777" w:rsidTr="0044512F">
        <w:tc>
          <w:tcPr>
            <w:tcW w:w="4360" w:type="dxa"/>
          </w:tcPr>
          <w:p w14:paraId="702F3894" w14:textId="77777777" w:rsidR="0044512F" w:rsidRPr="00897B87" w:rsidRDefault="0044512F" w:rsidP="0044512F">
            <w:pPr>
              <w:rPr>
                <w:rFonts w:asciiTheme="majorBidi" w:hAnsiTheme="majorBidi" w:cstheme="majorBidi"/>
                <w:sz w:val="22"/>
                <w:szCs w:val="22"/>
              </w:rPr>
            </w:pPr>
            <w:r w:rsidRPr="00897B87">
              <w:rPr>
                <w:rFonts w:asciiTheme="majorBidi" w:hAnsiTheme="majorBidi" w:cstheme="majorBidi"/>
                <w:sz w:val="22"/>
                <w:szCs w:val="22"/>
              </w:rPr>
              <w:t>Standard deviation of OPM</w:t>
            </w:r>
          </w:p>
        </w:tc>
        <w:tc>
          <w:tcPr>
            <w:tcW w:w="1792" w:type="dxa"/>
          </w:tcPr>
          <w:p w14:paraId="5E9A8AB0"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0.12</w:t>
            </w:r>
          </w:p>
        </w:tc>
        <w:tc>
          <w:tcPr>
            <w:tcW w:w="1792" w:type="dxa"/>
          </w:tcPr>
          <w:p w14:paraId="69C764C4"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0.03</w:t>
            </w:r>
          </w:p>
        </w:tc>
        <w:tc>
          <w:tcPr>
            <w:tcW w:w="1792" w:type="dxa"/>
          </w:tcPr>
          <w:p w14:paraId="2171A373"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36620</w:t>
            </w:r>
          </w:p>
        </w:tc>
      </w:tr>
      <w:tr w:rsidR="0044512F" w:rsidRPr="00897B87" w14:paraId="7E762C80" w14:textId="77777777" w:rsidTr="0044512F">
        <w:tc>
          <w:tcPr>
            <w:tcW w:w="4360" w:type="dxa"/>
          </w:tcPr>
          <w:p w14:paraId="2B9016D2" w14:textId="77777777" w:rsidR="0044512F" w:rsidRPr="00897B87" w:rsidRDefault="0044512F" w:rsidP="0044512F">
            <w:pPr>
              <w:rPr>
                <w:rFonts w:asciiTheme="majorBidi" w:hAnsiTheme="majorBidi" w:cstheme="majorBidi"/>
                <w:sz w:val="22"/>
                <w:szCs w:val="22"/>
              </w:rPr>
            </w:pPr>
            <w:r w:rsidRPr="00897B87">
              <w:rPr>
                <w:rFonts w:asciiTheme="majorBidi" w:hAnsiTheme="majorBidi" w:cstheme="majorBidi"/>
                <w:sz w:val="22"/>
                <w:szCs w:val="22"/>
              </w:rPr>
              <w:t>Proportion of feed consisting of supplement</w:t>
            </w:r>
          </w:p>
        </w:tc>
        <w:tc>
          <w:tcPr>
            <w:tcW w:w="1792" w:type="dxa"/>
          </w:tcPr>
          <w:p w14:paraId="51C84171"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24.68</w:t>
            </w:r>
          </w:p>
        </w:tc>
        <w:tc>
          <w:tcPr>
            <w:tcW w:w="1792" w:type="dxa"/>
          </w:tcPr>
          <w:p w14:paraId="0A836D03"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8.81</w:t>
            </w:r>
          </w:p>
        </w:tc>
        <w:tc>
          <w:tcPr>
            <w:tcW w:w="1792" w:type="dxa"/>
          </w:tcPr>
          <w:p w14:paraId="6EF9C136"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36620</w:t>
            </w:r>
          </w:p>
        </w:tc>
      </w:tr>
      <w:tr w:rsidR="0044512F" w:rsidRPr="00897B87" w14:paraId="17466102" w14:textId="77777777" w:rsidTr="0044512F">
        <w:tc>
          <w:tcPr>
            <w:tcW w:w="4360" w:type="dxa"/>
          </w:tcPr>
          <w:p w14:paraId="16961C52" w14:textId="77777777" w:rsidR="0044512F" w:rsidRPr="00897B87" w:rsidRDefault="0044512F" w:rsidP="0044512F">
            <w:pPr>
              <w:rPr>
                <w:rFonts w:asciiTheme="majorBidi" w:hAnsiTheme="majorBidi" w:cstheme="majorBidi"/>
                <w:sz w:val="22"/>
                <w:szCs w:val="22"/>
              </w:rPr>
            </w:pPr>
            <w:r w:rsidRPr="00897B87">
              <w:rPr>
                <w:rFonts w:asciiTheme="majorBidi" w:hAnsiTheme="majorBidi" w:cstheme="majorBidi"/>
                <w:sz w:val="22"/>
                <w:szCs w:val="22"/>
              </w:rPr>
              <w:t>Milk production (kg MS/ha)</w:t>
            </w:r>
          </w:p>
        </w:tc>
        <w:tc>
          <w:tcPr>
            <w:tcW w:w="1792" w:type="dxa"/>
          </w:tcPr>
          <w:p w14:paraId="17C925F9"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1047.32</w:t>
            </w:r>
          </w:p>
        </w:tc>
        <w:tc>
          <w:tcPr>
            <w:tcW w:w="1792" w:type="dxa"/>
          </w:tcPr>
          <w:p w14:paraId="1AC26D11"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187.34</w:t>
            </w:r>
          </w:p>
        </w:tc>
        <w:tc>
          <w:tcPr>
            <w:tcW w:w="1792" w:type="dxa"/>
          </w:tcPr>
          <w:p w14:paraId="2FDEF414"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36620</w:t>
            </w:r>
          </w:p>
        </w:tc>
      </w:tr>
      <w:tr w:rsidR="0044512F" w:rsidRPr="00897B87" w14:paraId="067E1163" w14:textId="77777777" w:rsidTr="0044512F">
        <w:tc>
          <w:tcPr>
            <w:tcW w:w="4360" w:type="dxa"/>
          </w:tcPr>
          <w:p w14:paraId="020456FB" w14:textId="77777777" w:rsidR="0044512F" w:rsidRPr="00897B87" w:rsidRDefault="0044512F" w:rsidP="0044512F">
            <w:pPr>
              <w:rPr>
                <w:rFonts w:asciiTheme="majorBidi" w:hAnsiTheme="majorBidi" w:cstheme="majorBidi"/>
                <w:sz w:val="22"/>
                <w:szCs w:val="22"/>
              </w:rPr>
            </w:pPr>
            <w:r w:rsidRPr="00897B87">
              <w:rPr>
                <w:rFonts w:asciiTheme="majorBidi" w:hAnsiTheme="majorBidi" w:cstheme="majorBidi"/>
                <w:sz w:val="22"/>
                <w:szCs w:val="22"/>
              </w:rPr>
              <w:t>Nitrogen fertiliser cost ($/ha)</w:t>
            </w:r>
          </w:p>
        </w:tc>
        <w:tc>
          <w:tcPr>
            <w:tcW w:w="1792" w:type="dxa"/>
          </w:tcPr>
          <w:p w14:paraId="7B899912"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188.25</w:t>
            </w:r>
          </w:p>
        </w:tc>
        <w:tc>
          <w:tcPr>
            <w:tcW w:w="1792" w:type="dxa"/>
          </w:tcPr>
          <w:p w14:paraId="68C24917"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71.40</w:t>
            </w:r>
          </w:p>
        </w:tc>
        <w:tc>
          <w:tcPr>
            <w:tcW w:w="1792" w:type="dxa"/>
          </w:tcPr>
          <w:p w14:paraId="007AEA60"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36620</w:t>
            </w:r>
          </w:p>
        </w:tc>
      </w:tr>
      <w:tr w:rsidR="0044512F" w:rsidRPr="00897B87" w14:paraId="5161D838" w14:textId="77777777" w:rsidTr="0044512F">
        <w:tc>
          <w:tcPr>
            <w:tcW w:w="4360" w:type="dxa"/>
          </w:tcPr>
          <w:p w14:paraId="2D6DB266" w14:textId="77777777" w:rsidR="0044512F" w:rsidRPr="00897B87" w:rsidRDefault="0044512F" w:rsidP="0044512F">
            <w:pPr>
              <w:rPr>
                <w:rFonts w:asciiTheme="majorBidi" w:hAnsiTheme="majorBidi" w:cstheme="majorBidi"/>
                <w:sz w:val="22"/>
                <w:szCs w:val="22"/>
              </w:rPr>
            </w:pPr>
            <w:r w:rsidRPr="00897B87">
              <w:rPr>
                <w:rFonts w:asciiTheme="majorBidi" w:hAnsiTheme="majorBidi" w:cstheme="majorBidi"/>
                <w:sz w:val="22"/>
                <w:szCs w:val="22"/>
              </w:rPr>
              <w:t>Pasture and crop eaten (kg DM/ha)</w:t>
            </w:r>
          </w:p>
        </w:tc>
        <w:tc>
          <w:tcPr>
            <w:tcW w:w="1792" w:type="dxa"/>
          </w:tcPr>
          <w:p w14:paraId="6461B133"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10628.37</w:t>
            </w:r>
          </w:p>
        </w:tc>
        <w:tc>
          <w:tcPr>
            <w:tcW w:w="1792" w:type="dxa"/>
          </w:tcPr>
          <w:p w14:paraId="12D7F0A5"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1135.17</w:t>
            </w:r>
          </w:p>
        </w:tc>
        <w:tc>
          <w:tcPr>
            <w:tcW w:w="1792" w:type="dxa"/>
          </w:tcPr>
          <w:p w14:paraId="0137B686"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36620</w:t>
            </w:r>
          </w:p>
        </w:tc>
      </w:tr>
      <w:tr w:rsidR="0044512F" w:rsidRPr="00897B87" w14:paraId="0F82BA77" w14:textId="77777777" w:rsidTr="0044512F">
        <w:tc>
          <w:tcPr>
            <w:tcW w:w="4360" w:type="dxa"/>
          </w:tcPr>
          <w:p w14:paraId="31B0B643" w14:textId="77777777" w:rsidR="0044512F" w:rsidRPr="00897B87" w:rsidRDefault="0044512F" w:rsidP="0044512F">
            <w:pPr>
              <w:rPr>
                <w:rFonts w:asciiTheme="majorBidi" w:hAnsiTheme="majorBidi" w:cstheme="majorBidi"/>
                <w:sz w:val="22"/>
                <w:szCs w:val="22"/>
              </w:rPr>
            </w:pPr>
            <w:r w:rsidRPr="00897B87">
              <w:rPr>
                <w:rFonts w:asciiTheme="majorBidi" w:hAnsiTheme="majorBidi" w:cstheme="majorBidi"/>
                <w:sz w:val="22"/>
                <w:szCs w:val="22"/>
              </w:rPr>
              <w:t>Supplement cost ($/ha)</w:t>
            </w:r>
          </w:p>
        </w:tc>
        <w:tc>
          <w:tcPr>
            <w:tcW w:w="1792" w:type="dxa"/>
          </w:tcPr>
          <w:p w14:paraId="634CE614"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1136.82</w:t>
            </w:r>
          </w:p>
        </w:tc>
        <w:tc>
          <w:tcPr>
            <w:tcW w:w="1792" w:type="dxa"/>
          </w:tcPr>
          <w:p w14:paraId="182380E2"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546.57</w:t>
            </w:r>
          </w:p>
        </w:tc>
        <w:tc>
          <w:tcPr>
            <w:tcW w:w="1792" w:type="dxa"/>
          </w:tcPr>
          <w:p w14:paraId="25141BFF"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36620</w:t>
            </w:r>
          </w:p>
        </w:tc>
      </w:tr>
      <w:tr w:rsidR="0044512F" w:rsidRPr="00897B87" w14:paraId="7F3F14FB" w14:textId="77777777" w:rsidTr="0044512F">
        <w:tc>
          <w:tcPr>
            <w:tcW w:w="4360" w:type="dxa"/>
          </w:tcPr>
          <w:p w14:paraId="25381CE2" w14:textId="77777777" w:rsidR="0044512F" w:rsidRPr="00897B87" w:rsidRDefault="0044512F" w:rsidP="0044512F">
            <w:pPr>
              <w:rPr>
                <w:rFonts w:asciiTheme="majorBidi" w:hAnsiTheme="majorBidi" w:cstheme="majorBidi"/>
                <w:sz w:val="22"/>
                <w:szCs w:val="22"/>
              </w:rPr>
            </w:pPr>
            <w:r w:rsidRPr="00897B87">
              <w:rPr>
                <w:rFonts w:asciiTheme="majorBidi" w:hAnsiTheme="majorBidi" w:cstheme="majorBidi"/>
                <w:sz w:val="22"/>
                <w:szCs w:val="22"/>
              </w:rPr>
              <w:t>Leverage ratio</w:t>
            </w:r>
          </w:p>
        </w:tc>
        <w:tc>
          <w:tcPr>
            <w:tcW w:w="1792" w:type="dxa"/>
          </w:tcPr>
          <w:p w14:paraId="74B8BFAC"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2.03</w:t>
            </w:r>
          </w:p>
        </w:tc>
        <w:tc>
          <w:tcPr>
            <w:tcW w:w="1792" w:type="dxa"/>
          </w:tcPr>
          <w:p w14:paraId="6E9E24D0"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2.09</w:t>
            </w:r>
          </w:p>
        </w:tc>
        <w:tc>
          <w:tcPr>
            <w:tcW w:w="1792" w:type="dxa"/>
          </w:tcPr>
          <w:p w14:paraId="43F73F2A"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36620</w:t>
            </w:r>
          </w:p>
        </w:tc>
      </w:tr>
      <w:tr w:rsidR="0044512F" w:rsidRPr="00897B87" w14:paraId="79F46476" w14:textId="77777777" w:rsidTr="0044512F">
        <w:tc>
          <w:tcPr>
            <w:tcW w:w="4360" w:type="dxa"/>
          </w:tcPr>
          <w:p w14:paraId="3214E283" w14:textId="77777777" w:rsidR="0044512F" w:rsidRPr="00897B87" w:rsidRDefault="0044512F" w:rsidP="0044512F">
            <w:pPr>
              <w:rPr>
                <w:rFonts w:asciiTheme="majorBidi" w:hAnsiTheme="majorBidi" w:cstheme="majorBidi"/>
                <w:sz w:val="22"/>
                <w:szCs w:val="22"/>
              </w:rPr>
            </w:pPr>
            <w:r w:rsidRPr="00897B87">
              <w:rPr>
                <w:rFonts w:asciiTheme="majorBidi" w:hAnsiTheme="majorBidi" w:cstheme="majorBidi"/>
                <w:sz w:val="22"/>
                <w:szCs w:val="22"/>
              </w:rPr>
              <w:t>Cash operating surplus ($/ha)</w:t>
            </w:r>
          </w:p>
        </w:tc>
        <w:tc>
          <w:tcPr>
            <w:tcW w:w="1792" w:type="dxa"/>
          </w:tcPr>
          <w:p w14:paraId="664282D8"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2595.19</w:t>
            </w:r>
          </w:p>
        </w:tc>
        <w:tc>
          <w:tcPr>
            <w:tcW w:w="1792" w:type="dxa"/>
          </w:tcPr>
          <w:p w14:paraId="20A28EB5"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1298.41</w:t>
            </w:r>
          </w:p>
        </w:tc>
        <w:tc>
          <w:tcPr>
            <w:tcW w:w="1792" w:type="dxa"/>
          </w:tcPr>
          <w:p w14:paraId="1749815C"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36620</w:t>
            </w:r>
          </w:p>
        </w:tc>
      </w:tr>
      <w:tr w:rsidR="0044512F" w:rsidRPr="00897B87" w14:paraId="1A8B40F3" w14:textId="77777777" w:rsidTr="0044512F">
        <w:tc>
          <w:tcPr>
            <w:tcW w:w="4360" w:type="dxa"/>
          </w:tcPr>
          <w:p w14:paraId="2FBEEBFE" w14:textId="77777777" w:rsidR="0044512F" w:rsidRPr="00897B87" w:rsidRDefault="0044512F" w:rsidP="0044512F">
            <w:pPr>
              <w:rPr>
                <w:rFonts w:asciiTheme="majorBidi" w:hAnsiTheme="majorBidi" w:cstheme="majorBidi"/>
                <w:sz w:val="22"/>
                <w:szCs w:val="22"/>
              </w:rPr>
            </w:pPr>
            <w:r w:rsidRPr="00897B87">
              <w:rPr>
                <w:rFonts w:asciiTheme="majorBidi" w:hAnsiTheme="majorBidi" w:cstheme="majorBidi"/>
                <w:sz w:val="22"/>
                <w:szCs w:val="22"/>
              </w:rPr>
              <w:t>Total emissions (kg CO2-e/ha)</w:t>
            </w:r>
          </w:p>
        </w:tc>
        <w:tc>
          <w:tcPr>
            <w:tcW w:w="1792" w:type="dxa"/>
          </w:tcPr>
          <w:p w14:paraId="4A70431E"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11397.34</w:t>
            </w:r>
          </w:p>
        </w:tc>
        <w:tc>
          <w:tcPr>
            <w:tcW w:w="1792" w:type="dxa"/>
          </w:tcPr>
          <w:p w14:paraId="4FCBB98D"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1950.38</w:t>
            </w:r>
          </w:p>
        </w:tc>
        <w:tc>
          <w:tcPr>
            <w:tcW w:w="1792" w:type="dxa"/>
          </w:tcPr>
          <w:p w14:paraId="559A4664"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36620</w:t>
            </w:r>
          </w:p>
        </w:tc>
      </w:tr>
      <w:tr w:rsidR="0044512F" w:rsidRPr="00897B87" w14:paraId="29F33B9F" w14:textId="77777777" w:rsidTr="0044512F">
        <w:tc>
          <w:tcPr>
            <w:tcW w:w="4360" w:type="dxa"/>
          </w:tcPr>
          <w:p w14:paraId="6B475CDA" w14:textId="77777777" w:rsidR="0044512F" w:rsidRPr="00897B87" w:rsidRDefault="0044512F" w:rsidP="0044512F">
            <w:pPr>
              <w:rPr>
                <w:rFonts w:asciiTheme="majorBidi" w:hAnsiTheme="majorBidi" w:cstheme="majorBidi"/>
                <w:sz w:val="22"/>
                <w:szCs w:val="22"/>
              </w:rPr>
            </w:pPr>
            <w:r w:rsidRPr="00897B87">
              <w:rPr>
                <w:rFonts w:asciiTheme="majorBidi" w:hAnsiTheme="majorBidi" w:cstheme="majorBidi"/>
                <w:sz w:val="22"/>
                <w:szCs w:val="22"/>
              </w:rPr>
              <w:t>Meat revenue ($/ha)</w:t>
            </w:r>
          </w:p>
        </w:tc>
        <w:tc>
          <w:tcPr>
            <w:tcW w:w="1792" w:type="dxa"/>
          </w:tcPr>
          <w:p w14:paraId="2BC20857"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621.79</w:t>
            </w:r>
          </w:p>
        </w:tc>
        <w:tc>
          <w:tcPr>
            <w:tcW w:w="1792" w:type="dxa"/>
          </w:tcPr>
          <w:p w14:paraId="4DC6AFDF"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435.95</w:t>
            </w:r>
          </w:p>
        </w:tc>
        <w:tc>
          <w:tcPr>
            <w:tcW w:w="1792" w:type="dxa"/>
          </w:tcPr>
          <w:p w14:paraId="5A55D5AD"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36620</w:t>
            </w:r>
          </w:p>
        </w:tc>
      </w:tr>
      <w:tr w:rsidR="0044512F" w:rsidRPr="00897B87" w14:paraId="16C7C1D2" w14:textId="77777777" w:rsidTr="0044512F">
        <w:tc>
          <w:tcPr>
            <w:tcW w:w="4360" w:type="dxa"/>
          </w:tcPr>
          <w:p w14:paraId="7342FA35" w14:textId="77777777" w:rsidR="0044512F" w:rsidRPr="00897B87" w:rsidRDefault="0044512F" w:rsidP="0044512F">
            <w:pPr>
              <w:rPr>
                <w:rFonts w:asciiTheme="majorBidi" w:hAnsiTheme="majorBidi" w:cstheme="majorBidi"/>
                <w:sz w:val="22"/>
                <w:szCs w:val="22"/>
              </w:rPr>
            </w:pPr>
            <w:r w:rsidRPr="00897B87">
              <w:rPr>
                <w:rFonts w:asciiTheme="majorBidi" w:hAnsiTheme="majorBidi" w:cstheme="majorBidi"/>
                <w:sz w:val="22"/>
                <w:szCs w:val="22"/>
              </w:rPr>
              <w:t>Overhead costs ($/ha)</w:t>
            </w:r>
          </w:p>
        </w:tc>
        <w:tc>
          <w:tcPr>
            <w:tcW w:w="1792" w:type="dxa"/>
          </w:tcPr>
          <w:p w14:paraId="6B85ACFA"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342.51</w:t>
            </w:r>
          </w:p>
        </w:tc>
        <w:tc>
          <w:tcPr>
            <w:tcW w:w="1792" w:type="dxa"/>
          </w:tcPr>
          <w:p w14:paraId="0249D80D"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84.58</w:t>
            </w:r>
          </w:p>
        </w:tc>
        <w:tc>
          <w:tcPr>
            <w:tcW w:w="1792" w:type="dxa"/>
          </w:tcPr>
          <w:p w14:paraId="65F22D7B" w14:textId="77777777" w:rsidR="0044512F" w:rsidRPr="00897B87" w:rsidRDefault="0044512F" w:rsidP="0044512F">
            <w:pPr>
              <w:jc w:val="center"/>
              <w:rPr>
                <w:rFonts w:asciiTheme="majorBidi" w:hAnsiTheme="majorBidi" w:cstheme="majorBidi"/>
                <w:sz w:val="22"/>
                <w:szCs w:val="22"/>
              </w:rPr>
            </w:pPr>
            <w:r w:rsidRPr="00897B87">
              <w:rPr>
                <w:rFonts w:asciiTheme="majorBidi" w:hAnsiTheme="majorBidi" w:cstheme="majorBidi"/>
                <w:sz w:val="22"/>
                <w:szCs w:val="22"/>
              </w:rPr>
              <w:t>36620</w:t>
            </w:r>
          </w:p>
        </w:tc>
      </w:tr>
    </w:tbl>
    <w:p w14:paraId="0863629E" w14:textId="77777777" w:rsidR="0044512F" w:rsidRPr="00381A8E" w:rsidRDefault="0044512F" w:rsidP="0044512F"/>
    <w:p w14:paraId="67CB0C41" w14:textId="77777777" w:rsidR="0044512F" w:rsidRPr="00631DCC" w:rsidRDefault="0044512F" w:rsidP="0044512F">
      <w:pPr>
        <w:spacing w:line="288" w:lineRule="auto"/>
        <w:rPr>
          <w:rFonts w:asciiTheme="majorBidi" w:hAnsiTheme="majorBidi" w:cstheme="majorBidi"/>
          <w:b/>
          <w:bCs/>
        </w:rPr>
      </w:pPr>
      <w:bookmarkStart w:id="9" w:name="_Toc64014177"/>
      <w:r w:rsidRPr="00631DCC">
        <w:rPr>
          <w:rFonts w:asciiTheme="majorBidi" w:hAnsiTheme="majorBidi" w:cstheme="majorBidi"/>
          <w:b/>
          <w:bCs/>
        </w:rPr>
        <w:t>5.2 Games-Howell tests</w:t>
      </w:r>
      <w:bookmarkEnd w:id="9"/>
    </w:p>
    <w:p w14:paraId="73A2170A" w14:textId="77777777" w:rsidR="0044512F" w:rsidRPr="00897B87" w:rsidRDefault="0044512F" w:rsidP="0044512F">
      <w:pPr>
        <w:spacing w:after="100" w:afterAutospacing="1" w:line="288" w:lineRule="auto"/>
        <w:jc w:val="both"/>
        <w:rPr>
          <w:rFonts w:asciiTheme="majorBidi" w:hAnsiTheme="majorBidi" w:cstheme="majorBidi"/>
        </w:rPr>
      </w:pPr>
      <w:r w:rsidRPr="00897B87">
        <w:rPr>
          <w:rFonts w:asciiTheme="majorBidi" w:hAnsiTheme="majorBidi" w:cstheme="majorBidi"/>
        </w:rPr>
        <w:t xml:space="preserve">We report the results from the Games-Howell tests in Table 2. We present pairwise comparisons of means of farm variables for the quartile groups. For example, the value for stocking rate in the Q4-Q1 column is the mean stocking rate in quartile 4 minus the mean stocking rate in quartile 1. </w:t>
      </w:r>
    </w:p>
    <w:p w14:paraId="2C5ADD62" w14:textId="77777777" w:rsidR="0044512F" w:rsidRPr="00897B87" w:rsidRDefault="0044512F" w:rsidP="0044512F">
      <w:pPr>
        <w:spacing w:after="100" w:afterAutospacing="1" w:line="288" w:lineRule="auto"/>
        <w:ind w:firstLine="720"/>
        <w:jc w:val="both"/>
        <w:rPr>
          <w:rFonts w:asciiTheme="majorBidi" w:hAnsiTheme="majorBidi" w:cstheme="majorBidi"/>
        </w:rPr>
      </w:pPr>
      <w:r w:rsidRPr="00897B87">
        <w:rPr>
          <w:rFonts w:asciiTheme="majorBidi" w:hAnsiTheme="majorBidi" w:cstheme="majorBidi"/>
        </w:rPr>
        <w:t xml:space="preserve">We find no significant differences in stocking rate between quartiles. Furthermore, differences in milk production (kg MS/ha) are predominantly insignificant - except for the difference between Q4 and Q2 (-22.45 kg MS/ha) which is significant at α = 0.05. These results suggest that there is no stocking rate or intensity effect on cost efficiency. This finding is in line with </w:t>
      </w:r>
      <w:proofErr w:type="spellStart"/>
      <w:r w:rsidRPr="00897B87">
        <w:rPr>
          <w:rFonts w:asciiTheme="majorBidi" w:hAnsiTheme="majorBidi" w:cstheme="majorBidi"/>
        </w:rPr>
        <w:t>Beca’s</w:t>
      </w:r>
      <w:proofErr w:type="spellEnd"/>
      <w:r w:rsidRPr="00897B87">
        <w:rPr>
          <w:rFonts w:asciiTheme="majorBidi" w:hAnsiTheme="majorBidi" w:cstheme="majorBidi"/>
        </w:rPr>
        <w:t xml:space="preserve"> (2020) work on Australian farms, which is consistent with Australia and New Zealand farms being pasture-based. Our work builds on conclusions from Jiang and Sharp (2014) on cost efficiency for New Zealand farms. They find that herd size is positively correlated with cost efficiency, whilst controlling for farm size (effective hectares) and we find that stocking rate and milk production per hectare are uncorrelated with cost efficiency. However, they include a categorical variable for the traditionally continuous variable herd size. This may decrease the explanatory power of their model by confounding stocking rate and hectare effects, making it difficult to disentangle complicated regional effects that have a major influence on profitability. </w:t>
      </w:r>
    </w:p>
    <w:p w14:paraId="34EBD118" w14:textId="77777777" w:rsidR="0044512F" w:rsidRPr="00897B87" w:rsidRDefault="0044512F" w:rsidP="0044512F">
      <w:pPr>
        <w:spacing w:after="100" w:afterAutospacing="1" w:line="288" w:lineRule="auto"/>
        <w:ind w:firstLine="720"/>
        <w:jc w:val="both"/>
        <w:rPr>
          <w:rFonts w:asciiTheme="majorBidi" w:hAnsiTheme="majorBidi" w:cstheme="majorBidi"/>
        </w:rPr>
      </w:pPr>
      <w:r w:rsidRPr="00897B87">
        <w:rPr>
          <w:rFonts w:asciiTheme="majorBidi" w:hAnsiTheme="majorBidi" w:cstheme="majorBidi"/>
        </w:rPr>
        <w:t xml:space="preserve">Production yield exhibits significant differences between all quartile pairings (Table 2). We find that farms with a higher cost efficiency tended to have a lower production yield. This aligns with traditional economic thinking around diminishing marginal returns - as farms attempt to extract the final units of milk solids for each cow, the milking process becomes </w:t>
      </w:r>
      <w:proofErr w:type="gramStart"/>
      <w:r w:rsidRPr="00897B87">
        <w:rPr>
          <w:rFonts w:asciiTheme="majorBidi" w:hAnsiTheme="majorBidi" w:cstheme="majorBidi"/>
        </w:rPr>
        <w:t>more intensive and costly</w:t>
      </w:r>
      <w:proofErr w:type="gramEnd"/>
      <w:r w:rsidRPr="00897B87">
        <w:rPr>
          <w:rFonts w:asciiTheme="majorBidi" w:hAnsiTheme="majorBidi" w:cstheme="majorBidi"/>
        </w:rPr>
        <w:t xml:space="preserve">. </w:t>
      </w:r>
      <w:proofErr w:type="spellStart"/>
      <w:r w:rsidRPr="00897B87">
        <w:rPr>
          <w:rFonts w:asciiTheme="majorBidi" w:hAnsiTheme="majorBidi" w:cstheme="majorBidi"/>
        </w:rPr>
        <w:t>DairyNZ</w:t>
      </w:r>
      <w:proofErr w:type="spellEnd"/>
      <w:r w:rsidRPr="00897B87">
        <w:rPr>
          <w:rFonts w:asciiTheme="majorBidi" w:hAnsiTheme="majorBidi" w:cstheme="majorBidi"/>
        </w:rPr>
        <w:t xml:space="preserve"> (2021) reinforce this idea, advocating a novel approach to milking in New Zealand: </w:t>
      </w:r>
      <w:proofErr w:type="spellStart"/>
      <w:r w:rsidRPr="00897B87">
        <w:rPr>
          <w:rFonts w:asciiTheme="majorBidi" w:hAnsiTheme="majorBidi" w:cstheme="majorBidi"/>
        </w:rPr>
        <w:t>MaxT</w:t>
      </w:r>
      <w:proofErr w:type="spellEnd"/>
      <w:r w:rsidRPr="00897B87">
        <w:rPr>
          <w:rFonts w:asciiTheme="majorBidi" w:hAnsiTheme="majorBidi" w:cstheme="majorBidi"/>
        </w:rPr>
        <w:t xml:space="preserve">. This approach predetermines a specified time milking time, per cow (which has been optimised so that 80% of cows will finish milking in that duration). </w:t>
      </w:r>
      <w:r w:rsidRPr="00897B87">
        <w:rPr>
          <w:rFonts w:asciiTheme="majorBidi" w:hAnsiTheme="majorBidi" w:cstheme="majorBidi"/>
        </w:rPr>
        <w:lastRenderedPageBreak/>
        <w:t>While this process foregoes some final units of milk solids, it has been linked to improved milking efficiency and profitability (</w:t>
      </w:r>
      <w:proofErr w:type="spellStart"/>
      <w:r w:rsidRPr="00897B87">
        <w:rPr>
          <w:rFonts w:asciiTheme="majorBidi" w:hAnsiTheme="majorBidi" w:cstheme="majorBidi"/>
        </w:rPr>
        <w:t>DairyNZ</w:t>
      </w:r>
      <w:proofErr w:type="spellEnd"/>
      <w:r w:rsidRPr="00897B87">
        <w:rPr>
          <w:rFonts w:asciiTheme="majorBidi" w:hAnsiTheme="majorBidi" w:cstheme="majorBidi"/>
        </w:rPr>
        <w:t xml:space="preserve">, n.d.).  </w:t>
      </w:r>
    </w:p>
    <w:p w14:paraId="55C14D0D" w14:textId="77777777" w:rsidR="0044512F" w:rsidRPr="00897B87" w:rsidRDefault="0044512F" w:rsidP="0044512F">
      <w:pPr>
        <w:spacing w:after="100" w:afterAutospacing="1" w:line="288" w:lineRule="auto"/>
        <w:ind w:firstLine="720"/>
        <w:jc w:val="both"/>
        <w:rPr>
          <w:rFonts w:asciiTheme="majorBidi" w:hAnsiTheme="majorBidi" w:cstheme="majorBidi"/>
        </w:rPr>
      </w:pPr>
      <w:r w:rsidRPr="00897B87">
        <w:rPr>
          <w:rFonts w:asciiTheme="majorBidi" w:hAnsiTheme="majorBidi" w:cstheme="majorBidi"/>
        </w:rPr>
        <w:t xml:space="preserve">We are surprised to find that farms with a lower standard deviation of OPM were in better quartiles. We expected the standard deviation to be higher for farms with larger average OPMs. As stated, in our literature review, standard deviation of OPM is an indicator of business risk appetite. An increase in the standard deviation of OPM is linked to less business risk aversion (as farmers are more willing to take on climatic, price and production uncertainty). As such, we expected these farmers to have a larger average payoff (in terms of cost efficiency) and risk-averse farmers to be less cost-efficient. However, our Games-Howell results show that farms with greater long-run cost efficiency may be exposed to less business risk. </w:t>
      </w:r>
    </w:p>
    <w:p w14:paraId="73B5C290" w14:textId="77777777" w:rsidR="0044512F" w:rsidRDefault="0044512F" w:rsidP="0044512F">
      <w:pPr>
        <w:spacing w:after="100" w:afterAutospacing="1" w:line="288" w:lineRule="auto"/>
        <w:ind w:firstLine="720"/>
        <w:jc w:val="both"/>
        <w:rPr>
          <w:rFonts w:asciiTheme="majorBidi" w:hAnsiTheme="majorBidi" w:cstheme="majorBidi"/>
        </w:rPr>
      </w:pPr>
      <w:r w:rsidRPr="00897B87">
        <w:rPr>
          <w:rFonts w:asciiTheme="majorBidi" w:hAnsiTheme="majorBidi" w:cstheme="majorBidi"/>
        </w:rPr>
        <w:t xml:space="preserve">This may have arisen due to differences in farm system intensity. More intensive farms expose themselves to higher business risk (as they have a greater reliance on supplement and market shocks have a greater impact on their profitability) and experience significant declines in </w:t>
      </w:r>
      <w:proofErr w:type="spellStart"/>
      <w:r w:rsidRPr="00897B87">
        <w:rPr>
          <w:rFonts w:asciiTheme="majorBidi" w:hAnsiTheme="majorBidi" w:cstheme="majorBidi"/>
        </w:rPr>
        <w:t>RoE</w:t>
      </w:r>
      <w:proofErr w:type="spellEnd"/>
      <w:r w:rsidRPr="00897B87">
        <w:rPr>
          <w:rFonts w:asciiTheme="majorBidi" w:hAnsiTheme="majorBidi" w:cstheme="majorBidi"/>
        </w:rPr>
        <w:t xml:space="preserve"> during bad years, driven by declines in OPM (Ho et al., 2013; Shadbolt, 2012). This could generate lower mean OPMs for those farms (which are exposed to more business risk). Our results in Table 2 provide mixed support for this explanation. Farms in the higher performing quartiles have lower levels of fertiliser and supplemental feed costs, which are two important aspects of farm intensity. However, they achieve this without having a lower stocking rate, which is also an indicator of intensity. Pasture and crop eaten seem to be a key driver of this ability to maintain milk production per hectare while reducing the intensity of some inputs (and thus their input costs). Therefore, it seems there are synergies between cost efficiency and reduced business risk.</w:t>
      </w:r>
    </w:p>
    <w:p w14:paraId="1EF5FC29" w14:textId="77777777" w:rsidR="00886A3C" w:rsidRPr="00ED696F" w:rsidRDefault="00886A3C" w:rsidP="0044512F">
      <w:pPr>
        <w:spacing w:after="100" w:afterAutospacing="1" w:line="288" w:lineRule="auto"/>
        <w:ind w:firstLine="720"/>
        <w:jc w:val="both"/>
        <w:rPr>
          <w:rFonts w:asciiTheme="majorBidi" w:hAnsiTheme="majorBidi" w:cstheme="majorBidi"/>
        </w:rPr>
      </w:pPr>
      <w:r w:rsidRPr="00ED696F">
        <w:rPr>
          <w:rFonts w:asciiTheme="majorBidi" w:hAnsiTheme="majorBidi" w:cstheme="majorBidi"/>
        </w:rPr>
        <w:t>As previously mentioned, nitrogen fertiliser cost, supplement cost and the proportion of feed consisting of supplement are all lower on average for more cost-efficient farms. The relationship between these inputs and cost efficiency depends on the production response a farmer can generate from their use.  For example, if fertiliser expenditure increases but production remains unchanged, OPM will fall. Conversely, if production increases concurrently, OPM may also increase. Our findings suggest that, over the long run, farms purchasing more nitrogen fertiliser and supplement are less cost efficient.</w:t>
      </w:r>
    </w:p>
    <w:p w14:paraId="5DD76F75" w14:textId="77777777" w:rsidR="00886A3C" w:rsidRPr="00897B87" w:rsidRDefault="00886A3C" w:rsidP="0044512F">
      <w:pPr>
        <w:spacing w:after="100" w:afterAutospacing="1" w:line="288" w:lineRule="auto"/>
        <w:ind w:firstLine="720"/>
        <w:jc w:val="both"/>
        <w:rPr>
          <w:rFonts w:asciiTheme="majorBidi" w:hAnsiTheme="majorBidi" w:cstheme="majorBidi"/>
          <w:b/>
          <w:bCs/>
        </w:rPr>
      </w:pPr>
      <w:r w:rsidRPr="00ED696F">
        <w:rPr>
          <w:rFonts w:asciiTheme="majorBidi" w:hAnsiTheme="majorBidi" w:cstheme="majorBidi"/>
        </w:rPr>
        <w:t>A plausible explanation for this finding is that farms utilising more inputs generate a lower marginal production response and are consequently less cost efficient. Our work is consistent with Ma et al. (2018) who demonstrate that intensification of inputs does not provide a profit advantage and that there is a clear economical upper limit on the use of supplement. However, there may be sub-regional effects (within the Waikato region) which we have not been able to consider due to the unavailability of suitable data. Farms in certain areas may have a better natural environmental endowment for farming and thus require less inputs per hectare.</w:t>
      </w:r>
    </w:p>
    <w:p w14:paraId="2CDBCF0B" w14:textId="77777777" w:rsidR="0044512F" w:rsidRPr="00897B87" w:rsidRDefault="0044512F" w:rsidP="0044512F">
      <w:pPr>
        <w:keepNext/>
        <w:spacing w:after="0" w:line="240" w:lineRule="auto"/>
        <w:rPr>
          <w:rFonts w:asciiTheme="majorBidi" w:hAnsiTheme="majorBidi" w:cstheme="majorBidi"/>
          <w:i/>
          <w:iCs/>
          <w:sz w:val="22"/>
          <w:szCs w:val="22"/>
        </w:rPr>
      </w:pPr>
      <w:r w:rsidRPr="00897B87">
        <w:rPr>
          <w:rFonts w:asciiTheme="majorBidi" w:hAnsiTheme="majorBidi" w:cstheme="majorBidi"/>
          <w:b/>
          <w:bCs/>
          <w:sz w:val="22"/>
          <w:szCs w:val="22"/>
        </w:rPr>
        <w:lastRenderedPageBreak/>
        <w:t>Table 2. Games-Howell test results comparing long-run farm variables between cost efficiency quartiles.</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7"/>
        <w:gridCol w:w="1196"/>
        <w:gridCol w:w="1199"/>
        <w:gridCol w:w="1199"/>
        <w:gridCol w:w="1197"/>
        <w:gridCol w:w="1199"/>
        <w:gridCol w:w="1199"/>
      </w:tblGrid>
      <w:tr w:rsidR="0044512F" w:rsidRPr="00897B87" w14:paraId="5EEBFBDE" w14:textId="77777777" w:rsidTr="0044512F">
        <w:trPr>
          <w:trHeight w:val="288"/>
        </w:trPr>
        <w:tc>
          <w:tcPr>
            <w:tcW w:w="1018" w:type="pct"/>
            <w:tcBorders>
              <w:bottom w:val="nil"/>
            </w:tcBorders>
            <w:noWrap/>
          </w:tcPr>
          <w:p w14:paraId="07A2B649" w14:textId="77777777" w:rsidR="0044512F" w:rsidRPr="00897B87" w:rsidRDefault="0044512F" w:rsidP="0044512F">
            <w:pPr>
              <w:keepNext/>
              <w:spacing w:after="100" w:afterAutospacing="1"/>
              <w:rPr>
                <w:rFonts w:asciiTheme="majorBidi" w:hAnsiTheme="majorBidi" w:cstheme="majorBidi"/>
                <w:b/>
                <w:bCs/>
                <w:sz w:val="22"/>
                <w:szCs w:val="22"/>
              </w:rPr>
            </w:pPr>
          </w:p>
        </w:tc>
        <w:tc>
          <w:tcPr>
            <w:tcW w:w="3982" w:type="pct"/>
            <w:gridSpan w:val="6"/>
            <w:tcBorders>
              <w:bottom w:val="nil"/>
            </w:tcBorders>
            <w:noWrap/>
          </w:tcPr>
          <w:p w14:paraId="0837C778"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Mean difference in OPM</w:t>
            </w:r>
          </w:p>
        </w:tc>
      </w:tr>
      <w:tr w:rsidR="0044512F" w:rsidRPr="00897B87" w14:paraId="2269C4E5" w14:textId="77777777" w:rsidTr="0044512F">
        <w:trPr>
          <w:trHeight w:val="288"/>
        </w:trPr>
        <w:tc>
          <w:tcPr>
            <w:tcW w:w="1018" w:type="pct"/>
            <w:tcBorders>
              <w:top w:val="nil"/>
              <w:bottom w:val="single" w:sz="4" w:space="0" w:color="auto"/>
            </w:tcBorders>
            <w:noWrap/>
            <w:hideMark/>
          </w:tcPr>
          <w:p w14:paraId="1E2A531C" w14:textId="77777777" w:rsidR="0044512F" w:rsidRPr="00897B87" w:rsidRDefault="0044512F" w:rsidP="0044512F">
            <w:pPr>
              <w:keepNext/>
              <w:spacing w:after="100" w:afterAutospacing="1"/>
              <w:rPr>
                <w:rFonts w:asciiTheme="majorBidi" w:hAnsiTheme="majorBidi" w:cstheme="majorBidi"/>
                <w:b/>
                <w:bCs/>
                <w:sz w:val="22"/>
                <w:szCs w:val="22"/>
              </w:rPr>
            </w:pPr>
          </w:p>
        </w:tc>
        <w:tc>
          <w:tcPr>
            <w:tcW w:w="663" w:type="pct"/>
            <w:tcBorders>
              <w:top w:val="nil"/>
              <w:bottom w:val="single" w:sz="4" w:space="0" w:color="auto"/>
            </w:tcBorders>
            <w:noWrap/>
            <w:hideMark/>
          </w:tcPr>
          <w:p w14:paraId="58C31C62"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Q4-Q1</w:t>
            </w:r>
          </w:p>
        </w:tc>
        <w:tc>
          <w:tcPr>
            <w:tcW w:w="664" w:type="pct"/>
            <w:tcBorders>
              <w:top w:val="nil"/>
              <w:bottom w:val="single" w:sz="4" w:space="0" w:color="auto"/>
            </w:tcBorders>
            <w:noWrap/>
            <w:hideMark/>
          </w:tcPr>
          <w:p w14:paraId="5024B2D1"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Q4-Q2</w:t>
            </w:r>
          </w:p>
        </w:tc>
        <w:tc>
          <w:tcPr>
            <w:tcW w:w="664" w:type="pct"/>
            <w:tcBorders>
              <w:top w:val="nil"/>
              <w:bottom w:val="single" w:sz="4" w:space="0" w:color="auto"/>
            </w:tcBorders>
            <w:noWrap/>
            <w:hideMark/>
          </w:tcPr>
          <w:p w14:paraId="2AECE640"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Q4-Q3</w:t>
            </w:r>
          </w:p>
        </w:tc>
        <w:tc>
          <w:tcPr>
            <w:tcW w:w="663" w:type="pct"/>
            <w:tcBorders>
              <w:top w:val="nil"/>
              <w:bottom w:val="single" w:sz="4" w:space="0" w:color="auto"/>
            </w:tcBorders>
            <w:noWrap/>
            <w:hideMark/>
          </w:tcPr>
          <w:p w14:paraId="5D49F56C"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Q3-Q1</w:t>
            </w:r>
          </w:p>
        </w:tc>
        <w:tc>
          <w:tcPr>
            <w:tcW w:w="664" w:type="pct"/>
            <w:tcBorders>
              <w:top w:val="nil"/>
              <w:bottom w:val="single" w:sz="4" w:space="0" w:color="auto"/>
            </w:tcBorders>
            <w:noWrap/>
            <w:hideMark/>
          </w:tcPr>
          <w:p w14:paraId="795917B5"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Q3-Q2</w:t>
            </w:r>
          </w:p>
        </w:tc>
        <w:tc>
          <w:tcPr>
            <w:tcW w:w="664" w:type="pct"/>
            <w:tcBorders>
              <w:top w:val="nil"/>
              <w:bottom w:val="single" w:sz="4" w:space="0" w:color="auto"/>
            </w:tcBorders>
            <w:noWrap/>
            <w:hideMark/>
          </w:tcPr>
          <w:p w14:paraId="69EF7509"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Q2-Q1</w:t>
            </w:r>
          </w:p>
        </w:tc>
      </w:tr>
      <w:tr w:rsidR="0044512F" w:rsidRPr="00897B87" w14:paraId="1581BCC0" w14:textId="77777777" w:rsidTr="0044512F">
        <w:trPr>
          <w:trHeight w:val="288"/>
        </w:trPr>
        <w:tc>
          <w:tcPr>
            <w:tcW w:w="1018" w:type="pct"/>
            <w:vMerge w:val="restart"/>
            <w:tcBorders>
              <w:top w:val="single" w:sz="4" w:space="0" w:color="auto"/>
            </w:tcBorders>
            <w:hideMark/>
          </w:tcPr>
          <w:p w14:paraId="4EB34AE0" w14:textId="77777777" w:rsidR="0044512F" w:rsidRPr="00897B87" w:rsidRDefault="0044512F" w:rsidP="0044512F">
            <w:pPr>
              <w:keepNext/>
              <w:spacing w:after="100" w:afterAutospacing="1"/>
              <w:rPr>
                <w:rFonts w:asciiTheme="majorBidi" w:hAnsiTheme="majorBidi" w:cstheme="majorBidi"/>
                <w:sz w:val="22"/>
                <w:szCs w:val="22"/>
              </w:rPr>
            </w:pPr>
            <w:r w:rsidRPr="00897B87">
              <w:rPr>
                <w:rFonts w:asciiTheme="majorBidi" w:hAnsiTheme="majorBidi" w:cstheme="majorBidi"/>
                <w:sz w:val="22"/>
                <w:szCs w:val="22"/>
              </w:rPr>
              <w:t xml:space="preserve">Stocking rate </w:t>
            </w:r>
          </w:p>
        </w:tc>
        <w:tc>
          <w:tcPr>
            <w:tcW w:w="663" w:type="pct"/>
            <w:tcBorders>
              <w:top w:val="single" w:sz="4" w:space="0" w:color="auto"/>
            </w:tcBorders>
            <w:noWrap/>
            <w:hideMark/>
          </w:tcPr>
          <w:p w14:paraId="4F4C4A5E"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0.02</w:t>
            </w:r>
          </w:p>
        </w:tc>
        <w:tc>
          <w:tcPr>
            <w:tcW w:w="664" w:type="pct"/>
            <w:tcBorders>
              <w:top w:val="single" w:sz="4" w:space="0" w:color="auto"/>
            </w:tcBorders>
            <w:noWrap/>
            <w:hideMark/>
          </w:tcPr>
          <w:p w14:paraId="3CCDCD91"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-0.02</w:t>
            </w:r>
          </w:p>
        </w:tc>
        <w:tc>
          <w:tcPr>
            <w:tcW w:w="664" w:type="pct"/>
            <w:tcBorders>
              <w:top w:val="single" w:sz="4" w:space="0" w:color="auto"/>
            </w:tcBorders>
            <w:noWrap/>
            <w:hideMark/>
          </w:tcPr>
          <w:p w14:paraId="3E541036"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-0.01</w:t>
            </w:r>
          </w:p>
        </w:tc>
        <w:tc>
          <w:tcPr>
            <w:tcW w:w="663" w:type="pct"/>
            <w:tcBorders>
              <w:top w:val="single" w:sz="4" w:space="0" w:color="auto"/>
            </w:tcBorders>
            <w:noWrap/>
            <w:hideMark/>
          </w:tcPr>
          <w:p w14:paraId="39FECDF8"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0.03</w:t>
            </w:r>
          </w:p>
        </w:tc>
        <w:tc>
          <w:tcPr>
            <w:tcW w:w="664" w:type="pct"/>
            <w:tcBorders>
              <w:top w:val="single" w:sz="4" w:space="0" w:color="auto"/>
            </w:tcBorders>
            <w:noWrap/>
            <w:hideMark/>
          </w:tcPr>
          <w:p w14:paraId="7F308193"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-0.02</w:t>
            </w:r>
          </w:p>
        </w:tc>
        <w:tc>
          <w:tcPr>
            <w:tcW w:w="664" w:type="pct"/>
            <w:tcBorders>
              <w:top w:val="single" w:sz="4" w:space="0" w:color="auto"/>
            </w:tcBorders>
            <w:noWrap/>
            <w:hideMark/>
          </w:tcPr>
          <w:p w14:paraId="02E7E67B"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0.04</w:t>
            </w:r>
            <w:r w:rsidRPr="00897B87">
              <w:rPr>
                <w:rFonts w:asciiTheme="majorBidi" w:hAnsiTheme="majorBidi" w:cstheme="majorBidi"/>
                <w:sz w:val="22"/>
                <w:szCs w:val="22"/>
                <w:vertAlign w:val="superscript"/>
              </w:rPr>
              <w:t>**</w:t>
            </w:r>
          </w:p>
        </w:tc>
      </w:tr>
      <w:tr w:rsidR="0044512F" w:rsidRPr="00897B87" w14:paraId="2D5763AA" w14:textId="77777777" w:rsidTr="0044512F">
        <w:trPr>
          <w:trHeight w:val="288"/>
        </w:trPr>
        <w:tc>
          <w:tcPr>
            <w:tcW w:w="1018" w:type="pct"/>
            <w:vMerge/>
            <w:hideMark/>
          </w:tcPr>
          <w:p w14:paraId="2D32D0D8" w14:textId="77777777" w:rsidR="0044512F" w:rsidRPr="00897B87" w:rsidRDefault="0044512F" w:rsidP="0044512F">
            <w:pPr>
              <w:keepNext/>
              <w:spacing w:after="100" w:afterAutospacing="1"/>
              <w:rPr>
                <w:rFonts w:asciiTheme="majorBidi" w:hAnsiTheme="majorBidi" w:cstheme="majorBidi"/>
                <w:sz w:val="22"/>
                <w:szCs w:val="22"/>
              </w:rPr>
            </w:pPr>
          </w:p>
        </w:tc>
        <w:tc>
          <w:tcPr>
            <w:tcW w:w="663" w:type="pct"/>
            <w:noWrap/>
            <w:hideMark/>
          </w:tcPr>
          <w:p w14:paraId="1182B6B4"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(0.011)</w:t>
            </w:r>
          </w:p>
        </w:tc>
        <w:tc>
          <w:tcPr>
            <w:tcW w:w="664" w:type="pct"/>
            <w:noWrap/>
            <w:hideMark/>
          </w:tcPr>
          <w:p w14:paraId="5EA7CEC3"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(0.011)</w:t>
            </w:r>
          </w:p>
        </w:tc>
        <w:tc>
          <w:tcPr>
            <w:tcW w:w="664" w:type="pct"/>
            <w:noWrap/>
            <w:hideMark/>
          </w:tcPr>
          <w:p w14:paraId="66B3F198"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(0.011)</w:t>
            </w:r>
          </w:p>
        </w:tc>
        <w:tc>
          <w:tcPr>
            <w:tcW w:w="663" w:type="pct"/>
            <w:noWrap/>
            <w:hideMark/>
          </w:tcPr>
          <w:p w14:paraId="20483D7F"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(0.011)</w:t>
            </w:r>
          </w:p>
        </w:tc>
        <w:tc>
          <w:tcPr>
            <w:tcW w:w="664" w:type="pct"/>
            <w:noWrap/>
            <w:hideMark/>
          </w:tcPr>
          <w:p w14:paraId="0E6BEC7C"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(0.011)</w:t>
            </w:r>
          </w:p>
        </w:tc>
        <w:tc>
          <w:tcPr>
            <w:tcW w:w="664" w:type="pct"/>
            <w:noWrap/>
            <w:hideMark/>
          </w:tcPr>
          <w:p w14:paraId="5D5BFF20"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(0.011)</w:t>
            </w:r>
          </w:p>
        </w:tc>
      </w:tr>
      <w:tr w:rsidR="0044512F" w:rsidRPr="00897B87" w14:paraId="3D2C97E0" w14:textId="77777777" w:rsidTr="0044512F">
        <w:trPr>
          <w:trHeight w:val="288"/>
        </w:trPr>
        <w:tc>
          <w:tcPr>
            <w:tcW w:w="1018" w:type="pct"/>
            <w:vMerge w:val="restart"/>
            <w:hideMark/>
          </w:tcPr>
          <w:p w14:paraId="0C973FF6" w14:textId="77777777" w:rsidR="0044512F" w:rsidRPr="00897B87" w:rsidRDefault="0044512F" w:rsidP="0044512F">
            <w:pPr>
              <w:keepNext/>
              <w:spacing w:after="100" w:afterAutospacing="1"/>
              <w:rPr>
                <w:rFonts w:asciiTheme="majorBidi" w:hAnsiTheme="majorBidi" w:cstheme="majorBidi"/>
                <w:sz w:val="22"/>
                <w:szCs w:val="22"/>
              </w:rPr>
            </w:pPr>
            <w:r w:rsidRPr="00897B87">
              <w:rPr>
                <w:rFonts w:asciiTheme="majorBidi" w:hAnsiTheme="majorBidi" w:cstheme="majorBidi"/>
                <w:sz w:val="22"/>
                <w:szCs w:val="22"/>
              </w:rPr>
              <w:t>Production yield</w:t>
            </w:r>
          </w:p>
        </w:tc>
        <w:tc>
          <w:tcPr>
            <w:tcW w:w="663" w:type="pct"/>
            <w:noWrap/>
            <w:hideMark/>
          </w:tcPr>
          <w:p w14:paraId="217D739F"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-0.05</w:t>
            </w:r>
            <w:r w:rsidRPr="00897B87">
              <w:rPr>
                <w:rFonts w:asciiTheme="majorBidi" w:hAnsiTheme="majorBidi" w:cstheme="majorBidi"/>
                <w:sz w:val="22"/>
                <w:szCs w:val="22"/>
                <w:vertAlign w:val="superscript"/>
              </w:rPr>
              <w:t>***</w:t>
            </w:r>
          </w:p>
        </w:tc>
        <w:tc>
          <w:tcPr>
            <w:tcW w:w="664" w:type="pct"/>
            <w:noWrap/>
            <w:hideMark/>
          </w:tcPr>
          <w:p w14:paraId="64C95787"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-0.04</w:t>
            </w:r>
            <w:r w:rsidRPr="00897B87">
              <w:rPr>
                <w:rFonts w:asciiTheme="majorBidi" w:hAnsiTheme="majorBidi" w:cstheme="majorBidi"/>
                <w:sz w:val="22"/>
                <w:szCs w:val="22"/>
                <w:vertAlign w:val="superscript"/>
              </w:rPr>
              <w:t>***</w:t>
            </w:r>
          </w:p>
        </w:tc>
        <w:tc>
          <w:tcPr>
            <w:tcW w:w="664" w:type="pct"/>
            <w:noWrap/>
            <w:hideMark/>
          </w:tcPr>
          <w:p w14:paraId="1B2FBBCC"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-0.03</w:t>
            </w:r>
            <w:r w:rsidRPr="00897B87">
              <w:rPr>
                <w:rFonts w:asciiTheme="majorBidi" w:hAnsiTheme="majorBidi" w:cstheme="majorBidi"/>
                <w:sz w:val="22"/>
                <w:szCs w:val="22"/>
                <w:vertAlign w:val="superscript"/>
              </w:rPr>
              <w:t>***</w:t>
            </w:r>
          </w:p>
        </w:tc>
        <w:tc>
          <w:tcPr>
            <w:tcW w:w="663" w:type="pct"/>
            <w:noWrap/>
            <w:hideMark/>
          </w:tcPr>
          <w:p w14:paraId="11444E37"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-0.02</w:t>
            </w:r>
            <w:r w:rsidRPr="00897B87">
              <w:rPr>
                <w:rFonts w:asciiTheme="majorBidi" w:hAnsiTheme="majorBidi" w:cstheme="majorBidi"/>
                <w:sz w:val="22"/>
                <w:szCs w:val="22"/>
                <w:vertAlign w:val="superscript"/>
              </w:rPr>
              <w:t>***</w:t>
            </w:r>
          </w:p>
        </w:tc>
        <w:tc>
          <w:tcPr>
            <w:tcW w:w="664" w:type="pct"/>
            <w:noWrap/>
            <w:hideMark/>
          </w:tcPr>
          <w:p w14:paraId="047943F0"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-0.01</w:t>
            </w:r>
            <w:r w:rsidRPr="00897B87">
              <w:rPr>
                <w:rFonts w:asciiTheme="majorBidi" w:hAnsiTheme="majorBidi" w:cstheme="majorBidi"/>
                <w:sz w:val="22"/>
                <w:szCs w:val="22"/>
                <w:vertAlign w:val="superscript"/>
              </w:rPr>
              <w:t>**</w:t>
            </w:r>
          </w:p>
        </w:tc>
        <w:tc>
          <w:tcPr>
            <w:tcW w:w="664" w:type="pct"/>
            <w:noWrap/>
            <w:hideMark/>
          </w:tcPr>
          <w:p w14:paraId="3B300B41"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-0.01</w:t>
            </w:r>
            <w:r w:rsidRPr="00897B87">
              <w:rPr>
                <w:rFonts w:asciiTheme="majorBidi" w:hAnsiTheme="majorBidi" w:cstheme="majorBidi"/>
                <w:sz w:val="22"/>
                <w:szCs w:val="22"/>
                <w:vertAlign w:val="superscript"/>
              </w:rPr>
              <w:t>*</w:t>
            </w:r>
          </w:p>
        </w:tc>
      </w:tr>
      <w:tr w:rsidR="0044512F" w:rsidRPr="00897B87" w14:paraId="35E128E8" w14:textId="77777777" w:rsidTr="0044512F">
        <w:trPr>
          <w:trHeight w:val="288"/>
        </w:trPr>
        <w:tc>
          <w:tcPr>
            <w:tcW w:w="1018" w:type="pct"/>
            <w:vMerge/>
            <w:hideMark/>
          </w:tcPr>
          <w:p w14:paraId="72CB4F5A" w14:textId="77777777" w:rsidR="0044512F" w:rsidRPr="00897B87" w:rsidRDefault="0044512F" w:rsidP="0044512F">
            <w:pPr>
              <w:keepNext/>
              <w:spacing w:after="100" w:afterAutospacing="1"/>
              <w:rPr>
                <w:rFonts w:asciiTheme="majorBidi" w:hAnsiTheme="majorBidi" w:cstheme="majorBidi"/>
                <w:sz w:val="22"/>
                <w:szCs w:val="22"/>
              </w:rPr>
            </w:pPr>
          </w:p>
        </w:tc>
        <w:tc>
          <w:tcPr>
            <w:tcW w:w="663" w:type="pct"/>
            <w:noWrap/>
            <w:hideMark/>
          </w:tcPr>
          <w:p w14:paraId="7CB02DDF"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(0.003)</w:t>
            </w:r>
          </w:p>
        </w:tc>
        <w:tc>
          <w:tcPr>
            <w:tcW w:w="664" w:type="pct"/>
            <w:noWrap/>
            <w:hideMark/>
          </w:tcPr>
          <w:p w14:paraId="0DDCBFB9"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(0.003)</w:t>
            </w:r>
          </w:p>
        </w:tc>
        <w:tc>
          <w:tcPr>
            <w:tcW w:w="664" w:type="pct"/>
            <w:noWrap/>
            <w:hideMark/>
          </w:tcPr>
          <w:p w14:paraId="68B3CB7C"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(0.003)</w:t>
            </w:r>
          </w:p>
        </w:tc>
        <w:tc>
          <w:tcPr>
            <w:tcW w:w="663" w:type="pct"/>
            <w:noWrap/>
            <w:hideMark/>
          </w:tcPr>
          <w:p w14:paraId="5492457D"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(0.003)</w:t>
            </w:r>
          </w:p>
        </w:tc>
        <w:tc>
          <w:tcPr>
            <w:tcW w:w="664" w:type="pct"/>
            <w:noWrap/>
            <w:hideMark/>
          </w:tcPr>
          <w:p w14:paraId="0A80A667"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(0.003)</w:t>
            </w:r>
          </w:p>
        </w:tc>
        <w:tc>
          <w:tcPr>
            <w:tcW w:w="664" w:type="pct"/>
            <w:noWrap/>
            <w:hideMark/>
          </w:tcPr>
          <w:p w14:paraId="047C76AB"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(0.003)</w:t>
            </w:r>
          </w:p>
        </w:tc>
      </w:tr>
      <w:tr w:rsidR="0044512F" w:rsidRPr="00897B87" w14:paraId="0D9CED1A" w14:textId="77777777" w:rsidTr="0044512F">
        <w:trPr>
          <w:trHeight w:val="288"/>
        </w:trPr>
        <w:tc>
          <w:tcPr>
            <w:tcW w:w="1018" w:type="pct"/>
            <w:vMerge w:val="restart"/>
            <w:hideMark/>
          </w:tcPr>
          <w:p w14:paraId="19EB1B42" w14:textId="77777777" w:rsidR="0044512F" w:rsidRPr="00897B87" w:rsidRDefault="0044512F" w:rsidP="0044512F">
            <w:pPr>
              <w:keepNext/>
              <w:spacing w:after="100" w:afterAutospacing="1"/>
              <w:rPr>
                <w:rFonts w:asciiTheme="majorBidi" w:hAnsiTheme="majorBidi" w:cstheme="majorBidi"/>
                <w:sz w:val="22"/>
                <w:szCs w:val="22"/>
              </w:rPr>
            </w:pPr>
            <w:r w:rsidRPr="00897B87">
              <w:rPr>
                <w:rFonts w:asciiTheme="majorBidi" w:hAnsiTheme="majorBidi" w:cstheme="majorBidi"/>
                <w:sz w:val="22"/>
                <w:szCs w:val="22"/>
              </w:rPr>
              <w:t>Std deviation of OPM</w:t>
            </w:r>
          </w:p>
        </w:tc>
        <w:tc>
          <w:tcPr>
            <w:tcW w:w="663" w:type="pct"/>
            <w:noWrap/>
            <w:hideMark/>
          </w:tcPr>
          <w:p w14:paraId="6B8177AF"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-0.07</w:t>
            </w:r>
            <w:r w:rsidRPr="00897B87">
              <w:rPr>
                <w:rFonts w:asciiTheme="majorBidi" w:hAnsiTheme="majorBidi" w:cstheme="majorBidi"/>
                <w:sz w:val="22"/>
                <w:szCs w:val="22"/>
                <w:vertAlign w:val="superscript"/>
              </w:rPr>
              <w:t>***</w:t>
            </w:r>
          </w:p>
        </w:tc>
        <w:tc>
          <w:tcPr>
            <w:tcW w:w="664" w:type="pct"/>
            <w:noWrap/>
            <w:hideMark/>
          </w:tcPr>
          <w:p w14:paraId="60D96411"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-0.03</w:t>
            </w:r>
            <w:r w:rsidRPr="00897B87">
              <w:rPr>
                <w:rFonts w:asciiTheme="majorBidi" w:hAnsiTheme="majorBidi" w:cstheme="majorBidi"/>
                <w:sz w:val="22"/>
                <w:szCs w:val="22"/>
                <w:vertAlign w:val="superscript"/>
              </w:rPr>
              <w:t>***</w:t>
            </w:r>
          </w:p>
        </w:tc>
        <w:tc>
          <w:tcPr>
            <w:tcW w:w="664" w:type="pct"/>
            <w:noWrap/>
            <w:hideMark/>
          </w:tcPr>
          <w:p w14:paraId="0EE0C4CF"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-0.02</w:t>
            </w:r>
            <w:r w:rsidRPr="00897B87">
              <w:rPr>
                <w:rFonts w:asciiTheme="majorBidi" w:hAnsiTheme="majorBidi" w:cstheme="majorBidi"/>
                <w:sz w:val="22"/>
                <w:szCs w:val="22"/>
                <w:vertAlign w:val="superscript"/>
              </w:rPr>
              <w:t>***</w:t>
            </w:r>
          </w:p>
        </w:tc>
        <w:tc>
          <w:tcPr>
            <w:tcW w:w="663" w:type="pct"/>
            <w:noWrap/>
            <w:hideMark/>
          </w:tcPr>
          <w:p w14:paraId="5FEAEA80"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-0.05</w:t>
            </w:r>
            <w:r w:rsidRPr="00897B87">
              <w:rPr>
                <w:rFonts w:asciiTheme="majorBidi" w:hAnsiTheme="majorBidi" w:cstheme="majorBidi"/>
                <w:sz w:val="22"/>
                <w:szCs w:val="22"/>
                <w:vertAlign w:val="superscript"/>
              </w:rPr>
              <w:t>***</w:t>
            </w:r>
          </w:p>
        </w:tc>
        <w:tc>
          <w:tcPr>
            <w:tcW w:w="664" w:type="pct"/>
            <w:noWrap/>
            <w:hideMark/>
          </w:tcPr>
          <w:p w14:paraId="52331E45"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-0.01</w:t>
            </w:r>
            <w:r w:rsidRPr="00897B87">
              <w:rPr>
                <w:rFonts w:asciiTheme="majorBidi" w:hAnsiTheme="majorBidi" w:cstheme="majorBidi"/>
                <w:sz w:val="22"/>
                <w:szCs w:val="22"/>
                <w:vertAlign w:val="superscript"/>
              </w:rPr>
              <w:t>***</w:t>
            </w:r>
          </w:p>
        </w:tc>
        <w:tc>
          <w:tcPr>
            <w:tcW w:w="664" w:type="pct"/>
            <w:noWrap/>
            <w:hideMark/>
          </w:tcPr>
          <w:p w14:paraId="0E1D1AE1"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-0.04</w:t>
            </w:r>
            <w:r w:rsidRPr="00897B87">
              <w:rPr>
                <w:rFonts w:asciiTheme="majorBidi" w:hAnsiTheme="majorBidi" w:cstheme="majorBidi"/>
                <w:sz w:val="22"/>
                <w:szCs w:val="22"/>
                <w:vertAlign w:val="superscript"/>
              </w:rPr>
              <w:t>***</w:t>
            </w:r>
          </w:p>
        </w:tc>
      </w:tr>
      <w:tr w:rsidR="0044512F" w:rsidRPr="00897B87" w14:paraId="16687907" w14:textId="77777777" w:rsidTr="0044512F">
        <w:trPr>
          <w:trHeight w:val="288"/>
        </w:trPr>
        <w:tc>
          <w:tcPr>
            <w:tcW w:w="1018" w:type="pct"/>
            <w:vMerge/>
            <w:hideMark/>
          </w:tcPr>
          <w:p w14:paraId="5840BD3C" w14:textId="77777777" w:rsidR="0044512F" w:rsidRPr="00897B87" w:rsidRDefault="0044512F" w:rsidP="0044512F">
            <w:pPr>
              <w:keepNext/>
              <w:spacing w:after="100" w:afterAutospacing="1"/>
              <w:rPr>
                <w:rFonts w:asciiTheme="majorBidi" w:hAnsiTheme="majorBidi" w:cstheme="majorBidi"/>
                <w:sz w:val="22"/>
                <w:szCs w:val="22"/>
              </w:rPr>
            </w:pPr>
          </w:p>
        </w:tc>
        <w:tc>
          <w:tcPr>
            <w:tcW w:w="663" w:type="pct"/>
            <w:noWrap/>
            <w:hideMark/>
          </w:tcPr>
          <w:p w14:paraId="46A888E1"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(0.001)</w:t>
            </w:r>
          </w:p>
        </w:tc>
        <w:tc>
          <w:tcPr>
            <w:tcW w:w="664" w:type="pct"/>
            <w:noWrap/>
            <w:hideMark/>
          </w:tcPr>
          <w:p w14:paraId="4A97F0A9"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(&lt;0.0001)</w:t>
            </w:r>
          </w:p>
        </w:tc>
        <w:tc>
          <w:tcPr>
            <w:tcW w:w="664" w:type="pct"/>
            <w:noWrap/>
            <w:hideMark/>
          </w:tcPr>
          <w:p w14:paraId="41F863D4"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(&lt;0.0001)</w:t>
            </w:r>
          </w:p>
        </w:tc>
        <w:tc>
          <w:tcPr>
            <w:tcW w:w="663" w:type="pct"/>
            <w:noWrap/>
            <w:hideMark/>
          </w:tcPr>
          <w:p w14:paraId="711A8D16"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(0.001)</w:t>
            </w:r>
          </w:p>
        </w:tc>
        <w:tc>
          <w:tcPr>
            <w:tcW w:w="664" w:type="pct"/>
            <w:noWrap/>
            <w:hideMark/>
          </w:tcPr>
          <w:p w14:paraId="22A3735D"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(&lt;0.0001)</w:t>
            </w:r>
          </w:p>
        </w:tc>
        <w:tc>
          <w:tcPr>
            <w:tcW w:w="664" w:type="pct"/>
            <w:noWrap/>
            <w:hideMark/>
          </w:tcPr>
          <w:p w14:paraId="738D7FB0"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(0.001)</w:t>
            </w:r>
          </w:p>
        </w:tc>
      </w:tr>
      <w:tr w:rsidR="0044512F" w:rsidRPr="00897B87" w14:paraId="58DF96EE" w14:textId="77777777" w:rsidTr="0044512F">
        <w:trPr>
          <w:trHeight w:val="288"/>
        </w:trPr>
        <w:tc>
          <w:tcPr>
            <w:tcW w:w="1018" w:type="pct"/>
            <w:vMerge w:val="restart"/>
            <w:hideMark/>
          </w:tcPr>
          <w:p w14:paraId="40F7BF36" w14:textId="77777777" w:rsidR="0044512F" w:rsidRPr="00897B87" w:rsidRDefault="0044512F" w:rsidP="0044512F">
            <w:pPr>
              <w:keepNext/>
              <w:spacing w:after="100" w:afterAutospacing="1"/>
              <w:rPr>
                <w:rFonts w:asciiTheme="majorBidi" w:hAnsiTheme="majorBidi" w:cstheme="majorBidi"/>
                <w:sz w:val="22"/>
                <w:szCs w:val="22"/>
              </w:rPr>
            </w:pPr>
            <w:r w:rsidRPr="00897B87">
              <w:rPr>
                <w:rFonts w:asciiTheme="majorBidi" w:hAnsiTheme="majorBidi" w:cstheme="majorBidi"/>
                <w:sz w:val="22"/>
                <w:szCs w:val="22"/>
              </w:rPr>
              <w:t>Prop of feed that is supplement</w:t>
            </w:r>
          </w:p>
        </w:tc>
        <w:tc>
          <w:tcPr>
            <w:tcW w:w="663" w:type="pct"/>
            <w:noWrap/>
            <w:hideMark/>
          </w:tcPr>
          <w:p w14:paraId="7B6F40E6"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-8.19</w:t>
            </w:r>
            <w:r w:rsidRPr="00897B87">
              <w:rPr>
                <w:rFonts w:asciiTheme="majorBidi" w:hAnsiTheme="majorBidi" w:cstheme="majorBidi"/>
                <w:sz w:val="22"/>
                <w:szCs w:val="22"/>
                <w:vertAlign w:val="superscript"/>
              </w:rPr>
              <w:t>***</w:t>
            </w:r>
          </w:p>
        </w:tc>
        <w:tc>
          <w:tcPr>
            <w:tcW w:w="664" w:type="pct"/>
            <w:noWrap/>
            <w:hideMark/>
          </w:tcPr>
          <w:p w14:paraId="76199FED"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-6.42</w:t>
            </w:r>
            <w:r w:rsidRPr="00897B87">
              <w:rPr>
                <w:rFonts w:asciiTheme="majorBidi" w:hAnsiTheme="majorBidi" w:cstheme="majorBidi"/>
                <w:sz w:val="22"/>
                <w:szCs w:val="22"/>
                <w:vertAlign w:val="superscript"/>
              </w:rPr>
              <w:t>***</w:t>
            </w:r>
          </w:p>
        </w:tc>
        <w:tc>
          <w:tcPr>
            <w:tcW w:w="664" w:type="pct"/>
            <w:noWrap/>
            <w:hideMark/>
          </w:tcPr>
          <w:p w14:paraId="50194859"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-4.11</w:t>
            </w:r>
            <w:r w:rsidRPr="00897B87">
              <w:rPr>
                <w:rFonts w:asciiTheme="majorBidi" w:hAnsiTheme="majorBidi" w:cstheme="majorBidi"/>
                <w:sz w:val="22"/>
                <w:szCs w:val="22"/>
                <w:vertAlign w:val="superscript"/>
              </w:rPr>
              <w:t>***</w:t>
            </w:r>
          </w:p>
        </w:tc>
        <w:tc>
          <w:tcPr>
            <w:tcW w:w="663" w:type="pct"/>
            <w:noWrap/>
            <w:hideMark/>
          </w:tcPr>
          <w:p w14:paraId="74F964E8"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-4.08</w:t>
            </w:r>
            <w:r w:rsidRPr="00897B87">
              <w:rPr>
                <w:rFonts w:asciiTheme="majorBidi" w:hAnsiTheme="majorBidi" w:cstheme="majorBidi"/>
                <w:sz w:val="22"/>
                <w:szCs w:val="22"/>
                <w:vertAlign w:val="superscript"/>
              </w:rPr>
              <w:t>***</w:t>
            </w:r>
          </w:p>
        </w:tc>
        <w:tc>
          <w:tcPr>
            <w:tcW w:w="664" w:type="pct"/>
            <w:noWrap/>
            <w:hideMark/>
          </w:tcPr>
          <w:p w14:paraId="1EA10BAC"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-2.31</w:t>
            </w:r>
            <w:r w:rsidRPr="00897B87">
              <w:rPr>
                <w:rFonts w:asciiTheme="majorBidi" w:hAnsiTheme="majorBidi" w:cstheme="majorBidi"/>
                <w:sz w:val="22"/>
                <w:szCs w:val="22"/>
                <w:vertAlign w:val="superscript"/>
              </w:rPr>
              <w:t>***</w:t>
            </w:r>
          </w:p>
        </w:tc>
        <w:tc>
          <w:tcPr>
            <w:tcW w:w="664" w:type="pct"/>
            <w:noWrap/>
            <w:hideMark/>
          </w:tcPr>
          <w:p w14:paraId="234994D6"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-1.77</w:t>
            </w:r>
            <w:r w:rsidRPr="00897B87">
              <w:rPr>
                <w:rFonts w:asciiTheme="majorBidi" w:hAnsiTheme="majorBidi" w:cstheme="majorBidi"/>
                <w:sz w:val="22"/>
                <w:szCs w:val="22"/>
                <w:vertAlign w:val="superscript"/>
              </w:rPr>
              <w:t>***</w:t>
            </w:r>
          </w:p>
        </w:tc>
      </w:tr>
      <w:tr w:rsidR="0044512F" w:rsidRPr="00897B87" w14:paraId="5BE86D03" w14:textId="77777777" w:rsidTr="0044512F">
        <w:trPr>
          <w:trHeight w:val="288"/>
        </w:trPr>
        <w:tc>
          <w:tcPr>
            <w:tcW w:w="1018" w:type="pct"/>
            <w:vMerge/>
            <w:hideMark/>
          </w:tcPr>
          <w:p w14:paraId="14AE035A" w14:textId="77777777" w:rsidR="0044512F" w:rsidRPr="00897B87" w:rsidRDefault="0044512F" w:rsidP="0044512F">
            <w:pPr>
              <w:keepNext/>
              <w:spacing w:after="100" w:afterAutospacing="1"/>
              <w:rPr>
                <w:rFonts w:asciiTheme="majorBidi" w:hAnsiTheme="majorBidi" w:cstheme="majorBidi"/>
                <w:sz w:val="22"/>
                <w:szCs w:val="22"/>
              </w:rPr>
            </w:pPr>
          </w:p>
        </w:tc>
        <w:tc>
          <w:tcPr>
            <w:tcW w:w="663" w:type="pct"/>
            <w:noWrap/>
            <w:hideMark/>
          </w:tcPr>
          <w:p w14:paraId="72C353D5"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(0.28)</w:t>
            </w:r>
          </w:p>
        </w:tc>
        <w:tc>
          <w:tcPr>
            <w:tcW w:w="664" w:type="pct"/>
            <w:noWrap/>
            <w:hideMark/>
          </w:tcPr>
          <w:p w14:paraId="4A73FECD"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(0.26)</w:t>
            </w:r>
          </w:p>
        </w:tc>
        <w:tc>
          <w:tcPr>
            <w:tcW w:w="664" w:type="pct"/>
            <w:noWrap/>
            <w:hideMark/>
          </w:tcPr>
          <w:p w14:paraId="5F02D204"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(0.26)</w:t>
            </w:r>
          </w:p>
        </w:tc>
        <w:tc>
          <w:tcPr>
            <w:tcW w:w="663" w:type="pct"/>
            <w:noWrap/>
            <w:hideMark/>
          </w:tcPr>
          <w:p w14:paraId="0A3FD19A"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(0.29)</w:t>
            </w:r>
          </w:p>
        </w:tc>
        <w:tc>
          <w:tcPr>
            <w:tcW w:w="664" w:type="pct"/>
            <w:noWrap/>
            <w:hideMark/>
          </w:tcPr>
          <w:p w14:paraId="4D58B4DF"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(0.27)</w:t>
            </w:r>
          </w:p>
        </w:tc>
        <w:tc>
          <w:tcPr>
            <w:tcW w:w="664" w:type="pct"/>
            <w:noWrap/>
            <w:hideMark/>
          </w:tcPr>
          <w:p w14:paraId="5F1FA421"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(0.29)</w:t>
            </w:r>
          </w:p>
        </w:tc>
      </w:tr>
      <w:tr w:rsidR="0044512F" w:rsidRPr="00897B87" w14:paraId="499E171A" w14:textId="77777777" w:rsidTr="0044512F">
        <w:trPr>
          <w:trHeight w:val="288"/>
        </w:trPr>
        <w:tc>
          <w:tcPr>
            <w:tcW w:w="1018" w:type="pct"/>
            <w:vMerge w:val="restart"/>
            <w:hideMark/>
          </w:tcPr>
          <w:p w14:paraId="7EAB02EC" w14:textId="77777777" w:rsidR="0044512F" w:rsidRPr="00897B87" w:rsidRDefault="0044512F" w:rsidP="0044512F">
            <w:pPr>
              <w:keepNext/>
              <w:spacing w:after="100" w:afterAutospacing="1"/>
              <w:rPr>
                <w:rFonts w:asciiTheme="majorBidi" w:hAnsiTheme="majorBidi" w:cstheme="majorBidi"/>
                <w:sz w:val="22"/>
                <w:szCs w:val="22"/>
              </w:rPr>
            </w:pPr>
            <w:r w:rsidRPr="00897B87">
              <w:rPr>
                <w:rFonts w:asciiTheme="majorBidi" w:hAnsiTheme="majorBidi" w:cstheme="majorBidi"/>
                <w:sz w:val="22"/>
                <w:szCs w:val="22"/>
              </w:rPr>
              <w:t xml:space="preserve">Milk production </w:t>
            </w:r>
          </w:p>
        </w:tc>
        <w:tc>
          <w:tcPr>
            <w:tcW w:w="663" w:type="pct"/>
            <w:noWrap/>
            <w:hideMark/>
          </w:tcPr>
          <w:p w14:paraId="019C1B16"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-0.68</w:t>
            </w:r>
          </w:p>
        </w:tc>
        <w:tc>
          <w:tcPr>
            <w:tcW w:w="664" w:type="pct"/>
            <w:noWrap/>
            <w:hideMark/>
          </w:tcPr>
          <w:p w14:paraId="5CC7DE80"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-22.45</w:t>
            </w:r>
            <w:r w:rsidRPr="00897B87">
              <w:rPr>
                <w:rFonts w:asciiTheme="majorBidi" w:hAnsiTheme="majorBidi" w:cstheme="majorBidi"/>
                <w:sz w:val="22"/>
                <w:szCs w:val="22"/>
                <w:vertAlign w:val="superscript"/>
              </w:rPr>
              <w:t>**</w:t>
            </w:r>
          </w:p>
        </w:tc>
        <w:tc>
          <w:tcPr>
            <w:tcW w:w="664" w:type="pct"/>
            <w:noWrap/>
            <w:hideMark/>
          </w:tcPr>
          <w:p w14:paraId="7AAFC796"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-15.31</w:t>
            </w:r>
          </w:p>
        </w:tc>
        <w:tc>
          <w:tcPr>
            <w:tcW w:w="663" w:type="pct"/>
            <w:noWrap/>
            <w:hideMark/>
          </w:tcPr>
          <w:p w14:paraId="4488D129"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14.64</w:t>
            </w:r>
          </w:p>
        </w:tc>
        <w:tc>
          <w:tcPr>
            <w:tcW w:w="664" w:type="pct"/>
            <w:noWrap/>
            <w:hideMark/>
          </w:tcPr>
          <w:p w14:paraId="4FCCDB8C"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-7.14</w:t>
            </w:r>
          </w:p>
        </w:tc>
        <w:tc>
          <w:tcPr>
            <w:tcW w:w="664" w:type="pct"/>
            <w:noWrap/>
            <w:hideMark/>
          </w:tcPr>
          <w:p w14:paraId="010F78E8"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21.77</w:t>
            </w:r>
            <w:r w:rsidRPr="00897B87">
              <w:rPr>
                <w:rFonts w:asciiTheme="majorBidi" w:hAnsiTheme="majorBidi" w:cstheme="majorBidi"/>
                <w:sz w:val="22"/>
                <w:szCs w:val="22"/>
                <w:vertAlign w:val="superscript"/>
              </w:rPr>
              <w:t>*</w:t>
            </w:r>
          </w:p>
        </w:tc>
      </w:tr>
      <w:tr w:rsidR="0044512F" w:rsidRPr="00897B87" w14:paraId="73272D40" w14:textId="77777777" w:rsidTr="0044512F">
        <w:trPr>
          <w:trHeight w:val="288"/>
        </w:trPr>
        <w:tc>
          <w:tcPr>
            <w:tcW w:w="1018" w:type="pct"/>
            <w:vMerge/>
            <w:hideMark/>
          </w:tcPr>
          <w:p w14:paraId="50E90A7A" w14:textId="77777777" w:rsidR="0044512F" w:rsidRPr="00897B87" w:rsidRDefault="0044512F" w:rsidP="0044512F">
            <w:pPr>
              <w:keepNext/>
              <w:spacing w:after="100" w:afterAutospacing="1"/>
              <w:rPr>
                <w:rFonts w:asciiTheme="majorBidi" w:hAnsiTheme="majorBidi" w:cstheme="majorBidi"/>
                <w:sz w:val="22"/>
                <w:szCs w:val="22"/>
              </w:rPr>
            </w:pPr>
          </w:p>
        </w:tc>
        <w:tc>
          <w:tcPr>
            <w:tcW w:w="663" w:type="pct"/>
            <w:noWrap/>
            <w:hideMark/>
          </w:tcPr>
          <w:p w14:paraId="1743BAF2"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(6.11)</w:t>
            </w:r>
          </w:p>
        </w:tc>
        <w:tc>
          <w:tcPr>
            <w:tcW w:w="664" w:type="pct"/>
            <w:noWrap/>
            <w:hideMark/>
          </w:tcPr>
          <w:p w14:paraId="1C679A7A"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(6.04)</w:t>
            </w:r>
          </w:p>
        </w:tc>
        <w:tc>
          <w:tcPr>
            <w:tcW w:w="664" w:type="pct"/>
            <w:noWrap/>
            <w:hideMark/>
          </w:tcPr>
          <w:p w14:paraId="4D9DF583"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(5.96)</w:t>
            </w:r>
          </w:p>
        </w:tc>
        <w:tc>
          <w:tcPr>
            <w:tcW w:w="663" w:type="pct"/>
            <w:noWrap/>
            <w:hideMark/>
          </w:tcPr>
          <w:p w14:paraId="3FE08F76"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(6.24)</w:t>
            </w:r>
          </w:p>
        </w:tc>
        <w:tc>
          <w:tcPr>
            <w:tcW w:w="664" w:type="pct"/>
            <w:noWrap/>
            <w:hideMark/>
          </w:tcPr>
          <w:p w14:paraId="24EC78C9"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(6.17)</w:t>
            </w:r>
          </w:p>
        </w:tc>
        <w:tc>
          <w:tcPr>
            <w:tcW w:w="664" w:type="pct"/>
            <w:noWrap/>
            <w:hideMark/>
          </w:tcPr>
          <w:p w14:paraId="1EE28579"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(6.31)</w:t>
            </w:r>
          </w:p>
        </w:tc>
      </w:tr>
      <w:tr w:rsidR="0044512F" w:rsidRPr="00897B87" w14:paraId="53C907FD" w14:textId="77777777" w:rsidTr="0044512F">
        <w:trPr>
          <w:trHeight w:val="288"/>
        </w:trPr>
        <w:tc>
          <w:tcPr>
            <w:tcW w:w="1018" w:type="pct"/>
            <w:vMerge w:val="restart"/>
            <w:hideMark/>
          </w:tcPr>
          <w:p w14:paraId="40FFD63A" w14:textId="77777777" w:rsidR="0044512F" w:rsidRPr="00897B87" w:rsidRDefault="0044512F" w:rsidP="0044512F">
            <w:pPr>
              <w:keepNext/>
              <w:spacing w:after="100" w:afterAutospacing="1"/>
              <w:rPr>
                <w:rFonts w:asciiTheme="majorBidi" w:hAnsiTheme="majorBidi" w:cstheme="majorBidi"/>
                <w:sz w:val="22"/>
                <w:szCs w:val="22"/>
              </w:rPr>
            </w:pPr>
            <w:r w:rsidRPr="00897B87">
              <w:rPr>
                <w:rFonts w:asciiTheme="majorBidi" w:hAnsiTheme="majorBidi" w:cstheme="majorBidi"/>
                <w:sz w:val="22"/>
                <w:szCs w:val="22"/>
              </w:rPr>
              <w:t xml:space="preserve">Nitrogen fertiliser cost </w:t>
            </w:r>
          </w:p>
        </w:tc>
        <w:tc>
          <w:tcPr>
            <w:tcW w:w="663" w:type="pct"/>
            <w:noWrap/>
            <w:hideMark/>
          </w:tcPr>
          <w:p w14:paraId="31CA5127"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-57.73</w:t>
            </w:r>
            <w:r w:rsidRPr="00897B87">
              <w:rPr>
                <w:rFonts w:asciiTheme="majorBidi" w:hAnsiTheme="majorBidi" w:cstheme="majorBidi"/>
                <w:sz w:val="22"/>
                <w:szCs w:val="22"/>
                <w:vertAlign w:val="superscript"/>
              </w:rPr>
              <w:t>***</w:t>
            </w:r>
          </w:p>
        </w:tc>
        <w:tc>
          <w:tcPr>
            <w:tcW w:w="664" w:type="pct"/>
            <w:noWrap/>
            <w:hideMark/>
          </w:tcPr>
          <w:p w14:paraId="39981617"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-35.45</w:t>
            </w:r>
            <w:r w:rsidRPr="00897B87">
              <w:rPr>
                <w:rFonts w:asciiTheme="majorBidi" w:hAnsiTheme="majorBidi" w:cstheme="majorBidi"/>
                <w:sz w:val="22"/>
                <w:szCs w:val="22"/>
                <w:vertAlign w:val="superscript"/>
              </w:rPr>
              <w:t>***</w:t>
            </w:r>
          </w:p>
        </w:tc>
        <w:tc>
          <w:tcPr>
            <w:tcW w:w="664" w:type="pct"/>
            <w:noWrap/>
            <w:hideMark/>
          </w:tcPr>
          <w:p w14:paraId="1A9450CA"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-21.18</w:t>
            </w:r>
            <w:r w:rsidRPr="00897B87">
              <w:rPr>
                <w:rFonts w:asciiTheme="majorBidi" w:hAnsiTheme="majorBidi" w:cstheme="majorBidi"/>
                <w:sz w:val="22"/>
                <w:szCs w:val="22"/>
                <w:vertAlign w:val="superscript"/>
              </w:rPr>
              <w:t>***</w:t>
            </w:r>
          </w:p>
        </w:tc>
        <w:tc>
          <w:tcPr>
            <w:tcW w:w="663" w:type="pct"/>
            <w:noWrap/>
            <w:hideMark/>
          </w:tcPr>
          <w:p w14:paraId="46EC2675"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-36.55</w:t>
            </w:r>
            <w:r w:rsidRPr="00897B87">
              <w:rPr>
                <w:rFonts w:asciiTheme="majorBidi" w:hAnsiTheme="majorBidi" w:cstheme="majorBidi"/>
                <w:sz w:val="22"/>
                <w:szCs w:val="22"/>
                <w:vertAlign w:val="superscript"/>
              </w:rPr>
              <w:t>***</w:t>
            </w:r>
          </w:p>
        </w:tc>
        <w:tc>
          <w:tcPr>
            <w:tcW w:w="664" w:type="pct"/>
            <w:noWrap/>
            <w:hideMark/>
          </w:tcPr>
          <w:p w14:paraId="6C8C1E82"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-14.28</w:t>
            </w:r>
            <w:r w:rsidRPr="00897B87">
              <w:rPr>
                <w:rFonts w:asciiTheme="majorBidi" w:hAnsiTheme="majorBidi" w:cstheme="majorBidi"/>
                <w:sz w:val="22"/>
                <w:szCs w:val="22"/>
                <w:vertAlign w:val="superscript"/>
              </w:rPr>
              <w:t>***</w:t>
            </w:r>
          </w:p>
        </w:tc>
        <w:tc>
          <w:tcPr>
            <w:tcW w:w="664" w:type="pct"/>
            <w:noWrap/>
            <w:hideMark/>
          </w:tcPr>
          <w:p w14:paraId="567B506B"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-22.28</w:t>
            </w:r>
            <w:r w:rsidRPr="00897B87">
              <w:rPr>
                <w:rFonts w:asciiTheme="majorBidi" w:hAnsiTheme="majorBidi" w:cstheme="majorBidi"/>
                <w:sz w:val="22"/>
                <w:szCs w:val="22"/>
                <w:vertAlign w:val="superscript"/>
              </w:rPr>
              <w:t>***</w:t>
            </w:r>
          </w:p>
        </w:tc>
      </w:tr>
      <w:tr w:rsidR="0044512F" w:rsidRPr="00897B87" w14:paraId="7B199B1E" w14:textId="77777777" w:rsidTr="0044512F">
        <w:trPr>
          <w:trHeight w:val="288"/>
        </w:trPr>
        <w:tc>
          <w:tcPr>
            <w:tcW w:w="1018" w:type="pct"/>
            <w:vMerge/>
            <w:hideMark/>
          </w:tcPr>
          <w:p w14:paraId="62445D0F" w14:textId="77777777" w:rsidR="0044512F" w:rsidRPr="00897B87" w:rsidRDefault="0044512F" w:rsidP="0044512F">
            <w:pPr>
              <w:keepNext/>
              <w:spacing w:after="100" w:afterAutospacing="1"/>
              <w:rPr>
                <w:rFonts w:asciiTheme="majorBidi" w:hAnsiTheme="majorBidi" w:cstheme="majorBidi"/>
                <w:sz w:val="22"/>
                <w:szCs w:val="22"/>
              </w:rPr>
            </w:pPr>
          </w:p>
        </w:tc>
        <w:tc>
          <w:tcPr>
            <w:tcW w:w="663" w:type="pct"/>
            <w:noWrap/>
            <w:hideMark/>
          </w:tcPr>
          <w:p w14:paraId="73B2F4B8"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(2.22)</w:t>
            </w:r>
          </w:p>
        </w:tc>
        <w:tc>
          <w:tcPr>
            <w:tcW w:w="664" w:type="pct"/>
            <w:noWrap/>
            <w:hideMark/>
          </w:tcPr>
          <w:p w14:paraId="336322BE"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(2.03)</w:t>
            </w:r>
          </w:p>
        </w:tc>
        <w:tc>
          <w:tcPr>
            <w:tcW w:w="664" w:type="pct"/>
            <w:noWrap/>
            <w:hideMark/>
          </w:tcPr>
          <w:p w14:paraId="7D389C13"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(1.92)</w:t>
            </w:r>
          </w:p>
        </w:tc>
        <w:tc>
          <w:tcPr>
            <w:tcW w:w="663" w:type="pct"/>
            <w:noWrap/>
            <w:hideMark/>
          </w:tcPr>
          <w:p w14:paraId="7FC888EC"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(2.27)</w:t>
            </w:r>
          </w:p>
        </w:tc>
        <w:tc>
          <w:tcPr>
            <w:tcW w:w="664" w:type="pct"/>
            <w:noWrap/>
            <w:hideMark/>
          </w:tcPr>
          <w:p w14:paraId="4B39C809"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(2.09)</w:t>
            </w:r>
          </w:p>
        </w:tc>
        <w:tc>
          <w:tcPr>
            <w:tcW w:w="664" w:type="pct"/>
            <w:noWrap/>
            <w:hideMark/>
          </w:tcPr>
          <w:p w14:paraId="02BBD651"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(2.36)</w:t>
            </w:r>
          </w:p>
        </w:tc>
      </w:tr>
      <w:tr w:rsidR="0044512F" w:rsidRPr="00897B87" w14:paraId="2C144257" w14:textId="77777777" w:rsidTr="0044512F">
        <w:trPr>
          <w:trHeight w:val="288"/>
        </w:trPr>
        <w:tc>
          <w:tcPr>
            <w:tcW w:w="1018" w:type="pct"/>
            <w:vMerge w:val="restart"/>
            <w:hideMark/>
          </w:tcPr>
          <w:p w14:paraId="2060C8DC" w14:textId="77777777" w:rsidR="0044512F" w:rsidRPr="00897B87" w:rsidRDefault="0044512F" w:rsidP="0044512F">
            <w:pPr>
              <w:keepNext/>
              <w:spacing w:after="100" w:afterAutospacing="1"/>
              <w:rPr>
                <w:rFonts w:asciiTheme="majorBidi" w:hAnsiTheme="majorBidi" w:cstheme="majorBidi"/>
                <w:sz w:val="22"/>
                <w:szCs w:val="22"/>
              </w:rPr>
            </w:pPr>
            <w:r w:rsidRPr="00897B87">
              <w:rPr>
                <w:rFonts w:asciiTheme="majorBidi" w:hAnsiTheme="majorBidi" w:cstheme="majorBidi"/>
                <w:sz w:val="22"/>
                <w:szCs w:val="22"/>
              </w:rPr>
              <w:t xml:space="preserve">Pasture and crop eaten </w:t>
            </w:r>
          </w:p>
        </w:tc>
        <w:tc>
          <w:tcPr>
            <w:tcW w:w="663" w:type="pct"/>
            <w:noWrap/>
            <w:hideMark/>
          </w:tcPr>
          <w:p w14:paraId="3C066D2C"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764.17</w:t>
            </w:r>
            <w:r w:rsidRPr="00897B87">
              <w:rPr>
                <w:rFonts w:asciiTheme="majorBidi" w:hAnsiTheme="majorBidi" w:cstheme="majorBidi"/>
                <w:sz w:val="22"/>
                <w:szCs w:val="22"/>
                <w:vertAlign w:val="superscript"/>
              </w:rPr>
              <w:t>***</w:t>
            </w:r>
          </w:p>
        </w:tc>
        <w:tc>
          <w:tcPr>
            <w:tcW w:w="664" w:type="pct"/>
            <w:noWrap/>
            <w:hideMark/>
          </w:tcPr>
          <w:p w14:paraId="5D97153D"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415.74</w:t>
            </w:r>
            <w:r w:rsidRPr="00897B87">
              <w:rPr>
                <w:rFonts w:asciiTheme="majorBidi" w:hAnsiTheme="majorBidi" w:cstheme="majorBidi"/>
                <w:sz w:val="22"/>
                <w:szCs w:val="22"/>
                <w:vertAlign w:val="superscript"/>
              </w:rPr>
              <w:t>***</w:t>
            </w:r>
          </w:p>
        </w:tc>
        <w:tc>
          <w:tcPr>
            <w:tcW w:w="664" w:type="pct"/>
            <w:noWrap/>
            <w:hideMark/>
          </w:tcPr>
          <w:p w14:paraId="0816A05A"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272.36</w:t>
            </w:r>
            <w:r w:rsidRPr="00897B87">
              <w:rPr>
                <w:rFonts w:asciiTheme="majorBidi" w:hAnsiTheme="majorBidi" w:cstheme="majorBidi"/>
                <w:sz w:val="22"/>
                <w:szCs w:val="22"/>
                <w:vertAlign w:val="superscript"/>
              </w:rPr>
              <w:t>***</w:t>
            </w:r>
          </w:p>
        </w:tc>
        <w:tc>
          <w:tcPr>
            <w:tcW w:w="663" w:type="pct"/>
            <w:noWrap/>
            <w:hideMark/>
          </w:tcPr>
          <w:p w14:paraId="67125258"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491.81</w:t>
            </w:r>
            <w:r w:rsidRPr="00897B87">
              <w:rPr>
                <w:rFonts w:asciiTheme="majorBidi" w:hAnsiTheme="majorBidi" w:cstheme="majorBidi"/>
                <w:sz w:val="22"/>
                <w:szCs w:val="22"/>
                <w:vertAlign w:val="superscript"/>
              </w:rPr>
              <w:t>***</w:t>
            </w:r>
          </w:p>
        </w:tc>
        <w:tc>
          <w:tcPr>
            <w:tcW w:w="664" w:type="pct"/>
            <w:noWrap/>
            <w:hideMark/>
          </w:tcPr>
          <w:p w14:paraId="44EDD5E8"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143.38</w:t>
            </w:r>
            <w:r w:rsidRPr="00897B87">
              <w:rPr>
                <w:rFonts w:asciiTheme="majorBidi" w:hAnsiTheme="majorBidi" w:cstheme="majorBidi"/>
                <w:sz w:val="22"/>
                <w:szCs w:val="22"/>
                <w:vertAlign w:val="superscript"/>
              </w:rPr>
              <w:t>**</w:t>
            </w:r>
          </w:p>
        </w:tc>
        <w:tc>
          <w:tcPr>
            <w:tcW w:w="664" w:type="pct"/>
            <w:noWrap/>
            <w:hideMark/>
          </w:tcPr>
          <w:p w14:paraId="7333FA3F"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348.43</w:t>
            </w:r>
            <w:r w:rsidRPr="00897B87">
              <w:rPr>
                <w:rFonts w:asciiTheme="majorBidi" w:hAnsiTheme="majorBidi" w:cstheme="majorBidi"/>
                <w:sz w:val="22"/>
                <w:szCs w:val="22"/>
                <w:vertAlign w:val="superscript"/>
              </w:rPr>
              <w:t>***</w:t>
            </w:r>
          </w:p>
        </w:tc>
      </w:tr>
      <w:tr w:rsidR="0044512F" w:rsidRPr="00897B87" w14:paraId="32D210D6" w14:textId="77777777" w:rsidTr="0044512F">
        <w:trPr>
          <w:trHeight w:val="288"/>
        </w:trPr>
        <w:tc>
          <w:tcPr>
            <w:tcW w:w="1018" w:type="pct"/>
            <w:vMerge/>
            <w:hideMark/>
          </w:tcPr>
          <w:p w14:paraId="2041DC66" w14:textId="77777777" w:rsidR="0044512F" w:rsidRPr="00897B87" w:rsidRDefault="0044512F" w:rsidP="0044512F">
            <w:pPr>
              <w:keepNext/>
              <w:spacing w:after="100" w:afterAutospacing="1"/>
              <w:rPr>
                <w:rFonts w:asciiTheme="majorBidi" w:hAnsiTheme="majorBidi" w:cstheme="majorBidi"/>
                <w:sz w:val="22"/>
                <w:szCs w:val="22"/>
              </w:rPr>
            </w:pPr>
          </w:p>
        </w:tc>
        <w:tc>
          <w:tcPr>
            <w:tcW w:w="663" w:type="pct"/>
            <w:noWrap/>
            <w:hideMark/>
          </w:tcPr>
          <w:p w14:paraId="19B0F1E6"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(37.12)</w:t>
            </w:r>
          </w:p>
        </w:tc>
        <w:tc>
          <w:tcPr>
            <w:tcW w:w="664" w:type="pct"/>
            <w:noWrap/>
            <w:hideMark/>
          </w:tcPr>
          <w:p w14:paraId="343CCAEA"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(36.70)</w:t>
            </w:r>
          </w:p>
        </w:tc>
        <w:tc>
          <w:tcPr>
            <w:tcW w:w="664" w:type="pct"/>
            <w:noWrap/>
            <w:hideMark/>
          </w:tcPr>
          <w:p w14:paraId="1B413BFE"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(35.68)</w:t>
            </w:r>
          </w:p>
        </w:tc>
        <w:tc>
          <w:tcPr>
            <w:tcW w:w="663" w:type="pct"/>
            <w:noWrap/>
            <w:hideMark/>
          </w:tcPr>
          <w:p w14:paraId="30A72F9A"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(36.71)</w:t>
            </w:r>
          </w:p>
        </w:tc>
        <w:tc>
          <w:tcPr>
            <w:tcW w:w="664" w:type="pct"/>
            <w:noWrap/>
            <w:hideMark/>
          </w:tcPr>
          <w:p w14:paraId="18DA06DB"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(35.28)</w:t>
            </w:r>
          </w:p>
        </w:tc>
        <w:tc>
          <w:tcPr>
            <w:tcW w:w="664" w:type="pct"/>
            <w:noWrap/>
            <w:hideMark/>
          </w:tcPr>
          <w:p w14:paraId="7F45C636"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(36.73)</w:t>
            </w:r>
          </w:p>
        </w:tc>
      </w:tr>
      <w:tr w:rsidR="0044512F" w:rsidRPr="00897B87" w14:paraId="2082EBA0" w14:textId="77777777" w:rsidTr="0044512F">
        <w:trPr>
          <w:trHeight w:val="288"/>
        </w:trPr>
        <w:tc>
          <w:tcPr>
            <w:tcW w:w="1018" w:type="pct"/>
            <w:vMerge w:val="restart"/>
            <w:hideMark/>
          </w:tcPr>
          <w:p w14:paraId="3FDCA81A" w14:textId="77777777" w:rsidR="0044512F" w:rsidRPr="00897B87" w:rsidRDefault="0044512F" w:rsidP="0044512F">
            <w:pPr>
              <w:keepNext/>
              <w:spacing w:after="100" w:afterAutospacing="1"/>
              <w:rPr>
                <w:rFonts w:asciiTheme="majorBidi" w:hAnsiTheme="majorBidi" w:cstheme="majorBidi"/>
                <w:sz w:val="22"/>
                <w:szCs w:val="22"/>
              </w:rPr>
            </w:pPr>
            <w:r w:rsidRPr="00897B87">
              <w:rPr>
                <w:rFonts w:asciiTheme="majorBidi" w:hAnsiTheme="majorBidi" w:cstheme="majorBidi"/>
                <w:sz w:val="22"/>
                <w:szCs w:val="22"/>
              </w:rPr>
              <w:t xml:space="preserve">Supplement cost </w:t>
            </w:r>
          </w:p>
        </w:tc>
        <w:tc>
          <w:tcPr>
            <w:tcW w:w="663" w:type="pct"/>
            <w:noWrap/>
            <w:hideMark/>
          </w:tcPr>
          <w:p w14:paraId="0F29B66E"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-432.85</w:t>
            </w:r>
            <w:r w:rsidRPr="00897B87">
              <w:rPr>
                <w:rFonts w:asciiTheme="majorBidi" w:hAnsiTheme="majorBidi" w:cstheme="majorBidi"/>
                <w:sz w:val="22"/>
                <w:szCs w:val="22"/>
                <w:vertAlign w:val="superscript"/>
              </w:rPr>
              <w:t>***</w:t>
            </w:r>
          </w:p>
        </w:tc>
        <w:tc>
          <w:tcPr>
            <w:tcW w:w="664" w:type="pct"/>
            <w:noWrap/>
            <w:hideMark/>
          </w:tcPr>
          <w:p w14:paraId="4E484A4A"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-344.00</w:t>
            </w:r>
            <w:r w:rsidRPr="00897B87">
              <w:rPr>
                <w:rFonts w:asciiTheme="majorBidi" w:hAnsiTheme="majorBidi" w:cstheme="majorBidi"/>
                <w:sz w:val="22"/>
                <w:szCs w:val="22"/>
                <w:vertAlign w:val="superscript"/>
              </w:rPr>
              <w:t>***</w:t>
            </w:r>
          </w:p>
        </w:tc>
        <w:tc>
          <w:tcPr>
            <w:tcW w:w="664" w:type="pct"/>
            <w:noWrap/>
            <w:hideMark/>
          </w:tcPr>
          <w:p w14:paraId="4656D8CA"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-216.17</w:t>
            </w:r>
            <w:r w:rsidRPr="00897B87">
              <w:rPr>
                <w:rFonts w:asciiTheme="majorBidi" w:hAnsiTheme="majorBidi" w:cstheme="majorBidi"/>
                <w:sz w:val="22"/>
                <w:szCs w:val="22"/>
                <w:vertAlign w:val="superscript"/>
              </w:rPr>
              <w:t>***</w:t>
            </w:r>
          </w:p>
        </w:tc>
        <w:tc>
          <w:tcPr>
            <w:tcW w:w="663" w:type="pct"/>
            <w:noWrap/>
            <w:hideMark/>
          </w:tcPr>
          <w:p w14:paraId="0CC7AA68"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-216.68</w:t>
            </w:r>
            <w:r w:rsidRPr="00897B87">
              <w:rPr>
                <w:rFonts w:asciiTheme="majorBidi" w:hAnsiTheme="majorBidi" w:cstheme="majorBidi"/>
                <w:sz w:val="22"/>
                <w:szCs w:val="22"/>
                <w:vertAlign w:val="superscript"/>
              </w:rPr>
              <w:t>***</w:t>
            </w:r>
          </w:p>
        </w:tc>
        <w:tc>
          <w:tcPr>
            <w:tcW w:w="664" w:type="pct"/>
            <w:noWrap/>
            <w:hideMark/>
          </w:tcPr>
          <w:p w14:paraId="62E11645"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-127.84</w:t>
            </w:r>
            <w:r w:rsidRPr="00897B87">
              <w:rPr>
                <w:rFonts w:asciiTheme="majorBidi" w:hAnsiTheme="majorBidi" w:cstheme="majorBidi"/>
                <w:sz w:val="22"/>
                <w:szCs w:val="22"/>
                <w:vertAlign w:val="superscript"/>
              </w:rPr>
              <w:t>***</w:t>
            </w:r>
          </w:p>
        </w:tc>
        <w:tc>
          <w:tcPr>
            <w:tcW w:w="664" w:type="pct"/>
            <w:noWrap/>
            <w:hideMark/>
          </w:tcPr>
          <w:p w14:paraId="702041A3"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-88.85</w:t>
            </w:r>
            <w:r w:rsidRPr="00897B87">
              <w:rPr>
                <w:rFonts w:asciiTheme="majorBidi" w:hAnsiTheme="majorBidi" w:cstheme="majorBidi"/>
                <w:sz w:val="22"/>
                <w:szCs w:val="22"/>
                <w:vertAlign w:val="superscript"/>
              </w:rPr>
              <w:t>***</w:t>
            </w:r>
          </w:p>
        </w:tc>
      </w:tr>
      <w:tr w:rsidR="0044512F" w:rsidRPr="00897B87" w14:paraId="6EED822D" w14:textId="77777777" w:rsidTr="0044512F">
        <w:trPr>
          <w:trHeight w:val="288"/>
        </w:trPr>
        <w:tc>
          <w:tcPr>
            <w:tcW w:w="1018" w:type="pct"/>
            <w:vMerge/>
            <w:hideMark/>
          </w:tcPr>
          <w:p w14:paraId="599611B2" w14:textId="77777777" w:rsidR="0044512F" w:rsidRPr="00897B87" w:rsidRDefault="0044512F" w:rsidP="0044512F">
            <w:pPr>
              <w:keepNext/>
              <w:spacing w:after="100" w:afterAutospacing="1"/>
              <w:rPr>
                <w:rFonts w:asciiTheme="majorBidi" w:hAnsiTheme="majorBidi" w:cstheme="majorBidi"/>
                <w:sz w:val="22"/>
                <w:szCs w:val="22"/>
              </w:rPr>
            </w:pPr>
          </w:p>
        </w:tc>
        <w:tc>
          <w:tcPr>
            <w:tcW w:w="663" w:type="pct"/>
            <w:noWrap/>
            <w:hideMark/>
          </w:tcPr>
          <w:p w14:paraId="6D31B8D2"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(17.20)</w:t>
            </w:r>
          </w:p>
        </w:tc>
        <w:tc>
          <w:tcPr>
            <w:tcW w:w="664" w:type="pct"/>
            <w:noWrap/>
            <w:hideMark/>
          </w:tcPr>
          <w:p w14:paraId="278C445B"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(15.59)</w:t>
            </w:r>
          </w:p>
        </w:tc>
        <w:tc>
          <w:tcPr>
            <w:tcW w:w="664" w:type="pct"/>
            <w:noWrap/>
            <w:hideMark/>
          </w:tcPr>
          <w:p w14:paraId="4B271878"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(15.06)</w:t>
            </w:r>
          </w:p>
        </w:tc>
        <w:tc>
          <w:tcPr>
            <w:tcW w:w="663" w:type="pct"/>
            <w:noWrap/>
            <w:hideMark/>
          </w:tcPr>
          <w:p w14:paraId="35E2A363"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(18.24)</w:t>
            </w:r>
          </w:p>
        </w:tc>
        <w:tc>
          <w:tcPr>
            <w:tcW w:w="664" w:type="pct"/>
            <w:noWrap/>
            <w:hideMark/>
          </w:tcPr>
          <w:p w14:paraId="52A2E71A"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(16.73)</w:t>
            </w:r>
          </w:p>
        </w:tc>
        <w:tc>
          <w:tcPr>
            <w:tcW w:w="664" w:type="pct"/>
            <w:noWrap/>
            <w:hideMark/>
          </w:tcPr>
          <w:p w14:paraId="4E88BDFD"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(18.69)</w:t>
            </w:r>
          </w:p>
        </w:tc>
      </w:tr>
      <w:tr w:rsidR="0044512F" w:rsidRPr="00897B87" w14:paraId="4BA9C339" w14:textId="77777777" w:rsidTr="0044512F">
        <w:trPr>
          <w:trHeight w:val="288"/>
        </w:trPr>
        <w:tc>
          <w:tcPr>
            <w:tcW w:w="1018" w:type="pct"/>
            <w:vMerge w:val="restart"/>
            <w:hideMark/>
          </w:tcPr>
          <w:p w14:paraId="28A7EE70" w14:textId="77777777" w:rsidR="0044512F" w:rsidRPr="00897B87" w:rsidRDefault="0044512F" w:rsidP="0044512F">
            <w:pPr>
              <w:keepNext/>
              <w:spacing w:after="100" w:afterAutospacing="1"/>
              <w:rPr>
                <w:rFonts w:asciiTheme="majorBidi" w:hAnsiTheme="majorBidi" w:cstheme="majorBidi"/>
                <w:sz w:val="22"/>
                <w:szCs w:val="22"/>
              </w:rPr>
            </w:pPr>
            <w:r w:rsidRPr="00897B87">
              <w:rPr>
                <w:rFonts w:asciiTheme="majorBidi" w:hAnsiTheme="majorBidi" w:cstheme="majorBidi"/>
                <w:sz w:val="22"/>
                <w:szCs w:val="22"/>
              </w:rPr>
              <w:t>Leverage ratio</w:t>
            </w:r>
          </w:p>
        </w:tc>
        <w:tc>
          <w:tcPr>
            <w:tcW w:w="663" w:type="pct"/>
            <w:noWrap/>
            <w:hideMark/>
          </w:tcPr>
          <w:p w14:paraId="4D72FC5A"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-0.35</w:t>
            </w:r>
            <w:r w:rsidRPr="00897B87">
              <w:rPr>
                <w:rFonts w:asciiTheme="majorBidi" w:hAnsiTheme="majorBidi" w:cstheme="majorBidi"/>
                <w:sz w:val="22"/>
                <w:szCs w:val="22"/>
                <w:vertAlign w:val="superscript"/>
              </w:rPr>
              <w:t>***</w:t>
            </w:r>
          </w:p>
        </w:tc>
        <w:tc>
          <w:tcPr>
            <w:tcW w:w="664" w:type="pct"/>
            <w:noWrap/>
            <w:hideMark/>
          </w:tcPr>
          <w:p w14:paraId="4F47F557"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-0.27</w:t>
            </w:r>
            <w:r w:rsidRPr="00897B87">
              <w:rPr>
                <w:rFonts w:asciiTheme="majorBidi" w:hAnsiTheme="majorBidi" w:cstheme="majorBidi"/>
                <w:sz w:val="22"/>
                <w:szCs w:val="22"/>
                <w:vertAlign w:val="superscript"/>
              </w:rPr>
              <w:t>***</w:t>
            </w:r>
          </w:p>
        </w:tc>
        <w:tc>
          <w:tcPr>
            <w:tcW w:w="664" w:type="pct"/>
            <w:noWrap/>
            <w:hideMark/>
          </w:tcPr>
          <w:p w14:paraId="169BF2FC"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-0.10</w:t>
            </w:r>
          </w:p>
        </w:tc>
        <w:tc>
          <w:tcPr>
            <w:tcW w:w="663" w:type="pct"/>
            <w:noWrap/>
            <w:hideMark/>
          </w:tcPr>
          <w:p w14:paraId="77C561FE"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-0.26</w:t>
            </w:r>
            <w:r w:rsidRPr="00897B87">
              <w:rPr>
                <w:rFonts w:asciiTheme="majorBidi" w:hAnsiTheme="majorBidi" w:cstheme="majorBidi"/>
                <w:sz w:val="22"/>
                <w:szCs w:val="22"/>
                <w:vertAlign w:val="superscript"/>
              </w:rPr>
              <w:t>***</w:t>
            </w:r>
          </w:p>
        </w:tc>
        <w:tc>
          <w:tcPr>
            <w:tcW w:w="664" w:type="pct"/>
            <w:noWrap/>
            <w:hideMark/>
          </w:tcPr>
          <w:p w14:paraId="6A4D532B"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-0.17</w:t>
            </w:r>
            <w:r w:rsidRPr="00897B87">
              <w:rPr>
                <w:rFonts w:asciiTheme="majorBidi" w:hAnsiTheme="majorBidi" w:cstheme="majorBidi"/>
                <w:sz w:val="22"/>
                <w:szCs w:val="22"/>
                <w:vertAlign w:val="superscript"/>
              </w:rPr>
              <w:t>*</w:t>
            </w:r>
          </w:p>
        </w:tc>
        <w:tc>
          <w:tcPr>
            <w:tcW w:w="664" w:type="pct"/>
            <w:noWrap/>
            <w:hideMark/>
          </w:tcPr>
          <w:p w14:paraId="337C893D"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-0.08</w:t>
            </w:r>
          </w:p>
        </w:tc>
      </w:tr>
      <w:tr w:rsidR="0044512F" w:rsidRPr="00897B87" w14:paraId="546D18D1" w14:textId="77777777" w:rsidTr="0044512F">
        <w:trPr>
          <w:trHeight w:val="288"/>
        </w:trPr>
        <w:tc>
          <w:tcPr>
            <w:tcW w:w="1018" w:type="pct"/>
            <w:vMerge/>
            <w:hideMark/>
          </w:tcPr>
          <w:p w14:paraId="4AB34849" w14:textId="77777777" w:rsidR="0044512F" w:rsidRPr="00897B87" w:rsidRDefault="0044512F" w:rsidP="0044512F">
            <w:pPr>
              <w:keepNext/>
              <w:spacing w:after="100" w:afterAutospacing="1"/>
              <w:jc w:val="center"/>
              <w:rPr>
                <w:rFonts w:asciiTheme="majorBidi" w:hAnsiTheme="majorBidi" w:cstheme="majorBidi"/>
                <w:sz w:val="22"/>
                <w:szCs w:val="22"/>
              </w:rPr>
            </w:pPr>
          </w:p>
        </w:tc>
        <w:tc>
          <w:tcPr>
            <w:tcW w:w="663" w:type="pct"/>
            <w:noWrap/>
            <w:hideMark/>
          </w:tcPr>
          <w:p w14:paraId="5AE8E58B"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(0.04)</w:t>
            </w:r>
          </w:p>
        </w:tc>
        <w:tc>
          <w:tcPr>
            <w:tcW w:w="664" w:type="pct"/>
            <w:noWrap/>
            <w:hideMark/>
          </w:tcPr>
          <w:p w14:paraId="33BAFB36"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(0.05)</w:t>
            </w:r>
          </w:p>
        </w:tc>
        <w:tc>
          <w:tcPr>
            <w:tcW w:w="664" w:type="pct"/>
            <w:noWrap/>
            <w:hideMark/>
          </w:tcPr>
          <w:p w14:paraId="274407CE"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(0.05)</w:t>
            </w:r>
          </w:p>
        </w:tc>
        <w:tc>
          <w:tcPr>
            <w:tcW w:w="663" w:type="pct"/>
            <w:noWrap/>
            <w:hideMark/>
          </w:tcPr>
          <w:p w14:paraId="77EC44B9"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(0.04)</w:t>
            </w:r>
          </w:p>
        </w:tc>
        <w:tc>
          <w:tcPr>
            <w:tcW w:w="664" w:type="pct"/>
            <w:noWrap/>
            <w:hideMark/>
          </w:tcPr>
          <w:p w14:paraId="3E1553B6"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(0.05)</w:t>
            </w:r>
          </w:p>
        </w:tc>
        <w:tc>
          <w:tcPr>
            <w:tcW w:w="664" w:type="pct"/>
            <w:noWrap/>
            <w:hideMark/>
          </w:tcPr>
          <w:p w14:paraId="5339332D"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(0.05)</w:t>
            </w:r>
          </w:p>
        </w:tc>
      </w:tr>
      <w:tr w:rsidR="0044512F" w:rsidRPr="00897B87" w14:paraId="29D3ABCD" w14:textId="77777777" w:rsidTr="0044512F">
        <w:trPr>
          <w:trHeight w:val="288"/>
        </w:trPr>
        <w:tc>
          <w:tcPr>
            <w:tcW w:w="1018" w:type="pct"/>
            <w:vMerge w:val="restart"/>
            <w:hideMark/>
          </w:tcPr>
          <w:p w14:paraId="785DF119" w14:textId="77777777" w:rsidR="0044512F" w:rsidRPr="00897B87" w:rsidRDefault="0044512F" w:rsidP="0044512F">
            <w:pPr>
              <w:keepNext/>
              <w:spacing w:after="100" w:afterAutospacing="1"/>
              <w:rPr>
                <w:rFonts w:asciiTheme="majorBidi" w:hAnsiTheme="majorBidi" w:cstheme="majorBidi"/>
                <w:sz w:val="22"/>
                <w:szCs w:val="22"/>
              </w:rPr>
            </w:pPr>
            <w:r w:rsidRPr="00897B87">
              <w:rPr>
                <w:rFonts w:asciiTheme="majorBidi" w:hAnsiTheme="majorBidi" w:cstheme="majorBidi"/>
                <w:sz w:val="22"/>
                <w:szCs w:val="22"/>
              </w:rPr>
              <w:t xml:space="preserve">Cash operating surplus </w:t>
            </w:r>
          </w:p>
        </w:tc>
        <w:tc>
          <w:tcPr>
            <w:tcW w:w="663" w:type="pct"/>
            <w:noWrap/>
            <w:hideMark/>
          </w:tcPr>
          <w:p w14:paraId="46F750DB"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1591.29</w:t>
            </w:r>
            <w:r w:rsidRPr="00897B87">
              <w:rPr>
                <w:rFonts w:asciiTheme="majorBidi" w:hAnsiTheme="majorBidi" w:cstheme="majorBidi"/>
                <w:sz w:val="22"/>
                <w:szCs w:val="22"/>
                <w:vertAlign w:val="superscript"/>
              </w:rPr>
              <w:t>***</w:t>
            </w:r>
          </w:p>
        </w:tc>
        <w:tc>
          <w:tcPr>
            <w:tcW w:w="664" w:type="pct"/>
            <w:noWrap/>
            <w:hideMark/>
          </w:tcPr>
          <w:p w14:paraId="18E5B64E"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917.35</w:t>
            </w:r>
            <w:r w:rsidRPr="00897B87">
              <w:rPr>
                <w:rFonts w:asciiTheme="majorBidi" w:hAnsiTheme="majorBidi" w:cstheme="majorBidi"/>
                <w:sz w:val="22"/>
                <w:szCs w:val="22"/>
                <w:vertAlign w:val="superscript"/>
              </w:rPr>
              <w:t>***</w:t>
            </w:r>
          </w:p>
        </w:tc>
        <w:tc>
          <w:tcPr>
            <w:tcW w:w="664" w:type="pct"/>
            <w:noWrap/>
            <w:hideMark/>
          </w:tcPr>
          <w:p w14:paraId="3F8F9285"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505.46</w:t>
            </w:r>
            <w:r w:rsidRPr="00897B87">
              <w:rPr>
                <w:rFonts w:asciiTheme="majorBidi" w:hAnsiTheme="majorBidi" w:cstheme="majorBidi"/>
                <w:sz w:val="22"/>
                <w:szCs w:val="22"/>
                <w:vertAlign w:val="superscript"/>
              </w:rPr>
              <w:t>***</w:t>
            </w:r>
          </w:p>
        </w:tc>
        <w:tc>
          <w:tcPr>
            <w:tcW w:w="663" w:type="pct"/>
            <w:noWrap/>
            <w:hideMark/>
          </w:tcPr>
          <w:p w14:paraId="01F4DD66"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1085.83</w:t>
            </w:r>
            <w:r w:rsidRPr="00897B87">
              <w:rPr>
                <w:rFonts w:asciiTheme="majorBidi" w:hAnsiTheme="majorBidi" w:cstheme="majorBidi"/>
                <w:sz w:val="22"/>
                <w:szCs w:val="22"/>
                <w:vertAlign w:val="superscript"/>
              </w:rPr>
              <w:t>***</w:t>
            </w:r>
          </w:p>
        </w:tc>
        <w:tc>
          <w:tcPr>
            <w:tcW w:w="664" w:type="pct"/>
            <w:noWrap/>
            <w:hideMark/>
          </w:tcPr>
          <w:p w14:paraId="29DE46CE"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411.89</w:t>
            </w:r>
            <w:r w:rsidRPr="00897B87">
              <w:rPr>
                <w:rFonts w:asciiTheme="majorBidi" w:hAnsiTheme="majorBidi" w:cstheme="majorBidi"/>
                <w:sz w:val="22"/>
                <w:szCs w:val="22"/>
                <w:vertAlign w:val="superscript"/>
              </w:rPr>
              <w:t>***</w:t>
            </w:r>
          </w:p>
        </w:tc>
        <w:tc>
          <w:tcPr>
            <w:tcW w:w="664" w:type="pct"/>
            <w:noWrap/>
            <w:hideMark/>
          </w:tcPr>
          <w:p w14:paraId="4F4F21E2"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673.94</w:t>
            </w:r>
            <w:r w:rsidRPr="00897B87">
              <w:rPr>
                <w:rFonts w:asciiTheme="majorBidi" w:hAnsiTheme="majorBidi" w:cstheme="majorBidi"/>
                <w:sz w:val="22"/>
                <w:szCs w:val="22"/>
                <w:vertAlign w:val="superscript"/>
              </w:rPr>
              <w:t>***</w:t>
            </w:r>
          </w:p>
        </w:tc>
      </w:tr>
      <w:tr w:rsidR="0044512F" w:rsidRPr="00897B87" w14:paraId="575E64A8" w14:textId="77777777" w:rsidTr="0044512F">
        <w:trPr>
          <w:trHeight w:val="288"/>
        </w:trPr>
        <w:tc>
          <w:tcPr>
            <w:tcW w:w="1018" w:type="pct"/>
            <w:vMerge/>
            <w:hideMark/>
          </w:tcPr>
          <w:p w14:paraId="3872A300" w14:textId="77777777" w:rsidR="0044512F" w:rsidRPr="00897B87" w:rsidRDefault="0044512F" w:rsidP="0044512F">
            <w:pPr>
              <w:keepNext/>
              <w:spacing w:after="100" w:afterAutospacing="1"/>
              <w:rPr>
                <w:rFonts w:asciiTheme="majorBidi" w:hAnsiTheme="majorBidi" w:cstheme="majorBidi"/>
                <w:sz w:val="22"/>
                <w:szCs w:val="22"/>
              </w:rPr>
            </w:pPr>
          </w:p>
        </w:tc>
        <w:tc>
          <w:tcPr>
            <w:tcW w:w="663" w:type="pct"/>
            <w:noWrap/>
            <w:hideMark/>
          </w:tcPr>
          <w:p w14:paraId="20E41470"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(19.51)</w:t>
            </w:r>
          </w:p>
        </w:tc>
        <w:tc>
          <w:tcPr>
            <w:tcW w:w="664" w:type="pct"/>
            <w:noWrap/>
            <w:hideMark/>
          </w:tcPr>
          <w:p w14:paraId="68F0D391"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(18.74)</w:t>
            </w:r>
          </w:p>
        </w:tc>
        <w:tc>
          <w:tcPr>
            <w:tcW w:w="664" w:type="pct"/>
            <w:noWrap/>
            <w:hideMark/>
          </w:tcPr>
          <w:p w14:paraId="79F15B6E"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(19.24)</w:t>
            </w:r>
          </w:p>
        </w:tc>
        <w:tc>
          <w:tcPr>
            <w:tcW w:w="663" w:type="pct"/>
            <w:noWrap/>
            <w:hideMark/>
          </w:tcPr>
          <w:p w14:paraId="3B4D9188"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(17.54)</w:t>
            </w:r>
          </w:p>
        </w:tc>
        <w:tc>
          <w:tcPr>
            <w:tcW w:w="664" w:type="pct"/>
            <w:noWrap/>
            <w:hideMark/>
          </w:tcPr>
          <w:p w14:paraId="29D4F0F0"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(16.67)</w:t>
            </w:r>
          </w:p>
        </w:tc>
        <w:tc>
          <w:tcPr>
            <w:tcW w:w="664" w:type="pct"/>
            <w:noWrap/>
            <w:hideMark/>
          </w:tcPr>
          <w:p w14:paraId="692BFB8E"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(17.34)</w:t>
            </w:r>
          </w:p>
        </w:tc>
      </w:tr>
      <w:tr w:rsidR="0044512F" w:rsidRPr="00897B87" w14:paraId="52359091" w14:textId="77777777" w:rsidTr="0044512F">
        <w:trPr>
          <w:trHeight w:val="288"/>
        </w:trPr>
        <w:tc>
          <w:tcPr>
            <w:tcW w:w="1018" w:type="pct"/>
            <w:vMerge w:val="restart"/>
            <w:hideMark/>
          </w:tcPr>
          <w:p w14:paraId="5B48545A" w14:textId="77777777" w:rsidR="0044512F" w:rsidRPr="00897B87" w:rsidRDefault="0044512F" w:rsidP="0044512F">
            <w:pPr>
              <w:keepNext/>
              <w:spacing w:after="100" w:afterAutospacing="1"/>
              <w:rPr>
                <w:rFonts w:asciiTheme="majorBidi" w:hAnsiTheme="majorBidi" w:cstheme="majorBidi"/>
                <w:sz w:val="22"/>
                <w:szCs w:val="22"/>
              </w:rPr>
            </w:pPr>
            <w:r w:rsidRPr="00897B87">
              <w:rPr>
                <w:rFonts w:asciiTheme="majorBidi" w:hAnsiTheme="majorBidi" w:cstheme="majorBidi"/>
                <w:sz w:val="22"/>
                <w:szCs w:val="22"/>
              </w:rPr>
              <w:t>Total GHG emissions</w:t>
            </w:r>
          </w:p>
        </w:tc>
        <w:tc>
          <w:tcPr>
            <w:tcW w:w="663" w:type="pct"/>
            <w:noWrap/>
            <w:hideMark/>
          </w:tcPr>
          <w:p w14:paraId="00D8D9F0"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-510.90</w:t>
            </w:r>
            <w:r w:rsidRPr="00897B87">
              <w:rPr>
                <w:rFonts w:asciiTheme="majorBidi" w:hAnsiTheme="majorBidi" w:cstheme="majorBidi"/>
                <w:sz w:val="22"/>
                <w:szCs w:val="22"/>
                <w:vertAlign w:val="superscript"/>
              </w:rPr>
              <w:t>***</w:t>
            </w:r>
          </w:p>
        </w:tc>
        <w:tc>
          <w:tcPr>
            <w:tcW w:w="664" w:type="pct"/>
            <w:noWrap/>
            <w:hideMark/>
          </w:tcPr>
          <w:p w14:paraId="1A2D8C7B"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-493.03</w:t>
            </w:r>
            <w:r w:rsidRPr="00897B87">
              <w:rPr>
                <w:rFonts w:asciiTheme="majorBidi" w:hAnsiTheme="majorBidi" w:cstheme="majorBidi"/>
                <w:sz w:val="22"/>
                <w:szCs w:val="22"/>
                <w:vertAlign w:val="superscript"/>
              </w:rPr>
              <w:t>***</w:t>
            </w:r>
          </w:p>
        </w:tc>
        <w:tc>
          <w:tcPr>
            <w:tcW w:w="664" w:type="pct"/>
            <w:noWrap/>
            <w:hideMark/>
          </w:tcPr>
          <w:p w14:paraId="6072F850"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-248.20</w:t>
            </w:r>
            <w:r w:rsidRPr="00897B87">
              <w:rPr>
                <w:rFonts w:asciiTheme="majorBidi" w:hAnsiTheme="majorBidi" w:cstheme="majorBidi"/>
                <w:sz w:val="22"/>
                <w:szCs w:val="22"/>
                <w:vertAlign w:val="superscript"/>
              </w:rPr>
              <w:t>**</w:t>
            </w:r>
          </w:p>
        </w:tc>
        <w:tc>
          <w:tcPr>
            <w:tcW w:w="663" w:type="pct"/>
            <w:noWrap/>
            <w:hideMark/>
          </w:tcPr>
          <w:p w14:paraId="35AD1228"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-262.71</w:t>
            </w:r>
            <w:r w:rsidRPr="00897B87">
              <w:rPr>
                <w:rFonts w:asciiTheme="majorBidi" w:hAnsiTheme="majorBidi" w:cstheme="majorBidi"/>
                <w:sz w:val="22"/>
                <w:szCs w:val="22"/>
                <w:vertAlign w:val="superscript"/>
              </w:rPr>
              <w:t>**</w:t>
            </w:r>
          </w:p>
        </w:tc>
        <w:tc>
          <w:tcPr>
            <w:tcW w:w="664" w:type="pct"/>
            <w:noWrap/>
            <w:hideMark/>
          </w:tcPr>
          <w:p w14:paraId="4B9E58B4" w14:textId="77777777" w:rsidR="0044512F" w:rsidRPr="00897B87" w:rsidRDefault="0044512F" w:rsidP="0044512F">
            <w:pPr>
              <w:keepNext/>
              <w:spacing w:after="100" w:afterAutospacing="1"/>
              <w:jc w:val="center"/>
              <w:rPr>
                <w:rFonts w:asciiTheme="majorBidi" w:hAnsiTheme="majorBidi" w:cstheme="majorBidi"/>
                <w:sz w:val="22"/>
                <w:szCs w:val="22"/>
                <w:vertAlign w:val="superscript"/>
              </w:rPr>
            </w:pPr>
            <w:r w:rsidRPr="00897B87">
              <w:rPr>
                <w:rFonts w:asciiTheme="majorBidi" w:hAnsiTheme="majorBidi" w:cstheme="majorBidi"/>
                <w:sz w:val="22"/>
                <w:szCs w:val="22"/>
              </w:rPr>
              <w:t>-244.82</w:t>
            </w:r>
            <w:r w:rsidRPr="00897B87">
              <w:rPr>
                <w:rFonts w:asciiTheme="majorBidi" w:hAnsiTheme="majorBidi" w:cstheme="majorBidi"/>
                <w:sz w:val="22"/>
                <w:szCs w:val="22"/>
                <w:vertAlign w:val="superscript"/>
              </w:rPr>
              <w:t>**</w:t>
            </w:r>
          </w:p>
        </w:tc>
        <w:tc>
          <w:tcPr>
            <w:tcW w:w="664" w:type="pct"/>
            <w:noWrap/>
            <w:hideMark/>
          </w:tcPr>
          <w:p w14:paraId="14BDD8DF"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-17.88</w:t>
            </w:r>
          </w:p>
        </w:tc>
      </w:tr>
      <w:tr w:rsidR="0044512F" w:rsidRPr="00897B87" w14:paraId="594E7CD2" w14:textId="77777777" w:rsidTr="0044512F">
        <w:trPr>
          <w:trHeight w:val="288"/>
        </w:trPr>
        <w:tc>
          <w:tcPr>
            <w:tcW w:w="1018" w:type="pct"/>
            <w:vMerge/>
            <w:hideMark/>
          </w:tcPr>
          <w:p w14:paraId="6BF7F54C" w14:textId="77777777" w:rsidR="0044512F" w:rsidRPr="00897B87" w:rsidRDefault="0044512F" w:rsidP="0044512F">
            <w:pPr>
              <w:keepNext/>
              <w:spacing w:after="100" w:afterAutospacing="1"/>
              <w:jc w:val="center"/>
              <w:rPr>
                <w:rFonts w:asciiTheme="majorBidi" w:hAnsiTheme="majorBidi" w:cstheme="majorBidi"/>
                <w:sz w:val="22"/>
                <w:szCs w:val="22"/>
              </w:rPr>
            </w:pPr>
          </w:p>
        </w:tc>
        <w:tc>
          <w:tcPr>
            <w:tcW w:w="663" w:type="pct"/>
            <w:noWrap/>
            <w:hideMark/>
          </w:tcPr>
          <w:p w14:paraId="228A50A8"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(63.04)</w:t>
            </w:r>
          </w:p>
        </w:tc>
        <w:tc>
          <w:tcPr>
            <w:tcW w:w="664" w:type="pct"/>
            <w:noWrap/>
            <w:hideMark/>
          </w:tcPr>
          <w:p w14:paraId="2F45142D"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(62.67)</w:t>
            </w:r>
          </w:p>
        </w:tc>
        <w:tc>
          <w:tcPr>
            <w:tcW w:w="664" w:type="pct"/>
            <w:noWrap/>
            <w:hideMark/>
          </w:tcPr>
          <w:p w14:paraId="0823BF58"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(63.27)</w:t>
            </w:r>
          </w:p>
        </w:tc>
        <w:tc>
          <w:tcPr>
            <w:tcW w:w="663" w:type="pct"/>
            <w:noWrap/>
            <w:hideMark/>
          </w:tcPr>
          <w:p w14:paraId="5E7040E6"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(65.39)</w:t>
            </w:r>
          </w:p>
        </w:tc>
        <w:tc>
          <w:tcPr>
            <w:tcW w:w="664" w:type="pct"/>
            <w:noWrap/>
            <w:hideMark/>
          </w:tcPr>
          <w:p w14:paraId="13769EA9"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(65.03)</w:t>
            </w:r>
          </w:p>
        </w:tc>
        <w:tc>
          <w:tcPr>
            <w:tcW w:w="664" w:type="pct"/>
            <w:noWrap/>
            <w:hideMark/>
          </w:tcPr>
          <w:p w14:paraId="48B16A79" w14:textId="77777777" w:rsidR="0044512F" w:rsidRPr="00897B87" w:rsidRDefault="0044512F" w:rsidP="0044512F">
            <w:pPr>
              <w:keepNext/>
              <w:spacing w:after="100" w:afterAutospacing="1"/>
              <w:jc w:val="center"/>
              <w:rPr>
                <w:rFonts w:asciiTheme="majorBidi" w:hAnsiTheme="majorBidi" w:cstheme="majorBidi"/>
                <w:sz w:val="22"/>
                <w:szCs w:val="22"/>
              </w:rPr>
            </w:pPr>
            <w:r w:rsidRPr="00897B87">
              <w:rPr>
                <w:rFonts w:asciiTheme="majorBidi" w:hAnsiTheme="majorBidi" w:cstheme="majorBidi"/>
                <w:sz w:val="22"/>
                <w:szCs w:val="22"/>
              </w:rPr>
              <w:t>(64.81)</w:t>
            </w:r>
          </w:p>
        </w:tc>
      </w:tr>
    </w:tbl>
    <w:p w14:paraId="33176E77" w14:textId="77777777" w:rsidR="0044512F" w:rsidRPr="00897B87" w:rsidRDefault="0044512F" w:rsidP="0044512F">
      <w:pPr>
        <w:keepNext/>
        <w:spacing w:after="100" w:afterAutospacing="1" w:line="240" w:lineRule="auto"/>
        <w:rPr>
          <w:rFonts w:asciiTheme="majorBidi" w:hAnsiTheme="majorBidi" w:cstheme="majorBidi"/>
          <w:i/>
          <w:iCs/>
          <w:sz w:val="21"/>
          <w:szCs w:val="21"/>
        </w:rPr>
      </w:pPr>
      <w:r w:rsidRPr="00897B87">
        <w:rPr>
          <w:rFonts w:asciiTheme="majorBidi" w:hAnsiTheme="majorBidi" w:cstheme="majorBidi"/>
          <w:i/>
          <w:iCs/>
          <w:sz w:val="21"/>
          <w:szCs w:val="21"/>
        </w:rPr>
        <w:t>Note:  Robust standard errors in parentheses.  *p&lt;0.1; **p&lt;0.05; ***p&lt;0.01.; Q4 is the best and Q1 the worst</w:t>
      </w:r>
    </w:p>
    <w:p w14:paraId="24F58D78" w14:textId="77777777" w:rsidR="0044512F" w:rsidRPr="00897B87" w:rsidRDefault="0044512F" w:rsidP="0044512F">
      <w:pPr>
        <w:spacing w:after="100" w:afterAutospacing="1" w:line="276" w:lineRule="auto"/>
        <w:ind w:firstLine="720"/>
        <w:jc w:val="both"/>
        <w:rPr>
          <w:rFonts w:asciiTheme="majorBidi" w:hAnsiTheme="majorBidi" w:cstheme="majorBidi"/>
          <w:i/>
          <w:iCs/>
        </w:rPr>
      </w:pPr>
      <w:r w:rsidRPr="00897B87">
        <w:rPr>
          <w:rFonts w:asciiTheme="majorBidi" w:hAnsiTheme="majorBidi" w:cstheme="majorBidi"/>
        </w:rPr>
        <w:t xml:space="preserve">Our pasture and crop eaten findings consolidate this assertion, as we find that better farms have greater pasture and crop eaten. Neal and Roche (2020) support this, as they find higher profitability was related to greater pasture and crop eaten. This could suggest that better farms are in superior locations for pasture growth, which would reduce the requirements for supplement and fertiliser.  Alternatively, better farms may optimise and use more home-grown feed (pasture and crop eaten) and use fertiliser and supplement more efficiently to generate a greater production response. In fairness, it is likely a combination of the two.  It would be useful to disentangle these effects in future research to see how much of the variation in cost efficiency depends on sub-regional effects rather than the efficient use of inputs and home-grown feed. Our individual fixed-effects model intercepts control for such sub-regional heterogeneity. </w:t>
      </w:r>
    </w:p>
    <w:p w14:paraId="7B40FDF2" w14:textId="77777777" w:rsidR="0044512F" w:rsidRPr="00897B87" w:rsidRDefault="0044512F" w:rsidP="004618A8">
      <w:pPr>
        <w:spacing w:after="240" w:line="276" w:lineRule="auto"/>
        <w:ind w:firstLine="720"/>
        <w:jc w:val="both"/>
        <w:rPr>
          <w:rFonts w:asciiTheme="majorBidi" w:hAnsiTheme="majorBidi" w:cstheme="majorBidi"/>
        </w:rPr>
      </w:pPr>
      <w:r w:rsidRPr="00897B87">
        <w:rPr>
          <w:rFonts w:asciiTheme="majorBidi" w:hAnsiTheme="majorBidi" w:cstheme="majorBidi"/>
        </w:rPr>
        <w:t xml:space="preserve">We find significant differences in financial leverage between quartiles - with more cost-efficient farms having a smaller leverage ratio. This finding is consistent with </w:t>
      </w:r>
      <w:proofErr w:type="spellStart"/>
      <w:r w:rsidRPr="00897B87">
        <w:rPr>
          <w:rFonts w:asciiTheme="majorBidi" w:hAnsiTheme="majorBidi" w:cstheme="majorBidi"/>
        </w:rPr>
        <w:t>Javed</w:t>
      </w:r>
      <w:proofErr w:type="spellEnd"/>
      <w:r w:rsidRPr="00897B87">
        <w:rPr>
          <w:rFonts w:asciiTheme="majorBidi" w:hAnsiTheme="majorBidi" w:cstheme="majorBidi"/>
        </w:rPr>
        <w:t xml:space="preserve"> et al. (2015) and </w:t>
      </w:r>
      <w:proofErr w:type="spellStart"/>
      <w:r w:rsidRPr="00897B87">
        <w:rPr>
          <w:rFonts w:asciiTheme="majorBidi" w:hAnsiTheme="majorBidi" w:cstheme="majorBidi"/>
        </w:rPr>
        <w:t>Getu</w:t>
      </w:r>
      <w:proofErr w:type="spellEnd"/>
      <w:r w:rsidRPr="00897B87">
        <w:rPr>
          <w:rFonts w:asciiTheme="majorBidi" w:hAnsiTheme="majorBidi" w:cstheme="majorBidi"/>
        </w:rPr>
        <w:t xml:space="preserve"> et al. (2007) who demonstrate that cost efficiency and financial performance are lower for firms with greater leverage. Furthermore, relatively cost-efficient farms have more scope to pay down debt (Shadbolt et al., 2018). Thus, increasing cost efficiency probably contributes to a decreased leverage ratio (rather than lower leverage ratios driving improved </w:t>
      </w:r>
      <w:r w:rsidRPr="00897B87">
        <w:rPr>
          <w:rFonts w:asciiTheme="majorBidi" w:hAnsiTheme="majorBidi" w:cstheme="majorBidi"/>
        </w:rPr>
        <w:lastRenderedPageBreak/>
        <w:t xml:space="preserve">cost efficiency). We performed an additional Games-Howell test on the asset value ($/ha) for farms in each quartile and there were no significant differences. This implies that the difference in leverage ratios is due to better farms having more equity (supporting the notion that better farms can better pay down debt).  On a related note, cash operating surplus tended to be greater for farms with a higher average OPM. This finding is expected, as cash operating surplus and OPM are both dependent on operating profit by mathematical calculation. </w:t>
      </w:r>
    </w:p>
    <w:p w14:paraId="075B2674" w14:textId="77777777" w:rsidR="0044512F" w:rsidRPr="00897B87" w:rsidRDefault="0044512F" w:rsidP="004618A8">
      <w:pPr>
        <w:spacing w:after="240" w:line="276" w:lineRule="auto"/>
        <w:ind w:firstLine="720"/>
        <w:jc w:val="both"/>
        <w:rPr>
          <w:rFonts w:asciiTheme="majorBidi" w:eastAsiaTheme="majorEastAsia" w:hAnsiTheme="majorBidi" w:cstheme="majorBidi"/>
          <w:color w:val="2E74B5" w:themeColor="accent1" w:themeShade="BF"/>
        </w:rPr>
      </w:pPr>
      <w:r w:rsidRPr="00897B87">
        <w:rPr>
          <w:rFonts w:asciiTheme="majorBidi" w:hAnsiTheme="majorBidi" w:cstheme="majorBidi"/>
        </w:rPr>
        <w:t>Apart from the difference between Q2 and Q1, there are significant decreases in GHG emissions when moving up a quartile. Our results suggest that some farmers may be able to begin to low their GHG emissions, whilst maintaining a strong level of cost efficiency. Indeed, the lower fertiliser use of the higher quartile farms should help lower nitrogen leaching levels and nitrous oxide emissions; the lower greenhouse gas emissions of the higher quartile farms is in fact mostly driven by lower nitrous oxide and not methane emissions. This is an important finding, considering the environmental actions farmers have already started taking and the active research and innovation around reducing agricultural GHG emissions (MFE, 2019; MFE &amp; MPI, 2020).</w:t>
      </w:r>
    </w:p>
    <w:p w14:paraId="4EDED53B" w14:textId="4717B151" w:rsidR="0044512F" w:rsidRPr="00897B87" w:rsidRDefault="0044512F" w:rsidP="004618A8">
      <w:pPr>
        <w:spacing w:after="240" w:line="264" w:lineRule="auto"/>
        <w:rPr>
          <w:rFonts w:asciiTheme="majorBidi" w:hAnsiTheme="majorBidi" w:cstheme="majorBidi"/>
        </w:rPr>
      </w:pPr>
      <w:bookmarkStart w:id="10" w:name="_Toc64014178"/>
      <w:r w:rsidRPr="00631DCC">
        <w:rPr>
          <w:rFonts w:asciiTheme="majorBidi" w:hAnsiTheme="majorBidi" w:cstheme="majorBidi"/>
          <w:b/>
          <w:bCs/>
        </w:rPr>
        <w:t>5.3 Fixed Effects models</w:t>
      </w:r>
      <w:bookmarkEnd w:id="10"/>
      <w:r>
        <w:rPr>
          <w:rFonts w:asciiTheme="majorBidi" w:hAnsiTheme="majorBidi" w:cstheme="majorBidi"/>
          <w:b/>
          <w:bCs/>
        </w:rPr>
        <w:br/>
      </w:r>
      <w:r>
        <w:rPr>
          <w:rFonts w:asciiTheme="majorBidi" w:hAnsiTheme="majorBidi" w:cstheme="majorBidi"/>
          <w:b/>
          <w:bCs/>
        </w:rPr>
        <w:br/>
      </w:r>
      <w:r w:rsidRPr="00897B87">
        <w:rPr>
          <w:rFonts w:asciiTheme="majorBidi" w:hAnsiTheme="majorBidi" w:cstheme="majorBidi"/>
        </w:rPr>
        <w:t xml:space="preserve">Our FE panel regression results by quartile are reported in Table </w:t>
      </w:r>
      <w:r w:rsidR="00ED696F">
        <w:rPr>
          <w:rFonts w:asciiTheme="majorBidi" w:hAnsiTheme="majorBidi" w:cstheme="majorBidi"/>
        </w:rPr>
        <w:t>3</w:t>
      </w:r>
      <w:r w:rsidRPr="00897B87">
        <w:rPr>
          <w:rFonts w:asciiTheme="majorBidi" w:hAnsiTheme="majorBidi" w:cstheme="majorBidi"/>
        </w:rPr>
        <w:t>. The significance and size of some coefficients are heterogeneous across quartiles. Our FE results demonstrate which variables drive variation in cost efficiency over time.</w:t>
      </w:r>
    </w:p>
    <w:p w14:paraId="74287648" w14:textId="77777777" w:rsidR="00F04F45" w:rsidRDefault="0044512F" w:rsidP="004618A8">
      <w:pPr>
        <w:spacing w:after="240" w:line="264" w:lineRule="auto"/>
        <w:ind w:firstLine="720"/>
        <w:jc w:val="both"/>
        <w:rPr>
          <w:rFonts w:asciiTheme="majorBidi" w:hAnsiTheme="majorBidi" w:cstheme="majorBidi"/>
        </w:rPr>
      </w:pPr>
      <w:r w:rsidRPr="00897B87">
        <w:rPr>
          <w:rFonts w:asciiTheme="majorBidi" w:hAnsiTheme="majorBidi" w:cstheme="majorBidi"/>
        </w:rPr>
        <w:t xml:space="preserve">Milk price is a significant coefficient for all models and accounts for a large proportion of variation in cost efficiency over time. Milk price is a fundamental component of the farm operating revenue term in OPM. Therefore, we expect milk price variation to impact cost efficiency through time. As </w:t>
      </w:r>
      <w:proofErr w:type="spellStart"/>
      <w:r w:rsidRPr="00897B87">
        <w:rPr>
          <w:rFonts w:asciiTheme="majorBidi" w:hAnsiTheme="majorBidi" w:cstheme="majorBidi"/>
        </w:rPr>
        <w:t>Beca</w:t>
      </w:r>
      <w:proofErr w:type="spellEnd"/>
      <w:r w:rsidRPr="00897B87">
        <w:rPr>
          <w:rFonts w:asciiTheme="majorBidi" w:hAnsiTheme="majorBidi" w:cstheme="majorBidi"/>
        </w:rPr>
        <w:t xml:space="preserve"> (2020) and Jiang and </w:t>
      </w:r>
      <w:proofErr w:type="spellStart"/>
      <w:r w:rsidRPr="00897B87">
        <w:rPr>
          <w:rFonts w:asciiTheme="majorBidi" w:hAnsiTheme="majorBidi" w:cstheme="majorBidi"/>
        </w:rPr>
        <w:t>Sharb</w:t>
      </w:r>
      <w:proofErr w:type="spellEnd"/>
      <w:r w:rsidRPr="00897B87">
        <w:rPr>
          <w:rFonts w:asciiTheme="majorBidi" w:hAnsiTheme="majorBidi" w:cstheme="majorBidi"/>
        </w:rPr>
        <w:t xml:space="preserve"> (2014) state, New Zealand dairy farms are price takers and are subject to considerable milk price fluctuations. These fluctuations have a substantial impact on cost efficiency. Our results suggest that a $1 increase in milk price is correlated with an average 12.5% increase in OPM for farms in Q1. Farms in higher quartiles exhibit smaller coefficients. Based on the standard errors, the differences between the coefficients appear significant, although we cannot say for sure. </w:t>
      </w:r>
    </w:p>
    <w:p w14:paraId="42E7856D" w14:textId="23FB3F5E" w:rsidR="00F04F45" w:rsidRDefault="00F04F45" w:rsidP="004618A8">
      <w:pPr>
        <w:spacing w:after="240" w:line="264" w:lineRule="auto"/>
        <w:ind w:firstLine="720"/>
        <w:jc w:val="both"/>
        <w:rPr>
          <w:rFonts w:asciiTheme="majorBidi" w:hAnsiTheme="majorBidi" w:cstheme="majorBidi"/>
        </w:rPr>
      </w:pPr>
      <w:r w:rsidRPr="00631DCC">
        <w:rPr>
          <w:rFonts w:asciiTheme="majorBidi" w:hAnsiTheme="majorBidi" w:cstheme="majorBidi"/>
        </w:rPr>
        <w:t>Our results imply that the most cost-efficient farms have cost efficiencies that are less subject to milk price variation. This aligns with our findings from the Games-Howell tests, suggesting that farms in lower quartiles had higher business risk - which incorporates exposure to milk price risk.</w:t>
      </w:r>
    </w:p>
    <w:p w14:paraId="78BAB9BC" w14:textId="5FB89ED9" w:rsidR="00F04F45" w:rsidRDefault="00F04F45" w:rsidP="004618A8">
      <w:pPr>
        <w:spacing w:after="120" w:line="264" w:lineRule="auto"/>
        <w:ind w:firstLine="720"/>
        <w:jc w:val="both"/>
        <w:rPr>
          <w:rFonts w:asciiTheme="majorBidi" w:hAnsiTheme="majorBidi" w:cstheme="majorBidi"/>
        </w:rPr>
      </w:pPr>
      <w:r w:rsidRPr="00631DCC">
        <w:rPr>
          <w:rFonts w:asciiTheme="majorBidi" w:hAnsiTheme="majorBidi" w:cstheme="majorBidi"/>
        </w:rPr>
        <w:t xml:space="preserve">Moreover, we suggest that the best farms have greater adaptability to pricing conditions. That is, when the milk price is favourable, the best farms will increase their system intensity, bring in more supplement and their operating expenses will increase (subduing the increased revenue effect in the OPM formula). This assertion is in line with </w:t>
      </w:r>
      <w:proofErr w:type="spellStart"/>
      <w:r w:rsidRPr="00631DCC">
        <w:rPr>
          <w:rFonts w:asciiTheme="majorBidi" w:hAnsiTheme="majorBidi" w:cstheme="majorBidi"/>
        </w:rPr>
        <w:t>Doole’s</w:t>
      </w:r>
      <w:proofErr w:type="spellEnd"/>
      <w:r w:rsidRPr="00631DCC">
        <w:rPr>
          <w:rFonts w:asciiTheme="majorBidi" w:hAnsiTheme="majorBidi" w:cstheme="majorBidi"/>
        </w:rPr>
        <w:t xml:space="preserve"> (2014) work, which shows that the relative profitability of different production systems varies with milk and input prices. At high milk prices, more intensive systems (systems which utilise more supplement) become more profitable. Conversely, at low milk prices, less intensive systems become relatively more profitable.</w:t>
      </w:r>
    </w:p>
    <w:tbl>
      <w:tblPr>
        <w:tblW w:w="0" w:type="auto"/>
        <w:tblCellMar>
          <w:top w:w="15" w:type="dxa"/>
          <w:left w:w="15" w:type="dxa"/>
          <w:bottom w:w="15" w:type="dxa"/>
          <w:right w:w="15" w:type="dxa"/>
        </w:tblCellMar>
        <w:tblLook w:val="04A0" w:firstRow="1" w:lastRow="0" w:firstColumn="1" w:lastColumn="0" w:noHBand="0" w:noVBand="1"/>
      </w:tblPr>
      <w:tblGrid>
        <w:gridCol w:w="2020"/>
        <w:gridCol w:w="1669"/>
        <w:gridCol w:w="1779"/>
        <w:gridCol w:w="1779"/>
        <w:gridCol w:w="1779"/>
      </w:tblGrid>
      <w:tr w:rsidR="00FA2128" w:rsidRPr="00E349AE" w14:paraId="2A96B679" w14:textId="77777777" w:rsidTr="00EE1D05">
        <w:tc>
          <w:tcPr>
            <w:tcW w:w="0" w:type="auto"/>
            <w:gridSpan w:val="5"/>
            <w:tcBorders>
              <w:bottom w:val="single" w:sz="6" w:space="0" w:color="000000"/>
            </w:tcBorders>
            <w:vAlign w:val="center"/>
            <w:hideMark/>
          </w:tcPr>
          <w:p w14:paraId="58AAC6BA" w14:textId="77777777" w:rsidR="00FA2128" w:rsidRPr="00E349AE" w:rsidRDefault="00FA2128" w:rsidP="00EE1D05">
            <w:pPr>
              <w:spacing w:after="0" w:line="240" w:lineRule="auto"/>
              <w:rPr>
                <w:rFonts w:asciiTheme="majorBidi" w:eastAsia="Times New Roman" w:hAnsiTheme="majorBidi" w:cstheme="majorBidi"/>
                <w:lang w:eastAsia="en-NZ"/>
              </w:rPr>
            </w:pPr>
            <w:r w:rsidRPr="00E349AE">
              <w:rPr>
                <w:rFonts w:asciiTheme="majorBidi" w:eastAsia="Times New Roman" w:hAnsiTheme="majorBidi" w:cstheme="majorBidi"/>
                <w:b/>
                <w:bCs/>
                <w:lang w:eastAsia="en-NZ"/>
              </w:rPr>
              <w:lastRenderedPageBreak/>
              <w:t xml:space="preserve">Table 3. Coefficients and standard errors for quartile FE panel models </w:t>
            </w:r>
          </w:p>
        </w:tc>
      </w:tr>
      <w:tr w:rsidR="00FA2128" w:rsidRPr="00E349AE" w14:paraId="5C5E818E" w14:textId="77777777" w:rsidTr="00EE1D05">
        <w:tc>
          <w:tcPr>
            <w:tcW w:w="0" w:type="auto"/>
            <w:vAlign w:val="center"/>
            <w:hideMark/>
          </w:tcPr>
          <w:p w14:paraId="72E2FED2"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p>
        </w:tc>
        <w:tc>
          <w:tcPr>
            <w:tcW w:w="0" w:type="auto"/>
            <w:gridSpan w:val="4"/>
            <w:vAlign w:val="center"/>
            <w:hideMark/>
          </w:tcPr>
          <w:p w14:paraId="0956A758"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OPM</w:t>
            </w:r>
          </w:p>
        </w:tc>
      </w:tr>
      <w:tr w:rsidR="00FA2128" w:rsidRPr="00E349AE" w14:paraId="2C1476D0" w14:textId="77777777" w:rsidTr="00EE1D05">
        <w:tc>
          <w:tcPr>
            <w:tcW w:w="0" w:type="auto"/>
            <w:vAlign w:val="center"/>
            <w:hideMark/>
          </w:tcPr>
          <w:p w14:paraId="309D1355"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p>
        </w:tc>
        <w:tc>
          <w:tcPr>
            <w:tcW w:w="0" w:type="auto"/>
            <w:vAlign w:val="center"/>
            <w:hideMark/>
          </w:tcPr>
          <w:p w14:paraId="14FB6931"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Quartile 1</w:t>
            </w:r>
          </w:p>
        </w:tc>
        <w:tc>
          <w:tcPr>
            <w:tcW w:w="0" w:type="auto"/>
            <w:vAlign w:val="center"/>
            <w:hideMark/>
          </w:tcPr>
          <w:p w14:paraId="0BFF30F4"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Quartile 2</w:t>
            </w:r>
          </w:p>
        </w:tc>
        <w:tc>
          <w:tcPr>
            <w:tcW w:w="0" w:type="auto"/>
            <w:vAlign w:val="center"/>
            <w:hideMark/>
          </w:tcPr>
          <w:p w14:paraId="5805C44D"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Quartile 3</w:t>
            </w:r>
          </w:p>
        </w:tc>
        <w:tc>
          <w:tcPr>
            <w:tcW w:w="0" w:type="auto"/>
            <w:vAlign w:val="center"/>
            <w:hideMark/>
          </w:tcPr>
          <w:p w14:paraId="704898A2"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Quartile 4</w:t>
            </w:r>
          </w:p>
        </w:tc>
      </w:tr>
      <w:tr w:rsidR="00FA2128" w:rsidRPr="00E349AE" w14:paraId="42ED04C4" w14:textId="77777777" w:rsidTr="00EE1D05">
        <w:tc>
          <w:tcPr>
            <w:tcW w:w="0" w:type="auto"/>
            <w:gridSpan w:val="5"/>
            <w:tcBorders>
              <w:bottom w:val="single" w:sz="6" w:space="0" w:color="000000"/>
            </w:tcBorders>
            <w:vAlign w:val="center"/>
            <w:hideMark/>
          </w:tcPr>
          <w:p w14:paraId="281EDC0F"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p>
        </w:tc>
      </w:tr>
      <w:tr w:rsidR="00FA2128" w:rsidRPr="004A0540" w14:paraId="23256B65" w14:textId="77777777" w:rsidTr="00EE1D05">
        <w:tc>
          <w:tcPr>
            <w:tcW w:w="0" w:type="auto"/>
            <w:vMerge w:val="restart"/>
            <w:hideMark/>
          </w:tcPr>
          <w:p w14:paraId="19DC9A76" w14:textId="77777777" w:rsidR="00FA2128" w:rsidRPr="004A0540" w:rsidRDefault="00FA2128" w:rsidP="00EE1D05">
            <w:pPr>
              <w:keepNext/>
              <w:spacing w:after="100" w:afterAutospacing="1" w:line="240" w:lineRule="auto"/>
              <w:rPr>
                <w:rFonts w:asciiTheme="majorBidi" w:hAnsiTheme="majorBidi" w:cstheme="majorBidi"/>
                <w:sz w:val="22"/>
                <w:szCs w:val="22"/>
              </w:rPr>
            </w:pPr>
            <w:r w:rsidRPr="004A0540">
              <w:rPr>
                <w:rFonts w:asciiTheme="majorBidi" w:hAnsiTheme="majorBidi" w:cstheme="majorBidi"/>
                <w:sz w:val="22"/>
                <w:szCs w:val="22"/>
              </w:rPr>
              <w:t>Milk price</w:t>
            </w:r>
          </w:p>
        </w:tc>
        <w:tc>
          <w:tcPr>
            <w:tcW w:w="0" w:type="auto"/>
            <w:hideMark/>
          </w:tcPr>
          <w:p w14:paraId="3F1E70BE"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0.125***</w:t>
            </w:r>
          </w:p>
        </w:tc>
        <w:tc>
          <w:tcPr>
            <w:tcW w:w="0" w:type="auto"/>
            <w:hideMark/>
          </w:tcPr>
          <w:p w14:paraId="0DD7F4A1"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0.103***</w:t>
            </w:r>
          </w:p>
        </w:tc>
        <w:tc>
          <w:tcPr>
            <w:tcW w:w="0" w:type="auto"/>
            <w:hideMark/>
          </w:tcPr>
          <w:p w14:paraId="30D08288"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0.093***</w:t>
            </w:r>
          </w:p>
        </w:tc>
        <w:tc>
          <w:tcPr>
            <w:tcW w:w="0" w:type="auto"/>
            <w:hideMark/>
          </w:tcPr>
          <w:p w14:paraId="4A2C5E2B"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0.087***</w:t>
            </w:r>
          </w:p>
        </w:tc>
      </w:tr>
      <w:tr w:rsidR="00FA2128" w:rsidRPr="004A0540" w14:paraId="0F683043" w14:textId="77777777" w:rsidTr="00EE1D05">
        <w:tc>
          <w:tcPr>
            <w:tcW w:w="0" w:type="auto"/>
            <w:vMerge/>
            <w:hideMark/>
          </w:tcPr>
          <w:p w14:paraId="6D95B803" w14:textId="77777777" w:rsidR="00FA2128" w:rsidRPr="004A0540" w:rsidRDefault="00FA2128" w:rsidP="00EE1D05">
            <w:pPr>
              <w:keepNext/>
              <w:spacing w:after="100" w:afterAutospacing="1" w:line="240" w:lineRule="auto"/>
              <w:rPr>
                <w:rFonts w:asciiTheme="majorBidi" w:hAnsiTheme="majorBidi" w:cstheme="majorBidi"/>
                <w:sz w:val="22"/>
                <w:szCs w:val="22"/>
              </w:rPr>
            </w:pPr>
          </w:p>
        </w:tc>
        <w:tc>
          <w:tcPr>
            <w:tcW w:w="0" w:type="auto"/>
            <w:hideMark/>
          </w:tcPr>
          <w:p w14:paraId="23C13F61"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(0.005)</w:t>
            </w:r>
          </w:p>
        </w:tc>
        <w:tc>
          <w:tcPr>
            <w:tcW w:w="0" w:type="auto"/>
            <w:hideMark/>
          </w:tcPr>
          <w:p w14:paraId="47A9427B"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(0.001)</w:t>
            </w:r>
          </w:p>
        </w:tc>
        <w:tc>
          <w:tcPr>
            <w:tcW w:w="0" w:type="auto"/>
            <w:hideMark/>
          </w:tcPr>
          <w:p w14:paraId="43684525"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(0.001)</w:t>
            </w:r>
          </w:p>
        </w:tc>
        <w:tc>
          <w:tcPr>
            <w:tcW w:w="0" w:type="auto"/>
            <w:hideMark/>
          </w:tcPr>
          <w:p w14:paraId="12317BD4"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(0.002)</w:t>
            </w:r>
          </w:p>
        </w:tc>
      </w:tr>
      <w:tr w:rsidR="00FA2128" w:rsidRPr="004A0540" w14:paraId="7A07159E" w14:textId="77777777" w:rsidTr="00EE1D05">
        <w:tc>
          <w:tcPr>
            <w:tcW w:w="0" w:type="auto"/>
            <w:vMerge/>
            <w:hideMark/>
          </w:tcPr>
          <w:p w14:paraId="2B102F51" w14:textId="77777777" w:rsidR="00FA2128" w:rsidRPr="004A0540" w:rsidRDefault="00FA2128" w:rsidP="00EE1D05">
            <w:pPr>
              <w:keepNext/>
              <w:spacing w:after="100" w:afterAutospacing="1" w:line="240" w:lineRule="auto"/>
              <w:rPr>
                <w:rFonts w:asciiTheme="majorBidi" w:hAnsiTheme="majorBidi" w:cstheme="majorBidi"/>
                <w:sz w:val="22"/>
                <w:szCs w:val="22"/>
              </w:rPr>
            </w:pPr>
          </w:p>
        </w:tc>
        <w:tc>
          <w:tcPr>
            <w:tcW w:w="0" w:type="auto"/>
            <w:hideMark/>
          </w:tcPr>
          <w:p w14:paraId="26F3FA03" w14:textId="77777777" w:rsidR="00FA2128" w:rsidRPr="004A0540" w:rsidRDefault="00FA2128" w:rsidP="00EE1D05">
            <w:pPr>
              <w:keepNext/>
              <w:spacing w:after="100" w:afterAutospacing="1" w:line="240" w:lineRule="auto"/>
              <w:rPr>
                <w:rFonts w:asciiTheme="majorBidi" w:hAnsiTheme="majorBidi" w:cstheme="majorBidi"/>
                <w:sz w:val="22"/>
                <w:szCs w:val="22"/>
              </w:rPr>
            </w:pPr>
          </w:p>
        </w:tc>
        <w:tc>
          <w:tcPr>
            <w:tcW w:w="0" w:type="auto"/>
            <w:hideMark/>
          </w:tcPr>
          <w:p w14:paraId="78CB18C8"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2282ACBD"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0A29A0B6"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r>
      <w:tr w:rsidR="00FA2128" w:rsidRPr="004A0540" w14:paraId="55E96779" w14:textId="77777777" w:rsidTr="00EE1D05">
        <w:tc>
          <w:tcPr>
            <w:tcW w:w="0" w:type="auto"/>
            <w:vMerge w:val="restart"/>
            <w:hideMark/>
          </w:tcPr>
          <w:p w14:paraId="7CD554BE" w14:textId="77777777" w:rsidR="00FA2128" w:rsidRPr="004A0540" w:rsidRDefault="00FA2128" w:rsidP="00EE1D05">
            <w:pPr>
              <w:keepNext/>
              <w:spacing w:after="100" w:afterAutospacing="1" w:line="240" w:lineRule="auto"/>
              <w:rPr>
                <w:rFonts w:asciiTheme="majorBidi" w:hAnsiTheme="majorBidi" w:cstheme="majorBidi"/>
                <w:sz w:val="22"/>
                <w:szCs w:val="22"/>
              </w:rPr>
            </w:pPr>
            <w:r w:rsidRPr="004A0540">
              <w:rPr>
                <w:rFonts w:asciiTheme="majorBidi" w:hAnsiTheme="majorBidi" w:cstheme="majorBidi"/>
                <w:sz w:val="22"/>
                <w:szCs w:val="22"/>
              </w:rPr>
              <w:t>Milk production</w:t>
            </w:r>
          </w:p>
        </w:tc>
        <w:tc>
          <w:tcPr>
            <w:tcW w:w="0" w:type="auto"/>
            <w:hideMark/>
          </w:tcPr>
          <w:p w14:paraId="1F20F117"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-0.0001</w:t>
            </w:r>
          </w:p>
        </w:tc>
        <w:tc>
          <w:tcPr>
            <w:tcW w:w="0" w:type="auto"/>
            <w:hideMark/>
          </w:tcPr>
          <w:p w14:paraId="4DCDC0C4"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0.0004***</w:t>
            </w:r>
          </w:p>
        </w:tc>
        <w:tc>
          <w:tcPr>
            <w:tcW w:w="0" w:type="auto"/>
            <w:hideMark/>
          </w:tcPr>
          <w:p w14:paraId="69690EFE"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0.0003***</w:t>
            </w:r>
          </w:p>
        </w:tc>
        <w:tc>
          <w:tcPr>
            <w:tcW w:w="0" w:type="auto"/>
            <w:hideMark/>
          </w:tcPr>
          <w:p w14:paraId="7E7126C6"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0.0004***</w:t>
            </w:r>
          </w:p>
        </w:tc>
      </w:tr>
      <w:tr w:rsidR="00FA2128" w:rsidRPr="004A0540" w14:paraId="2EBBD553" w14:textId="77777777" w:rsidTr="00EE1D05">
        <w:tc>
          <w:tcPr>
            <w:tcW w:w="0" w:type="auto"/>
            <w:vMerge/>
            <w:hideMark/>
          </w:tcPr>
          <w:p w14:paraId="76337C5F" w14:textId="77777777" w:rsidR="00FA2128" w:rsidRPr="004A0540" w:rsidRDefault="00FA2128" w:rsidP="00EE1D05">
            <w:pPr>
              <w:keepNext/>
              <w:spacing w:after="100" w:afterAutospacing="1" w:line="240" w:lineRule="auto"/>
              <w:rPr>
                <w:rFonts w:asciiTheme="majorBidi" w:hAnsiTheme="majorBidi" w:cstheme="majorBidi"/>
                <w:sz w:val="22"/>
                <w:szCs w:val="22"/>
              </w:rPr>
            </w:pPr>
          </w:p>
        </w:tc>
        <w:tc>
          <w:tcPr>
            <w:tcW w:w="0" w:type="auto"/>
            <w:hideMark/>
          </w:tcPr>
          <w:p w14:paraId="30374C89"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(0.0002)</w:t>
            </w:r>
          </w:p>
        </w:tc>
        <w:tc>
          <w:tcPr>
            <w:tcW w:w="0" w:type="auto"/>
            <w:hideMark/>
          </w:tcPr>
          <w:p w14:paraId="547FFFB5"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(0.0001)</w:t>
            </w:r>
          </w:p>
        </w:tc>
        <w:tc>
          <w:tcPr>
            <w:tcW w:w="0" w:type="auto"/>
            <w:hideMark/>
          </w:tcPr>
          <w:p w14:paraId="4D8197B9"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(0.00004)</w:t>
            </w:r>
          </w:p>
        </w:tc>
        <w:tc>
          <w:tcPr>
            <w:tcW w:w="0" w:type="auto"/>
            <w:hideMark/>
          </w:tcPr>
          <w:p w14:paraId="7FA66D4B"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(0.00004)</w:t>
            </w:r>
          </w:p>
        </w:tc>
      </w:tr>
      <w:tr w:rsidR="00FA2128" w:rsidRPr="004A0540" w14:paraId="26D21154" w14:textId="77777777" w:rsidTr="00EE1D05">
        <w:tc>
          <w:tcPr>
            <w:tcW w:w="0" w:type="auto"/>
            <w:hideMark/>
          </w:tcPr>
          <w:p w14:paraId="76F3AD63" w14:textId="77777777" w:rsidR="00FA2128" w:rsidRPr="004A0540" w:rsidRDefault="00FA2128" w:rsidP="00EE1D05">
            <w:pPr>
              <w:keepNext/>
              <w:spacing w:after="100" w:afterAutospacing="1" w:line="240" w:lineRule="auto"/>
              <w:rPr>
                <w:rFonts w:asciiTheme="majorBidi" w:hAnsiTheme="majorBidi" w:cstheme="majorBidi"/>
                <w:sz w:val="22"/>
                <w:szCs w:val="22"/>
              </w:rPr>
            </w:pPr>
          </w:p>
        </w:tc>
        <w:tc>
          <w:tcPr>
            <w:tcW w:w="0" w:type="auto"/>
            <w:hideMark/>
          </w:tcPr>
          <w:p w14:paraId="7D4F9FCE"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72B290F4"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476FC8DE"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2679B99A"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r>
      <w:tr w:rsidR="00FA2128" w:rsidRPr="004A0540" w14:paraId="596C43ED" w14:textId="77777777" w:rsidTr="00EE1D05">
        <w:tc>
          <w:tcPr>
            <w:tcW w:w="0" w:type="auto"/>
            <w:vMerge w:val="restart"/>
            <w:hideMark/>
          </w:tcPr>
          <w:p w14:paraId="63EF88D3" w14:textId="77777777" w:rsidR="00FA2128" w:rsidRPr="004A0540" w:rsidRDefault="00FA2128" w:rsidP="00EE1D05">
            <w:pPr>
              <w:keepNext/>
              <w:spacing w:after="100" w:afterAutospacing="1" w:line="240" w:lineRule="auto"/>
              <w:rPr>
                <w:rFonts w:asciiTheme="majorBidi" w:hAnsiTheme="majorBidi" w:cstheme="majorBidi"/>
                <w:sz w:val="22"/>
                <w:szCs w:val="22"/>
              </w:rPr>
            </w:pPr>
            <w:r w:rsidRPr="004A0540">
              <w:rPr>
                <w:rFonts w:asciiTheme="majorBidi" w:hAnsiTheme="majorBidi" w:cstheme="majorBidi"/>
                <w:sz w:val="22"/>
                <w:szCs w:val="22"/>
              </w:rPr>
              <w:t>Proportion of feed that is supplement</w:t>
            </w:r>
          </w:p>
        </w:tc>
        <w:tc>
          <w:tcPr>
            <w:tcW w:w="0" w:type="auto"/>
            <w:hideMark/>
          </w:tcPr>
          <w:p w14:paraId="7760E12A"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0.001</w:t>
            </w:r>
          </w:p>
        </w:tc>
        <w:tc>
          <w:tcPr>
            <w:tcW w:w="0" w:type="auto"/>
            <w:hideMark/>
          </w:tcPr>
          <w:p w14:paraId="5AAAF248"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-0.002***</w:t>
            </w:r>
          </w:p>
        </w:tc>
        <w:tc>
          <w:tcPr>
            <w:tcW w:w="0" w:type="auto"/>
            <w:hideMark/>
          </w:tcPr>
          <w:p w14:paraId="6B1D8EE4"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-0.002***</w:t>
            </w:r>
          </w:p>
        </w:tc>
        <w:tc>
          <w:tcPr>
            <w:tcW w:w="0" w:type="auto"/>
            <w:hideMark/>
          </w:tcPr>
          <w:p w14:paraId="67FFBFC1"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-0.005***</w:t>
            </w:r>
          </w:p>
        </w:tc>
      </w:tr>
      <w:tr w:rsidR="00FA2128" w:rsidRPr="004A0540" w14:paraId="149B7FD5" w14:textId="77777777" w:rsidTr="00EE1D05">
        <w:tc>
          <w:tcPr>
            <w:tcW w:w="0" w:type="auto"/>
            <w:vMerge/>
            <w:hideMark/>
          </w:tcPr>
          <w:p w14:paraId="2976BBC2" w14:textId="77777777" w:rsidR="00FA2128" w:rsidRPr="004A0540" w:rsidRDefault="00FA2128" w:rsidP="00EE1D05">
            <w:pPr>
              <w:keepNext/>
              <w:spacing w:after="100" w:afterAutospacing="1" w:line="240" w:lineRule="auto"/>
              <w:rPr>
                <w:rFonts w:asciiTheme="majorBidi" w:hAnsiTheme="majorBidi" w:cstheme="majorBidi"/>
                <w:sz w:val="22"/>
                <w:szCs w:val="22"/>
              </w:rPr>
            </w:pPr>
          </w:p>
        </w:tc>
        <w:tc>
          <w:tcPr>
            <w:tcW w:w="0" w:type="auto"/>
            <w:hideMark/>
          </w:tcPr>
          <w:p w14:paraId="4B0DC117"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(0.003)</w:t>
            </w:r>
          </w:p>
        </w:tc>
        <w:tc>
          <w:tcPr>
            <w:tcW w:w="0" w:type="auto"/>
            <w:hideMark/>
          </w:tcPr>
          <w:p w14:paraId="69B5715C"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(0.001)</w:t>
            </w:r>
          </w:p>
        </w:tc>
        <w:tc>
          <w:tcPr>
            <w:tcW w:w="0" w:type="auto"/>
            <w:hideMark/>
          </w:tcPr>
          <w:p w14:paraId="70CAC6BD"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(0.001)</w:t>
            </w:r>
          </w:p>
        </w:tc>
        <w:tc>
          <w:tcPr>
            <w:tcW w:w="0" w:type="auto"/>
            <w:hideMark/>
          </w:tcPr>
          <w:p w14:paraId="2E372537"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(0.001)</w:t>
            </w:r>
          </w:p>
        </w:tc>
      </w:tr>
      <w:tr w:rsidR="00FA2128" w:rsidRPr="004A0540" w14:paraId="498DF238" w14:textId="77777777" w:rsidTr="00EE1D05">
        <w:tc>
          <w:tcPr>
            <w:tcW w:w="0" w:type="auto"/>
            <w:hideMark/>
          </w:tcPr>
          <w:p w14:paraId="2C83C17B" w14:textId="77777777" w:rsidR="00FA2128" w:rsidRPr="004A0540" w:rsidRDefault="00FA2128" w:rsidP="00EE1D05">
            <w:pPr>
              <w:keepNext/>
              <w:spacing w:after="100" w:afterAutospacing="1" w:line="240" w:lineRule="auto"/>
              <w:rPr>
                <w:rFonts w:asciiTheme="majorBidi" w:hAnsiTheme="majorBidi" w:cstheme="majorBidi"/>
                <w:sz w:val="22"/>
                <w:szCs w:val="22"/>
              </w:rPr>
            </w:pPr>
          </w:p>
        </w:tc>
        <w:tc>
          <w:tcPr>
            <w:tcW w:w="0" w:type="auto"/>
            <w:hideMark/>
          </w:tcPr>
          <w:p w14:paraId="55A260E0"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516B5F5E"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1F368BDE"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0AA07AA6"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r>
      <w:tr w:rsidR="00FA2128" w:rsidRPr="004A0540" w14:paraId="35BD926B" w14:textId="77777777" w:rsidTr="00EE1D05">
        <w:tc>
          <w:tcPr>
            <w:tcW w:w="0" w:type="auto"/>
            <w:vMerge w:val="restart"/>
            <w:hideMark/>
          </w:tcPr>
          <w:p w14:paraId="659225DC" w14:textId="77777777" w:rsidR="00FA2128" w:rsidRPr="004A0540" w:rsidRDefault="00FA2128" w:rsidP="00EE1D05">
            <w:pPr>
              <w:keepNext/>
              <w:spacing w:after="100" w:afterAutospacing="1" w:line="240" w:lineRule="auto"/>
              <w:rPr>
                <w:rFonts w:asciiTheme="majorBidi" w:hAnsiTheme="majorBidi" w:cstheme="majorBidi"/>
                <w:sz w:val="22"/>
                <w:szCs w:val="22"/>
              </w:rPr>
            </w:pPr>
            <w:r w:rsidRPr="004A0540">
              <w:rPr>
                <w:rFonts w:asciiTheme="majorBidi" w:hAnsiTheme="majorBidi" w:cstheme="majorBidi"/>
                <w:sz w:val="22"/>
                <w:szCs w:val="22"/>
              </w:rPr>
              <w:t>Production yield</w:t>
            </w:r>
          </w:p>
        </w:tc>
        <w:tc>
          <w:tcPr>
            <w:tcW w:w="0" w:type="auto"/>
            <w:hideMark/>
          </w:tcPr>
          <w:p w14:paraId="32C348C2"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0.464**</w:t>
            </w:r>
          </w:p>
        </w:tc>
        <w:tc>
          <w:tcPr>
            <w:tcW w:w="0" w:type="auto"/>
            <w:hideMark/>
          </w:tcPr>
          <w:p w14:paraId="08CAFA2B"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0.382***</w:t>
            </w:r>
          </w:p>
        </w:tc>
        <w:tc>
          <w:tcPr>
            <w:tcW w:w="0" w:type="auto"/>
            <w:hideMark/>
          </w:tcPr>
          <w:p w14:paraId="6DEC063B"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0.394***</w:t>
            </w:r>
          </w:p>
        </w:tc>
        <w:tc>
          <w:tcPr>
            <w:tcW w:w="0" w:type="auto"/>
            <w:hideMark/>
          </w:tcPr>
          <w:p w14:paraId="12B7F1A2"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0.232***</w:t>
            </w:r>
          </w:p>
        </w:tc>
      </w:tr>
      <w:tr w:rsidR="00FA2128" w:rsidRPr="004A0540" w14:paraId="4FEC964F" w14:textId="77777777" w:rsidTr="00EE1D05">
        <w:tc>
          <w:tcPr>
            <w:tcW w:w="0" w:type="auto"/>
            <w:vMerge/>
            <w:hideMark/>
          </w:tcPr>
          <w:p w14:paraId="44A6E00C" w14:textId="77777777" w:rsidR="00FA2128" w:rsidRPr="004A0540" w:rsidRDefault="00FA2128" w:rsidP="00EE1D05">
            <w:pPr>
              <w:keepNext/>
              <w:spacing w:after="100" w:afterAutospacing="1" w:line="240" w:lineRule="auto"/>
              <w:rPr>
                <w:rFonts w:asciiTheme="majorBidi" w:hAnsiTheme="majorBidi" w:cstheme="majorBidi"/>
                <w:sz w:val="22"/>
                <w:szCs w:val="22"/>
              </w:rPr>
            </w:pPr>
          </w:p>
        </w:tc>
        <w:tc>
          <w:tcPr>
            <w:tcW w:w="0" w:type="auto"/>
            <w:hideMark/>
          </w:tcPr>
          <w:p w14:paraId="50EE09A5"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(0.190)</w:t>
            </w:r>
          </w:p>
        </w:tc>
        <w:tc>
          <w:tcPr>
            <w:tcW w:w="0" w:type="auto"/>
            <w:hideMark/>
          </w:tcPr>
          <w:p w14:paraId="56F4DE40"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(0.052)</w:t>
            </w:r>
          </w:p>
        </w:tc>
        <w:tc>
          <w:tcPr>
            <w:tcW w:w="0" w:type="auto"/>
            <w:hideMark/>
          </w:tcPr>
          <w:p w14:paraId="0AFF18E4"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(0.053)</w:t>
            </w:r>
          </w:p>
        </w:tc>
        <w:tc>
          <w:tcPr>
            <w:tcW w:w="0" w:type="auto"/>
            <w:hideMark/>
          </w:tcPr>
          <w:p w14:paraId="776A9BEC"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(0.076)</w:t>
            </w:r>
          </w:p>
        </w:tc>
      </w:tr>
      <w:tr w:rsidR="00FA2128" w:rsidRPr="004A0540" w14:paraId="6354E9D5" w14:textId="77777777" w:rsidTr="00EE1D05">
        <w:tc>
          <w:tcPr>
            <w:tcW w:w="0" w:type="auto"/>
            <w:hideMark/>
          </w:tcPr>
          <w:p w14:paraId="424F2BFE" w14:textId="77777777" w:rsidR="00FA2128" w:rsidRPr="004A0540" w:rsidRDefault="00FA2128" w:rsidP="00EE1D05">
            <w:pPr>
              <w:keepNext/>
              <w:spacing w:after="100" w:afterAutospacing="1" w:line="240" w:lineRule="auto"/>
              <w:rPr>
                <w:rFonts w:asciiTheme="majorBidi" w:hAnsiTheme="majorBidi" w:cstheme="majorBidi"/>
                <w:sz w:val="22"/>
                <w:szCs w:val="22"/>
              </w:rPr>
            </w:pPr>
          </w:p>
        </w:tc>
        <w:tc>
          <w:tcPr>
            <w:tcW w:w="0" w:type="auto"/>
            <w:hideMark/>
          </w:tcPr>
          <w:p w14:paraId="72577A33"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20F7E8F2"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61B04D79"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439918B0"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r>
      <w:tr w:rsidR="00FA2128" w:rsidRPr="004A0540" w14:paraId="1D5BC44F" w14:textId="77777777" w:rsidTr="00EE1D05">
        <w:tc>
          <w:tcPr>
            <w:tcW w:w="0" w:type="auto"/>
            <w:vMerge w:val="restart"/>
            <w:hideMark/>
          </w:tcPr>
          <w:p w14:paraId="4B9B7EAC" w14:textId="77777777" w:rsidR="00FA2128" w:rsidRPr="004A0540" w:rsidRDefault="00FA2128" w:rsidP="00EE1D05">
            <w:pPr>
              <w:keepNext/>
              <w:spacing w:after="100" w:afterAutospacing="1" w:line="240" w:lineRule="auto"/>
              <w:rPr>
                <w:rFonts w:asciiTheme="majorBidi" w:hAnsiTheme="majorBidi" w:cstheme="majorBidi"/>
                <w:sz w:val="22"/>
                <w:szCs w:val="22"/>
              </w:rPr>
            </w:pPr>
            <w:r w:rsidRPr="004A0540">
              <w:rPr>
                <w:rFonts w:asciiTheme="majorBidi" w:hAnsiTheme="majorBidi" w:cstheme="majorBidi"/>
                <w:sz w:val="22"/>
                <w:szCs w:val="22"/>
              </w:rPr>
              <w:t>Leverage ratio</w:t>
            </w:r>
          </w:p>
        </w:tc>
        <w:tc>
          <w:tcPr>
            <w:tcW w:w="0" w:type="auto"/>
            <w:hideMark/>
          </w:tcPr>
          <w:p w14:paraId="275774B6"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0.001**</w:t>
            </w:r>
          </w:p>
        </w:tc>
        <w:tc>
          <w:tcPr>
            <w:tcW w:w="0" w:type="auto"/>
            <w:hideMark/>
          </w:tcPr>
          <w:p w14:paraId="612536FE"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0.0001***</w:t>
            </w:r>
          </w:p>
        </w:tc>
        <w:tc>
          <w:tcPr>
            <w:tcW w:w="0" w:type="auto"/>
            <w:hideMark/>
          </w:tcPr>
          <w:p w14:paraId="6BBB960C"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-0.00003</w:t>
            </w:r>
          </w:p>
        </w:tc>
        <w:tc>
          <w:tcPr>
            <w:tcW w:w="0" w:type="auto"/>
            <w:hideMark/>
          </w:tcPr>
          <w:p w14:paraId="16783A28"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-0.00005</w:t>
            </w:r>
          </w:p>
        </w:tc>
      </w:tr>
      <w:tr w:rsidR="00FA2128" w:rsidRPr="004A0540" w14:paraId="7267CD0E" w14:textId="77777777" w:rsidTr="00EE1D05">
        <w:tc>
          <w:tcPr>
            <w:tcW w:w="0" w:type="auto"/>
            <w:vMerge/>
            <w:hideMark/>
          </w:tcPr>
          <w:p w14:paraId="6486D1E1" w14:textId="77777777" w:rsidR="00FA2128" w:rsidRPr="004A0540" w:rsidRDefault="00FA2128" w:rsidP="00EE1D05">
            <w:pPr>
              <w:keepNext/>
              <w:spacing w:after="100" w:afterAutospacing="1" w:line="240" w:lineRule="auto"/>
              <w:rPr>
                <w:rFonts w:asciiTheme="majorBidi" w:hAnsiTheme="majorBidi" w:cstheme="majorBidi"/>
                <w:sz w:val="22"/>
                <w:szCs w:val="22"/>
              </w:rPr>
            </w:pPr>
          </w:p>
        </w:tc>
        <w:tc>
          <w:tcPr>
            <w:tcW w:w="0" w:type="auto"/>
            <w:hideMark/>
          </w:tcPr>
          <w:p w14:paraId="232E9402"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(0.0004)</w:t>
            </w:r>
          </w:p>
        </w:tc>
        <w:tc>
          <w:tcPr>
            <w:tcW w:w="0" w:type="auto"/>
            <w:hideMark/>
          </w:tcPr>
          <w:p w14:paraId="4CF0E073"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(0.00002)</w:t>
            </w:r>
          </w:p>
        </w:tc>
        <w:tc>
          <w:tcPr>
            <w:tcW w:w="0" w:type="auto"/>
            <w:hideMark/>
          </w:tcPr>
          <w:p w14:paraId="4FDF7FCE"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(0.0001)</w:t>
            </w:r>
          </w:p>
        </w:tc>
        <w:tc>
          <w:tcPr>
            <w:tcW w:w="0" w:type="auto"/>
            <w:hideMark/>
          </w:tcPr>
          <w:p w14:paraId="4C36EE7B"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(0.0001)</w:t>
            </w:r>
          </w:p>
        </w:tc>
      </w:tr>
      <w:tr w:rsidR="00FA2128" w:rsidRPr="004A0540" w14:paraId="2C1C013E" w14:textId="77777777" w:rsidTr="00EE1D05">
        <w:tc>
          <w:tcPr>
            <w:tcW w:w="0" w:type="auto"/>
            <w:hideMark/>
          </w:tcPr>
          <w:p w14:paraId="13329344" w14:textId="77777777" w:rsidR="00FA2128" w:rsidRPr="004A0540" w:rsidRDefault="00FA2128" w:rsidP="00EE1D05">
            <w:pPr>
              <w:keepNext/>
              <w:spacing w:after="100" w:afterAutospacing="1" w:line="240" w:lineRule="auto"/>
              <w:rPr>
                <w:rFonts w:asciiTheme="majorBidi" w:hAnsiTheme="majorBidi" w:cstheme="majorBidi"/>
                <w:sz w:val="22"/>
                <w:szCs w:val="22"/>
              </w:rPr>
            </w:pPr>
          </w:p>
        </w:tc>
        <w:tc>
          <w:tcPr>
            <w:tcW w:w="0" w:type="auto"/>
            <w:hideMark/>
          </w:tcPr>
          <w:p w14:paraId="164850E0"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6F536B8D"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6E51F9AE"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59E472FC"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r>
      <w:tr w:rsidR="00FA2128" w:rsidRPr="004A0540" w14:paraId="0E59A440" w14:textId="77777777" w:rsidTr="00EE1D05">
        <w:tc>
          <w:tcPr>
            <w:tcW w:w="0" w:type="auto"/>
            <w:vMerge w:val="restart"/>
            <w:hideMark/>
          </w:tcPr>
          <w:p w14:paraId="49687D3E" w14:textId="77777777" w:rsidR="00FA2128" w:rsidRPr="004A0540" w:rsidRDefault="00FA2128" w:rsidP="00EE1D05">
            <w:pPr>
              <w:keepNext/>
              <w:spacing w:after="100" w:afterAutospacing="1" w:line="240" w:lineRule="auto"/>
              <w:rPr>
                <w:rFonts w:asciiTheme="majorBidi" w:hAnsiTheme="majorBidi" w:cstheme="majorBidi"/>
                <w:sz w:val="22"/>
                <w:szCs w:val="22"/>
              </w:rPr>
            </w:pPr>
            <w:r w:rsidRPr="004A0540">
              <w:rPr>
                <w:rFonts w:asciiTheme="majorBidi" w:hAnsiTheme="majorBidi" w:cstheme="majorBidi"/>
                <w:sz w:val="22"/>
                <w:szCs w:val="22"/>
              </w:rPr>
              <w:t>Pasture and crop eaten</w:t>
            </w:r>
          </w:p>
        </w:tc>
        <w:tc>
          <w:tcPr>
            <w:tcW w:w="0" w:type="auto"/>
            <w:hideMark/>
          </w:tcPr>
          <w:p w14:paraId="48998592"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0.00000</w:t>
            </w:r>
          </w:p>
        </w:tc>
        <w:tc>
          <w:tcPr>
            <w:tcW w:w="0" w:type="auto"/>
            <w:hideMark/>
          </w:tcPr>
          <w:p w14:paraId="44A607E8"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0.00002***</w:t>
            </w:r>
          </w:p>
        </w:tc>
        <w:tc>
          <w:tcPr>
            <w:tcW w:w="0" w:type="auto"/>
            <w:hideMark/>
          </w:tcPr>
          <w:p w14:paraId="308A2F44"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0.00001**</w:t>
            </w:r>
          </w:p>
        </w:tc>
        <w:tc>
          <w:tcPr>
            <w:tcW w:w="0" w:type="auto"/>
            <w:hideMark/>
          </w:tcPr>
          <w:p w14:paraId="40441154"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-0.00001**</w:t>
            </w:r>
          </w:p>
        </w:tc>
      </w:tr>
      <w:tr w:rsidR="00FA2128" w:rsidRPr="004A0540" w14:paraId="62296457" w14:textId="77777777" w:rsidTr="00EE1D05">
        <w:tc>
          <w:tcPr>
            <w:tcW w:w="0" w:type="auto"/>
            <w:vMerge/>
            <w:hideMark/>
          </w:tcPr>
          <w:p w14:paraId="1FFEF1D6" w14:textId="77777777" w:rsidR="00FA2128" w:rsidRPr="004A0540" w:rsidRDefault="00FA2128" w:rsidP="00EE1D05">
            <w:pPr>
              <w:keepNext/>
              <w:spacing w:after="100" w:afterAutospacing="1" w:line="240" w:lineRule="auto"/>
              <w:rPr>
                <w:rFonts w:asciiTheme="majorBidi" w:hAnsiTheme="majorBidi" w:cstheme="majorBidi"/>
                <w:sz w:val="22"/>
                <w:szCs w:val="22"/>
              </w:rPr>
            </w:pPr>
          </w:p>
        </w:tc>
        <w:tc>
          <w:tcPr>
            <w:tcW w:w="0" w:type="auto"/>
            <w:hideMark/>
          </w:tcPr>
          <w:p w14:paraId="12905644"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(0.00002)</w:t>
            </w:r>
          </w:p>
        </w:tc>
        <w:tc>
          <w:tcPr>
            <w:tcW w:w="0" w:type="auto"/>
            <w:hideMark/>
          </w:tcPr>
          <w:p w14:paraId="464A3908"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(0.00000)</w:t>
            </w:r>
          </w:p>
        </w:tc>
        <w:tc>
          <w:tcPr>
            <w:tcW w:w="0" w:type="auto"/>
            <w:hideMark/>
          </w:tcPr>
          <w:p w14:paraId="287AC8F1"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(0.00000)</w:t>
            </w:r>
          </w:p>
        </w:tc>
        <w:tc>
          <w:tcPr>
            <w:tcW w:w="0" w:type="auto"/>
            <w:hideMark/>
          </w:tcPr>
          <w:p w14:paraId="097B81A6"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(0.00000)</w:t>
            </w:r>
          </w:p>
        </w:tc>
      </w:tr>
      <w:tr w:rsidR="00FA2128" w:rsidRPr="004A0540" w14:paraId="15F4F224" w14:textId="77777777" w:rsidTr="00EE1D05">
        <w:tc>
          <w:tcPr>
            <w:tcW w:w="0" w:type="auto"/>
            <w:hideMark/>
          </w:tcPr>
          <w:p w14:paraId="68FB4FCB" w14:textId="77777777" w:rsidR="00FA2128" w:rsidRPr="004A0540" w:rsidRDefault="00FA2128" w:rsidP="00EE1D05">
            <w:pPr>
              <w:keepNext/>
              <w:spacing w:after="100" w:afterAutospacing="1" w:line="240" w:lineRule="auto"/>
              <w:rPr>
                <w:rFonts w:asciiTheme="majorBidi" w:hAnsiTheme="majorBidi" w:cstheme="majorBidi"/>
                <w:sz w:val="22"/>
                <w:szCs w:val="22"/>
              </w:rPr>
            </w:pPr>
          </w:p>
        </w:tc>
        <w:tc>
          <w:tcPr>
            <w:tcW w:w="0" w:type="auto"/>
            <w:hideMark/>
          </w:tcPr>
          <w:p w14:paraId="0C31180F"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5274ADD9"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613E32B9"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2A2CDBB2"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r>
      <w:tr w:rsidR="00FA2128" w:rsidRPr="004A0540" w14:paraId="7F49F937" w14:textId="77777777" w:rsidTr="00EE1D05">
        <w:tc>
          <w:tcPr>
            <w:tcW w:w="0" w:type="auto"/>
            <w:vMerge w:val="restart"/>
            <w:hideMark/>
          </w:tcPr>
          <w:p w14:paraId="70FA0493" w14:textId="77777777" w:rsidR="00FA2128" w:rsidRPr="004A0540" w:rsidRDefault="00FA2128" w:rsidP="00EE1D05">
            <w:pPr>
              <w:keepNext/>
              <w:spacing w:after="100" w:afterAutospacing="1" w:line="240" w:lineRule="auto"/>
              <w:rPr>
                <w:rFonts w:asciiTheme="majorBidi" w:hAnsiTheme="majorBidi" w:cstheme="majorBidi"/>
                <w:sz w:val="22"/>
                <w:szCs w:val="22"/>
              </w:rPr>
            </w:pPr>
            <w:r w:rsidRPr="004A0540">
              <w:rPr>
                <w:rFonts w:asciiTheme="majorBidi" w:hAnsiTheme="majorBidi" w:cstheme="majorBidi"/>
                <w:sz w:val="22"/>
                <w:szCs w:val="22"/>
              </w:rPr>
              <w:t>Nitrogen fertiliser costs</w:t>
            </w:r>
          </w:p>
        </w:tc>
        <w:tc>
          <w:tcPr>
            <w:tcW w:w="0" w:type="auto"/>
            <w:hideMark/>
          </w:tcPr>
          <w:p w14:paraId="428E6FC4"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0.002***</w:t>
            </w:r>
          </w:p>
        </w:tc>
        <w:tc>
          <w:tcPr>
            <w:tcW w:w="0" w:type="auto"/>
            <w:hideMark/>
          </w:tcPr>
          <w:p w14:paraId="6D628F7D"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0.001***</w:t>
            </w:r>
          </w:p>
        </w:tc>
        <w:tc>
          <w:tcPr>
            <w:tcW w:w="0" w:type="auto"/>
            <w:hideMark/>
          </w:tcPr>
          <w:p w14:paraId="79278DB7"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0.001***</w:t>
            </w:r>
          </w:p>
        </w:tc>
        <w:tc>
          <w:tcPr>
            <w:tcW w:w="0" w:type="auto"/>
            <w:hideMark/>
          </w:tcPr>
          <w:p w14:paraId="7D74A77A"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0.0003**</w:t>
            </w:r>
          </w:p>
        </w:tc>
      </w:tr>
      <w:tr w:rsidR="00FA2128" w:rsidRPr="004A0540" w14:paraId="3243B5AB" w14:textId="77777777" w:rsidTr="00EE1D05">
        <w:tc>
          <w:tcPr>
            <w:tcW w:w="0" w:type="auto"/>
            <w:vMerge/>
            <w:hideMark/>
          </w:tcPr>
          <w:p w14:paraId="53EAA399" w14:textId="77777777" w:rsidR="00FA2128" w:rsidRPr="004A0540" w:rsidRDefault="00FA2128" w:rsidP="00EE1D05">
            <w:pPr>
              <w:keepNext/>
              <w:spacing w:after="100" w:afterAutospacing="1" w:line="240" w:lineRule="auto"/>
              <w:rPr>
                <w:rFonts w:asciiTheme="majorBidi" w:hAnsiTheme="majorBidi" w:cstheme="majorBidi"/>
                <w:sz w:val="22"/>
                <w:szCs w:val="22"/>
              </w:rPr>
            </w:pPr>
          </w:p>
        </w:tc>
        <w:tc>
          <w:tcPr>
            <w:tcW w:w="0" w:type="auto"/>
            <w:hideMark/>
          </w:tcPr>
          <w:p w14:paraId="6B92FEB8"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(0.0002)</w:t>
            </w:r>
          </w:p>
        </w:tc>
        <w:tc>
          <w:tcPr>
            <w:tcW w:w="0" w:type="auto"/>
            <w:hideMark/>
          </w:tcPr>
          <w:p w14:paraId="0142C665"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(0.0001)</w:t>
            </w:r>
          </w:p>
        </w:tc>
        <w:tc>
          <w:tcPr>
            <w:tcW w:w="0" w:type="auto"/>
            <w:hideMark/>
          </w:tcPr>
          <w:p w14:paraId="79C1B361"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(0.0001)</w:t>
            </w:r>
          </w:p>
        </w:tc>
        <w:tc>
          <w:tcPr>
            <w:tcW w:w="0" w:type="auto"/>
            <w:hideMark/>
          </w:tcPr>
          <w:p w14:paraId="170B9444"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(0.0001)</w:t>
            </w:r>
          </w:p>
        </w:tc>
      </w:tr>
      <w:tr w:rsidR="00FA2128" w:rsidRPr="004A0540" w14:paraId="1F90F0B1" w14:textId="77777777" w:rsidTr="00EE1D05">
        <w:tc>
          <w:tcPr>
            <w:tcW w:w="0" w:type="auto"/>
            <w:hideMark/>
          </w:tcPr>
          <w:p w14:paraId="6A9D271A" w14:textId="77777777" w:rsidR="00FA2128" w:rsidRPr="004A0540" w:rsidRDefault="00FA2128" w:rsidP="00EE1D05">
            <w:pPr>
              <w:keepNext/>
              <w:spacing w:after="100" w:afterAutospacing="1" w:line="240" w:lineRule="auto"/>
              <w:rPr>
                <w:rFonts w:asciiTheme="majorBidi" w:hAnsiTheme="majorBidi" w:cstheme="majorBidi"/>
                <w:sz w:val="22"/>
                <w:szCs w:val="22"/>
              </w:rPr>
            </w:pPr>
          </w:p>
        </w:tc>
        <w:tc>
          <w:tcPr>
            <w:tcW w:w="0" w:type="auto"/>
            <w:hideMark/>
          </w:tcPr>
          <w:p w14:paraId="29F20350"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4475D8FF"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78128CAB"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7AAB7ABF"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r>
      <w:tr w:rsidR="00FA2128" w:rsidRPr="004A0540" w14:paraId="6025910B" w14:textId="77777777" w:rsidTr="00EE1D05">
        <w:tc>
          <w:tcPr>
            <w:tcW w:w="0" w:type="auto"/>
            <w:vMerge w:val="restart"/>
            <w:hideMark/>
          </w:tcPr>
          <w:p w14:paraId="166E8128" w14:textId="77777777" w:rsidR="00FA2128" w:rsidRPr="004A0540" w:rsidRDefault="00FA2128" w:rsidP="00EE1D05">
            <w:pPr>
              <w:keepNext/>
              <w:spacing w:after="100" w:afterAutospacing="1" w:line="240" w:lineRule="auto"/>
              <w:rPr>
                <w:rFonts w:asciiTheme="majorBidi" w:hAnsiTheme="majorBidi" w:cstheme="majorBidi"/>
                <w:sz w:val="22"/>
                <w:szCs w:val="22"/>
              </w:rPr>
            </w:pPr>
            <w:r w:rsidRPr="004A0540">
              <w:rPr>
                <w:rFonts w:asciiTheme="majorBidi" w:hAnsiTheme="majorBidi" w:cstheme="majorBidi"/>
                <w:sz w:val="22"/>
                <w:szCs w:val="22"/>
              </w:rPr>
              <w:t>Overhead costs</w:t>
            </w:r>
          </w:p>
        </w:tc>
        <w:tc>
          <w:tcPr>
            <w:tcW w:w="0" w:type="auto"/>
            <w:hideMark/>
          </w:tcPr>
          <w:p w14:paraId="285DA09E"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0.0005</w:t>
            </w:r>
          </w:p>
        </w:tc>
        <w:tc>
          <w:tcPr>
            <w:tcW w:w="0" w:type="auto"/>
            <w:hideMark/>
          </w:tcPr>
          <w:p w14:paraId="2AE79302"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-0.0001</w:t>
            </w:r>
          </w:p>
        </w:tc>
        <w:tc>
          <w:tcPr>
            <w:tcW w:w="0" w:type="auto"/>
            <w:hideMark/>
          </w:tcPr>
          <w:p w14:paraId="10FF83C1"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-0.0001</w:t>
            </w:r>
          </w:p>
        </w:tc>
        <w:tc>
          <w:tcPr>
            <w:tcW w:w="0" w:type="auto"/>
            <w:hideMark/>
          </w:tcPr>
          <w:p w14:paraId="356E364A"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0.0001</w:t>
            </w:r>
          </w:p>
        </w:tc>
      </w:tr>
      <w:tr w:rsidR="00FA2128" w:rsidRPr="004A0540" w14:paraId="0ECC5951" w14:textId="77777777" w:rsidTr="00EE1D05">
        <w:tc>
          <w:tcPr>
            <w:tcW w:w="0" w:type="auto"/>
            <w:vMerge/>
            <w:hideMark/>
          </w:tcPr>
          <w:p w14:paraId="1C3A3CDF" w14:textId="77777777" w:rsidR="00FA2128" w:rsidRPr="004A0540" w:rsidRDefault="00FA2128" w:rsidP="00EE1D05">
            <w:pPr>
              <w:keepNext/>
              <w:spacing w:after="100" w:afterAutospacing="1" w:line="240" w:lineRule="auto"/>
              <w:rPr>
                <w:rFonts w:asciiTheme="majorBidi" w:hAnsiTheme="majorBidi" w:cstheme="majorBidi"/>
                <w:sz w:val="22"/>
                <w:szCs w:val="22"/>
              </w:rPr>
            </w:pPr>
          </w:p>
        </w:tc>
        <w:tc>
          <w:tcPr>
            <w:tcW w:w="0" w:type="auto"/>
            <w:hideMark/>
          </w:tcPr>
          <w:p w14:paraId="013E03BE"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(0.0004)</w:t>
            </w:r>
          </w:p>
        </w:tc>
        <w:tc>
          <w:tcPr>
            <w:tcW w:w="0" w:type="auto"/>
            <w:hideMark/>
          </w:tcPr>
          <w:p w14:paraId="43224380"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(0.0001)</w:t>
            </w:r>
          </w:p>
        </w:tc>
        <w:tc>
          <w:tcPr>
            <w:tcW w:w="0" w:type="auto"/>
            <w:hideMark/>
          </w:tcPr>
          <w:p w14:paraId="1484572D"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(0.0001)</w:t>
            </w:r>
          </w:p>
        </w:tc>
        <w:tc>
          <w:tcPr>
            <w:tcW w:w="0" w:type="auto"/>
            <w:hideMark/>
          </w:tcPr>
          <w:p w14:paraId="341117D7"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(0.0001)</w:t>
            </w:r>
          </w:p>
        </w:tc>
      </w:tr>
      <w:tr w:rsidR="00FA2128" w:rsidRPr="004A0540" w14:paraId="30CBA369" w14:textId="77777777" w:rsidTr="00EE1D05">
        <w:tc>
          <w:tcPr>
            <w:tcW w:w="0" w:type="auto"/>
            <w:hideMark/>
          </w:tcPr>
          <w:p w14:paraId="508B3378" w14:textId="77777777" w:rsidR="00FA2128" w:rsidRPr="004A0540" w:rsidRDefault="00FA2128" w:rsidP="00EE1D05">
            <w:pPr>
              <w:keepNext/>
              <w:spacing w:after="100" w:afterAutospacing="1" w:line="240" w:lineRule="auto"/>
              <w:rPr>
                <w:rFonts w:asciiTheme="majorBidi" w:hAnsiTheme="majorBidi" w:cstheme="majorBidi"/>
                <w:sz w:val="22"/>
                <w:szCs w:val="22"/>
              </w:rPr>
            </w:pPr>
          </w:p>
        </w:tc>
        <w:tc>
          <w:tcPr>
            <w:tcW w:w="0" w:type="auto"/>
            <w:hideMark/>
          </w:tcPr>
          <w:p w14:paraId="07426188"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18A45734"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73B23397"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16720F8F"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r>
      <w:tr w:rsidR="00FA2128" w:rsidRPr="004A0540" w14:paraId="792435C7" w14:textId="77777777" w:rsidTr="00EE1D05">
        <w:tc>
          <w:tcPr>
            <w:tcW w:w="0" w:type="auto"/>
            <w:vMerge w:val="restart"/>
            <w:hideMark/>
          </w:tcPr>
          <w:p w14:paraId="0F48D168" w14:textId="77777777" w:rsidR="00FA2128" w:rsidRPr="004A0540" w:rsidRDefault="00FA2128" w:rsidP="00EE1D05">
            <w:pPr>
              <w:keepNext/>
              <w:spacing w:after="100" w:afterAutospacing="1" w:line="240" w:lineRule="auto"/>
              <w:rPr>
                <w:rFonts w:asciiTheme="majorBidi" w:hAnsiTheme="majorBidi" w:cstheme="majorBidi"/>
                <w:sz w:val="22"/>
                <w:szCs w:val="22"/>
              </w:rPr>
            </w:pPr>
            <w:r w:rsidRPr="004A0540">
              <w:rPr>
                <w:rFonts w:asciiTheme="majorBidi" w:hAnsiTheme="majorBidi" w:cstheme="majorBidi"/>
                <w:sz w:val="22"/>
                <w:szCs w:val="22"/>
              </w:rPr>
              <w:t>Meat revenue</w:t>
            </w:r>
          </w:p>
        </w:tc>
        <w:tc>
          <w:tcPr>
            <w:tcW w:w="0" w:type="auto"/>
            <w:hideMark/>
          </w:tcPr>
          <w:p w14:paraId="77964996"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-0.001***</w:t>
            </w:r>
          </w:p>
        </w:tc>
        <w:tc>
          <w:tcPr>
            <w:tcW w:w="0" w:type="auto"/>
            <w:hideMark/>
          </w:tcPr>
          <w:p w14:paraId="5B91F248"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-0.001***</w:t>
            </w:r>
          </w:p>
        </w:tc>
        <w:tc>
          <w:tcPr>
            <w:tcW w:w="0" w:type="auto"/>
            <w:hideMark/>
          </w:tcPr>
          <w:p w14:paraId="0908987D"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-0.0004***</w:t>
            </w:r>
          </w:p>
        </w:tc>
        <w:tc>
          <w:tcPr>
            <w:tcW w:w="0" w:type="auto"/>
            <w:hideMark/>
          </w:tcPr>
          <w:p w14:paraId="29CEAF34"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-0.0005***</w:t>
            </w:r>
          </w:p>
        </w:tc>
      </w:tr>
      <w:tr w:rsidR="00FA2128" w:rsidRPr="004A0540" w14:paraId="68FC35B1" w14:textId="77777777" w:rsidTr="00EE1D05">
        <w:tc>
          <w:tcPr>
            <w:tcW w:w="0" w:type="auto"/>
            <w:vMerge/>
            <w:hideMark/>
          </w:tcPr>
          <w:p w14:paraId="7D3015F7" w14:textId="77777777" w:rsidR="00FA2128" w:rsidRPr="004A0540" w:rsidRDefault="00FA2128" w:rsidP="00EE1D05">
            <w:pPr>
              <w:keepNext/>
              <w:spacing w:after="100" w:afterAutospacing="1" w:line="240" w:lineRule="auto"/>
              <w:rPr>
                <w:rFonts w:asciiTheme="majorBidi" w:hAnsiTheme="majorBidi" w:cstheme="majorBidi"/>
                <w:sz w:val="22"/>
                <w:szCs w:val="22"/>
              </w:rPr>
            </w:pPr>
          </w:p>
        </w:tc>
        <w:tc>
          <w:tcPr>
            <w:tcW w:w="0" w:type="auto"/>
            <w:hideMark/>
          </w:tcPr>
          <w:p w14:paraId="38C79C8B"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(0.0001)</w:t>
            </w:r>
          </w:p>
        </w:tc>
        <w:tc>
          <w:tcPr>
            <w:tcW w:w="0" w:type="auto"/>
            <w:hideMark/>
          </w:tcPr>
          <w:p w14:paraId="5CCD450E"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(0.00004)</w:t>
            </w:r>
          </w:p>
        </w:tc>
        <w:tc>
          <w:tcPr>
            <w:tcW w:w="0" w:type="auto"/>
            <w:hideMark/>
          </w:tcPr>
          <w:p w14:paraId="49DF0BA4"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(0.00003)</w:t>
            </w:r>
          </w:p>
        </w:tc>
        <w:tc>
          <w:tcPr>
            <w:tcW w:w="0" w:type="auto"/>
            <w:hideMark/>
          </w:tcPr>
          <w:p w14:paraId="0CCE7F74"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(0.00003)</w:t>
            </w:r>
          </w:p>
        </w:tc>
      </w:tr>
      <w:tr w:rsidR="00FA2128" w:rsidRPr="004A0540" w14:paraId="6E1ACECD" w14:textId="77777777" w:rsidTr="00EE1D05">
        <w:tc>
          <w:tcPr>
            <w:tcW w:w="0" w:type="auto"/>
            <w:hideMark/>
          </w:tcPr>
          <w:p w14:paraId="2EA4BC1E" w14:textId="77777777" w:rsidR="00FA2128" w:rsidRPr="004A0540" w:rsidRDefault="00FA2128" w:rsidP="00EE1D05">
            <w:pPr>
              <w:keepNext/>
              <w:spacing w:after="100" w:afterAutospacing="1" w:line="240" w:lineRule="auto"/>
              <w:rPr>
                <w:rFonts w:asciiTheme="majorBidi" w:hAnsiTheme="majorBidi" w:cstheme="majorBidi"/>
                <w:sz w:val="22"/>
                <w:szCs w:val="22"/>
              </w:rPr>
            </w:pPr>
          </w:p>
        </w:tc>
        <w:tc>
          <w:tcPr>
            <w:tcW w:w="0" w:type="auto"/>
            <w:hideMark/>
          </w:tcPr>
          <w:p w14:paraId="00D18532"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00EF8EC8"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01454A4E"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c>
          <w:tcPr>
            <w:tcW w:w="0" w:type="auto"/>
            <w:hideMark/>
          </w:tcPr>
          <w:p w14:paraId="5A40416D"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p>
        </w:tc>
      </w:tr>
      <w:tr w:rsidR="00FA2128" w:rsidRPr="004A0540" w14:paraId="3C4325C2" w14:textId="77777777" w:rsidTr="00EE1D05">
        <w:tc>
          <w:tcPr>
            <w:tcW w:w="0" w:type="auto"/>
            <w:vMerge w:val="restart"/>
            <w:hideMark/>
          </w:tcPr>
          <w:p w14:paraId="157C92CD" w14:textId="77777777" w:rsidR="00FA2128" w:rsidRPr="004A0540" w:rsidRDefault="00FA2128" w:rsidP="00EE1D05">
            <w:pPr>
              <w:keepNext/>
              <w:spacing w:after="100" w:afterAutospacing="1" w:line="240" w:lineRule="auto"/>
              <w:rPr>
                <w:rFonts w:asciiTheme="majorBidi" w:hAnsiTheme="majorBidi" w:cstheme="majorBidi"/>
                <w:sz w:val="22"/>
                <w:szCs w:val="22"/>
              </w:rPr>
            </w:pPr>
            <w:r w:rsidRPr="004A0540">
              <w:rPr>
                <w:rFonts w:asciiTheme="majorBidi" w:hAnsiTheme="majorBidi" w:cstheme="majorBidi"/>
                <w:sz w:val="22"/>
                <w:szCs w:val="22"/>
              </w:rPr>
              <w:t>Cash operating surplus</w:t>
            </w:r>
          </w:p>
        </w:tc>
        <w:tc>
          <w:tcPr>
            <w:tcW w:w="0" w:type="auto"/>
            <w:hideMark/>
          </w:tcPr>
          <w:p w14:paraId="67186D8E"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-0.00003***</w:t>
            </w:r>
          </w:p>
        </w:tc>
        <w:tc>
          <w:tcPr>
            <w:tcW w:w="0" w:type="auto"/>
            <w:hideMark/>
          </w:tcPr>
          <w:p w14:paraId="2F2FCB6F"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-0.00003***</w:t>
            </w:r>
          </w:p>
        </w:tc>
        <w:tc>
          <w:tcPr>
            <w:tcW w:w="0" w:type="auto"/>
            <w:hideMark/>
          </w:tcPr>
          <w:p w14:paraId="579C3BE9"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-0.00002***</w:t>
            </w:r>
          </w:p>
        </w:tc>
        <w:tc>
          <w:tcPr>
            <w:tcW w:w="0" w:type="auto"/>
            <w:hideMark/>
          </w:tcPr>
          <w:p w14:paraId="1FB34AA4"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-0.00002***</w:t>
            </w:r>
          </w:p>
        </w:tc>
      </w:tr>
      <w:tr w:rsidR="00FA2128" w:rsidRPr="004A0540" w14:paraId="77BEB404" w14:textId="77777777" w:rsidTr="00EE1D05">
        <w:tc>
          <w:tcPr>
            <w:tcW w:w="0" w:type="auto"/>
            <w:vMerge/>
            <w:vAlign w:val="center"/>
            <w:hideMark/>
          </w:tcPr>
          <w:p w14:paraId="770C5572"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p>
        </w:tc>
        <w:tc>
          <w:tcPr>
            <w:tcW w:w="0" w:type="auto"/>
            <w:hideMark/>
          </w:tcPr>
          <w:p w14:paraId="2F36EBAE"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(0.00001)</w:t>
            </w:r>
          </w:p>
        </w:tc>
        <w:tc>
          <w:tcPr>
            <w:tcW w:w="0" w:type="auto"/>
            <w:hideMark/>
          </w:tcPr>
          <w:p w14:paraId="68FC3006"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(0.00000)</w:t>
            </w:r>
          </w:p>
        </w:tc>
        <w:tc>
          <w:tcPr>
            <w:tcW w:w="0" w:type="auto"/>
            <w:hideMark/>
          </w:tcPr>
          <w:p w14:paraId="2DCB50C4"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(0.00000)</w:t>
            </w:r>
          </w:p>
        </w:tc>
        <w:tc>
          <w:tcPr>
            <w:tcW w:w="0" w:type="auto"/>
            <w:hideMark/>
          </w:tcPr>
          <w:p w14:paraId="6BE628F8" w14:textId="77777777" w:rsidR="00FA2128" w:rsidRPr="004A0540" w:rsidRDefault="00FA2128" w:rsidP="00EE1D05">
            <w:pPr>
              <w:keepNext/>
              <w:spacing w:after="100" w:afterAutospacing="1" w:line="240" w:lineRule="auto"/>
              <w:jc w:val="center"/>
              <w:rPr>
                <w:rFonts w:asciiTheme="majorBidi" w:hAnsiTheme="majorBidi" w:cstheme="majorBidi"/>
                <w:sz w:val="22"/>
                <w:szCs w:val="22"/>
              </w:rPr>
            </w:pPr>
            <w:r w:rsidRPr="004A0540">
              <w:rPr>
                <w:rFonts w:asciiTheme="majorBidi" w:hAnsiTheme="majorBidi" w:cstheme="majorBidi"/>
                <w:sz w:val="22"/>
                <w:szCs w:val="22"/>
              </w:rPr>
              <w:t>(0.00000)</w:t>
            </w:r>
          </w:p>
        </w:tc>
      </w:tr>
      <w:tr w:rsidR="00FA2128" w:rsidRPr="00E349AE" w14:paraId="2616D267" w14:textId="77777777" w:rsidTr="00EE1D05">
        <w:tc>
          <w:tcPr>
            <w:tcW w:w="0" w:type="auto"/>
            <w:tcBorders>
              <w:bottom w:val="single" w:sz="4" w:space="0" w:color="auto"/>
            </w:tcBorders>
            <w:vAlign w:val="center"/>
            <w:hideMark/>
          </w:tcPr>
          <w:p w14:paraId="6A0CFC74"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p>
        </w:tc>
        <w:tc>
          <w:tcPr>
            <w:tcW w:w="0" w:type="auto"/>
            <w:tcBorders>
              <w:bottom w:val="single" w:sz="4" w:space="0" w:color="auto"/>
            </w:tcBorders>
            <w:vAlign w:val="center"/>
            <w:hideMark/>
          </w:tcPr>
          <w:p w14:paraId="0F3DE9DA" w14:textId="77777777" w:rsidR="00FA2128" w:rsidRPr="00E349AE" w:rsidRDefault="00FA2128" w:rsidP="00EE1D05">
            <w:pPr>
              <w:spacing w:after="0" w:line="240" w:lineRule="auto"/>
              <w:rPr>
                <w:rFonts w:asciiTheme="majorBidi" w:eastAsia="Times New Roman" w:hAnsiTheme="majorBidi" w:cstheme="majorBidi"/>
                <w:sz w:val="22"/>
                <w:szCs w:val="22"/>
                <w:lang w:eastAsia="en-NZ"/>
              </w:rPr>
            </w:pPr>
          </w:p>
        </w:tc>
        <w:tc>
          <w:tcPr>
            <w:tcW w:w="0" w:type="auto"/>
            <w:tcBorders>
              <w:bottom w:val="single" w:sz="4" w:space="0" w:color="auto"/>
            </w:tcBorders>
            <w:vAlign w:val="center"/>
            <w:hideMark/>
          </w:tcPr>
          <w:p w14:paraId="5540FF66"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p>
        </w:tc>
        <w:tc>
          <w:tcPr>
            <w:tcW w:w="0" w:type="auto"/>
            <w:tcBorders>
              <w:bottom w:val="single" w:sz="4" w:space="0" w:color="auto"/>
            </w:tcBorders>
            <w:vAlign w:val="center"/>
            <w:hideMark/>
          </w:tcPr>
          <w:p w14:paraId="3992D687"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p>
        </w:tc>
        <w:tc>
          <w:tcPr>
            <w:tcW w:w="0" w:type="auto"/>
            <w:tcBorders>
              <w:bottom w:val="single" w:sz="4" w:space="0" w:color="auto"/>
            </w:tcBorders>
            <w:vAlign w:val="center"/>
            <w:hideMark/>
          </w:tcPr>
          <w:p w14:paraId="513CD727"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p>
        </w:tc>
      </w:tr>
      <w:tr w:rsidR="00FA2128" w:rsidRPr="00E349AE" w14:paraId="227EB890" w14:textId="77777777" w:rsidTr="00EE1D05">
        <w:tc>
          <w:tcPr>
            <w:tcW w:w="0" w:type="auto"/>
            <w:tcBorders>
              <w:top w:val="single" w:sz="4" w:space="0" w:color="auto"/>
            </w:tcBorders>
            <w:vAlign w:val="center"/>
            <w:hideMark/>
          </w:tcPr>
          <w:p w14:paraId="54928E16" w14:textId="77777777" w:rsidR="00FA2128" w:rsidRPr="00E349AE" w:rsidRDefault="00FA2128" w:rsidP="00EE1D05">
            <w:pPr>
              <w:spacing w:after="0" w:line="240" w:lineRule="auto"/>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Observations</w:t>
            </w:r>
          </w:p>
        </w:tc>
        <w:tc>
          <w:tcPr>
            <w:tcW w:w="0" w:type="auto"/>
            <w:tcBorders>
              <w:top w:val="single" w:sz="4" w:space="0" w:color="auto"/>
            </w:tcBorders>
            <w:vAlign w:val="center"/>
            <w:hideMark/>
          </w:tcPr>
          <w:p w14:paraId="1561C593"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9,160</w:t>
            </w:r>
          </w:p>
        </w:tc>
        <w:tc>
          <w:tcPr>
            <w:tcW w:w="0" w:type="auto"/>
            <w:tcBorders>
              <w:top w:val="single" w:sz="4" w:space="0" w:color="auto"/>
            </w:tcBorders>
            <w:vAlign w:val="center"/>
            <w:hideMark/>
          </w:tcPr>
          <w:p w14:paraId="62E55B3D"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9,150</w:t>
            </w:r>
          </w:p>
        </w:tc>
        <w:tc>
          <w:tcPr>
            <w:tcW w:w="0" w:type="auto"/>
            <w:tcBorders>
              <w:top w:val="single" w:sz="4" w:space="0" w:color="auto"/>
            </w:tcBorders>
            <w:vAlign w:val="center"/>
            <w:hideMark/>
          </w:tcPr>
          <w:p w14:paraId="13EA0DE7"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9,160</w:t>
            </w:r>
          </w:p>
        </w:tc>
        <w:tc>
          <w:tcPr>
            <w:tcW w:w="0" w:type="auto"/>
            <w:tcBorders>
              <w:top w:val="single" w:sz="4" w:space="0" w:color="auto"/>
            </w:tcBorders>
            <w:vAlign w:val="center"/>
            <w:hideMark/>
          </w:tcPr>
          <w:p w14:paraId="1524091F"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9,150</w:t>
            </w:r>
          </w:p>
        </w:tc>
      </w:tr>
      <w:tr w:rsidR="00FA2128" w:rsidRPr="00E349AE" w14:paraId="0A227118" w14:textId="77777777" w:rsidTr="00EE1D05">
        <w:tc>
          <w:tcPr>
            <w:tcW w:w="0" w:type="auto"/>
            <w:vAlign w:val="center"/>
            <w:hideMark/>
          </w:tcPr>
          <w:p w14:paraId="727B3F08" w14:textId="77777777" w:rsidR="00FA2128" w:rsidRPr="00E349AE" w:rsidRDefault="00FA2128" w:rsidP="00EE1D05">
            <w:pPr>
              <w:spacing w:after="0" w:line="240" w:lineRule="auto"/>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Adjusted R</w:t>
            </w:r>
            <w:r w:rsidRPr="00E349AE">
              <w:rPr>
                <w:rFonts w:asciiTheme="majorBidi" w:eastAsia="Times New Roman" w:hAnsiTheme="majorBidi" w:cstheme="majorBidi"/>
                <w:sz w:val="22"/>
                <w:szCs w:val="22"/>
                <w:vertAlign w:val="superscript"/>
                <w:lang w:eastAsia="en-NZ"/>
              </w:rPr>
              <w:t>2</w:t>
            </w:r>
          </w:p>
        </w:tc>
        <w:tc>
          <w:tcPr>
            <w:tcW w:w="0" w:type="auto"/>
            <w:vAlign w:val="center"/>
            <w:hideMark/>
          </w:tcPr>
          <w:p w14:paraId="7D2E041F"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0.899</w:t>
            </w:r>
          </w:p>
        </w:tc>
        <w:tc>
          <w:tcPr>
            <w:tcW w:w="0" w:type="auto"/>
            <w:vAlign w:val="center"/>
            <w:hideMark/>
          </w:tcPr>
          <w:p w14:paraId="696120F4"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0.945</w:t>
            </w:r>
          </w:p>
        </w:tc>
        <w:tc>
          <w:tcPr>
            <w:tcW w:w="0" w:type="auto"/>
            <w:vAlign w:val="center"/>
            <w:hideMark/>
          </w:tcPr>
          <w:p w14:paraId="4E3A2F0B"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0.946</w:t>
            </w:r>
          </w:p>
        </w:tc>
        <w:tc>
          <w:tcPr>
            <w:tcW w:w="0" w:type="auto"/>
            <w:vAlign w:val="center"/>
            <w:hideMark/>
          </w:tcPr>
          <w:p w14:paraId="292BA33F"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0.941</w:t>
            </w:r>
          </w:p>
        </w:tc>
      </w:tr>
      <w:tr w:rsidR="00FA2128" w:rsidRPr="00E349AE" w14:paraId="143C3120" w14:textId="77777777" w:rsidTr="00EE1D05">
        <w:tc>
          <w:tcPr>
            <w:tcW w:w="0" w:type="auto"/>
            <w:vAlign w:val="center"/>
            <w:hideMark/>
          </w:tcPr>
          <w:p w14:paraId="66596AF3" w14:textId="77777777" w:rsidR="00FA2128" w:rsidRPr="00E349AE" w:rsidRDefault="00FA2128" w:rsidP="00EE1D05">
            <w:pPr>
              <w:spacing w:after="0" w:line="240" w:lineRule="auto"/>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F Statistic</w:t>
            </w:r>
          </w:p>
        </w:tc>
        <w:tc>
          <w:tcPr>
            <w:tcW w:w="0" w:type="auto"/>
            <w:vAlign w:val="center"/>
            <w:hideMark/>
          </w:tcPr>
          <w:p w14:paraId="0F68E630"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8,286.107</w:t>
            </w:r>
            <w:r w:rsidRPr="00E349AE">
              <w:rPr>
                <w:rFonts w:asciiTheme="majorBidi" w:eastAsia="Times New Roman" w:hAnsiTheme="majorBidi" w:cstheme="majorBidi"/>
                <w:sz w:val="22"/>
                <w:szCs w:val="22"/>
                <w:vertAlign w:val="superscript"/>
                <w:lang w:eastAsia="en-NZ"/>
              </w:rPr>
              <w:t>***</w:t>
            </w:r>
            <w:r w:rsidRPr="00E349AE">
              <w:rPr>
                <w:rFonts w:asciiTheme="majorBidi" w:eastAsia="Times New Roman" w:hAnsiTheme="majorBidi" w:cstheme="majorBidi"/>
                <w:sz w:val="22"/>
                <w:szCs w:val="22"/>
                <w:lang w:eastAsia="en-NZ"/>
              </w:rPr>
              <w:t xml:space="preserve"> (df = 10; 8234)</w:t>
            </w:r>
          </w:p>
        </w:tc>
        <w:tc>
          <w:tcPr>
            <w:tcW w:w="0" w:type="auto"/>
            <w:vAlign w:val="center"/>
            <w:hideMark/>
          </w:tcPr>
          <w:p w14:paraId="46538738"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15,700.810</w:t>
            </w:r>
            <w:r w:rsidRPr="00E349AE">
              <w:rPr>
                <w:rFonts w:asciiTheme="majorBidi" w:eastAsia="Times New Roman" w:hAnsiTheme="majorBidi" w:cstheme="majorBidi"/>
                <w:sz w:val="22"/>
                <w:szCs w:val="22"/>
                <w:vertAlign w:val="superscript"/>
                <w:lang w:eastAsia="en-NZ"/>
              </w:rPr>
              <w:t>***</w:t>
            </w:r>
            <w:r w:rsidRPr="00E349AE">
              <w:rPr>
                <w:rFonts w:asciiTheme="majorBidi" w:eastAsia="Times New Roman" w:hAnsiTheme="majorBidi" w:cstheme="majorBidi"/>
                <w:sz w:val="22"/>
                <w:szCs w:val="22"/>
                <w:lang w:eastAsia="en-NZ"/>
              </w:rPr>
              <w:t xml:space="preserve"> (df = 10; 8225)</w:t>
            </w:r>
          </w:p>
        </w:tc>
        <w:tc>
          <w:tcPr>
            <w:tcW w:w="0" w:type="auto"/>
            <w:vAlign w:val="center"/>
            <w:hideMark/>
          </w:tcPr>
          <w:p w14:paraId="0D7749A3"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16,016.030</w:t>
            </w:r>
            <w:r w:rsidRPr="00E349AE">
              <w:rPr>
                <w:rFonts w:asciiTheme="majorBidi" w:eastAsia="Times New Roman" w:hAnsiTheme="majorBidi" w:cstheme="majorBidi"/>
                <w:sz w:val="22"/>
                <w:szCs w:val="22"/>
                <w:vertAlign w:val="superscript"/>
                <w:lang w:eastAsia="en-NZ"/>
              </w:rPr>
              <w:t>***</w:t>
            </w:r>
            <w:r w:rsidRPr="00E349AE">
              <w:rPr>
                <w:rFonts w:asciiTheme="majorBidi" w:eastAsia="Times New Roman" w:hAnsiTheme="majorBidi" w:cstheme="majorBidi"/>
                <w:sz w:val="22"/>
                <w:szCs w:val="22"/>
                <w:lang w:eastAsia="en-NZ"/>
              </w:rPr>
              <w:t xml:space="preserve"> (df = 10; 8234)</w:t>
            </w:r>
          </w:p>
        </w:tc>
        <w:tc>
          <w:tcPr>
            <w:tcW w:w="0" w:type="auto"/>
            <w:vAlign w:val="center"/>
            <w:hideMark/>
          </w:tcPr>
          <w:p w14:paraId="3450A0F9"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r w:rsidRPr="00E349AE">
              <w:rPr>
                <w:rFonts w:asciiTheme="majorBidi" w:eastAsia="Times New Roman" w:hAnsiTheme="majorBidi" w:cstheme="majorBidi"/>
                <w:sz w:val="22"/>
                <w:szCs w:val="22"/>
                <w:lang w:eastAsia="en-NZ"/>
              </w:rPr>
              <w:t>14,765.000</w:t>
            </w:r>
            <w:r w:rsidRPr="00E349AE">
              <w:rPr>
                <w:rFonts w:asciiTheme="majorBidi" w:eastAsia="Times New Roman" w:hAnsiTheme="majorBidi" w:cstheme="majorBidi"/>
                <w:sz w:val="22"/>
                <w:szCs w:val="22"/>
                <w:vertAlign w:val="superscript"/>
                <w:lang w:eastAsia="en-NZ"/>
              </w:rPr>
              <w:t>***</w:t>
            </w:r>
            <w:r w:rsidRPr="00E349AE">
              <w:rPr>
                <w:rFonts w:asciiTheme="majorBidi" w:eastAsia="Times New Roman" w:hAnsiTheme="majorBidi" w:cstheme="majorBidi"/>
                <w:sz w:val="22"/>
                <w:szCs w:val="22"/>
                <w:lang w:eastAsia="en-NZ"/>
              </w:rPr>
              <w:t xml:space="preserve"> (df = 10; 8225)</w:t>
            </w:r>
          </w:p>
        </w:tc>
      </w:tr>
      <w:tr w:rsidR="00FA2128" w:rsidRPr="00E349AE" w14:paraId="6A4E0348" w14:textId="77777777" w:rsidTr="00EE1D05">
        <w:tc>
          <w:tcPr>
            <w:tcW w:w="0" w:type="auto"/>
            <w:gridSpan w:val="5"/>
            <w:tcBorders>
              <w:bottom w:val="single" w:sz="6" w:space="0" w:color="000000"/>
            </w:tcBorders>
            <w:vAlign w:val="center"/>
            <w:hideMark/>
          </w:tcPr>
          <w:p w14:paraId="643542BC" w14:textId="77777777" w:rsidR="00FA2128" w:rsidRPr="00E349AE" w:rsidRDefault="00FA2128" w:rsidP="00EE1D05">
            <w:pPr>
              <w:spacing w:after="0" w:line="240" w:lineRule="auto"/>
              <w:jc w:val="center"/>
              <w:rPr>
                <w:rFonts w:asciiTheme="majorBidi" w:eastAsia="Times New Roman" w:hAnsiTheme="majorBidi" w:cstheme="majorBidi"/>
                <w:sz w:val="22"/>
                <w:szCs w:val="22"/>
                <w:lang w:eastAsia="en-NZ"/>
              </w:rPr>
            </w:pPr>
          </w:p>
        </w:tc>
      </w:tr>
      <w:tr w:rsidR="00FA2128" w:rsidRPr="00E349AE" w14:paraId="43D6DEC3" w14:textId="77777777" w:rsidTr="00EE1D05">
        <w:tc>
          <w:tcPr>
            <w:tcW w:w="0" w:type="auto"/>
            <w:gridSpan w:val="5"/>
            <w:vAlign w:val="center"/>
            <w:hideMark/>
          </w:tcPr>
          <w:p w14:paraId="4DE0CAF4" w14:textId="77777777" w:rsidR="00FA2128" w:rsidRPr="00E349AE" w:rsidRDefault="00FA2128" w:rsidP="00EE1D05">
            <w:pPr>
              <w:spacing w:after="0" w:line="240" w:lineRule="auto"/>
              <w:rPr>
                <w:rFonts w:asciiTheme="majorBidi" w:eastAsia="Times New Roman" w:hAnsiTheme="majorBidi" w:cstheme="majorBidi"/>
                <w:sz w:val="22"/>
                <w:szCs w:val="22"/>
                <w:lang w:eastAsia="en-NZ"/>
              </w:rPr>
            </w:pPr>
            <w:r w:rsidRPr="009830C5">
              <w:rPr>
                <w:rFonts w:asciiTheme="majorBidi" w:eastAsia="Times New Roman" w:hAnsiTheme="majorBidi" w:cstheme="majorBidi"/>
                <w:i/>
                <w:iCs/>
                <w:sz w:val="22"/>
                <w:szCs w:val="22"/>
                <w:lang w:eastAsia="en-NZ"/>
              </w:rPr>
              <w:t>Note:  Robust standard errors in parentheses.  *p&lt;0.1; **p&lt;0.05; ***p&lt;0.01.; Q4 is the best and Q1 the worst</w:t>
            </w:r>
          </w:p>
        </w:tc>
      </w:tr>
    </w:tbl>
    <w:p w14:paraId="4EAFF1A4" w14:textId="77777777" w:rsidR="00FA2128" w:rsidRDefault="00FA2128" w:rsidP="004618A8">
      <w:pPr>
        <w:spacing w:before="240" w:after="240" w:line="276" w:lineRule="auto"/>
        <w:ind w:firstLine="720"/>
        <w:jc w:val="both"/>
        <w:rPr>
          <w:rFonts w:asciiTheme="majorBidi" w:hAnsiTheme="majorBidi" w:cstheme="majorBidi"/>
        </w:rPr>
      </w:pPr>
      <w:r w:rsidRPr="00631DCC">
        <w:rPr>
          <w:rFonts w:asciiTheme="majorBidi" w:hAnsiTheme="majorBidi" w:cstheme="majorBidi"/>
        </w:rPr>
        <w:t>Milk production per hectare is significantly correlation with OPM over time for all models (except Q1). An increase in milk production by 100 kg MS/ha is associated with a 4%, 4% and 3% increase in OPM (for quartiles 2, 3 and 4). Our results imply relatively low performing farms are already at a production level where they have stopped seeing increasing returns to scale (whilst farms in higher quartiles have scope to increase production while increasing cost efficiency). Hence, for farms in Q1, improving cost efficiency does not require greater milk production. These farms should focus their attention to decreasing the cost of their current production levels or reduce their production to a more efficient level. Conversely, the best farms (in Q4) may experience even higher cost efficiency if they increase their milk production at the margin - perhaps because they are already producing milk in a highly productive and efficient manner.</w:t>
      </w:r>
    </w:p>
    <w:p w14:paraId="0A2CFF91" w14:textId="77777777" w:rsidR="00FA2128" w:rsidRPr="00631DCC" w:rsidRDefault="00FA2128" w:rsidP="004618A8">
      <w:pPr>
        <w:spacing w:after="240" w:line="288" w:lineRule="auto"/>
        <w:ind w:firstLine="720"/>
        <w:jc w:val="both"/>
        <w:rPr>
          <w:rFonts w:asciiTheme="majorBidi" w:hAnsiTheme="majorBidi" w:cstheme="majorBidi"/>
          <w:b/>
          <w:bCs/>
        </w:rPr>
      </w:pPr>
      <w:r w:rsidRPr="00631DCC">
        <w:rPr>
          <w:rFonts w:asciiTheme="majorBidi" w:hAnsiTheme="majorBidi" w:cstheme="majorBidi"/>
        </w:rPr>
        <w:t xml:space="preserve">The proportion of feed consisting of supplement is insignificant for the Q1 model - however, it is significant for the Q2, Q3 and Q4 models. The coefficients are all negative. Our results suggest that a 10% increase in the proportion of feed consisting of supplement is associated with a decrease in OPM of 2% for farms in Q2 and Q3, and 5% for farms in Q4. </w:t>
      </w:r>
      <w:r w:rsidRPr="00631DCC">
        <w:rPr>
          <w:rFonts w:asciiTheme="majorBidi" w:hAnsiTheme="majorBidi" w:cstheme="majorBidi"/>
        </w:rPr>
        <w:lastRenderedPageBreak/>
        <w:t>These results indicate that farms above Q1 will experience decreases in cost efficiency as the proportion of feed consisting of supplement rises. This could be because these farms have already achieved a good balance between feed deficits and supplementary feed use.</w:t>
      </w:r>
      <w:r w:rsidRPr="00631DCC">
        <w:rPr>
          <w:rFonts w:asciiTheme="majorBidi" w:hAnsiTheme="majorBidi" w:cstheme="majorBidi"/>
          <w:b/>
          <w:bCs/>
        </w:rPr>
        <w:t xml:space="preserve"> </w:t>
      </w:r>
      <w:r w:rsidRPr="00631DCC">
        <w:rPr>
          <w:rFonts w:asciiTheme="majorBidi" w:hAnsiTheme="majorBidi" w:cstheme="majorBidi"/>
        </w:rPr>
        <w:t>As a result, any additional supplement would substitute pasture or crop consumption - resulting in no net gain in milk production and an increase in operating costs (</w:t>
      </w:r>
      <w:proofErr w:type="spellStart"/>
      <w:r w:rsidRPr="00631DCC">
        <w:rPr>
          <w:rFonts w:asciiTheme="majorBidi" w:hAnsiTheme="majorBidi" w:cstheme="majorBidi"/>
        </w:rPr>
        <w:t>McCahon</w:t>
      </w:r>
      <w:proofErr w:type="spellEnd"/>
      <w:r w:rsidRPr="00631DCC">
        <w:rPr>
          <w:rFonts w:asciiTheme="majorBidi" w:hAnsiTheme="majorBidi" w:cstheme="majorBidi"/>
        </w:rPr>
        <w:t xml:space="preserve"> et al., 2019). Ma et al. (2018) corroborates this by demonstrating that there is a clear upper limit on the ability of supplement to improve farm efficiency. It appears that on average, most farms in the Waikato have reached or surpassed that upper bound and are experiencing decreasing returns to supplement use. </w:t>
      </w:r>
    </w:p>
    <w:p w14:paraId="7B550C21" w14:textId="77777777" w:rsidR="00FA2128" w:rsidRPr="00631DCC" w:rsidRDefault="00FA2128" w:rsidP="004618A8">
      <w:pPr>
        <w:spacing w:after="240" w:line="288" w:lineRule="auto"/>
        <w:ind w:firstLine="720"/>
        <w:jc w:val="both"/>
        <w:rPr>
          <w:rFonts w:asciiTheme="majorBidi" w:hAnsiTheme="majorBidi" w:cstheme="majorBidi"/>
        </w:rPr>
      </w:pPr>
      <w:r w:rsidRPr="00631DCC">
        <w:rPr>
          <w:rFonts w:asciiTheme="majorBidi" w:hAnsiTheme="majorBidi" w:cstheme="majorBidi"/>
        </w:rPr>
        <w:t xml:space="preserve">Production yield exhibits a statistically significant positive correlation with OPM for all models. For example, a 10% increase in production yield is correlated with an increase in OPM of 4.64% for farms in Q1, 3.82% for farms in Q2, 3.94% for farms in Q3 and 2.32% in Q4. This suggests that in the short-run, farms in any quartile could improve their cost efficiency by increasing their production yield. However, we find that over the long run, farms with a higher cost efficiency also have lower production yield (Table </w:t>
      </w:r>
      <w:r>
        <w:rPr>
          <w:rFonts w:asciiTheme="majorBidi" w:hAnsiTheme="majorBidi" w:cstheme="majorBidi"/>
        </w:rPr>
        <w:t>3</w:t>
      </w:r>
      <w:r w:rsidRPr="00631DCC">
        <w:rPr>
          <w:rFonts w:asciiTheme="majorBidi" w:hAnsiTheme="majorBidi" w:cstheme="majorBidi"/>
        </w:rPr>
        <w:t>). This may imply that pursuing production yield is a good short-term strategy, but a poor long-term strategy. Similar to the findings for milk price, production yield has a much greater impact on poorly performing farms. Future research could address the mechanism driving these findings and elaborate on why the effect of certain variables taper off as farms improve their relative performance.</w:t>
      </w:r>
    </w:p>
    <w:p w14:paraId="08BF5681" w14:textId="77777777" w:rsidR="00FA2128" w:rsidRPr="00631DCC" w:rsidRDefault="00FA2128" w:rsidP="004618A8">
      <w:pPr>
        <w:spacing w:after="240" w:line="288" w:lineRule="auto"/>
        <w:ind w:firstLine="720"/>
        <w:jc w:val="both"/>
        <w:rPr>
          <w:rFonts w:asciiTheme="majorBidi" w:hAnsiTheme="majorBidi" w:cstheme="majorBidi"/>
        </w:rPr>
      </w:pPr>
      <w:r w:rsidRPr="00631DCC">
        <w:rPr>
          <w:rFonts w:asciiTheme="majorBidi" w:hAnsiTheme="majorBidi" w:cstheme="majorBidi"/>
        </w:rPr>
        <w:t xml:space="preserve">The pasture and crop eaten relationship with OPM is positive and significant for Q2 and Q3, whereas it is insignificant for Q1 and negative for Q4. The Q2 and Q3 results align with our Games-Howell tests and supports </w:t>
      </w:r>
      <w:proofErr w:type="spellStart"/>
      <w:r w:rsidRPr="00631DCC">
        <w:rPr>
          <w:rFonts w:asciiTheme="majorBidi" w:hAnsiTheme="majorBidi" w:cstheme="majorBidi"/>
        </w:rPr>
        <w:t>Beca</w:t>
      </w:r>
      <w:proofErr w:type="spellEnd"/>
      <w:r w:rsidRPr="00631DCC">
        <w:rPr>
          <w:rFonts w:asciiTheme="majorBidi" w:hAnsiTheme="majorBidi" w:cstheme="majorBidi"/>
        </w:rPr>
        <w:t xml:space="preserve"> (2020) and Shadbolt (2016) who demonstrate that pasture harvest is fundamental in cost minimisation. The negative association between pasture and crop eaten and cost efficiency for the best farms seems unusual. However, we might assume that better farms have well-rounded managerial skills that enable them to leverage several of the many interdependencies on a farm, rather than just pasture harvest and pasture eaten. It also indicates that pasture and crop eaten is a good classification tool across quartiles, but not necessarily within them.</w:t>
      </w:r>
    </w:p>
    <w:p w14:paraId="2F663542" w14:textId="05745CDA" w:rsidR="00FA2128" w:rsidRDefault="00FA2128" w:rsidP="004618A8">
      <w:pPr>
        <w:spacing w:after="240" w:line="288" w:lineRule="auto"/>
        <w:ind w:firstLine="720"/>
        <w:jc w:val="both"/>
        <w:rPr>
          <w:rFonts w:asciiTheme="majorBidi" w:hAnsiTheme="majorBidi" w:cstheme="majorBidi"/>
        </w:rPr>
      </w:pPr>
      <w:r w:rsidRPr="00631DCC">
        <w:rPr>
          <w:rFonts w:asciiTheme="majorBidi" w:hAnsiTheme="majorBidi" w:cstheme="majorBidi"/>
        </w:rPr>
        <w:t>The financial leverage coefficient is significant for Q1 and Q2 and insignificant for the other two models. However, the significant associations are relatively weak: an increase in the leverage ratio by 1 is correlated with a subtle increase in OPM of 0.1% for Q1 farms and 0.01% for Q2 farms. Given that the mean financial leverage ratio is 1.77 in Q2, this relationship does not appear to be economically significant.</w:t>
      </w:r>
    </w:p>
    <w:p w14:paraId="5C1AC666" w14:textId="0A837CD8" w:rsidR="009B584D" w:rsidRDefault="009B584D" w:rsidP="004618A8">
      <w:pPr>
        <w:spacing w:after="240" w:line="288" w:lineRule="auto"/>
        <w:ind w:firstLine="720"/>
        <w:jc w:val="both"/>
        <w:rPr>
          <w:rFonts w:asciiTheme="majorBidi" w:hAnsiTheme="majorBidi" w:cstheme="majorBidi"/>
        </w:rPr>
      </w:pPr>
      <w:r w:rsidRPr="00631DCC">
        <w:rPr>
          <w:rFonts w:asciiTheme="majorBidi" w:hAnsiTheme="majorBidi" w:cstheme="majorBidi"/>
        </w:rPr>
        <w:t xml:space="preserve">The coefficients for nitrogen fertiliser costs are positive and significant for all models. A $100 increase in nitrogen fertiliser costs per hectare was associated with a 20% increase in OPM for farms in Q1, a 10% increase for farms in Q2 and Q3, and a 3% increase for farms in Q4. This suggests that applying more nitrogen fertiliser may be a way to improve cost efficiency. However, our results suggest that above average farms will not experience the same magnitude of increase to cost efficiency if they increase nitrogen fertiliser use. Contrastingly, </w:t>
      </w:r>
      <w:r w:rsidRPr="00631DCC">
        <w:rPr>
          <w:rFonts w:asciiTheme="majorBidi" w:hAnsiTheme="majorBidi" w:cstheme="majorBidi"/>
        </w:rPr>
        <w:lastRenderedPageBreak/>
        <w:t>our Games-Howell results show that farms in higher cost-efficiency quartiles have lower nitrogen fertiliser application on average over a ten-year period. Hence, within benchmarked quartiles, farms may improve their cost efficiency by increasing nitrogen fertiliser application. However, over the long run, it may be better to pursue a lower nitrogen fertiliser application rate to move up the cost-efficiency distribution of farms. Farmers would also be aware of the environmental implications of nitrogen fertiliser application</w:t>
      </w:r>
    </w:p>
    <w:p w14:paraId="34A420AF" w14:textId="0ADA7AF3" w:rsidR="009B584D" w:rsidRDefault="00FA2128" w:rsidP="004618A8">
      <w:pPr>
        <w:spacing w:after="240" w:line="288" w:lineRule="auto"/>
        <w:ind w:firstLine="720"/>
        <w:jc w:val="both"/>
        <w:rPr>
          <w:rFonts w:asciiTheme="majorBidi" w:hAnsiTheme="majorBidi" w:cstheme="majorBidi"/>
          <w:b/>
          <w:bCs/>
        </w:rPr>
      </w:pPr>
      <w:r w:rsidRPr="00631DCC">
        <w:rPr>
          <w:rFonts w:asciiTheme="majorBidi" w:hAnsiTheme="majorBidi" w:cstheme="majorBidi"/>
        </w:rPr>
        <w:t>Overhead costs, meat revenue and cash operating surplus were included in the model as control variables. This was to account for differences in the expenses required to keep the farm running (overheads) and to control for changes in stock levels. Interestingly, meat revenue had a significant negative coefficient for all models. A plausible scenario is, controlling for all other variables (input costs and intensities included), farms that have greater meat revenue would have a smaller herd size than in the previous year, generate less operating revenue and have a lower OPM. Furthermore, greater meat revenue may be an indicator of poor animal health or productivity. If this is the case, our results are not unexpected as farms with less productive and healthy animals should have lower cost efficiency (due to higher health costs and lower milk productivity). Cash operating surplus has a significant negative coefficient for all models. This is an unusual observation as we would expect cash operating surplus and cost efficiency to be positively correlated, based on the discussion in the Games-Howell test results.</w:t>
      </w:r>
    </w:p>
    <w:p w14:paraId="47DE2525" w14:textId="149509C2" w:rsidR="00FA2128" w:rsidRPr="00631DCC" w:rsidRDefault="00FA2128" w:rsidP="004618A8">
      <w:pPr>
        <w:spacing w:after="240" w:line="288" w:lineRule="auto"/>
        <w:jc w:val="both"/>
        <w:rPr>
          <w:rFonts w:asciiTheme="majorBidi" w:hAnsiTheme="majorBidi" w:cstheme="majorBidi"/>
          <w:b/>
          <w:bCs/>
        </w:rPr>
      </w:pPr>
      <w:r w:rsidRPr="00631DCC">
        <w:rPr>
          <w:rFonts w:asciiTheme="majorBidi" w:hAnsiTheme="majorBidi" w:cstheme="majorBidi"/>
          <w:b/>
          <w:bCs/>
        </w:rPr>
        <w:t>6. Conclusions</w:t>
      </w:r>
    </w:p>
    <w:p w14:paraId="3043CC77" w14:textId="77777777" w:rsidR="00FA2128" w:rsidRPr="00631DCC" w:rsidRDefault="00FA2128" w:rsidP="004618A8">
      <w:pPr>
        <w:spacing w:after="240" w:line="288" w:lineRule="auto"/>
        <w:jc w:val="both"/>
        <w:rPr>
          <w:rFonts w:asciiTheme="majorBidi" w:hAnsiTheme="majorBidi" w:cstheme="majorBidi"/>
        </w:rPr>
      </w:pPr>
      <w:r w:rsidRPr="00631DCC">
        <w:rPr>
          <w:rFonts w:asciiTheme="majorBidi" w:hAnsiTheme="majorBidi" w:cstheme="majorBidi"/>
        </w:rPr>
        <w:t xml:space="preserve">We address pertinent gaps in the academic literature by investigating cost efficiency for dairy farms in the Waikato region, New Zealand. In doing so we demonstrate how OPM can be usefully applied to analyse farm performance and provide insights that can be easily interpreted by everyone from farmers to academics. Some key findings are cost-efficient farms use less supplement and nitrogen fertiliser over the long run, milk price fluctuations disproportionately impact lower quartile groups, and farms may be able to lower their GHG emissions whilst maintaining strong cost efficiency. These findings deepen the understanding of cost efficiency and its relationships with farm variables on New Zealand dairy farms. </w:t>
      </w:r>
    </w:p>
    <w:p w14:paraId="352C39D2" w14:textId="678A5163" w:rsidR="00FA2128" w:rsidRDefault="00FA2128" w:rsidP="004618A8">
      <w:pPr>
        <w:spacing w:after="240" w:line="276" w:lineRule="auto"/>
        <w:jc w:val="both"/>
        <w:rPr>
          <w:rFonts w:asciiTheme="majorBidi" w:hAnsiTheme="majorBidi" w:cstheme="majorBidi"/>
        </w:rPr>
      </w:pPr>
      <w:r w:rsidRPr="00631DCC">
        <w:rPr>
          <w:rFonts w:asciiTheme="majorBidi" w:hAnsiTheme="majorBidi" w:cstheme="majorBidi"/>
        </w:rPr>
        <w:t>Future research could investigate the spatial distributions of farms within the quartiles and examine the relationship between cost efficiency and farm-specific characteristics (such as age of operator and education level).  Furthermore, there is scope to investigate whether cost-efficient farms have more productive and better managers or environmental endowment advantages over other farms. Also, there is considerable heterogeneity in model parameters and statistical significance between the benchmarked quartiles. There is a need to establish what causes these effects to better understand the farm system and cost efficiency. Finally, while we use the best dataset available to us, there would be considerable value in improving data collection and reporting capabilities for the New Zealand dairy industry, and agricultural industries more broadly.</w:t>
      </w:r>
    </w:p>
    <w:p w14:paraId="08AD0379" w14:textId="77777777" w:rsidR="004618A8" w:rsidRDefault="004618A8">
      <w:pPr>
        <w:rPr>
          <w:rFonts w:asciiTheme="majorBidi" w:hAnsiTheme="majorBidi" w:cstheme="majorBidi"/>
          <w:b/>
          <w:bCs/>
        </w:rPr>
      </w:pPr>
      <w:r>
        <w:rPr>
          <w:rFonts w:asciiTheme="majorBidi" w:hAnsiTheme="majorBidi" w:cstheme="majorBidi"/>
          <w:b/>
          <w:bCs/>
        </w:rPr>
        <w:br w:type="page"/>
      </w:r>
    </w:p>
    <w:p w14:paraId="620776AF" w14:textId="71C0B357" w:rsidR="00FA2128" w:rsidRPr="00631DCC" w:rsidRDefault="00FA2128" w:rsidP="004618A8">
      <w:pPr>
        <w:spacing w:after="240" w:line="288" w:lineRule="auto"/>
        <w:jc w:val="both"/>
        <w:rPr>
          <w:rFonts w:asciiTheme="majorBidi" w:hAnsiTheme="majorBidi" w:cstheme="majorBidi"/>
          <w:b/>
          <w:bCs/>
        </w:rPr>
      </w:pPr>
      <w:r w:rsidRPr="00631DCC">
        <w:rPr>
          <w:rFonts w:asciiTheme="majorBidi" w:hAnsiTheme="majorBidi" w:cstheme="majorBidi"/>
          <w:b/>
          <w:bCs/>
        </w:rPr>
        <w:lastRenderedPageBreak/>
        <w:t>7. References</w:t>
      </w:r>
    </w:p>
    <w:p w14:paraId="5361086A"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Abdullahi, A. O. (2003). Estimating risk aversion coefficients for dry land wheat, irrigated corn and dairy producers in Kansas. Applied Economics, 35(7), 825-834. https://doi.org/10.1080/0003648032000050612</w:t>
      </w:r>
    </w:p>
    <w:p w14:paraId="4C8CB97A"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Alvarez, A., Corral, J. D., Solis, D., &amp; Perez, J. A. (2008). Does intensification improve the economic efficiency of dairy farms? </w:t>
      </w:r>
      <w:r w:rsidRPr="00631DCC">
        <w:rPr>
          <w:rFonts w:asciiTheme="majorBidi" w:hAnsiTheme="majorBidi" w:cstheme="majorBidi"/>
          <w:i/>
          <w:iCs/>
          <w:sz w:val="22"/>
          <w:szCs w:val="22"/>
        </w:rPr>
        <w:t>Journal of Dairy Science</w:t>
      </w:r>
      <w:r w:rsidRPr="00631DCC">
        <w:rPr>
          <w:rFonts w:asciiTheme="majorBidi" w:hAnsiTheme="majorBidi" w:cstheme="majorBidi"/>
          <w:sz w:val="22"/>
          <w:szCs w:val="22"/>
        </w:rPr>
        <w:t>, 91(9), 3693-3698. https://doi.org/10.3168/jds.2008-1123</w:t>
      </w:r>
    </w:p>
    <w:p w14:paraId="4DB45789"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proofErr w:type="spellStart"/>
      <w:r w:rsidRPr="00631DCC">
        <w:rPr>
          <w:rFonts w:asciiTheme="majorBidi" w:hAnsiTheme="majorBidi" w:cstheme="majorBidi"/>
          <w:sz w:val="22"/>
          <w:szCs w:val="22"/>
        </w:rPr>
        <w:t>Ballingall</w:t>
      </w:r>
      <w:proofErr w:type="spellEnd"/>
      <w:r w:rsidRPr="00631DCC">
        <w:rPr>
          <w:rFonts w:asciiTheme="majorBidi" w:hAnsiTheme="majorBidi" w:cstheme="majorBidi"/>
          <w:sz w:val="22"/>
          <w:szCs w:val="22"/>
        </w:rPr>
        <w:t xml:space="preserve">, J., &amp; </w:t>
      </w:r>
      <w:proofErr w:type="spellStart"/>
      <w:r w:rsidRPr="00631DCC">
        <w:rPr>
          <w:rFonts w:asciiTheme="majorBidi" w:hAnsiTheme="majorBidi" w:cstheme="majorBidi"/>
          <w:sz w:val="22"/>
          <w:szCs w:val="22"/>
        </w:rPr>
        <w:t>Pambudi</w:t>
      </w:r>
      <w:proofErr w:type="spellEnd"/>
      <w:r w:rsidRPr="00631DCC">
        <w:rPr>
          <w:rFonts w:asciiTheme="majorBidi" w:hAnsiTheme="majorBidi" w:cstheme="majorBidi"/>
          <w:sz w:val="22"/>
          <w:szCs w:val="22"/>
        </w:rPr>
        <w:t xml:space="preserve">, D. (2017). Dairy trade’s economic contribution to New Zealand. New Zealand Institute of Economic Research. </w:t>
      </w:r>
    </w:p>
    <w:p w14:paraId="1A8EF0EC"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Barry, P., &amp; </w:t>
      </w:r>
      <w:proofErr w:type="spellStart"/>
      <w:r w:rsidRPr="00631DCC">
        <w:rPr>
          <w:rFonts w:asciiTheme="majorBidi" w:hAnsiTheme="majorBidi" w:cstheme="majorBidi"/>
          <w:sz w:val="22"/>
          <w:szCs w:val="22"/>
        </w:rPr>
        <w:t>Pattullo</w:t>
      </w:r>
      <w:proofErr w:type="spellEnd"/>
      <w:r w:rsidRPr="00631DCC">
        <w:rPr>
          <w:rFonts w:asciiTheme="majorBidi" w:hAnsiTheme="majorBidi" w:cstheme="majorBidi"/>
          <w:sz w:val="22"/>
          <w:szCs w:val="22"/>
        </w:rPr>
        <w:t>, H. (2020). The dairy sector in New Zealand: Extending the boundaries. TBD Advisory.</w:t>
      </w:r>
    </w:p>
    <w:p w14:paraId="78BD5284"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proofErr w:type="spellStart"/>
      <w:r w:rsidRPr="00631DCC">
        <w:rPr>
          <w:rFonts w:asciiTheme="majorBidi" w:hAnsiTheme="majorBidi" w:cstheme="majorBidi"/>
          <w:sz w:val="22"/>
          <w:szCs w:val="22"/>
        </w:rPr>
        <w:t>Beca</w:t>
      </w:r>
      <w:proofErr w:type="spellEnd"/>
      <w:r w:rsidRPr="00631DCC">
        <w:rPr>
          <w:rFonts w:asciiTheme="majorBidi" w:hAnsiTheme="majorBidi" w:cstheme="majorBidi"/>
          <w:sz w:val="22"/>
          <w:szCs w:val="22"/>
        </w:rPr>
        <w:t xml:space="preserve">, D. (2020). Evaluating the loss of profitability and declining milk production in the Australian dairy industry. </w:t>
      </w:r>
      <w:r w:rsidRPr="00631DCC">
        <w:rPr>
          <w:rFonts w:asciiTheme="majorBidi" w:hAnsiTheme="majorBidi" w:cstheme="majorBidi"/>
          <w:i/>
          <w:iCs/>
          <w:sz w:val="22"/>
          <w:szCs w:val="22"/>
        </w:rPr>
        <w:t>Australasian Agribusiness Perspectives</w:t>
      </w:r>
      <w:r w:rsidRPr="00631DCC">
        <w:rPr>
          <w:rFonts w:asciiTheme="majorBidi" w:hAnsiTheme="majorBidi" w:cstheme="majorBidi"/>
          <w:sz w:val="22"/>
          <w:szCs w:val="22"/>
        </w:rPr>
        <w:t>, 23(9), 136-164</w:t>
      </w:r>
    </w:p>
    <w:p w14:paraId="1213886B"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Climate Change Commission (CCC). (2021). </w:t>
      </w:r>
      <w:r w:rsidRPr="00631DCC">
        <w:rPr>
          <w:rFonts w:asciiTheme="majorBidi" w:hAnsiTheme="majorBidi" w:cstheme="majorBidi"/>
          <w:i/>
          <w:iCs/>
          <w:sz w:val="22"/>
          <w:szCs w:val="22"/>
        </w:rPr>
        <w:t>2021 Draft advice for consultation.</w:t>
      </w:r>
      <w:r w:rsidRPr="00631DCC">
        <w:rPr>
          <w:rFonts w:asciiTheme="majorBidi" w:hAnsiTheme="majorBidi" w:cstheme="majorBidi"/>
          <w:sz w:val="22"/>
          <w:szCs w:val="22"/>
        </w:rPr>
        <w:t xml:space="preserve"> https://www.climatecommission.govt.nz/get-involved/our-advice-and-evidence/</w:t>
      </w:r>
    </w:p>
    <w:p w14:paraId="12652B18"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Collins, R. A. (1985). Expected utility, debt-equity structure, and risk balancing. </w:t>
      </w:r>
      <w:r w:rsidRPr="00631DCC">
        <w:rPr>
          <w:rFonts w:asciiTheme="majorBidi" w:hAnsiTheme="majorBidi" w:cstheme="majorBidi"/>
          <w:i/>
          <w:iCs/>
          <w:sz w:val="22"/>
          <w:szCs w:val="22"/>
        </w:rPr>
        <w:t>American Journal of Agricultural Economics</w:t>
      </w:r>
      <w:r w:rsidRPr="00631DCC">
        <w:rPr>
          <w:rFonts w:asciiTheme="majorBidi" w:hAnsiTheme="majorBidi" w:cstheme="majorBidi"/>
          <w:sz w:val="22"/>
          <w:szCs w:val="22"/>
        </w:rPr>
        <w:t xml:space="preserve">, 67(3), 627-629. </w:t>
      </w:r>
      <w:hyperlink r:id="rId8" w:history="1">
        <w:r w:rsidRPr="00631DCC">
          <w:rPr>
            <w:rFonts w:asciiTheme="majorBidi" w:hAnsiTheme="majorBidi" w:cstheme="majorBidi"/>
            <w:sz w:val="22"/>
            <w:szCs w:val="22"/>
          </w:rPr>
          <w:t>https://doi.</w:t>
        </w:r>
        <w:r w:rsidRPr="00631DCC">
          <w:rPr>
            <w:rStyle w:val="Hyperlink"/>
            <w:rFonts w:asciiTheme="majorBidi" w:hAnsiTheme="majorBidi" w:cstheme="majorBidi"/>
            <w:sz w:val="22"/>
            <w:szCs w:val="22"/>
          </w:rPr>
          <w:t>org/10.2307/1241085</w:t>
        </w:r>
      </w:hyperlink>
    </w:p>
    <w:p w14:paraId="4E32F05D"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proofErr w:type="spellStart"/>
      <w:r w:rsidRPr="00631DCC">
        <w:rPr>
          <w:rFonts w:asciiTheme="majorBidi" w:hAnsiTheme="majorBidi" w:cstheme="majorBidi"/>
          <w:sz w:val="22"/>
          <w:szCs w:val="22"/>
        </w:rPr>
        <w:t>DairyNZ</w:t>
      </w:r>
      <w:proofErr w:type="spellEnd"/>
      <w:r w:rsidRPr="00631DCC">
        <w:rPr>
          <w:rFonts w:asciiTheme="majorBidi" w:hAnsiTheme="majorBidi" w:cstheme="majorBidi"/>
          <w:sz w:val="22"/>
          <w:szCs w:val="22"/>
        </w:rPr>
        <w:t xml:space="preserve"> (2021). </w:t>
      </w:r>
      <w:r w:rsidRPr="00631DCC">
        <w:rPr>
          <w:rFonts w:asciiTheme="majorBidi" w:hAnsiTheme="majorBidi" w:cstheme="majorBidi"/>
          <w:i/>
          <w:iCs/>
          <w:sz w:val="22"/>
          <w:szCs w:val="22"/>
        </w:rPr>
        <w:t xml:space="preserve">Busting common </w:t>
      </w:r>
      <w:proofErr w:type="spellStart"/>
      <w:r w:rsidRPr="00631DCC">
        <w:rPr>
          <w:rFonts w:asciiTheme="majorBidi" w:hAnsiTheme="majorBidi" w:cstheme="majorBidi"/>
          <w:i/>
          <w:iCs/>
          <w:sz w:val="22"/>
          <w:szCs w:val="22"/>
        </w:rPr>
        <w:t>MaxT</w:t>
      </w:r>
      <w:proofErr w:type="spellEnd"/>
      <w:r w:rsidRPr="00631DCC">
        <w:rPr>
          <w:rFonts w:asciiTheme="majorBidi" w:hAnsiTheme="majorBidi" w:cstheme="majorBidi"/>
          <w:i/>
          <w:iCs/>
          <w:sz w:val="22"/>
          <w:szCs w:val="22"/>
        </w:rPr>
        <w:t xml:space="preserve"> myths</w:t>
      </w:r>
      <w:r w:rsidRPr="00631DCC">
        <w:rPr>
          <w:rFonts w:asciiTheme="majorBidi" w:hAnsiTheme="majorBidi" w:cstheme="majorBidi"/>
          <w:sz w:val="22"/>
          <w:szCs w:val="22"/>
        </w:rPr>
        <w:t>. https://www.dairynz.co.nz/milking/milking-efficiently/milking-duration/busting-common-maxt-myths/</w:t>
      </w:r>
    </w:p>
    <w:p w14:paraId="133C05EA"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Department of Primary Industries (DPI). (n.d.). </w:t>
      </w:r>
      <w:r w:rsidRPr="00631DCC">
        <w:rPr>
          <w:rFonts w:asciiTheme="majorBidi" w:hAnsiTheme="majorBidi" w:cstheme="majorBidi"/>
          <w:i/>
          <w:iCs/>
          <w:sz w:val="22"/>
          <w:szCs w:val="22"/>
        </w:rPr>
        <w:t>Plant nutrients in the soil.</w:t>
      </w:r>
      <w:r w:rsidRPr="00631DCC">
        <w:rPr>
          <w:rFonts w:asciiTheme="majorBidi" w:hAnsiTheme="majorBidi" w:cstheme="majorBidi"/>
          <w:sz w:val="22"/>
          <w:szCs w:val="22"/>
        </w:rPr>
        <w:t xml:space="preserve"> https://www.dpi.nsw.gov.au/agriculture/soils/improvement/plant-nutrients#:~:text=Soil%20is%20a%20major%20source,are%20calcium%2C%20magnesium%20and%20sulfur.</w:t>
      </w:r>
    </w:p>
    <w:p w14:paraId="00BBAB97"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proofErr w:type="spellStart"/>
      <w:r w:rsidRPr="00631DCC">
        <w:rPr>
          <w:rFonts w:asciiTheme="majorBidi" w:hAnsiTheme="majorBidi" w:cstheme="majorBidi"/>
          <w:sz w:val="22"/>
          <w:szCs w:val="22"/>
        </w:rPr>
        <w:t>Doole</w:t>
      </w:r>
      <w:proofErr w:type="spellEnd"/>
      <w:r w:rsidRPr="00631DCC">
        <w:rPr>
          <w:rFonts w:asciiTheme="majorBidi" w:hAnsiTheme="majorBidi" w:cstheme="majorBidi"/>
          <w:sz w:val="22"/>
          <w:szCs w:val="22"/>
        </w:rPr>
        <w:t xml:space="preserve">, G. J. (2014). Economic feasibility of supplementary feeding on dairy farms in the Waikato region of New Zealand. </w:t>
      </w:r>
      <w:r w:rsidRPr="00631DCC">
        <w:rPr>
          <w:rFonts w:asciiTheme="majorBidi" w:hAnsiTheme="majorBidi" w:cstheme="majorBidi"/>
          <w:i/>
          <w:iCs/>
          <w:sz w:val="22"/>
          <w:szCs w:val="22"/>
        </w:rPr>
        <w:t>New Zealand Journal of Agricultural Research</w:t>
      </w:r>
      <w:r w:rsidRPr="00631DCC">
        <w:rPr>
          <w:rFonts w:asciiTheme="majorBidi" w:hAnsiTheme="majorBidi" w:cstheme="majorBidi"/>
          <w:sz w:val="22"/>
          <w:szCs w:val="22"/>
        </w:rPr>
        <w:t>, 57(2), 90-99. https://doi.org/10.1080/00288233.2013.870915</w:t>
      </w:r>
    </w:p>
    <w:p w14:paraId="3AB28191"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proofErr w:type="spellStart"/>
      <w:r w:rsidRPr="00631DCC">
        <w:rPr>
          <w:rFonts w:asciiTheme="majorBidi" w:hAnsiTheme="majorBidi" w:cstheme="majorBidi"/>
          <w:sz w:val="22"/>
          <w:szCs w:val="22"/>
        </w:rPr>
        <w:t>Doole</w:t>
      </w:r>
      <w:proofErr w:type="spellEnd"/>
      <w:r w:rsidRPr="00631DCC">
        <w:rPr>
          <w:rFonts w:asciiTheme="majorBidi" w:hAnsiTheme="majorBidi" w:cstheme="majorBidi"/>
          <w:sz w:val="22"/>
          <w:szCs w:val="22"/>
        </w:rPr>
        <w:t xml:space="preserve">, G. J., Alvaro, R. J., Leslie, J. E., Chapman, D. F., </w:t>
      </w:r>
      <w:proofErr w:type="spellStart"/>
      <w:r w:rsidRPr="00631DCC">
        <w:rPr>
          <w:rFonts w:asciiTheme="majorBidi" w:hAnsiTheme="majorBidi" w:cstheme="majorBidi"/>
          <w:sz w:val="22"/>
          <w:szCs w:val="22"/>
        </w:rPr>
        <w:t>Pinxterhuis</w:t>
      </w:r>
      <w:proofErr w:type="spellEnd"/>
      <w:r w:rsidRPr="00631DCC">
        <w:rPr>
          <w:rFonts w:asciiTheme="majorBidi" w:hAnsiTheme="majorBidi" w:cstheme="majorBidi"/>
          <w:sz w:val="22"/>
          <w:szCs w:val="22"/>
        </w:rPr>
        <w:t>, I. J. B., &amp; Kemp, P. D. (2021). Economic assessment of plantain (</w:t>
      </w:r>
      <w:proofErr w:type="spellStart"/>
      <w:r w:rsidRPr="00631DCC">
        <w:rPr>
          <w:rFonts w:asciiTheme="majorBidi" w:hAnsiTheme="majorBidi" w:cstheme="majorBidi"/>
          <w:i/>
          <w:iCs/>
          <w:sz w:val="22"/>
          <w:szCs w:val="22"/>
        </w:rPr>
        <w:t>Plantago</w:t>
      </w:r>
      <w:proofErr w:type="spellEnd"/>
      <w:r w:rsidRPr="00631DCC">
        <w:rPr>
          <w:rFonts w:asciiTheme="majorBidi" w:hAnsiTheme="majorBidi" w:cstheme="majorBidi"/>
          <w:i/>
          <w:iCs/>
          <w:sz w:val="22"/>
          <w:szCs w:val="22"/>
        </w:rPr>
        <w:t xml:space="preserve"> </w:t>
      </w:r>
      <w:proofErr w:type="spellStart"/>
      <w:r w:rsidRPr="00631DCC">
        <w:rPr>
          <w:rFonts w:asciiTheme="majorBidi" w:hAnsiTheme="majorBidi" w:cstheme="majorBidi"/>
          <w:i/>
          <w:iCs/>
          <w:sz w:val="22"/>
          <w:szCs w:val="22"/>
        </w:rPr>
        <w:t>lanceolata</w:t>
      </w:r>
      <w:proofErr w:type="spellEnd"/>
      <w:r w:rsidRPr="00631DCC">
        <w:rPr>
          <w:rFonts w:asciiTheme="majorBidi" w:hAnsiTheme="majorBidi" w:cstheme="majorBidi"/>
          <w:sz w:val="22"/>
          <w:szCs w:val="22"/>
        </w:rPr>
        <w:t xml:space="preserve">) uptake in the New Zealand dairy sector. </w:t>
      </w:r>
      <w:r w:rsidRPr="00631DCC">
        <w:rPr>
          <w:rFonts w:asciiTheme="majorBidi" w:hAnsiTheme="majorBidi" w:cstheme="majorBidi"/>
          <w:i/>
          <w:iCs/>
          <w:sz w:val="22"/>
          <w:szCs w:val="22"/>
        </w:rPr>
        <w:t>Agricultural Systems</w:t>
      </w:r>
      <w:r w:rsidRPr="00631DCC">
        <w:rPr>
          <w:rFonts w:asciiTheme="majorBidi" w:hAnsiTheme="majorBidi" w:cstheme="majorBidi"/>
          <w:sz w:val="22"/>
          <w:szCs w:val="22"/>
        </w:rPr>
        <w:t>, 187.</w:t>
      </w:r>
    </w:p>
    <w:p w14:paraId="6D217CFA"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proofErr w:type="spellStart"/>
      <w:r w:rsidRPr="00631DCC">
        <w:rPr>
          <w:rFonts w:asciiTheme="majorBidi" w:hAnsiTheme="majorBidi" w:cstheme="majorBidi"/>
          <w:sz w:val="22"/>
          <w:szCs w:val="22"/>
        </w:rPr>
        <w:t>Doole</w:t>
      </w:r>
      <w:proofErr w:type="spellEnd"/>
      <w:r w:rsidRPr="00631DCC">
        <w:rPr>
          <w:rFonts w:asciiTheme="majorBidi" w:hAnsiTheme="majorBidi" w:cstheme="majorBidi"/>
          <w:sz w:val="22"/>
          <w:szCs w:val="22"/>
        </w:rPr>
        <w:t xml:space="preserve">, G. J, &amp; </w:t>
      </w:r>
      <w:proofErr w:type="spellStart"/>
      <w:r w:rsidRPr="00631DCC">
        <w:rPr>
          <w:rFonts w:asciiTheme="majorBidi" w:hAnsiTheme="majorBidi" w:cstheme="majorBidi"/>
          <w:sz w:val="22"/>
          <w:szCs w:val="22"/>
        </w:rPr>
        <w:t>Te</w:t>
      </w:r>
      <w:proofErr w:type="spellEnd"/>
      <w:r w:rsidRPr="00631DCC">
        <w:rPr>
          <w:rFonts w:asciiTheme="majorBidi" w:hAnsiTheme="majorBidi" w:cstheme="majorBidi"/>
          <w:sz w:val="22"/>
          <w:szCs w:val="22"/>
        </w:rPr>
        <w:t xml:space="preserve"> </w:t>
      </w:r>
      <w:proofErr w:type="spellStart"/>
      <w:r w:rsidRPr="00631DCC">
        <w:rPr>
          <w:rFonts w:asciiTheme="majorBidi" w:hAnsiTheme="majorBidi" w:cstheme="majorBidi"/>
          <w:sz w:val="22"/>
          <w:szCs w:val="22"/>
        </w:rPr>
        <w:t>Rito</w:t>
      </w:r>
      <w:proofErr w:type="spellEnd"/>
      <w:r w:rsidRPr="00631DCC">
        <w:rPr>
          <w:rFonts w:asciiTheme="majorBidi" w:hAnsiTheme="majorBidi" w:cstheme="majorBidi"/>
          <w:sz w:val="22"/>
          <w:szCs w:val="22"/>
        </w:rPr>
        <w:t xml:space="preserve">, R. (2019). Assessing the competitiveness and resilience of the New Zealand dairy sector. </w:t>
      </w:r>
      <w:proofErr w:type="spellStart"/>
      <w:r w:rsidRPr="00631DCC">
        <w:rPr>
          <w:rFonts w:asciiTheme="majorBidi" w:hAnsiTheme="majorBidi" w:cstheme="majorBidi"/>
          <w:sz w:val="22"/>
          <w:szCs w:val="22"/>
        </w:rPr>
        <w:t>DairyNZ</w:t>
      </w:r>
      <w:proofErr w:type="spellEnd"/>
      <w:r w:rsidRPr="00631DCC">
        <w:rPr>
          <w:rFonts w:asciiTheme="majorBidi" w:hAnsiTheme="majorBidi" w:cstheme="majorBidi"/>
          <w:sz w:val="22"/>
          <w:szCs w:val="22"/>
        </w:rPr>
        <w:t>. Hamilton.</w:t>
      </w:r>
    </w:p>
    <w:p w14:paraId="38C47E4E"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Fairfield, P. M., &amp; </w:t>
      </w:r>
      <w:proofErr w:type="spellStart"/>
      <w:r w:rsidRPr="00631DCC">
        <w:rPr>
          <w:rFonts w:asciiTheme="majorBidi" w:hAnsiTheme="majorBidi" w:cstheme="majorBidi"/>
          <w:sz w:val="22"/>
          <w:szCs w:val="22"/>
        </w:rPr>
        <w:t>Yohn</w:t>
      </w:r>
      <w:proofErr w:type="spellEnd"/>
      <w:r w:rsidRPr="00631DCC">
        <w:rPr>
          <w:rFonts w:asciiTheme="majorBidi" w:hAnsiTheme="majorBidi" w:cstheme="majorBidi"/>
          <w:sz w:val="22"/>
          <w:szCs w:val="22"/>
        </w:rPr>
        <w:t xml:space="preserve">, T. L. (2001). Using asset turnover and profit margin to forecast changes in profitability. </w:t>
      </w:r>
      <w:r w:rsidRPr="00631DCC">
        <w:rPr>
          <w:rFonts w:asciiTheme="majorBidi" w:hAnsiTheme="majorBidi" w:cstheme="majorBidi"/>
          <w:i/>
          <w:iCs/>
          <w:sz w:val="22"/>
          <w:szCs w:val="22"/>
        </w:rPr>
        <w:t>Review of Accounting Studies</w:t>
      </w:r>
      <w:r w:rsidRPr="00631DCC">
        <w:rPr>
          <w:rFonts w:asciiTheme="majorBidi" w:hAnsiTheme="majorBidi" w:cstheme="majorBidi"/>
          <w:sz w:val="22"/>
          <w:szCs w:val="22"/>
        </w:rPr>
        <w:t>, 6(4), 371-385.</w:t>
      </w:r>
    </w:p>
    <w:p w14:paraId="652E36FF"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lastRenderedPageBreak/>
        <w:t xml:space="preserve">Farina, S. R., Alford, A., Garcia, S. C., &amp; Fulkerson, W. J. (2013). An integrated assessment of business risk for pasture-based dairy farm systems intensification. </w:t>
      </w:r>
      <w:r w:rsidRPr="00631DCC">
        <w:rPr>
          <w:rFonts w:asciiTheme="majorBidi" w:hAnsiTheme="majorBidi" w:cstheme="majorBidi"/>
          <w:i/>
          <w:iCs/>
          <w:sz w:val="22"/>
          <w:szCs w:val="22"/>
        </w:rPr>
        <w:t>Agricultural Systems</w:t>
      </w:r>
      <w:r w:rsidRPr="00631DCC">
        <w:rPr>
          <w:rFonts w:asciiTheme="majorBidi" w:hAnsiTheme="majorBidi" w:cstheme="majorBidi"/>
          <w:sz w:val="22"/>
          <w:szCs w:val="22"/>
        </w:rPr>
        <w:t>, 115, 10-20. https://doi.org/10.1016/j.agsy.2012.10.003</w:t>
      </w:r>
    </w:p>
    <w:p w14:paraId="3900CB79"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Gabriel, S. C., &amp; Baker, C. B. (1980). Concepts of business and financial risk. </w:t>
      </w:r>
      <w:r w:rsidRPr="00631DCC">
        <w:rPr>
          <w:rFonts w:asciiTheme="majorBidi" w:hAnsiTheme="majorBidi" w:cstheme="majorBidi"/>
          <w:i/>
          <w:iCs/>
          <w:sz w:val="22"/>
          <w:szCs w:val="22"/>
        </w:rPr>
        <w:t>American Journal of Agricultural Economics</w:t>
      </w:r>
      <w:r w:rsidRPr="00631DCC">
        <w:rPr>
          <w:rFonts w:asciiTheme="majorBidi" w:hAnsiTheme="majorBidi" w:cstheme="majorBidi"/>
          <w:sz w:val="22"/>
          <w:szCs w:val="22"/>
        </w:rPr>
        <w:t>, 62(3), 560-564. https://doi.org/10.2307/1240215</w:t>
      </w:r>
    </w:p>
    <w:p w14:paraId="6E8ABDF1"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proofErr w:type="spellStart"/>
      <w:r w:rsidRPr="00631DCC">
        <w:rPr>
          <w:rFonts w:asciiTheme="majorBidi" w:hAnsiTheme="majorBidi" w:cstheme="majorBidi"/>
          <w:sz w:val="22"/>
          <w:szCs w:val="22"/>
        </w:rPr>
        <w:t>Getu</w:t>
      </w:r>
      <w:proofErr w:type="spellEnd"/>
      <w:r w:rsidRPr="00631DCC">
        <w:rPr>
          <w:rFonts w:asciiTheme="majorBidi" w:hAnsiTheme="majorBidi" w:cstheme="majorBidi"/>
          <w:sz w:val="22"/>
          <w:szCs w:val="22"/>
        </w:rPr>
        <w:t xml:space="preserve">, H., Jeffrey, S. R., &amp; Goddard, E. W. (2007). Economic performance and financial leverage of agribusiness marketing co-operatives in Canada. </w:t>
      </w:r>
      <w:r w:rsidRPr="00631DCC">
        <w:rPr>
          <w:rFonts w:asciiTheme="majorBidi" w:hAnsiTheme="majorBidi" w:cstheme="majorBidi"/>
          <w:i/>
          <w:iCs/>
          <w:sz w:val="22"/>
          <w:szCs w:val="22"/>
        </w:rPr>
        <w:t>Cooperative Firms in Global Markets</w:t>
      </w:r>
      <w:r w:rsidRPr="00631DCC">
        <w:rPr>
          <w:rFonts w:asciiTheme="majorBidi" w:hAnsiTheme="majorBidi" w:cstheme="majorBidi"/>
          <w:sz w:val="22"/>
          <w:szCs w:val="22"/>
        </w:rPr>
        <w:t>, 10, 47-77.</w:t>
      </w:r>
    </w:p>
    <w:p w14:paraId="5BA5B059"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proofErr w:type="spellStart"/>
      <w:r w:rsidRPr="00631DCC">
        <w:rPr>
          <w:rFonts w:asciiTheme="majorBidi" w:hAnsiTheme="majorBidi" w:cstheme="majorBidi"/>
          <w:sz w:val="22"/>
          <w:szCs w:val="22"/>
        </w:rPr>
        <w:t>Grashuis</w:t>
      </w:r>
      <w:proofErr w:type="spellEnd"/>
      <w:r w:rsidRPr="00631DCC">
        <w:rPr>
          <w:rFonts w:asciiTheme="majorBidi" w:hAnsiTheme="majorBidi" w:cstheme="majorBidi"/>
          <w:sz w:val="22"/>
          <w:szCs w:val="22"/>
        </w:rPr>
        <w:t xml:space="preserve">, J. (2018). A quantile regression analysis of farmer cooperative performance.  </w:t>
      </w:r>
      <w:r w:rsidRPr="00631DCC">
        <w:rPr>
          <w:rFonts w:asciiTheme="majorBidi" w:hAnsiTheme="majorBidi" w:cstheme="majorBidi"/>
          <w:i/>
          <w:iCs/>
          <w:sz w:val="22"/>
          <w:szCs w:val="22"/>
        </w:rPr>
        <w:t>Agricultural Finance Review</w:t>
      </w:r>
      <w:r w:rsidRPr="00631DCC">
        <w:rPr>
          <w:rFonts w:asciiTheme="majorBidi" w:hAnsiTheme="majorBidi" w:cstheme="majorBidi"/>
          <w:sz w:val="22"/>
          <w:szCs w:val="22"/>
        </w:rPr>
        <w:t>, 78(1), 65-82. https://doi.org/10.1108/AFR-05-2017-0031</w:t>
      </w:r>
    </w:p>
    <w:p w14:paraId="7E6B3273"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Greig, B. J. (2010). New Zealand dairy farm debt [Conference paper]. South Island Dairy Event.</w:t>
      </w:r>
    </w:p>
    <w:p w14:paraId="717B6A19"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Hardaker, J. B., </w:t>
      </w:r>
      <w:proofErr w:type="spellStart"/>
      <w:r w:rsidRPr="00631DCC">
        <w:rPr>
          <w:rFonts w:asciiTheme="majorBidi" w:hAnsiTheme="majorBidi" w:cstheme="majorBidi"/>
          <w:sz w:val="22"/>
          <w:szCs w:val="22"/>
        </w:rPr>
        <w:t>Huirne</w:t>
      </w:r>
      <w:proofErr w:type="spellEnd"/>
      <w:r w:rsidRPr="00631DCC">
        <w:rPr>
          <w:rFonts w:asciiTheme="majorBidi" w:hAnsiTheme="majorBidi" w:cstheme="majorBidi"/>
          <w:sz w:val="22"/>
          <w:szCs w:val="22"/>
        </w:rPr>
        <w:t xml:space="preserve">, R. B. M., Anderson, J. R., &amp; Lien, G. (2004). </w:t>
      </w:r>
      <w:r w:rsidRPr="00631DCC">
        <w:rPr>
          <w:rFonts w:asciiTheme="majorBidi" w:hAnsiTheme="majorBidi" w:cstheme="majorBidi"/>
          <w:i/>
          <w:iCs/>
          <w:sz w:val="22"/>
          <w:szCs w:val="22"/>
        </w:rPr>
        <w:t xml:space="preserve">Coping with Risk in Agriculture. </w:t>
      </w:r>
      <w:r w:rsidRPr="00631DCC">
        <w:rPr>
          <w:rFonts w:asciiTheme="majorBidi" w:hAnsiTheme="majorBidi" w:cstheme="majorBidi"/>
          <w:sz w:val="22"/>
          <w:szCs w:val="22"/>
        </w:rPr>
        <w:t>CABI Publishing, Wallingford, United Kingdom.</w:t>
      </w:r>
    </w:p>
    <w:p w14:paraId="26A238E5"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Hedley, P. and E. </w:t>
      </w:r>
      <w:proofErr w:type="spellStart"/>
      <w:r w:rsidRPr="00631DCC">
        <w:rPr>
          <w:rFonts w:asciiTheme="majorBidi" w:hAnsiTheme="majorBidi" w:cstheme="majorBidi"/>
          <w:sz w:val="22"/>
          <w:szCs w:val="22"/>
        </w:rPr>
        <w:t>Kolver</w:t>
      </w:r>
      <w:proofErr w:type="spellEnd"/>
      <w:r w:rsidRPr="00631DCC">
        <w:rPr>
          <w:rFonts w:asciiTheme="majorBidi" w:hAnsiTheme="majorBidi" w:cstheme="majorBidi"/>
          <w:sz w:val="22"/>
          <w:szCs w:val="22"/>
        </w:rPr>
        <w:t xml:space="preserve"> (2006). Achieving high performance from a range of farm systems in Southland. South Island Dairy Event.</w:t>
      </w:r>
    </w:p>
    <w:p w14:paraId="386D6DC0"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Ho, C. K. M., Newman, M., </w:t>
      </w:r>
      <w:proofErr w:type="spellStart"/>
      <w:r w:rsidRPr="00631DCC">
        <w:rPr>
          <w:rFonts w:asciiTheme="majorBidi" w:hAnsiTheme="majorBidi" w:cstheme="majorBidi"/>
          <w:sz w:val="22"/>
          <w:szCs w:val="22"/>
        </w:rPr>
        <w:t>Dalley</w:t>
      </w:r>
      <w:proofErr w:type="spellEnd"/>
      <w:r w:rsidRPr="00631DCC">
        <w:rPr>
          <w:rFonts w:asciiTheme="majorBidi" w:hAnsiTheme="majorBidi" w:cstheme="majorBidi"/>
          <w:sz w:val="22"/>
          <w:szCs w:val="22"/>
        </w:rPr>
        <w:t xml:space="preserve">, D. E., Little, S., &amp; Wales, W. J. (2013). Performance, return and risk of different dairy systems in Australia and New Zealand. </w:t>
      </w:r>
      <w:r w:rsidRPr="00631DCC">
        <w:rPr>
          <w:rFonts w:asciiTheme="majorBidi" w:hAnsiTheme="majorBidi" w:cstheme="majorBidi"/>
          <w:i/>
          <w:iCs/>
          <w:sz w:val="22"/>
          <w:szCs w:val="22"/>
        </w:rPr>
        <w:t>Animal Production Science</w:t>
      </w:r>
      <w:r w:rsidRPr="00631DCC">
        <w:rPr>
          <w:rFonts w:asciiTheme="majorBidi" w:hAnsiTheme="majorBidi" w:cstheme="majorBidi"/>
          <w:sz w:val="22"/>
          <w:szCs w:val="22"/>
        </w:rPr>
        <w:t>, 53(9), 894-906. https://doi.org/10.1071/AN12287</w:t>
      </w:r>
    </w:p>
    <w:p w14:paraId="5918404E"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Hoppe, R. A. (2014). </w:t>
      </w:r>
      <w:r w:rsidRPr="00631DCC">
        <w:rPr>
          <w:rFonts w:asciiTheme="majorBidi" w:hAnsiTheme="majorBidi" w:cstheme="majorBidi"/>
          <w:i/>
          <w:iCs/>
          <w:sz w:val="22"/>
          <w:szCs w:val="22"/>
        </w:rPr>
        <w:t xml:space="preserve">Structure and finances of U.S. farms: Family farm report, 2014 edition </w:t>
      </w:r>
      <w:r w:rsidRPr="00631DCC">
        <w:rPr>
          <w:rFonts w:asciiTheme="majorBidi" w:hAnsiTheme="majorBidi" w:cstheme="majorBidi"/>
          <w:sz w:val="22"/>
          <w:szCs w:val="22"/>
        </w:rPr>
        <w:t xml:space="preserve">[Economic Information Bulletin Number 132]. U.S. Department of Agriculture (USDA), Economic Research Service. </w:t>
      </w:r>
    </w:p>
    <w:p w14:paraId="1267DD36"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proofErr w:type="spellStart"/>
      <w:r w:rsidRPr="00631DCC">
        <w:rPr>
          <w:rFonts w:asciiTheme="majorBidi" w:hAnsiTheme="majorBidi" w:cstheme="majorBidi"/>
          <w:sz w:val="22"/>
          <w:szCs w:val="22"/>
        </w:rPr>
        <w:t>Javed</w:t>
      </w:r>
      <w:proofErr w:type="spellEnd"/>
      <w:r w:rsidRPr="00631DCC">
        <w:rPr>
          <w:rFonts w:asciiTheme="majorBidi" w:hAnsiTheme="majorBidi" w:cstheme="majorBidi"/>
          <w:sz w:val="22"/>
          <w:szCs w:val="22"/>
        </w:rPr>
        <w:t xml:space="preserve">, Z. H., Rao, H. H., </w:t>
      </w:r>
      <w:proofErr w:type="spellStart"/>
      <w:r w:rsidRPr="00631DCC">
        <w:rPr>
          <w:rFonts w:asciiTheme="majorBidi" w:hAnsiTheme="majorBidi" w:cstheme="majorBidi"/>
          <w:sz w:val="22"/>
          <w:szCs w:val="22"/>
        </w:rPr>
        <w:t>Akram</w:t>
      </w:r>
      <w:proofErr w:type="spellEnd"/>
      <w:r w:rsidRPr="00631DCC">
        <w:rPr>
          <w:rFonts w:asciiTheme="majorBidi" w:hAnsiTheme="majorBidi" w:cstheme="majorBidi"/>
          <w:sz w:val="22"/>
          <w:szCs w:val="22"/>
        </w:rPr>
        <w:t xml:space="preserve">, B., &amp; Nazir, M. F. (2015). Effect of financial leverage on performance of the firms: Empirical evidence from Pakistan. </w:t>
      </w:r>
      <w:r w:rsidRPr="00631DCC">
        <w:rPr>
          <w:rFonts w:asciiTheme="majorBidi" w:hAnsiTheme="majorBidi" w:cstheme="majorBidi"/>
          <w:i/>
          <w:iCs/>
          <w:sz w:val="22"/>
          <w:szCs w:val="22"/>
        </w:rPr>
        <w:t>SPOUDAI Journal of Economics and Business</w:t>
      </w:r>
      <w:r w:rsidRPr="00631DCC">
        <w:rPr>
          <w:rFonts w:asciiTheme="majorBidi" w:hAnsiTheme="majorBidi" w:cstheme="majorBidi"/>
          <w:sz w:val="22"/>
          <w:szCs w:val="22"/>
        </w:rPr>
        <w:t>, 65(1-2).</w:t>
      </w:r>
    </w:p>
    <w:p w14:paraId="359E112C"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Jiang, N., &amp; </w:t>
      </w:r>
      <w:proofErr w:type="spellStart"/>
      <w:r w:rsidRPr="00631DCC">
        <w:rPr>
          <w:rFonts w:asciiTheme="majorBidi" w:hAnsiTheme="majorBidi" w:cstheme="majorBidi"/>
          <w:sz w:val="22"/>
          <w:szCs w:val="22"/>
        </w:rPr>
        <w:t>Sharb</w:t>
      </w:r>
      <w:proofErr w:type="spellEnd"/>
      <w:r w:rsidRPr="00631DCC">
        <w:rPr>
          <w:rFonts w:asciiTheme="majorBidi" w:hAnsiTheme="majorBidi" w:cstheme="majorBidi"/>
          <w:sz w:val="22"/>
          <w:szCs w:val="22"/>
        </w:rPr>
        <w:t xml:space="preserve">, B. (2014). Cost efficiency of dairy farming in New Zealand: A stochastic frontier analysis. </w:t>
      </w:r>
      <w:r w:rsidRPr="00631DCC">
        <w:rPr>
          <w:rFonts w:asciiTheme="majorBidi" w:hAnsiTheme="majorBidi" w:cstheme="majorBidi"/>
          <w:i/>
          <w:iCs/>
          <w:sz w:val="22"/>
          <w:szCs w:val="22"/>
        </w:rPr>
        <w:t>Agricultural and Resource Economics Review</w:t>
      </w:r>
      <w:r w:rsidRPr="00631DCC">
        <w:rPr>
          <w:rFonts w:asciiTheme="majorBidi" w:hAnsiTheme="majorBidi" w:cstheme="majorBidi"/>
          <w:sz w:val="22"/>
          <w:szCs w:val="22"/>
        </w:rPr>
        <w:t>, 43(3). https://doi.org/10.22004/ag.econ.189784</w:t>
      </w:r>
    </w:p>
    <w:p w14:paraId="0C059370"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proofErr w:type="spellStart"/>
      <w:r w:rsidRPr="00631DCC">
        <w:rPr>
          <w:rFonts w:asciiTheme="majorBidi" w:hAnsiTheme="majorBidi" w:cstheme="majorBidi"/>
          <w:sz w:val="22"/>
          <w:szCs w:val="22"/>
        </w:rPr>
        <w:t>Langemeier</w:t>
      </w:r>
      <w:proofErr w:type="spellEnd"/>
      <w:r w:rsidRPr="00631DCC">
        <w:rPr>
          <w:rFonts w:asciiTheme="majorBidi" w:hAnsiTheme="majorBidi" w:cstheme="majorBidi"/>
          <w:sz w:val="22"/>
          <w:szCs w:val="22"/>
        </w:rPr>
        <w:t xml:space="preserve">, M. (2016, April 1). Measuring farm profitability. </w:t>
      </w:r>
      <w:proofErr w:type="spellStart"/>
      <w:r w:rsidRPr="00631DCC">
        <w:rPr>
          <w:rFonts w:asciiTheme="majorBidi" w:hAnsiTheme="majorBidi" w:cstheme="majorBidi"/>
          <w:i/>
          <w:iCs/>
          <w:sz w:val="22"/>
          <w:szCs w:val="22"/>
        </w:rPr>
        <w:t>Farmdoc</w:t>
      </w:r>
      <w:proofErr w:type="spellEnd"/>
      <w:r w:rsidRPr="00631DCC">
        <w:rPr>
          <w:rFonts w:asciiTheme="majorBidi" w:hAnsiTheme="majorBidi" w:cstheme="majorBidi"/>
          <w:i/>
          <w:iCs/>
          <w:sz w:val="22"/>
          <w:szCs w:val="22"/>
        </w:rPr>
        <w:t xml:space="preserve"> Daily,</w:t>
      </w:r>
      <w:r w:rsidRPr="00631DCC">
        <w:rPr>
          <w:rFonts w:asciiTheme="majorBidi" w:hAnsiTheme="majorBidi" w:cstheme="majorBidi"/>
          <w:sz w:val="22"/>
          <w:szCs w:val="22"/>
        </w:rPr>
        <w:t xml:space="preserve"> 63(6), Department of Agricultural and Consumer Economics, University of Illinois at Urbana-Champaign </w:t>
      </w:r>
    </w:p>
    <w:p w14:paraId="4CF5E9FB"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proofErr w:type="spellStart"/>
      <w:r w:rsidRPr="00631DCC">
        <w:rPr>
          <w:rFonts w:asciiTheme="majorBidi" w:hAnsiTheme="majorBidi" w:cstheme="majorBidi"/>
          <w:sz w:val="22"/>
          <w:szCs w:val="22"/>
        </w:rPr>
        <w:t>Langemeier</w:t>
      </w:r>
      <w:proofErr w:type="spellEnd"/>
      <w:r w:rsidRPr="00631DCC">
        <w:rPr>
          <w:rFonts w:asciiTheme="majorBidi" w:hAnsiTheme="majorBidi" w:cstheme="majorBidi"/>
          <w:sz w:val="22"/>
          <w:szCs w:val="22"/>
        </w:rPr>
        <w:t xml:space="preserve">, M. (2010). Persistence in financial performance. </w:t>
      </w:r>
      <w:r w:rsidRPr="00631DCC">
        <w:rPr>
          <w:rFonts w:asciiTheme="majorBidi" w:hAnsiTheme="majorBidi" w:cstheme="majorBidi"/>
          <w:i/>
          <w:iCs/>
          <w:sz w:val="22"/>
          <w:szCs w:val="22"/>
        </w:rPr>
        <w:t>Journal of International Farm Management</w:t>
      </w:r>
      <w:r w:rsidRPr="00631DCC">
        <w:rPr>
          <w:rFonts w:asciiTheme="majorBidi" w:hAnsiTheme="majorBidi" w:cstheme="majorBidi"/>
          <w:sz w:val="22"/>
          <w:szCs w:val="22"/>
        </w:rPr>
        <w:t>, 5(2), 1-15.</w:t>
      </w:r>
    </w:p>
    <w:p w14:paraId="111E282A"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proofErr w:type="spellStart"/>
      <w:r w:rsidRPr="00631DCC">
        <w:rPr>
          <w:rFonts w:asciiTheme="majorBidi" w:hAnsiTheme="majorBidi" w:cstheme="majorBidi"/>
          <w:sz w:val="22"/>
          <w:szCs w:val="22"/>
        </w:rPr>
        <w:t>Langemeier</w:t>
      </w:r>
      <w:proofErr w:type="spellEnd"/>
      <w:r w:rsidRPr="00631DCC">
        <w:rPr>
          <w:rFonts w:asciiTheme="majorBidi" w:hAnsiTheme="majorBidi" w:cstheme="majorBidi"/>
          <w:sz w:val="22"/>
          <w:szCs w:val="22"/>
        </w:rPr>
        <w:t xml:space="preserve">, M., &amp; Yeager, E. (2018, August 24). Operating profit margin benchmarks. </w:t>
      </w:r>
      <w:proofErr w:type="spellStart"/>
      <w:r w:rsidRPr="00631DCC">
        <w:rPr>
          <w:rFonts w:asciiTheme="majorBidi" w:hAnsiTheme="majorBidi" w:cstheme="majorBidi"/>
          <w:i/>
          <w:iCs/>
          <w:sz w:val="22"/>
          <w:szCs w:val="22"/>
        </w:rPr>
        <w:t>Farmdoc</w:t>
      </w:r>
      <w:proofErr w:type="spellEnd"/>
      <w:r w:rsidRPr="00631DCC">
        <w:rPr>
          <w:rFonts w:asciiTheme="majorBidi" w:hAnsiTheme="majorBidi" w:cstheme="majorBidi"/>
          <w:i/>
          <w:iCs/>
          <w:sz w:val="22"/>
          <w:szCs w:val="22"/>
        </w:rPr>
        <w:t xml:space="preserve"> Daily</w:t>
      </w:r>
      <w:r w:rsidRPr="00631DCC">
        <w:rPr>
          <w:rFonts w:asciiTheme="majorBidi" w:hAnsiTheme="majorBidi" w:cstheme="majorBidi"/>
          <w:sz w:val="22"/>
          <w:szCs w:val="22"/>
        </w:rPr>
        <w:t>, 159(8), Department of Agricultural and Consumer Economics, University of Illinois at Urbana-Champaign.</w:t>
      </w:r>
    </w:p>
    <w:p w14:paraId="4CF78EE6"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lastRenderedPageBreak/>
        <w:t xml:space="preserve">Ma, W., Bicknell, K., &amp; Renwick, A. (2018). Feed use intensification and technical efficiency of dairy farms in New Zealand. Agricultural and Resource Economics, 63(1), 20-38. </w:t>
      </w:r>
    </w:p>
    <w:p w14:paraId="5031FDDF"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Ma, W., Renwick, A., &amp; </w:t>
      </w:r>
      <w:proofErr w:type="spellStart"/>
      <w:r w:rsidRPr="00631DCC">
        <w:rPr>
          <w:rFonts w:asciiTheme="majorBidi" w:hAnsiTheme="majorBidi" w:cstheme="majorBidi"/>
          <w:sz w:val="22"/>
          <w:szCs w:val="22"/>
        </w:rPr>
        <w:t>Bickell</w:t>
      </w:r>
      <w:proofErr w:type="spellEnd"/>
      <w:r w:rsidRPr="00631DCC">
        <w:rPr>
          <w:rFonts w:asciiTheme="majorBidi" w:hAnsiTheme="majorBidi" w:cstheme="majorBidi"/>
          <w:sz w:val="22"/>
          <w:szCs w:val="22"/>
        </w:rPr>
        <w:t>, K. (2018).  Higher Intensity, Higher Profit? Empirical Evidence from Dairy Farming in New Zealand. Journal of Agricultural Economics, 69(3), 739-755. https://doi.org/10.1111/1477-9552.12261</w:t>
      </w:r>
    </w:p>
    <w:p w14:paraId="28E53891"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Ma, W., Renwick, A., &amp; Zhou, X. (2020). Short communication: The relationship between farm debt and dairy productivity and profitability in New Zealand. </w:t>
      </w:r>
      <w:r w:rsidRPr="00631DCC">
        <w:rPr>
          <w:rFonts w:asciiTheme="majorBidi" w:hAnsiTheme="majorBidi" w:cstheme="majorBidi"/>
          <w:i/>
          <w:iCs/>
          <w:sz w:val="22"/>
          <w:szCs w:val="22"/>
        </w:rPr>
        <w:t>Journal of Dairy Science</w:t>
      </w:r>
      <w:r w:rsidRPr="00631DCC">
        <w:rPr>
          <w:rFonts w:asciiTheme="majorBidi" w:hAnsiTheme="majorBidi" w:cstheme="majorBidi"/>
          <w:sz w:val="22"/>
          <w:szCs w:val="22"/>
        </w:rPr>
        <w:t>, 103(9), 8251-8256. https://doi.org/10.3168/jds.2019-17506</w:t>
      </w:r>
    </w:p>
    <w:p w14:paraId="7CB7E35F"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Macdonald, K. A., J. W. </w:t>
      </w:r>
      <w:proofErr w:type="spellStart"/>
      <w:r w:rsidRPr="00631DCC">
        <w:rPr>
          <w:rFonts w:asciiTheme="majorBidi" w:hAnsiTheme="majorBidi" w:cstheme="majorBidi"/>
          <w:sz w:val="22"/>
          <w:szCs w:val="22"/>
        </w:rPr>
        <w:t>Penno</w:t>
      </w:r>
      <w:proofErr w:type="spellEnd"/>
      <w:r w:rsidRPr="00631DCC">
        <w:rPr>
          <w:rFonts w:asciiTheme="majorBidi" w:hAnsiTheme="majorBidi" w:cstheme="majorBidi"/>
          <w:sz w:val="22"/>
          <w:szCs w:val="22"/>
        </w:rPr>
        <w:t>, J. A. Lancaster, A. M. Bryant, J. M. Kidd, and J. R. Roche. (2017). Production and economic responses to intensification of pasture-based dairy production systems. Journal of Dairy Science 100(8):6602-6619. https://doi.org/10.3168/jds.2016-12497</w:t>
      </w:r>
    </w:p>
    <w:p w14:paraId="359AA567"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proofErr w:type="spellStart"/>
      <w:r w:rsidRPr="00631DCC">
        <w:rPr>
          <w:rFonts w:asciiTheme="majorBidi" w:hAnsiTheme="majorBidi" w:cstheme="majorBidi"/>
          <w:sz w:val="22"/>
          <w:szCs w:val="22"/>
        </w:rPr>
        <w:t>McCahon</w:t>
      </w:r>
      <w:proofErr w:type="spellEnd"/>
      <w:r w:rsidRPr="00631DCC">
        <w:rPr>
          <w:rFonts w:asciiTheme="majorBidi" w:hAnsiTheme="majorBidi" w:cstheme="majorBidi"/>
          <w:sz w:val="22"/>
          <w:szCs w:val="22"/>
        </w:rPr>
        <w:t xml:space="preserve">, K., Neal, M., &amp; Roche, J. R. (2019). Effects of removing imported feed. </w:t>
      </w:r>
      <w:r w:rsidRPr="00631DCC">
        <w:rPr>
          <w:rFonts w:asciiTheme="majorBidi" w:hAnsiTheme="majorBidi" w:cstheme="majorBidi"/>
          <w:i/>
          <w:iCs/>
          <w:sz w:val="22"/>
          <w:szCs w:val="22"/>
        </w:rPr>
        <w:t>Technical Series December 2019</w:t>
      </w:r>
      <w:r w:rsidRPr="00631DCC">
        <w:rPr>
          <w:rFonts w:asciiTheme="majorBidi" w:hAnsiTheme="majorBidi" w:cstheme="majorBidi"/>
          <w:sz w:val="22"/>
          <w:szCs w:val="22"/>
        </w:rPr>
        <w:t xml:space="preserve">, </w:t>
      </w:r>
      <w:proofErr w:type="spellStart"/>
      <w:r w:rsidRPr="00631DCC">
        <w:rPr>
          <w:rFonts w:asciiTheme="majorBidi" w:hAnsiTheme="majorBidi" w:cstheme="majorBidi"/>
          <w:sz w:val="22"/>
          <w:szCs w:val="22"/>
        </w:rPr>
        <w:t>DairyNZ</w:t>
      </w:r>
      <w:proofErr w:type="spellEnd"/>
      <w:r w:rsidRPr="00631DCC">
        <w:rPr>
          <w:rFonts w:asciiTheme="majorBidi" w:hAnsiTheme="majorBidi" w:cstheme="majorBidi"/>
          <w:sz w:val="22"/>
          <w:szCs w:val="22"/>
        </w:rPr>
        <w:t>, Hamilton, New Zealand.</w:t>
      </w:r>
    </w:p>
    <w:p w14:paraId="08C83DDB"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MFE. (2019, November 25). </w:t>
      </w:r>
      <w:r w:rsidRPr="00631DCC">
        <w:rPr>
          <w:rFonts w:asciiTheme="majorBidi" w:hAnsiTheme="majorBidi" w:cstheme="majorBidi"/>
          <w:i/>
          <w:iCs/>
          <w:sz w:val="22"/>
          <w:szCs w:val="22"/>
        </w:rPr>
        <w:t xml:space="preserve">About New Zealand’s emissions reduction targets. </w:t>
      </w:r>
      <w:r w:rsidRPr="00631DCC">
        <w:rPr>
          <w:rFonts w:asciiTheme="majorBidi" w:hAnsiTheme="majorBidi" w:cstheme="majorBidi"/>
          <w:sz w:val="22"/>
          <w:szCs w:val="22"/>
        </w:rPr>
        <w:t>https://www.mfe.govt.nz/climate-change/climate-change-and-government/emissions-reduction-targets/about-our-emissions</w:t>
      </w:r>
    </w:p>
    <w:p w14:paraId="04F9C172"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MFE &amp; MPI. (2020, July). </w:t>
      </w:r>
      <w:r w:rsidRPr="00631DCC">
        <w:rPr>
          <w:rFonts w:asciiTheme="majorBidi" w:hAnsiTheme="majorBidi" w:cstheme="majorBidi"/>
          <w:i/>
          <w:iCs/>
          <w:sz w:val="22"/>
          <w:szCs w:val="22"/>
        </w:rPr>
        <w:t xml:space="preserve">Action for Healthy Waterways - Information for Farmers. </w:t>
      </w:r>
      <w:r w:rsidRPr="00631DCC">
        <w:rPr>
          <w:rFonts w:asciiTheme="majorBidi" w:hAnsiTheme="majorBidi" w:cstheme="majorBidi"/>
          <w:sz w:val="22"/>
          <w:szCs w:val="22"/>
        </w:rPr>
        <w:t>https://www.mfe.govt.nz/sites/default/files/media/Fresh%20water/action-for-healthy-waterways-information-for-dairy-farmers.pdf</w:t>
      </w:r>
    </w:p>
    <w:p w14:paraId="7C7EDF71"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Mishra, A. K., Harris, M. J., Erickson, K. W., Hallahan, C., &amp; </w:t>
      </w:r>
      <w:proofErr w:type="spellStart"/>
      <w:r w:rsidRPr="00631DCC">
        <w:rPr>
          <w:rFonts w:asciiTheme="majorBidi" w:hAnsiTheme="majorBidi" w:cstheme="majorBidi"/>
          <w:sz w:val="22"/>
          <w:szCs w:val="22"/>
        </w:rPr>
        <w:t>Detre</w:t>
      </w:r>
      <w:proofErr w:type="spellEnd"/>
      <w:r w:rsidRPr="00631DCC">
        <w:rPr>
          <w:rFonts w:asciiTheme="majorBidi" w:hAnsiTheme="majorBidi" w:cstheme="majorBidi"/>
          <w:sz w:val="22"/>
          <w:szCs w:val="22"/>
        </w:rPr>
        <w:t xml:space="preserve">, J. D. (2012). Drivers of agricultural profitability in the USA: An application of the Du Pont expansion method. </w:t>
      </w:r>
      <w:r w:rsidRPr="00631DCC">
        <w:rPr>
          <w:rFonts w:asciiTheme="majorBidi" w:hAnsiTheme="majorBidi" w:cstheme="majorBidi"/>
          <w:i/>
          <w:iCs/>
          <w:sz w:val="22"/>
          <w:szCs w:val="22"/>
        </w:rPr>
        <w:t>Agricultural Finance Review</w:t>
      </w:r>
      <w:r w:rsidRPr="00631DCC">
        <w:rPr>
          <w:rFonts w:asciiTheme="majorBidi" w:hAnsiTheme="majorBidi" w:cstheme="majorBidi"/>
          <w:sz w:val="22"/>
          <w:szCs w:val="22"/>
        </w:rPr>
        <w:t>, 72(3), 325-340.</w:t>
      </w:r>
    </w:p>
    <w:p w14:paraId="2A4EF8A0"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Neal, M., Roche, J. R., &amp; </w:t>
      </w:r>
      <w:proofErr w:type="spellStart"/>
      <w:r w:rsidRPr="00631DCC">
        <w:rPr>
          <w:rFonts w:asciiTheme="majorBidi" w:hAnsiTheme="majorBidi" w:cstheme="majorBidi"/>
          <w:sz w:val="22"/>
          <w:szCs w:val="22"/>
        </w:rPr>
        <w:t>Shaloo</w:t>
      </w:r>
      <w:proofErr w:type="spellEnd"/>
      <w:r w:rsidRPr="00631DCC">
        <w:rPr>
          <w:rFonts w:asciiTheme="majorBidi" w:hAnsiTheme="majorBidi" w:cstheme="majorBidi"/>
          <w:sz w:val="22"/>
          <w:szCs w:val="22"/>
        </w:rPr>
        <w:t>, L. (2018). Profitable and resilient pasture-based dairy farm businesses: The New Zealand experience [Conference paper]. Pasture Summit, New Zealand.</w:t>
      </w:r>
    </w:p>
    <w:p w14:paraId="32A4CE4B"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Neal, M., &amp; Roche, J. R. (2020). Profitable and resilient pasture-based dairy farm businesses in New Zealand. </w:t>
      </w:r>
      <w:r w:rsidRPr="00631DCC">
        <w:rPr>
          <w:rFonts w:asciiTheme="majorBidi" w:hAnsiTheme="majorBidi" w:cstheme="majorBidi"/>
          <w:i/>
          <w:iCs/>
          <w:sz w:val="22"/>
          <w:szCs w:val="22"/>
        </w:rPr>
        <w:t>Animal Production Science</w:t>
      </w:r>
      <w:r w:rsidRPr="00631DCC">
        <w:rPr>
          <w:rFonts w:asciiTheme="majorBidi" w:hAnsiTheme="majorBidi" w:cstheme="majorBidi"/>
          <w:sz w:val="22"/>
          <w:szCs w:val="22"/>
        </w:rPr>
        <w:t>, 60(1), 169-174. https://doi.org/10.1071/AN18572</w:t>
      </w:r>
    </w:p>
    <w:p w14:paraId="778AE79D"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Pinochet-Chateau, R., </w:t>
      </w:r>
      <w:proofErr w:type="spellStart"/>
      <w:r w:rsidRPr="00631DCC">
        <w:rPr>
          <w:rFonts w:asciiTheme="majorBidi" w:hAnsiTheme="majorBidi" w:cstheme="majorBidi"/>
          <w:sz w:val="22"/>
          <w:szCs w:val="22"/>
        </w:rPr>
        <w:t>Shadbold</w:t>
      </w:r>
      <w:proofErr w:type="spellEnd"/>
      <w:r w:rsidRPr="00631DCC">
        <w:rPr>
          <w:rFonts w:asciiTheme="majorBidi" w:hAnsiTheme="majorBidi" w:cstheme="majorBidi"/>
          <w:sz w:val="22"/>
          <w:szCs w:val="22"/>
        </w:rPr>
        <w:t xml:space="preserve">, N. M., Holmes, C., &amp; Lopez-Villalobos, N. (2005). </w:t>
      </w:r>
      <w:r w:rsidRPr="00631DCC">
        <w:rPr>
          <w:rFonts w:asciiTheme="majorBidi" w:hAnsiTheme="majorBidi" w:cstheme="majorBidi"/>
          <w:i/>
          <w:iCs/>
          <w:sz w:val="22"/>
          <w:szCs w:val="22"/>
        </w:rPr>
        <w:t xml:space="preserve">Drivers of risk in New Zealand Dairy systems </w:t>
      </w:r>
      <w:r w:rsidRPr="00631DCC">
        <w:rPr>
          <w:rFonts w:asciiTheme="majorBidi" w:hAnsiTheme="majorBidi" w:cstheme="majorBidi"/>
          <w:sz w:val="22"/>
          <w:szCs w:val="22"/>
        </w:rPr>
        <w:t>[Paper presentation]. IFMA 15</w:t>
      </w:r>
      <w:r w:rsidRPr="00631DCC">
        <w:rPr>
          <w:rFonts w:asciiTheme="majorBidi" w:hAnsiTheme="majorBidi" w:cstheme="majorBidi"/>
          <w:sz w:val="22"/>
          <w:szCs w:val="22"/>
          <w:vertAlign w:val="superscript"/>
        </w:rPr>
        <w:t>th</w:t>
      </w:r>
      <w:r w:rsidRPr="00631DCC">
        <w:rPr>
          <w:rFonts w:asciiTheme="majorBidi" w:hAnsiTheme="majorBidi" w:cstheme="majorBidi"/>
          <w:sz w:val="22"/>
          <w:szCs w:val="22"/>
        </w:rPr>
        <w:t xml:space="preserve"> Congress, Campinas, Brazil.</w:t>
      </w:r>
    </w:p>
    <w:p w14:paraId="26E4601B"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proofErr w:type="spellStart"/>
      <w:r w:rsidRPr="00631DCC">
        <w:rPr>
          <w:rFonts w:asciiTheme="majorBidi" w:hAnsiTheme="majorBidi" w:cstheme="majorBidi"/>
          <w:sz w:val="22"/>
          <w:szCs w:val="22"/>
        </w:rPr>
        <w:t>Saha</w:t>
      </w:r>
      <w:proofErr w:type="spellEnd"/>
      <w:r w:rsidRPr="00631DCC">
        <w:rPr>
          <w:rFonts w:asciiTheme="majorBidi" w:hAnsiTheme="majorBidi" w:cstheme="majorBidi"/>
          <w:sz w:val="22"/>
          <w:szCs w:val="22"/>
        </w:rPr>
        <w:t>, A. (1997). Risk preference estimation in the nonlinear mean standard deviation approach. Economic Inquiry, 25, 770–782.</w:t>
      </w:r>
    </w:p>
    <w:p w14:paraId="2247BF35"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proofErr w:type="spellStart"/>
      <w:r w:rsidRPr="00631DCC">
        <w:rPr>
          <w:rFonts w:asciiTheme="majorBidi" w:hAnsiTheme="majorBidi" w:cstheme="majorBidi"/>
          <w:sz w:val="22"/>
          <w:szCs w:val="22"/>
        </w:rPr>
        <w:t>Saiyut</w:t>
      </w:r>
      <w:proofErr w:type="spellEnd"/>
      <w:r w:rsidRPr="00631DCC">
        <w:rPr>
          <w:rFonts w:asciiTheme="majorBidi" w:hAnsiTheme="majorBidi" w:cstheme="majorBidi"/>
          <w:sz w:val="22"/>
          <w:szCs w:val="22"/>
        </w:rPr>
        <w:t xml:space="preserve">, P., </w:t>
      </w:r>
      <w:proofErr w:type="spellStart"/>
      <w:r w:rsidRPr="00631DCC">
        <w:rPr>
          <w:rFonts w:asciiTheme="majorBidi" w:hAnsiTheme="majorBidi" w:cstheme="majorBidi"/>
          <w:sz w:val="22"/>
          <w:szCs w:val="22"/>
        </w:rPr>
        <w:t>Bunyasiri</w:t>
      </w:r>
      <w:proofErr w:type="spellEnd"/>
      <w:r w:rsidRPr="00631DCC">
        <w:rPr>
          <w:rFonts w:asciiTheme="majorBidi" w:hAnsiTheme="majorBidi" w:cstheme="majorBidi"/>
          <w:sz w:val="22"/>
          <w:szCs w:val="22"/>
        </w:rPr>
        <w:t xml:space="preserve">, R. </w:t>
      </w:r>
      <w:proofErr w:type="spellStart"/>
      <w:r w:rsidRPr="00631DCC">
        <w:rPr>
          <w:rFonts w:asciiTheme="majorBidi" w:hAnsiTheme="majorBidi" w:cstheme="majorBidi"/>
          <w:sz w:val="22"/>
          <w:szCs w:val="22"/>
        </w:rPr>
        <w:t>Sirisupluxana</w:t>
      </w:r>
      <w:proofErr w:type="spellEnd"/>
      <w:r w:rsidRPr="00631DCC">
        <w:rPr>
          <w:rFonts w:asciiTheme="majorBidi" w:hAnsiTheme="majorBidi" w:cstheme="majorBidi"/>
          <w:sz w:val="22"/>
          <w:szCs w:val="22"/>
        </w:rPr>
        <w:t xml:space="preserve">, P., &amp; </w:t>
      </w:r>
      <w:proofErr w:type="spellStart"/>
      <w:r w:rsidRPr="00631DCC">
        <w:rPr>
          <w:rFonts w:asciiTheme="majorBidi" w:hAnsiTheme="majorBidi" w:cstheme="majorBidi"/>
          <w:sz w:val="22"/>
          <w:szCs w:val="22"/>
        </w:rPr>
        <w:t>Mahathanaseth</w:t>
      </w:r>
      <w:proofErr w:type="spellEnd"/>
      <w:r w:rsidRPr="00631DCC">
        <w:rPr>
          <w:rFonts w:asciiTheme="majorBidi" w:hAnsiTheme="majorBidi" w:cstheme="majorBidi"/>
          <w:sz w:val="22"/>
          <w:szCs w:val="22"/>
        </w:rPr>
        <w:t xml:space="preserve">, I. (2018). The impact of age structure on technical efficiency in Thai agriculture. </w:t>
      </w:r>
      <w:proofErr w:type="spellStart"/>
      <w:r w:rsidRPr="00631DCC">
        <w:rPr>
          <w:rFonts w:asciiTheme="majorBidi" w:hAnsiTheme="majorBidi" w:cstheme="majorBidi"/>
          <w:i/>
          <w:iCs/>
          <w:sz w:val="22"/>
          <w:szCs w:val="22"/>
        </w:rPr>
        <w:t>Kasetsart</w:t>
      </w:r>
      <w:proofErr w:type="spellEnd"/>
      <w:r w:rsidRPr="00631DCC">
        <w:rPr>
          <w:rFonts w:asciiTheme="majorBidi" w:hAnsiTheme="majorBidi" w:cstheme="majorBidi"/>
          <w:i/>
          <w:iCs/>
          <w:sz w:val="22"/>
          <w:szCs w:val="22"/>
        </w:rPr>
        <w:t xml:space="preserve"> Journal of Social Sciences</w:t>
      </w:r>
      <w:r w:rsidRPr="00631DCC">
        <w:rPr>
          <w:rFonts w:asciiTheme="majorBidi" w:hAnsiTheme="majorBidi" w:cstheme="majorBidi"/>
          <w:sz w:val="22"/>
          <w:szCs w:val="22"/>
        </w:rPr>
        <w:t>, 40, 539-545. 10.1016/j.kjss.2017.12.015</w:t>
      </w:r>
    </w:p>
    <w:p w14:paraId="357F0E19"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A438E1">
        <w:rPr>
          <w:rFonts w:asciiTheme="majorBidi" w:hAnsiTheme="majorBidi" w:cstheme="majorBidi"/>
          <w:sz w:val="22"/>
          <w:szCs w:val="22"/>
          <w:lang w:val="fr-FR"/>
        </w:rPr>
        <w:t xml:space="preserve">Sauder D. C., &amp; DeMars C. E. (2019). </w:t>
      </w:r>
      <w:r w:rsidRPr="00631DCC">
        <w:rPr>
          <w:rFonts w:asciiTheme="majorBidi" w:hAnsiTheme="majorBidi" w:cstheme="majorBidi"/>
          <w:sz w:val="22"/>
          <w:szCs w:val="22"/>
        </w:rPr>
        <w:t xml:space="preserve">An updated recommendation for multiple comparisons. </w:t>
      </w:r>
      <w:r w:rsidRPr="00631DCC">
        <w:rPr>
          <w:rFonts w:asciiTheme="majorBidi" w:hAnsiTheme="majorBidi" w:cstheme="majorBidi"/>
          <w:i/>
          <w:iCs/>
          <w:sz w:val="22"/>
          <w:szCs w:val="22"/>
        </w:rPr>
        <w:t>Advances in Methods and Practices in Psychological Science</w:t>
      </w:r>
      <w:r w:rsidRPr="00631DCC">
        <w:rPr>
          <w:rFonts w:asciiTheme="majorBidi" w:hAnsiTheme="majorBidi" w:cstheme="majorBidi"/>
          <w:sz w:val="22"/>
          <w:szCs w:val="22"/>
        </w:rPr>
        <w:t>. 26-44. doi:10.1177/2515245918808784</w:t>
      </w:r>
    </w:p>
    <w:p w14:paraId="664CB79C"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lastRenderedPageBreak/>
        <w:t xml:space="preserve">Shadbolt, N. (2012) Competitive strategy analysis of NZ pastoral dairy farming systems. </w:t>
      </w:r>
      <w:r w:rsidRPr="00631DCC">
        <w:rPr>
          <w:rFonts w:asciiTheme="majorBidi" w:hAnsiTheme="majorBidi" w:cstheme="majorBidi"/>
          <w:i/>
          <w:iCs/>
          <w:sz w:val="22"/>
          <w:szCs w:val="22"/>
        </w:rPr>
        <w:t>International Journal of Agricultural Management</w:t>
      </w:r>
      <w:r w:rsidRPr="00631DCC">
        <w:rPr>
          <w:rFonts w:asciiTheme="majorBidi" w:hAnsiTheme="majorBidi" w:cstheme="majorBidi"/>
          <w:sz w:val="22"/>
          <w:szCs w:val="22"/>
        </w:rPr>
        <w:t>, 1, 19–27.</w:t>
      </w:r>
    </w:p>
    <w:p w14:paraId="282CD668"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Shadbolt, N., </w:t>
      </w:r>
      <w:proofErr w:type="spellStart"/>
      <w:r w:rsidRPr="00631DCC">
        <w:rPr>
          <w:rFonts w:asciiTheme="majorBidi" w:hAnsiTheme="majorBidi" w:cstheme="majorBidi"/>
          <w:sz w:val="22"/>
          <w:szCs w:val="22"/>
        </w:rPr>
        <w:t>Olubode-Awosola</w:t>
      </w:r>
      <w:proofErr w:type="spellEnd"/>
      <w:r w:rsidRPr="00631DCC">
        <w:rPr>
          <w:rFonts w:asciiTheme="majorBidi" w:hAnsiTheme="majorBidi" w:cstheme="majorBidi"/>
          <w:sz w:val="22"/>
          <w:szCs w:val="22"/>
        </w:rPr>
        <w:t xml:space="preserve">, F., &amp; </w:t>
      </w:r>
      <w:proofErr w:type="spellStart"/>
      <w:r w:rsidRPr="00631DCC">
        <w:rPr>
          <w:rFonts w:asciiTheme="majorBidi" w:hAnsiTheme="majorBidi" w:cstheme="majorBidi"/>
          <w:sz w:val="22"/>
          <w:szCs w:val="22"/>
        </w:rPr>
        <w:t>Rutsito</w:t>
      </w:r>
      <w:proofErr w:type="spellEnd"/>
      <w:r w:rsidRPr="00631DCC">
        <w:rPr>
          <w:rFonts w:asciiTheme="majorBidi" w:hAnsiTheme="majorBidi" w:cstheme="majorBidi"/>
          <w:sz w:val="22"/>
          <w:szCs w:val="22"/>
        </w:rPr>
        <w:t>, B. (2013). Resilience, to ‘bounce without breaking’ in New Zealand dairy farm businesses [Paper presentation]. 19th International Farm Management Congress, Warsaw, Poland.</w:t>
      </w:r>
    </w:p>
    <w:p w14:paraId="5B2A1B7C"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proofErr w:type="spellStart"/>
      <w:r w:rsidRPr="00631DCC">
        <w:rPr>
          <w:rFonts w:asciiTheme="majorBidi" w:hAnsiTheme="majorBidi" w:cstheme="majorBidi"/>
          <w:sz w:val="22"/>
          <w:szCs w:val="22"/>
        </w:rPr>
        <w:t>Shingala</w:t>
      </w:r>
      <w:proofErr w:type="spellEnd"/>
      <w:r w:rsidRPr="00631DCC">
        <w:rPr>
          <w:rFonts w:asciiTheme="majorBidi" w:hAnsiTheme="majorBidi" w:cstheme="majorBidi"/>
          <w:sz w:val="22"/>
          <w:szCs w:val="22"/>
        </w:rPr>
        <w:t xml:space="preserve">, M. C., &amp; </w:t>
      </w:r>
      <w:proofErr w:type="spellStart"/>
      <w:r w:rsidRPr="00631DCC">
        <w:rPr>
          <w:rFonts w:asciiTheme="majorBidi" w:hAnsiTheme="majorBidi" w:cstheme="majorBidi"/>
          <w:sz w:val="22"/>
          <w:szCs w:val="22"/>
        </w:rPr>
        <w:t>Rajyaguru</w:t>
      </w:r>
      <w:proofErr w:type="spellEnd"/>
      <w:r w:rsidRPr="00631DCC">
        <w:rPr>
          <w:rFonts w:asciiTheme="majorBidi" w:hAnsiTheme="majorBidi" w:cstheme="majorBidi"/>
          <w:sz w:val="22"/>
          <w:szCs w:val="22"/>
        </w:rPr>
        <w:t xml:space="preserve">, A. (2015). Comparison of post hoc tests for unequal variance. </w:t>
      </w:r>
      <w:r w:rsidRPr="00631DCC">
        <w:rPr>
          <w:rFonts w:asciiTheme="majorBidi" w:hAnsiTheme="majorBidi" w:cstheme="majorBidi"/>
          <w:i/>
          <w:iCs/>
          <w:sz w:val="22"/>
          <w:szCs w:val="22"/>
        </w:rPr>
        <w:t>International Journal of New Technologies in Science and Engineering</w:t>
      </w:r>
      <w:r w:rsidRPr="00631DCC">
        <w:rPr>
          <w:rFonts w:asciiTheme="majorBidi" w:hAnsiTheme="majorBidi" w:cstheme="majorBidi"/>
          <w:sz w:val="22"/>
          <w:szCs w:val="22"/>
        </w:rPr>
        <w:t>, 2(5), 22-33.</w:t>
      </w:r>
    </w:p>
    <w:p w14:paraId="796D5DBA"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Snider, L., &amp; </w:t>
      </w:r>
      <w:proofErr w:type="spellStart"/>
      <w:r w:rsidRPr="00631DCC">
        <w:rPr>
          <w:rFonts w:asciiTheme="majorBidi" w:hAnsiTheme="majorBidi" w:cstheme="majorBidi"/>
          <w:sz w:val="22"/>
          <w:szCs w:val="22"/>
        </w:rPr>
        <w:t>Langemeier</w:t>
      </w:r>
      <w:proofErr w:type="spellEnd"/>
      <w:r w:rsidRPr="00631DCC">
        <w:rPr>
          <w:rFonts w:asciiTheme="majorBidi" w:hAnsiTheme="majorBidi" w:cstheme="majorBidi"/>
          <w:sz w:val="22"/>
          <w:szCs w:val="22"/>
        </w:rPr>
        <w:t xml:space="preserve">, M. (2009). </w:t>
      </w:r>
      <w:r w:rsidRPr="00631DCC">
        <w:rPr>
          <w:rFonts w:asciiTheme="majorBidi" w:hAnsiTheme="majorBidi" w:cstheme="majorBidi"/>
          <w:i/>
          <w:iCs/>
          <w:sz w:val="22"/>
          <w:szCs w:val="22"/>
        </w:rPr>
        <w:t>A long-term analysis of changes in farm size and financial performance</w:t>
      </w:r>
      <w:r w:rsidRPr="00631DCC">
        <w:rPr>
          <w:rFonts w:asciiTheme="majorBidi" w:hAnsiTheme="majorBidi" w:cstheme="majorBidi"/>
          <w:sz w:val="22"/>
          <w:szCs w:val="22"/>
        </w:rPr>
        <w:t xml:space="preserve"> [Paper presentation]. Southern Agricultural Economics Annual Meeting, Atlanta, Georgia.</w:t>
      </w:r>
    </w:p>
    <w:p w14:paraId="73B1A82C"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proofErr w:type="spellStart"/>
      <w:r w:rsidRPr="00631DCC">
        <w:rPr>
          <w:rFonts w:asciiTheme="majorBidi" w:hAnsiTheme="majorBidi" w:cstheme="majorBidi"/>
          <w:sz w:val="22"/>
          <w:szCs w:val="22"/>
        </w:rPr>
        <w:t>Sulewski</w:t>
      </w:r>
      <w:proofErr w:type="spellEnd"/>
      <w:r w:rsidRPr="00631DCC">
        <w:rPr>
          <w:rFonts w:asciiTheme="majorBidi" w:hAnsiTheme="majorBidi" w:cstheme="majorBidi"/>
          <w:sz w:val="22"/>
          <w:szCs w:val="22"/>
        </w:rPr>
        <w:t xml:space="preserve">, P., Was, A., Kobus, P., </w:t>
      </w:r>
      <w:proofErr w:type="spellStart"/>
      <w:r w:rsidRPr="00631DCC">
        <w:rPr>
          <w:rFonts w:asciiTheme="majorBidi" w:hAnsiTheme="majorBidi" w:cstheme="majorBidi"/>
          <w:sz w:val="22"/>
          <w:szCs w:val="22"/>
        </w:rPr>
        <w:t>Pogodzinska</w:t>
      </w:r>
      <w:proofErr w:type="spellEnd"/>
      <w:r w:rsidRPr="00631DCC">
        <w:rPr>
          <w:rFonts w:asciiTheme="majorBidi" w:hAnsiTheme="majorBidi" w:cstheme="majorBidi"/>
          <w:sz w:val="22"/>
          <w:szCs w:val="22"/>
        </w:rPr>
        <w:t xml:space="preserve">, K., </w:t>
      </w:r>
      <w:proofErr w:type="spellStart"/>
      <w:r w:rsidRPr="00631DCC">
        <w:rPr>
          <w:rFonts w:asciiTheme="majorBidi" w:hAnsiTheme="majorBidi" w:cstheme="majorBidi"/>
          <w:sz w:val="22"/>
          <w:szCs w:val="22"/>
        </w:rPr>
        <w:t>Syzmanska</w:t>
      </w:r>
      <w:proofErr w:type="spellEnd"/>
      <w:r w:rsidRPr="00631DCC">
        <w:rPr>
          <w:rFonts w:asciiTheme="majorBidi" w:hAnsiTheme="majorBidi" w:cstheme="majorBidi"/>
          <w:sz w:val="22"/>
          <w:szCs w:val="22"/>
        </w:rPr>
        <w:t xml:space="preserve">, M., &amp; </w:t>
      </w:r>
      <w:proofErr w:type="spellStart"/>
      <w:r w:rsidRPr="00631DCC">
        <w:rPr>
          <w:rFonts w:asciiTheme="majorBidi" w:hAnsiTheme="majorBidi" w:cstheme="majorBidi"/>
          <w:sz w:val="22"/>
          <w:szCs w:val="22"/>
        </w:rPr>
        <w:t>Sosulski</w:t>
      </w:r>
      <w:proofErr w:type="spellEnd"/>
      <w:r w:rsidRPr="00631DCC">
        <w:rPr>
          <w:rFonts w:asciiTheme="majorBidi" w:hAnsiTheme="majorBidi" w:cstheme="majorBidi"/>
          <w:sz w:val="22"/>
          <w:szCs w:val="22"/>
        </w:rPr>
        <w:t xml:space="preserve">, T. (2020). Farmers’ attitudes towards risk—An empirical study from Poland. </w:t>
      </w:r>
      <w:r w:rsidRPr="00631DCC">
        <w:rPr>
          <w:rFonts w:asciiTheme="majorBidi" w:hAnsiTheme="majorBidi" w:cstheme="majorBidi"/>
          <w:i/>
          <w:iCs/>
          <w:sz w:val="22"/>
          <w:szCs w:val="22"/>
        </w:rPr>
        <w:t>Agronomy</w:t>
      </w:r>
      <w:r w:rsidRPr="00631DCC">
        <w:rPr>
          <w:rFonts w:asciiTheme="majorBidi" w:hAnsiTheme="majorBidi" w:cstheme="majorBidi"/>
          <w:sz w:val="22"/>
          <w:szCs w:val="22"/>
        </w:rPr>
        <w:t>, 10, 1555. https://doi.org/10.3390/agronomy10101555</w:t>
      </w:r>
    </w:p>
    <w:p w14:paraId="018D86B7"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Torres-Reyna, O. (2010). </w:t>
      </w:r>
      <w:r w:rsidRPr="00631DCC">
        <w:rPr>
          <w:rFonts w:asciiTheme="majorBidi" w:hAnsiTheme="majorBidi" w:cstheme="majorBidi"/>
          <w:i/>
          <w:iCs/>
          <w:sz w:val="22"/>
          <w:szCs w:val="22"/>
        </w:rPr>
        <w:t>Getting started in fixed/random effects models using R</w:t>
      </w:r>
      <w:r w:rsidRPr="00631DCC">
        <w:rPr>
          <w:rFonts w:asciiTheme="majorBidi" w:hAnsiTheme="majorBidi" w:cstheme="majorBidi"/>
          <w:sz w:val="22"/>
          <w:szCs w:val="22"/>
        </w:rPr>
        <w:t>. Princeton, Data and Statistical Services.</w:t>
      </w:r>
    </w:p>
    <w:p w14:paraId="2D75CF28"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proofErr w:type="spellStart"/>
      <w:r w:rsidRPr="00631DCC">
        <w:rPr>
          <w:rFonts w:asciiTheme="majorBidi" w:hAnsiTheme="majorBidi" w:cstheme="majorBidi"/>
          <w:sz w:val="22"/>
          <w:szCs w:val="22"/>
        </w:rPr>
        <w:t>Uzea</w:t>
      </w:r>
      <w:proofErr w:type="spellEnd"/>
      <w:r w:rsidRPr="00631DCC">
        <w:rPr>
          <w:rFonts w:asciiTheme="majorBidi" w:hAnsiTheme="majorBidi" w:cstheme="majorBidi"/>
          <w:sz w:val="22"/>
          <w:szCs w:val="22"/>
        </w:rPr>
        <w:t xml:space="preserve">, N., Poon, K., Sparling, D., &amp; </w:t>
      </w:r>
      <w:proofErr w:type="spellStart"/>
      <w:r w:rsidRPr="00631DCC">
        <w:rPr>
          <w:rFonts w:asciiTheme="majorBidi" w:hAnsiTheme="majorBidi" w:cstheme="majorBidi"/>
          <w:sz w:val="22"/>
          <w:szCs w:val="22"/>
        </w:rPr>
        <w:t>Weersink</w:t>
      </w:r>
      <w:proofErr w:type="spellEnd"/>
      <w:r w:rsidRPr="00631DCC">
        <w:rPr>
          <w:rFonts w:asciiTheme="majorBidi" w:hAnsiTheme="majorBidi" w:cstheme="majorBidi"/>
          <w:sz w:val="22"/>
          <w:szCs w:val="22"/>
        </w:rPr>
        <w:t xml:space="preserve">, A. (2014). Farm support payments and risk balancing: Implications for financial riskiness of Canadian farms. </w:t>
      </w:r>
      <w:r w:rsidRPr="00631DCC">
        <w:rPr>
          <w:rFonts w:asciiTheme="majorBidi" w:hAnsiTheme="majorBidi" w:cstheme="majorBidi"/>
          <w:i/>
          <w:iCs/>
          <w:sz w:val="22"/>
          <w:szCs w:val="22"/>
        </w:rPr>
        <w:t>Canadian Journal of Agricultural Economics</w:t>
      </w:r>
      <w:r w:rsidRPr="00631DCC">
        <w:rPr>
          <w:rFonts w:asciiTheme="majorBidi" w:hAnsiTheme="majorBidi" w:cstheme="majorBidi"/>
          <w:sz w:val="22"/>
          <w:szCs w:val="22"/>
        </w:rPr>
        <w:t>, 62(4). https://doi.org/10.1111/cjag.12043</w:t>
      </w:r>
    </w:p>
    <w:p w14:paraId="1B98FF9C"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Wales, W. J., &amp; </w:t>
      </w:r>
      <w:proofErr w:type="spellStart"/>
      <w:r w:rsidRPr="00631DCC">
        <w:rPr>
          <w:rFonts w:asciiTheme="majorBidi" w:hAnsiTheme="majorBidi" w:cstheme="majorBidi"/>
          <w:sz w:val="22"/>
          <w:szCs w:val="22"/>
        </w:rPr>
        <w:t>Kolver</w:t>
      </w:r>
      <w:proofErr w:type="spellEnd"/>
      <w:r w:rsidRPr="00631DCC">
        <w:rPr>
          <w:rFonts w:asciiTheme="majorBidi" w:hAnsiTheme="majorBidi" w:cstheme="majorBidi"/>
          <w:sz w:val="22"/>
          <w:szCs w:val="22"/>
        </w:rPr>
        <w:t xml:space="preserve">, E. S. (2017). Challenges of feeding dairy cows in Australia and New Zealand. </w:t>
      </w:r>
      <w:r w:rsidRPr="00631DCC">
        <w:rPr>
          <w:rFonts w:asciiTheme="majorBidi" w:hAnsiTheme="majorBidi" w:cstheme="majorBidi"/>
          <w:i/>
          <w:iCs/>
          <w:sz w:val="22"/>
          <w:szCs w:val="22"/>
        </w:rPr>
        <w:t>Animal Production Science</w:t>
      </w:r>
      <w:r w:rsidRPr="00631DCC">
        <w:rPr>
          <w:rFonts w:asciiTheme="majorBidi" w:hAnsiTheme="majorBidi" w:cstheme="majorBidi"/>
          <w:sz w:val="22"/>
          <w:szCs w:val="22"/>
        </w:rPr>
        <w:t>, 57(7), 1366-1383. https://doi.org/10.1071/AN16828</w:t>
      </w:r>
    </w:p>
    <w:p w14:paraId="5792CCFD"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Westpac. (2020, October 12). </w:t>
      </w:r>
      <w:r w:rsidRPr="00631DCC">
        <w:rPr>
          <w:rFonts w:asciiTheme="majorBidi" w:hAnsiTheme="majorBidi" w:cstheme="majorBidi"/>
          <w:i/>
          <w:iCs/>
          <w:sz w:val="22"/>
          <w:szCs w:val="22"/>
        </w:rPr>
        <w:t>Weekly economic commentary: Agri exports doing well, but what are the risks?</w:t>
      </w:r>
      <w:r w:rsidRPr="00631DCC">
        <w:rPr>
          <w:rFonts w:asciiTheme="majorBidi" w:hAnsiTheme="majorBidi" w:cstheme="majorBidi"/>
          <w:sz w:val="22"/>
          <w:szCs w:val="22"/>
        </w:rPr>
        <w:t xml:space="preserve"> https://westpaciq.westpac.com.au/wibiqauthoring/_uploads/file/New_Zealand/2020/October_2020/12.10.20_Weekly_Economic_Commentary_-_Westpac_NZ.pdf</w:t>
      </w:r>
    </w:p>
    <w:p w14:paraId="35CEE8C7"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Wolf, C. A., Black, R. J., &amp; Stephenson, M. W. (2020). Benchmarking upper Midwest dairy farm profitability. </w:t>
      </w:r>
      <w:r w:rsidRPr="00631DCC">
        <w:rPr>
          <w:rFonts w:asciiTheme="majorBidi" w:hAnsiTheme="majorBidi" w:cstheme="majorBidi"/>
          <w:i/>
          <w:iCs/>
          <w:sz w:val="22"/>
          <w:szCs w:val="22"/>
        </w:rPr>
        <w:t>Agricultural Finance Review</w:t>
      </w:r>
      <w:r w:rsidRPr="00631DCC">
        <w:rPr>
          <w:rFonts w:asciiTheme="majorBidi" w:hAnsiTheme="majorBidi" w:cstheme="majorBidi"/>
          <w:sz w:val="22"/>
          <w:szCs w:val="22"/>
        </w:rPr>
        <w:t xml:space="preserve">, 80(5), 733-744. https://doi.org/10.1108/AFR-02-2020-0022 </w:t>
      </w:r>
    </w:p>
    <w:p w14:paraId="5DC4FACD"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Yeager, E. A., &amp; </w:t>
      </w:r>
      <w:proofErr w:type="spellStart"/>
      <w:r w:rsidRPr="00631DCC">
        <w:rPr>
          <w:rFonts w:asciiTheme="majorBidi" w:hAnsiTheme="majorBidi" w:cstheme="majorBidi"/>
          <w:sz w:val="22"/>
          <w:szCs w:val="22"/>
        </w:rPr>
        <w:t>Langemeier</w:t>
      </w:r>
      <w:proofErr w:type="spellEnd"/>
      <w:r w:rsidRPr="00631DCC">
        <w:rPr>
          <w:rFonts w:asciiTheme="majorBidi" w:hAnsiTheme="majorBidi" w:cstheme="majorBidi"/>
          <w:sz w:val="22"/>
          <w:szCs w:val="22"/>
        </w:rPr>
        <w:t xml:space="preserve">, M. R. (2016). Economic efficiency adjusted for risk preferences. </w:t>
      </w:r>
      <w:r w:rsidRPr="00631DCC">
        <w:rPr>
          <w:rFonts w:asciiTheme="majorBidi" w:hAnsiTheme="majorBidi" w:cstheme="majorBidi"/>
          <w:i/>
          <w:iCs/>
          <w:sz w:val="22"/>
          <w:szCs w:val="22"/>
        </w:rPr>
        <w:t>Applied Economics</w:t>
      </w:r>
      <w:r w:rsidRPr="00631DCC">
        <w:rPr>
          <w:rFonts w:asciiTheme="majorBidi" w:hAnsiTheme="majorBidi" w:cstheme="majorBidi"/>
          <w:sz w:val="22"/>
          <w:szCs w:val="22"/>
        </w:rPr>
        <w:t>, 49(16), 1627-2636. https://doi.org/10.1080/00036846.2016.1223819</w:t>
      </w:r>
    </w:p>
    <w:p w14:paraId="68D66283" w14:textId="77777777" w:rsidR="00FA2128" w:rsidRPr="00631DCC"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Yu, F., Liang, Q., &amp; Wang, W. (2019). State ownership and banks’ information rents: Evidence from China. </w:t>
      </w:r>
      <w:r w:rsidRPr="00631DCC">
        <w:rPr>
          <w:rFonts w:asciiTheme="majorBidi" w:hAnsiTheme="majorBidi" w:cstheme="majorBidi"/>
          <w:i/>
          <w:iCs/>
          <w:sz w:val="22"/>
          <w:szCs w:val="22"/>
        </w:rPr>
        <w:t>Financial Review</w:t>
      </w:r>
      <w:r w:rsidRPr="00631DCC">
        <w:rPr>
          <w:rFonts w:asciiTheme="majorBidi" w:hAnsiTheme="majorBidi" w:cstheme="majorBidi"/>
          <w:sz w:val="22"/>
          <w:szCs w:val="22"/>
        </w:rPr>
        <w:t>, 55(2). https://doi.org/10.1111/fire.12197</w:t>
      </w:r>
    </w:p>
    <w:p w14:paraId="038E25D8" w14:textId="77777777" w:rsidR="00FA2128" w:rsidRDefault="00FA2128" w:rsidP="004618A8">
      <w:pPr>
        <w:spacing w:after="240" w:line="288" w:lineRule="auto"/>
        <w:ind w:left="720" w:hanging="720"/>
        <w:jc w:val="both"/>
        <w:rPr>
          <w:rFonts w:asciiTheme="majorBidi" w:hAnsiTheme="majorBidi" w:cstheme="majorBidi"/>
          <w:sz w:val="22"/>
          <w:szCs w:val="22"/>
        </w:rPr>
      </w:pPr>
      <w:r w:rsidRPr="00631DCC">
        <w:rPr>
          <w:rFonts w:asciiTheme="majorBidi" w:hAnsiTheme="majorBidi" w:cstheme="majorBidi"/>
          <w:sz w:val="22"/>
          <w:szCs w:val="22"/>
        </w:rPr>
        <w:t xml:space="preserve">Wales, W. J., &amp; </w:t>
      </w:r>
      <w:proofErr w:type="spellStart"/>
      <w:r w:rsidRPr="00631DCC">
        <w:rPr>
          <w:rFonts w:asciiTheme="majorBidi" w:hAnsiTheme="majorBidi" w:cstheme="majorBidi"/>
          <w:sz w:val="22"/>
          <w:szCs w:val="22"/>
        </w:rPr>
        <w:t>Kolver</w:t>
      </w:r>
      <w:proofErr w:type="spellEnd"/>
      <w:r w:rsidRPr="00631DCC">
        <w:rPr>
          <w:rFonts w:asciiTheme="majorBidi" w:hAnsiTheme="majorBidi" w:cstheme="majorBidi"/>
          <w:sz w:val="22"/>
          <w:szCs w:val="22"/>
        </w:rPr>
        <w:t xml:space="preserve">, E. S. (2017). Challenges of feeding dairy cows in Australia and New Zealand. </w:t>
      </w:r>
      <w:r w:rsidRPr="00631DCC">
        <w:rPr>
          <w:rFonts w:asciiTheme="majorBidi" w:hAnsiTheme="majorBidi" w:cstheme="majorBidi"/>
          <w:i/>
          <w:iCs/>
          <w:sz w:val="22"/>
          <w:szCs w:val="22"/>
        </w:rPr>
        <w:t>Animal Production Science</w:t>
      </w:r>
      <w:r w:rsidRPr="00631DCC">
        <w:rPr>
          <w:rFonts w:asciiTheme="majorBidi" w:hAnsiTheme="majorBidi" w:cstheme="majorBidi"/>
          <w:sz w:val="22"/>
          <w:szCs w:val="22"/>
        </w:rPr>
        <w:t xml:space="preserve">, 57(7), 1366-1383. </w:t>
      </w:r>
      <w:r w:rsidRPr="00877125">
        <w:rPr>
          <w:rFonts w:asciiTheme="majorBidi" w:hAnsiTheme="majorBidi" w:cstheme="majorBidi"/>
          <w:sz w:val="22"/>
          <w:szCs w:val="22"/>
        </w:rPr>
        <w:t>https://doi.org/10.1071/AN16828</w:t>
      </w:r>
    </w:p>
    <w:p w14:paraId="7F916684" w14:textId="01B15459" w:rsidR="00877125" w:rsidRDefault="00877125" w:rsidP="00FA2128">
      <w:pPr>
        <w:spacing w:after="100" w:afterAutospacing="1" w:line="276" w:lineRule="auto"/>
        <w:jc w:val="both"/>
        <w:rPr>
          <w:rFonts w:asciiTheme="majorBidi" w:hAnsiTheme="majorBidi" w:cstheme="majorBidi"/>
          <w:sz w:val="22"/>
          <w:szCs w:val="22"/>
        </w:rPr>
      </w:pPr>
    </w:p>
    <w:sectPr w:rsidR="00877125" w:rsidSect="00C637E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03B9" w14:textId="77777777" w:rsidR="00DE7A0B" w:rsidRDefault="00DE7A0B" w:rsidP="00A97771">
      <w:pPr>
        <w:spacing w:after="0" w:line="240" w:lineRule="auto"/>
      </w:pPr>
      <w:r>
        <w:separator/>
      </w:r>
    </w:p>
  </w:endnote>
  <w:endnote w:type="continuationSeparator" w:id="0">
    <w:p w14:paraId="6435BD50" w14:textId="77777777" w:rsidR="00DE7A0B" w:rsidRDefault="00DE7A0B" w:rsidP="00A9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171763"/>
      <w:docPartObj>
        <w:docPartGallery w:val="Page Numbers (Bottom of Page)"/>
        <w:docPartUnique/>
      </w:docPartObj>
    </w:sdtPr>
    <w:sdtEndPr>
      <w:rPr>
        <w:noProof/>
      </w:rPr>
    </w:sdtEndPr>
    <w:sdtContent>
      <w:p w14:paraId="1BB4188A" w14:textId="73558845" w:rsidR="00FC2504" w:rsidRDefault="00FC2504" w:rsidP="00FE2861">
        <w:pPr>
          <w:pStyle w:val="Footer"/>
          <w:jc w:val="center"/>
        </w:pPr>
        <w:r>
          <w:fldChar w:fldCharType="begin"/>
        </w:r>
        <w:r>
          <w:instrText xml:space="preserve"> PAGE   \* MERGEFORMAT </w:instrText>
        </w:r>
        <w:r>
          <w:fldChar w:fldCharType="separate"/>
        </w:r>
        <w:r w:rsidR="00A21BBD">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2C0EE" w14:textId="77777777" w:rsidR="00DE7A0B" w:rsidRDefault="00DE7A0B" w:rsidP="00A97771">
      <w:pPr>
        <w:spacing w:after="0" w:line="240" w:lineRule="auto"/>
      </w:pPr>
      <w:r>
        <w:separator/>
      </w:r>
    </w:p>
  </w:footnote>
  <w:footnote w:type="continuationSeparator" w:id="0">
    <w:p w14:paraId="70EE88EB" w14:textId="77777777" w:rsidR="00DE7A0B" w:rsidRDefault="00DE7A0B" w:rsidP="00A97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669"/>
    <w:multiLevelType w:val="hybridMultilevel"/>
    <w:tmpl w:val="E8EE79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940DE5"/>
    <w:multiLevelType w:val="hybridMultilevel"/>
    <w:tmpl w:val="26BA20CA"/>
    <w:lvl w:ilvl="0" w:tplc="1040D536">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4551DB"/>
    <w:multiLevelType w:val="hybridMultilevel"/>
    <w:tmpl w:val="5FA23D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42302B"/>
    <w:multiLevelType w:val="hybridMultilevel"/>
    <w:tmpl w:val="47F85584"/>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D46F1A"/>
    <w:multiLevelType w:val="hybridMultilevel"/>
    <w:tmpl w:val="67E2E9C6"/>
    <w:lvl w:ilvl="0" w:tplc="FBBC02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EB8761F"/>
    <w:multiLevelType w:val="hybridMultilevel"/>
    <w:tmpl w:val="A7E2FEF0"/>
    <w:lvl w:ilvl="0" w:tplc="E510172C">
      <w:start w:val="1"/>
      <w:numFmt w:val="bullet"/>
      <w:lvlText w:val=""/>
      <w:lvlJc w:val="left"/>
      <w:pPr>
        <w:ind w:left="1440" w:hanging="36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0D07D7"/>
    <w:multiLevelType w:val="hybridMultilevel"/>
    <w:tmpl w:val="DFE046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26629D7"/>
    <w:multiLevelType w:val="hybridMultilevel"/>
    <w:tmpl w:val="6C70840A"/>
    <w:lvl w:ilvl="0" w:tplc="E97A882C">
      <w:numFmt w:val="bullet"/>
      <w:lvlText w:val=""/>
      <w:lvlJc w:val="left"/>
      <w:pPr>
        <w:ind w:left="720" w:hanging="360"/>
      </w:pPr>
      <w:rPr>
        <w:rFonts w:ascii="Symbol" w:eastAsiaTheme="minorEastAsia" w:hAnsi="Symbol" w:cstheme="minorBidi"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793492B"/>
    <w:multiLevelType w:val="hybridMultilevel"/>
    <w:tmpl w:val="88328E46"/>
    <w:lvl w:ilvl="0" w:tplc="956E3870">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97427F3"/>
    <w:multiLevelType w:val="hybridMultilevel"/>
    <w:tmpl w:val="FC1A226A"/>
    <w:lvl w:ilvl="0" w:tplc="6C2E9B4A">
      <w:start w:val="3"/>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A990A4D"/>
    <w:multiLevelType w:val="multilevel"/>
    <w:tmpl w:val="424A80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8D6E01"/>
    <w:multiLevelType w:val="hybridMultilevel"/>
    <w:tmpl w:val="CF44E482"/>
    <w:lvl w:ilvl="0" w:tplc="FFFFFFFF">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619A0A21"/>
    <w:multiLevelType w:val="hybridMultilevel"/>
    <w:tmpl w:val="F55C6272"/>
    <w:lvl w:ilvl="0" w:tplc="8AD6C562">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E62048A"/>
    <w:multiLevelType w:val="multilevel"/>
    <w:tmpl w:val="590A6C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4E3F19"/>
    <w:multiLevelType w:val="hybridMultilevel"/>
    <w:tmpl w:val="BC0E0F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3"/>
  </w:num>
  <w:num w:numId="4">
    <w:abstractNumId w:val="0"/>
  </w:num>
  <w:num w:numId="5">
    <w:abstractNumId w:val="8"/>
  </w:num>
  <w:num w:numId="6">
    <w:abstractNumId w:val="3"/>
  </w:num>
  <w:num w:numId="7">
    <w:abstractNumId w:val="7"/>
  </w:num>
  <w:num w:numId="8">
    <w:abstractNumId w:val="1"/>
  </w:num>
  <w:num w:numId="9">
    <w:abstractNumId w:val="12"/>
  </w:num>
  <w:num w:numId="10">
    <w:abstractNumId w:val="6"/>
  </w:num>
  <w:num w:numId="11">
    <w:abstractNumId w:val="2"/>
  </w:num>
  <w:num w:numId="12">
    <w:abstractNumId w:val="9"/>
  </w:num>
  <w:num w:numId="13">
    <w:abstractNumId w:val="1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NjUxNLE0NjEyMTVV0lEKTi0uzszPAykwrwUAEIbC0ywAAAA="/>
  </w:docVars>
  <w:rsids>
    <w:rsidRoot w:val="002C5B8B"/>
    <w:rsid w:val="00001B7E"/>
    <w:rsid w:val="00002279"/>
    <w:rsid w:val="00004403"/>
    <w:rsid w:val="00004567"/>
    <w:rsid w:val="000053DA"/>
    <w:rsid w:val="000065F2"/>
    <w:rsid w:val="00007462"/>
    <w:rsid w:val="00007A41"/>
    <w:rsid w:val="00010C53"/>
    <w:rsid w:val="00010FC1"/>
    <w:rsid w:val="00012246"/>
    <w:rsid w:val="00013328"/>
    <w:rsid w:val="0001424F"/>
    <w:rsid w:val="0001456C"/>
    <w:rsid w:val="000150BC"/>
    <w:rsid w:val="00016A72"/>
    <w:rsid w:val="000200EC"/>
    <w:rsid w:val="00020BEC"/>
    <w:rsid w:val="00023C81"/>
    <w:rsid w:val="00023ED8"/>
    <w:rsid w:val="0002469C"/>
    <w:rsid w:val="0002493E"/>
    <w:rsid w:val="00025317"/>
    <w:rsid w:val="00026615"/>
    <w:rsid w:val="000271F1"/>
    <w:rsid w:val="00027ABC"/>
    <w:rsid w:val="00027AC8"/>
    <w:rsid w:val="000302A6"/>
    <w:rsid w:val="000304BD"/>
    <w:rsid w:val="00031CE0"/>
    <w:rsid w:val="00031EE7"/>
    <w:rsid w:val="00032873"/>
    <w:rsid w:val="00032B6E"/>
    <w:rsid w:val="00032F1D"/>
    <w:rsid w:val="000359F4"/>
    <w:rsid w:val="00036F59"/>
    <w:rsid w:val="00041814"/>
    <w:rsid w:val="00041C56"/>
    <w:rsid w:val="000429B6"/>
    <w:rsid w:val="000430B4"/>
    <w:rsid w:val="00044576"/>
    <w:rsid w:val="0004457F"/>
    <w:rsid w:val="00044689"/>
    <w:rsid w:val="00045373"/>
    <w:rsid w:val="00047C60"/>
    <w:rsid w:val="0005182B"/>
    <w:rsid w:val="00051CFA"/>
    <w:rsid w:val="00052401"/>
    <w:rsid w:val="00052767"/>
    <w:rsid w:val="00055721"/>
    <w:rsid w:val="00056E98"/>
    <w:rsid w:val="00056FE0"/>
    <w:rsid w:val="00057774"/>
    <w:rsid w:val="000663C4"/>
    <w:rsid w:val="00066616"/>
    <w:rsid w:val="00066A91"/>
    <w:rsid w:val="00066F0C"/>
    <w:rsid w:val="000679C1"/>
    <w:rsid w:val="00070934"/>
    <w:rsid w:val="00070E29"/>
    <w:rsid w:val="00071E99"/>
    <w:rsid w:val="000728C5"/>
    <w:rsid w:val="00072F37"/>
    <w:rsid w:val="00074ECB"/>
    <w:rsid w:val="00075759"/>
    <w:rsid w:val="00075D6D"/>
    <w:rsid w:val="000766F8"/>
    <w:rsid w:val="00080066"/>
    <w:rsid w:val="00080123"/>
    <w:rsid w:val="0008015C"/>
    <w:rsid w:val="00081B74"/>
    <w:rsid w:val="0008350E"/>
    <w:rsid w:val="000841D6"/>
    <w:rsid w:val="00084D97"/>
    <w:rsid w:val="000851F0"/>
    <w:rsid w:val="000875B9"/>
    <w:rsid w:val="00087C02"/>
    <w:rsid w:val="000900CE"/>
    <w:rsid w:val="00091BAC"/>
    <w:rsid w:val="00092079"/>
    <w:rsid w:val="000A3580"/>
    <w:rsid w:val="000A3E9C"/>
    <w:rsid w:val="000A4237"/>
    <w:rsid w:val="000A5474"/>
    <w:rsid w:val="000A6977"/>
    <w:rsid w:val="000A75AB"/>
    <w:rsid w:val="000A7729"/>
    <w:rsid w:val="000B11EE"/>
    <w:rsid w:val="000B26C3"/>
    <w:rsid w:val="000B384A"/>
    <w:rsid w:val="000B69D0"/>
    <w:rsid w:val="000B78E9"/>
    <w:rsid w:val="000B7C0F"/>
    <w:rsid w:val="000C0044"/>
    <w:rsid w:val="000C0821"/>
    <w:rsid w:val="000C096F"/>
    <w:rsid w:val="000C0A63"/>
    <w:rsid w:val="000C1545"/>
    <w:rsid w:val="000C1DA7"/>
    <w:rsid w:val="000C21D9"/>
    <w:rsid w:val="000C2308"/>
    <w:rsid w:val="000C2DBE"/>
    <w:rsid w:val="000C368B"/>
    <w:rsid w:val="000C572C"/>
    <w:rsid w:val="000C5757"/>
    <w:rsid w:val="000C63F5"/>
    <w:rsid w:val="000C6826"/>
    <w:rsid w:val="000C6960"/>
    <w:rsid w:val="000C6F48"/>
    <w:rsid w:val="000D158E"/>
    <w:rsid w:val="000D4B3C"/>
    <w:rsid w:val="000D5669"/>
    <w:rsid w:val="000D727D"/>
    <w:rsid w:val="000D79D7"/>
    <w:rsid w:val="000E0071"/>
    <w:rsid w:val="000E00AD"/>
    <w:rsid w:val="000E1BF8"/>
    <w:rsid w:val="000E4023"/>
    <w:rsid w:val="000E4879"/>
    <w:rsid w:val="000E4A01"/>
    <w:rsid w:val="000E5AC1"/>
    <w:rsid w:val="000E5ACF"/>
    <w:rsid w:val="000E6DC9"/>
    <w:rsid w:val="000E752E"/>
    <w:rsid w:val="000E75E5"/>
    <w:rsid w:val="000E7A10"/>
    <w:rsid w:val="000E7DE0"/>
    <w:rsid w:val="000F0020"/>
    <w:rsid w:val="000F06D5"/>
    <w:rsid w:val="000F0817"/>
    <w:rsid w:val="000F0884"/>
    <w:rsid w:val="000F0F9C"/>
    <w:rsid w:val="000F170D"/>
    <w:rsid w:val="000F180D"/>
    <w:rsid w:val="000F1892"/>
    <w:rsid w:val="000F199B"/>
    <w:rsid w:val="000F3FBA"/>
    <w:rsid w:val="000F5A73"/>
    <w:rsid w:val="000F5EB6"/>
    <w:rsid w:val="000F622A"/>
    <w:rsid w:val="000F63D2"/>
    <w:rsid w:val="00100D22"/>
    <w:rsid w:val="00101073"/>
    <w:rsid w:val="0010124A"/>
    <w:rsid w:val="00101C23"/>
    <w:rsid w:val="00102929"/>
    <w:rsid w:val="00104533"/>
    <w:rsid w:val="001046FC"/>
    <w:rsid w:val="001106A9"/>
    <w:rsid w:val="00110C8B"/>
    <w:rsid w:val="00112AC7"/>
    <w:rsid w:val="00114D29"/>
    <w:rsid w:val="001151B0"/>
    <w:rsid w:val="001160C7"/>
    <w:rsid w:val="0011643E"/>
    <w:rsid w:val="001224B2"/>
    <w:rsid w:val="00123084"/>
    <w:rsid w:val="00124D49"/>
    <w:rsid w:val="001250FD"/>
    <w:rsid w:val="00126BFD"/>
    <w:rsid w:val="00126FD2"/>
    <w:rsid w:val="00133C61"/>
    <w:rsid w:val="001340E6"/>
    <w:rsid w:val="00134337"/>
    <w:rsid w:val="00134537"/>
    <w:rsid w:val="001347AC"/>
    <w:rsid w:val="001358D4"/>
    <w:rsid w:val="00137DC8"/>
    <w:rsid w:val="00144B68"/>
    <w:rsid w:val="00144D60"/>
    <w:rsid w:val="001514FA"/>
    <w:rsid w:val="00151C20"/>
    <w:rsid w:val="001521B9"/>
    <w:rsid w:val="00152B75"/>
    <w:rsid w:val="00153566"/>
    <w:rsid w:val="001547C0"/>
    <w:rsid w:val="001548D2"/>
    <w:rsid w:val="00156B76"/>
    <w:rsid w:val="00161EE3"/>
    <w:rsid w:val="001629B2"/>
    <w:rsid w:val="00163B89"/>
    <w:rsid w:val="001653E3"/>
    <w:rsid w:val="00170A57"/>
    <w:rsid w:val="00171B42"/>
    <w:rsid w:val="00171CB6"/>
    <w:rsid w:val="001745CF"/>
    <w:rsid w:val="00176C50"/>
    <w:rsid w:val="0018220C"/>
    <w:rsid w:val="00182DF0"/>
    <w:rsid w:val="0018427F"/>
    <w:rsid w:val="00184897"/>
    <w:rsid w:val="00184CC8"/>
    <w:rsid w:val="00184EBC"/>
    <w:rsid w:val="001862F5"/>
    <w:rsid w:val="0018663B"/>
    <w:rsid w:val="001879DA"/>
    <w:rsid w:val="0019091C"/>
    <w:rsid w:val="00191F05"/>
    <w:rsid w:val="001936B0"/>
    <w:rsid w:val="00194405"/>
    <w:rsid w:val="00194DE6"/>
    <w:rsid w:val="001953B5"/>
    <w:rsid w:val="00196DEE"/>
    <w:rsid w:val="0019712A"/>
    <w:rsid w:val="00197D19"/>
    <w:rsid w:val="001A1111"/>
    <w:rsid w:val="001A1AE4"/>
    <w:rsid w:val="001A1E83"/>
    <w:rsid w:val="001A330D"/>
    <w:rsid w:val="001A3F51"/>
    <w:rsid w:val="001A6B9B"/>
    <w:rsid w:val="001A7193"/>
    <w:rsid w:val="001B0B56"/>
    <w:rsid w:val="001B0EFF"/>
    <w:rsid w:val="001B307F"/>
    <w:rsid w:val="001B33D1"/>
    <w:rsid w:val="001B4E73"/>
    <w:rsid w:val="001B5F59"/>
    <w:rsid w:val="001C1F4D"/>
    <w:rsid w:val="001C3FE8"/>
    <w:rsid w:val="001C7364"/>
    <w:rsid w:val="001D52FC"/>
    <w:rsid w:val="001D68E2"/>
    <w:rsid w:val="001D6BC7"/>
    <w:rsid w:val="001E0F73"/>
    <w:rsid w:val="001E1D87"/>
    <w:rsid w:val="001E2802"/>
    <w:rsid w:val="001E7415"/>
    <w:rsid w:val="001E7B15"/>
    <w:rsid w:val="001E7DBB"/>
    <w:rsid w:val="001F0D09"/>
    <w:rsid w:val="001F6018"/>
    <w:rsid w:val="001F64DA"/>
    <w:rsid w:val="001F75DB"/>
    <w:rsid w:val="001F76DE"/>
    <w:rsid w:val="0020283B"/>
    <w:rsid w:val="00202E7E"/>
    <w:rsid w:val="00206140"/>
    <w:rsid w:val="002113A9"/>
    <w:rsid w:val="00213A18"/>
    <w:rsid w:val="00213C1D"/>
    <w:rsid w:val="00213D13"/>
    <w:rsid w:val="00214622"/>
    <w:rsid w:val="00214726"/>
    <w:rsid w:val="002147F0"/>
    <w:rsid w:val="00214A7D"/>
    <w:rsid w:val="00214C92"/>
    <w:rsid w:val="00214D94"/>
    <w:rsid w:val="0021726B"/>
    <w:rsid w:val="00217731"/>
    <w:rsid w:val="00220548"/>
    <w:rsid w:val="00221253"/>
    <w:rsid w:val="002227FE"/>
    <w:rsid w:val="002235D3"/>
    <w:rsid w:val="0022401B"/>
    <w:rsid w:val="002240A8"/>
    <w:rsid w:val="00224732"/>
    <w:rsid w:val="00225D79"/>
    <w:rsid w:val="00227BD1"/>
    <w:rsid w:val="00227D7A"/>
    <w:rsid w:val="0023069C"/>
    <w:rsid w:val="002319E5"/>
    <w:rsid w:val="00233546"/>
    <w:rsid w:val="00235687"/>
    <w:rsid w:val="00235A3B"/>
    <w:rsid w:val="002428BD"/>
    <w:rsid w:val="00242CDB"/>
    <w:rsid w:val="00243BE9"/>
    <w:rsid w:val="00244069"/>
    <w:rsid w:val="00244F1A"/>
    <w:rsid w:val="002466E8"/>
    <w:rsid w:val="00250584"/>
    <w:rsid w:val="00250D8F"/>
    <w:rsid w:val="00251D61"/>
    <w:rsid w:val="002520F7"/>
    <w:rsid w:val="002524F6"/>
    <w:rsid w:val="00254DE6"/>
    <w:rsid w:val="0025570B"/>
    <w:rsid w:val="00260C95"/>
    <w:rsid w:val="002619E2"/>
    <w:rsid w:val="00261AB7"/>
    <w:rsid w:val="00267618"/>
    <w:rsid w:val="00271BB7"/>
    <w:rsid w:val="00274182"/>
    <w:rsid w:val="00274481"/>
    <w:rsid w:val="00274AE9"/>
    <w:rsid w:val="00275508"/>
    <w:rsid w:val="00275D16"/>
    <w:rsid w:val="0028356F"/>
    <w:rsid w:val="00284373"/>
    <w:rsid w:val="002858B5"/>
    <w:rsid w:val="00287E18"/>
    <w:rsid w:val="002903EF"/>
    <w:rsid w:val="00291A78"/>
    <w:rsid w:val="00291F25"/>
    <w:rsid w:val="002920BD"/>
    <w:rsid w:val="0029226C"/>
    <w:rsid w:val="002936EA"/>
    <w:rsid w:val="00293F73"/>
    <w:rsid w:val="00294D67"/>
    <w:rsid w:val="00296C04"/>
    <w:rsid w:val="00296F29"/>
    <w:rsid w:val="00297677"/>
    <w:rsid w:val="002A1F76"/>
    <w:rsid w:val="002A21F3"/>
    <w:rsid w:val="002A2603"/>
    <w:rsid w:val="002A30C8"/>
    <w:rsid w:val="002A423A"/>
    <w:rsid w:val="002A5E2D"/>
    <w:rsid w:val="002A6915"/>
    <w:rsid w:val="002A6B07"/>
    <w:rsid w:val="002B06A5"/>
    <w:rsid w:val="002B1F34"/>
    <w:rsid w:val="002B3897"/>
    <w:rsid w:val="002B71DC"/>
    <w:rsid w:val="002B7418"/>
    <w:rsid w:val="002C0CBB"/>
    <w:rsid w:val="002C127F"/>
    <w:rsid w:val="002C1C8A"/>
    <w:rsid w:val="002C1FBF"/>
    <w:rsid w:val="002C2413"/>
    <w:rsid w:val="002C25F9"/>
    <w:rsid w:val="002C3EE7"/>
    <w:rsid w:val="002C44AA"/>
    <w:rsid w:val="002C5554"/>
    <w:rsid w:val="002C56FF"/>
    <w:rsid w:val="002C5B8B"/>
    <w:rsid w:val="002C6994"/>
    <w:rsid w:val="002C74C4"/>
    <w:rsid w:val="002D0466"/>
    <w:rsid w:val="002D05F2"/>
    <w:rsid w:val="002D2D8E"/>
    <w:rsid w:val="002D3117"/>
    <w:rsid w:val="002D31C8"/>
    <w:rsid w:val="002D50DC"/>
    <w:rsid w:val="002D59F7"/>
    <w:rsid w:val="002D6353"/>
    <w:rsid w:val="002E09AF"/>
    <w:rsid w:val="002E115F"/>
    <w:rsid w:val="002E13C3"/>
    <w:rsid w:val="002E25B7"/>
    <w:rsid w:val="002E3247"/>
    <w:rsid w:val="002E3741"/>
    <w:rsid w:val="002E62D9"/>
    <w:rsid w:val="002E6937"/>
    <w:rsid w:val="002F0C3F"/>
    <w:rsid w:val="002F1C9E"/>
    <w:rsid w:val="002F23D5"/>
    <w:rsid w:val="002F35F1"/>
    <w:rsid w:val="002F5BBC"/>
    <w:rsid w:val="002F6CD4"/>
    <w:rsid w:val="0030131B"/>
    <w:rsid w:val="003015B5"/>
    <w:rsid w:val="00301C42"/>
    <w:rsid w:val="00303F15"/>
    <w:rsid w:val="00304E9C"/>
    <w:rsid w:val="00305809"/>
    <w:rsid w:val="00307CB8"/>
    <w:rsid w:val="00310A4D"/>
    <w:rsid w:val="003115C3"/>
    <w:rsid w:val="00312C8D"/>
    <w:rsid w:val="003176A2"/>
    <w:rsid w:val="003215DC"/>
    <w:rsid w:val="003220E4"/>
    <w:rsid w:val="003226F2"/>
    <w:rsid w:val="00322983"/>
    <w:rsid w:val="00322F3F"/>
    <w:rsid w:val="00323192"/>
    <w:rsid w:val="0032325D"/>
    <w:rsid w:val="0032581D"/>
    <w:rsid w:val="0032699D"/>
    <w:rsid w:val="00326CF7"/>
    <w:rsid w:val="003270BE"/>
    <w:rsid w:val="00327A5A"/>
    <w:rsid w:val="0033098D"/>
    <w:rsid w:val="0033209F"/>
    <w:rsid w:val="0033214C"/>
    <w:rsid w:val="00332AAD"/>
    <w:rsid w:val="0033540C"/>
    <w:rsid w:val="00336CA2"/>
    <w:rsid w:val="0034053E"/>
    <w:rsid w:val="003416E7"/>
    <w:rsid w:val="00342A26"/>
    <w:rsid w:val="00342E38"/>
    <w:rsid w:val="003461E2"/>
    <w:rsid w:val="003466ED"/>
    <w:rsid w:val="00346E44"/>
    <w:rsid w:val="00351228"/>
    <w:rsid w:val="00351695"/>
    <w:rsid w:val="00352283"/>
    <w:rsid w:val="00357070"/>
    <w:rsid w:val="003575FD"/>
    <w:rsid w:val="0035782B"/>
    <w:rsid w:val="00360994"/>
    <w:rsid w:val="003639E3"/>
    <w:rsid w:val="0036420A"/>
    <w:rsid w:val="0036596F"/>
    <w:rsid w:val="00367361"/>
    <w:rsid w:val="003705EA"/>
    <w:rsid w:val="00371247"/>
    <w:rsid w:val="00372189"/>
    <w:rsid w:val="0037219C"/>
    <w:rsid w:val="0037345B"/>
    <w:rsid w:val="0037378E"/>
    <w:rsid w:val="00373DC9"/>
    <w:rsid w:val="00374734"/>
    <w:rsid w:val="00374ADC"/>
    <w:rsid w:val="00377520"/>
    <w:rsid w:val="00377714"/>
    <w:rsid w:val="003802F8"/>
    <w:rsid w:val="003815C0"/>
    <w:rsid w:val="00381D95"/>
    <w:rsid w:val="003832DF"/>
    <w:rsid w:val="00385A0E"/>
    <w:rsid w:val="00385E02"/>
    <w:rsid w:val="00386B5A"/>
    <w:rsid w:val="00386EE0"/>
    <w:rsid w:val="00387156"/>
    <w:rsid w:val="00387464"/>
    <w:rsid w:val="0038767B"/>
    <w:rsid w:val="0039140B"/>
    <w:rsid w:val="00391E8D"/>
    <w:rsid w:val="0039259D"/>
    <w:rsid w:val="003929E1"/>
    <w:rsid w:val="00392A11"/>
    <w:rsid w:val="003965A5"/>
    <w:rsid w:val="003965EC"/>
    <w:rsid w:val="003967E9"/>
    <w:rsid w:val="003A0386"/>
    <w:rsid w:val="003A1456"/>
    <w:rsid w:val="003A36C0"/>
    <w:rsid w:val="003A496E"/>
    <w:rsid w:val="003A56CD"/>
    <w:rsid w:val="003A75AA"/>
    <w:rsid w:val="003A75AB"/>
    <w:rsid w:val="003A7F49"/>
    <w:rsid w:val="003B03BA"/>
    <w:rsid w:val="003B042D"/>
    <w:rsid w:val="003B0607"/>
    <w:rsid w:val="003B0C66"/>
    <w:rsid w:val="003B1580"/>
    <w:rsid w:val="003B427C"/>
    <w:rsid w:val="003B4381"/>
    <w:rsid w:val="003B4D8E"/>
    <w:rsid w:val="003B5740"/>
    <w:rsid w:val="003B64A6"/>
    <w:rsid w:val="003B7672"/>
    <w:rsid w:val="003B7A69"/>
    <w:rsid w:val="003B7B9D"/>
    <w:rsid w:val="003C2496"/>
    <w:rsid w:val="003C24DF"/>
    <w:rsid w:val="003C5D9F"/>
    <w:rsid w:val="003C60B8"/>
    <w:rsid w:val="003C617A"/>
    <w:rsid w:val="003C6226"/>
    <w:rsid w:val="003C66B6"/>
    <w:rsid w:val="003C7709"/>
    <w:rsid w:val="003D043B"/>
    <w:rsid w:val="003D2AA7"/>
    <w:rsid w:val="003D33C9"/>
    <w:rsid w:val="003D33D2"/>
    <w:rsid w:val="003D4B34"/>
    <w:rsid w:val="003D5189"/>
    <w:rsid w:val="003D5D8A"/>
    <w:rsid w:val="003E023A"/>
    <w:rsid w:val="003E026B"/>
    <w:rsid w:val="003E1DEE"/>
    <w:rsid w:val="003E2175"/>
    <w:rsid w:val="003E2743"/>
    <w:rsid w:val="003E642B"/>
    <w:rsid w:val="003E73FE"/>
    <w:rsid w:val="003E7847"/>
    <w:rsid w:val="003F0198"/>
    <w:rsid w:val="003F1BC3"/>
    <w:rsid w:val="003F2177"/>
    <w:rsid w:val="003F3282"/>
    <w:rsid w:val="003F359E"/>
    <w:rsid w:val="003F465D"/>
    <w:rsid w:val="003F490C"/>
    <w:rsid w:val="003F4B87"/>
    <w:rsid w:val="003F4C23"/>
    <w:rsid w:val="003F6961"/>
    <w:rsid w:val="003F6D59"/>
    <w:rsid w:val="004001ED"/>
    <w:rsid w:val="00404AE6"/>
    <w:rsid w:val="00405EAA"/>
    <w:rsid w:val="0041000D"/>
    <w:rsid w:val="004101BE"/>
    <w:rsid w:val="00410ABE"/>
    <w:rsid w:val="00413C37"/>
    <w:rsid w:val="0041438D"/>
    <w:rsid w:val="004148FF"/>
    <w:rsid w:val="00421CC7"/>
    <w:rsid w:val="0043256F"/>
    <w:rsid w:val="004327EE"/>
    <w:rsid w:val="00433461"/>
    <w:rsid w:val="00434F1E"/>
    <w:rsid w:val="004355AB"/>
    <w:rsid w:val="00435FB9"/>
    <w:rsid w:val="00437255"/>
    <w:rsid w:val="004378F9"/>
    <w:rsid w:val="0044512F"/>
    <w:rsid w:val="00446258"/>
    <w:rsid w:val="0044662D"/>
    <w:rsid w:val="00447027"/>
    <w:rsid w:val="00451C9A"/>
    <w:rsid w:val="00451CD2"/>
    <w:rsid w:val="00452061"/>
    <w:rsid w:val="004527A1"/>
    <w:rsid w:val="004529B6"/>
    <w:rsid w:val="00453EAA"/>
    <w:rsid w:val="0045572F"/>
    <w:rsid w:val="00456343"/>
    <w:rsid w:val="00456E61"/>
    <w:rsid w:val="00456F71"/>
    <w:rsid w:val="0045731C"/>
    <w:rsid w:val="00457FE2"/>
    <w:rsid w:val="00461097"/>
    <w:rsid w:val="004618A8"/>
    <w:rsid w:val="004640A5"/>
    <w:rsid w:val="00464B9C"/>
    <w:rsid w:val="0046574C"/>
    <w:rsid w:val="004660CE"/>
    <w:rsid w:val="00467A48"/>
    <w:rsid w:val="00467E26"/>
    <w:rsid w:val="00470B2C"/>
    <w:rsid w:val="0047304A"/>
    <w:rsid w:val="00475F32"/>
    <w:rsid w:val="00477CC3"/>
    <w:rsid w:val="0048060A"/>
    <w:rsid w:val="00482133"/>
    <w:rsid w:val="0048292E"/>
    <w:rsid w:val="0048381D"/>
    <w:rsid w:val="0048394C"/>
    <w:rsid w:val="004839DE"/>
    <w:rsid w:val="004855B9"/>
    <w:rsid w:val="004862F3"/>
    <w:rsid w:val="004872D2"/>
    <w:rsid w:val="004901F9"/>
    <w:rsid w:val="00493EE6"/>
    <w:rsid w:val="00494324"/>
    <w:rsid w:val="00496EA0"/>
    <w:rsid w:val="004976CA"/>
    <w:rsid w:val="004A0540"/>
    <w:rsid w:val="004A1E78"/>
    <w:rsid w:val="004A2068"/>
    <w:rsid w:val="004A2F9C"/>
    <w:rsid w:val="004A3AE2"/>
    <w:rsid w:val="004A3EAC"/>
    <w:rsid w:val="004A5144"/>
    <w:rsid w:val="004A621D"/>
    <w:rsid w:val="004A7DD0"/>
    <w:rsid w:val="004B0257"/>
    <w:rsid w:val="004B0396"/>
    <w:rsid w:val="004B0F83"/>
    <w:rsid w:val="004B1019"/>
    <w:rsid w:val="004B2158"/>
    <w:rsid w:val="004B48CE"/>
    <w:rsid w:val="004B4D63"/>
    <w:rsid w:val="004B6CCC"/>
    <w:rsid w:val="004C0DAC"/>
    <w:rsid w:val="004C1709"/>
    <w:rsid w:val="004C21C8"/>
    <w:rsid w:val="004C344C"/>
    <w:rsid w:val="004C43EE"/>
    <w:rsid w:val="004C47DB"/>
    <w:rsid w:val="004C5EA1"/>
    <w:rsid w:val="004C6DA3"/>
    <w:rsid w:val="004D26F5"/>
    <w:rsid w:val="004D2BD7"/>
    <w:rsid w:val="004D315B"/>
    <w:rsid w:val="004D5A97"/>
    <w:rsid w:val="004D5CDB"/>
    <w:rsid w:val="004D5DA7"/>
    <w:rsid w:val="004E0C10"/>
    <w:rsid w:val="004E6525"/>
    <w:rsid w:val="004E73C3"/>
    <w:rsid w:val="004F1F88"/>
    <w:rsid w:val="004F3372"/>
    <w:rsid w:val="004F3C54"/>
    <w:rsid w:val="004F3FCB"/>
    <w:rsid w:val="004F612E"/>
    <w:rsid w:val="004F762C"/>
    <w:rsid w:val="004F7B6C"/>
    <w:rsid w:val="004F7F1B"/>
    <w:rsid w:val="005017BD"/>
    <w:rsid w:val="00501E32"/>
    <w:rsid w:val="005046F4"/>
    <w:rsid w:val="0050594D"/>
    <w:rsid w:val="00506047"/>
    <w:rsid w:val="005063EA"/>
    <w:rsid w:val="00506830"/>
    <w:rsid w:val="00507E37"/>
    <w:rsid w:val="00510E58"/>
    <w:rsid w:val="005142A0"/>
    <w:rsid w:val="0051580D"/>
    <w:rsid w:val="0052052A"/>
    <w:rsid w:val="0052077C"/>
    <w:rsid w:val="00520C02"/>
    <w:rsid w:val="00522690"/>
    <w:rsid w:val="00523356"/>
    <w:rsid w:val="0052490F"/>
    <w:rsid w:val="00526A0C"/>
    <w:rsid w:val="00527085"/>
    <w:rsid w:val="00527356"/>
    <w:rsid w:val="0052796B"/>
    <w:rsid w:val="00530D91"/>
    <w:rsid w:val="00530FC8"/>
    <w:rsid w:val="00530FF0"/>
    <w:rsid w:val="005321E5"/>
    <w:rsid w:val="0053301E"/>
    <w:rsid w:val="005336B5"/>
    <w:rsid w:val="005338E9"/>
    <w:rsid w:val="00536611"/>
    <w:rsid w:val="00537144"/>
    <w:rsid w:val="00537736"/>
    <w:rsid w:val="005378DF"/>
    <w:rsid w:val="00540940"/>
    <w:rsid w:val="0054147B"/>
    <w:rsid w:val="00541F35"/>
    <w:rsid w:val="00542CBB"/>
    <w:rsid w:val="00544737"/>
    <w:rsid w:val="00544901"/>
    <w:rsid w:val="00547562"/>
    <w:rsid w:val="00547B30"/>
    <w:rsid w:val="00547BE5"/>
    <w:rsid w:val="005503B6"/>
    <w:rsid w:val="005523DF"/>
    <w:rsid w:val="00555CD4"/>
    <w:rsid w:val="00560CD2"/>
    <w:rsid w:val="00561DAD"/>
    <w:rsid w:val="00564EA6"/>
    <w:rsid w:val="0056551B"/>
    <w:rsid w:val="00566909"/>
    <w:rsid w:val="00566FA7"/>
    <w:rsid w:val="005722DC"/>
    <w:rsid w:val="005741F4"/>
    <w:rsid w:val="0057675C"/>
    <w:rsid w:val="005769F7"/>
    <w:rsid w:val="00576CF1"/>
    <w:rsid w:val="005775C2"/>
    <w:rsid w:val="00577BF6"/>
    <w:rsid w:val="005811DF"/>
    <w:rsid w:val="00582836"/>
    <w:rsid w:val="00582C7C"/>
    <w:rsid w:val="00582FD6"/>
    <w:rsid w:val="00583170"/>
    <w:rsid w:val="00583A9D"/>
    <w:rsid w:val="00584009"/>
    <w:rsid w:val="00585703"/>
    <w:rsid w:val="005865E9"/>
    <w:rsid w:val="00586929"/>
    <w:rsid w:val="00587157"/>
    <w:rsid w:val="00587A31"/>
    <w:rsid w:val="00590169"/>
    <w:rsid w:val="005922B7"/>
    <w:rsid w:val="00592C8E"/>
    <w:rsid w:val="0059408F"/>
    <w:rsid w:val="005966D7"/>
    <w:rsid w:val="00596E37"/>
    <w:rsid w:val="005977D7"/>
    <w:rsid w:val="005A0260"/>
    <w:rsid w:val="005A1042"/>
    <w:rsid w:val="005A243F"/>
    <w:rsid w:val="005A2993"/>
    <w:rsid w:val="005A461C"/>
    <w:rsid w:val="005A4794"/>
    <w:rsid w:val="005A4B57"/>
    <w:rsid w:val="005A545A"/>
    <w:rsid w:val="005A66DE"/>
    <w:rsid w:val="005B3645"/>
    <w:rsid w:val="005B473E"/>
    <w:rsid w:val="005B4C84"/>
    <w:rsid w:val="005B59A4"/>
    <w:rsid w:val="005B6B2D"/>
    <w:rsid w:val="005B7948"/>
    <w:rsid w:val="005B7D6B"/>
    <w:rsid w:val="005C2836"/>
    <w:rsid w:val="005C2E59"/>
    <w:rsid w:val="005C323B"/>
    <w:rsid w:val="005C3C5E"/>
    <w:rsid w:val="005C4297"/>
    <w:rsid w:val="005C51A6"/>
    <w:rsid w:val="005C6074"/>
    <w:rsid w:val="005C777B"/>
    <w:rsid w:val="005C7A41"/>
    <w:rsid w:val="005C7FCF"/>
    <w:rsid w:val="005D1361"/>
    <w:rsid w:val="005D1A93"/>
    <w:rsid w:val="005D1F08"/>
    <w:rsid w:val="005D2698"/>
    <w:rsid w:val="005D3116"/>
    <w:rsid w:val="005D3F48"/>
    <w:rsid w:val="005D4F7F"/>
    <w:rsid w:val="005D6CFF"/>
    <w:rsid w:val="005E0399"/>
    <w:rsid w:val="005E160E"/>
    <w:rsid w:val="005E6824"/>
    <w:rsid w:val="005E7897"/>
    <w:rsid w:val="005F0720"/>
    <w:rsid w:val="005F11CF"/>
    <w:rsid w:val="005F7860"/>
    <w:rsid w:val="005F78D5"/>
    <w:rsid w:val="006004F8"/>
    <w:rsid w:val="00600B4D"/>
    <w:rsid w:val="00601072"/>
    <w:rsid w:val="00601715"/>
    <w:rsid w:val="0060211C"/>
    <w:rsid w:val="0060230A"/>
    <w:rsid w:val="00602CB3"/>
    <w:rsid w:val="00603843"/>
    <w:rsid w:val="00604524"/>
    <w:rsid w:val="00605454"/>
    <w:rsid w:val="00607DB5"/>
    <w:rsid w:val="0061099C"/>
    <w:rsid w:val="0061127D"/>
    <w:rsid w:val="00611B1C"/>
    <w:rsid w:val="00611FE5"/>
    <w:rsid w:val="00612E4D"/>
    <w:rsid w:val="0061317E"/>
    <w:rsid w:val="00615CB9"/>
    <w:rsid w:val="00616F31"/>
    <w:rsid w:val="00617583"/>
    <w:rsid w:val="00621BA8"/>
    <w:rsid w:val="00622006"/>
    <w:rsid w:val="00623641"/>
    <w:rsid w:val="00624A4E"/>
    <w:rsid w:val="00630706"/>
    <w:rsid w:val="0063343D"/>
    <w:rsid w:val="006351C8"/>
    <w:rsid w:val="00637B96"/>
    <w:rsid w:val="00640C1E"/>
    <w:rsid w:val="00641F5D"/>
    <w:rsid w:val="0064256F"/>
    <w:rsid w:val="006430B8"/>
    <w:rsid w:val="006432D6"/>
    <w:rsid w:val="00645D7F"/>
    <w:rsid w:val="00646F3E"/>
    <w:rsid w:val="00647C21"/>
    <w:rsid w:val="00647CE4"/>
    <w:rsid w:val="00647F65"/>
    <w:rsid w:val="0065168B"/>
    <w:rsid w:val="00652EB5"/>
    <w:rsid w:val="00655ADB"/>
    <w:rsid w:val="00656259"/>
    <w:rsid w:val="006577A8"/>
    <w:rsid w:val="006579F2"/>
    <w:rsid w:val="00657A8F"/>
    <w:rsid w:val="00661687"/>
    <w:rsid w:val="00663AEB"/>
    <w:rsid w:val="0066585D"/>
    <w:rsid w:val="00665FB1"/>
    <w:rsid w:val="006702A7"/>
    <w:rsid w:val="00670698"/>
    <w:rsid w:val="00670752"/>
    <w:rsid w:val="0067241A"/>
    <w:rsid w:val="00673043"/>
    <w:rsid w:val="006741F0"/>
    <w:rsid w:val="00674F26"/>
    <w:rsid w:val="00675115"/>
    <w:rsid w:val="006760E8"/>
    <w:rsid w:val="00680335"/>
    <w:rsid w:val="00681A39"/>
    <w:rsid w:val="0068603E"/>
    <w:rsid w:val="00692DA7"/>
    <w:rsid w:val="006932DE"/>
    <w:rsid w:val="006935DB"/>
    <w:rsid w:val="00694592"/>
    <w:rsid w:val="00695332"/>
    <w:rsid w:val="00695ACB"/>
    <w:rsid w:val="00695E2D"/>
    <w:rsid w:val="006A0942"/>
    <w:rsid w:val="006A1853"/>
    <w:rsid w:val="006A30C2"/>
    <w:rsid w:val="006A49CA"/>
    <w:rsid w:val="006A5436"/>
    <w:rsid w:val="006A59AD"/>
    <w:rsid w:val="006A6529"/>
    <w:rsid w:val="006A7104"/>
    <w:rsid w:val="006A7767"/>
    <w:rsid w:val="006A7F30"/>
    <w:rsid w:val="006B23E4"/>
    <w:rsid w:val="006B374C"/>
    <w:rsid w:val="006B396D"/>
    <w:rsid w:val="006B3BED"/>
    <w:rsid w:val="006B4336"/>
    <w:rsid w:val="006B7C93"/>
    <w:rsid w:val="006C422F"/>
    <w:rsid w:val="006C44B6"/>
    <w:rsid w:val="006C482B"/>
    <w:rsid w:val="006C52D9"/>
    <w:rsid w:val="006C6424"/>
    <w:rsid w:val="006C76B3"/>
    <w:rsid w:val="006D18AA"/>
    <w:rsid w:val="006D1D0A"/>
    <w:rsid w:val="006D28EA"/>
    <w:rsid w:val="006D49D1"/>
    <w:rsid w:val="006D6658"/>
    <w:rsid w:val="006E1698"/>
    <w:rsid w:val="006E1A33"/>
    <w:rsid w:val="006E474F"/>
    <w:rsid w:val="006E6113"/>
    <w:rsid w:val="006E6954"/>
    <w:rsid w:val="006E6EA7"/>
    <w:rsid w:val="006F0748"/>
    <w:rsid w:val="006F1946"/>
    <w:rsid w:val="006F26DF"/>
    <w:rsid w:val="006F29EE"/>
    <w:rsid w:val="006F2CD4"/>
    <w:rsid w:val="006F4F14"/>
    <w:rsid w:val="006F5FB3"/>
    <w:rsid w:val="006F6526"/>
    <w:rsid w:val="006F6B8E"/>
    <w:rsid w:val="006F707D"/>
    <w:rsid w:val="006F799B"/>
    <w:rsid w:val="00700872"/>
    <w:rsid w:val="00702703"/>
    <w:rsid w:val="0070376E"/>
    <w:rsid w:val="00703ED8"/>
    <w:rsid w:val="007114A4"/>
    <w:rsid w:val="00711B5B"/>
    <w:rsid w:val="0071265F"/>
    <w:rsid w:val="00714DA8"/>
    <w:rsid w:val="00715ECB"/>
    <w:rsid w:val="007177A8"/>
    <w:rsid w:val="0071780B"/>
    <w:rsid w:val="00717F08"/>
    <w:rsid w:val="00720DBF"/>
    <w:rsid w:val="00723937"/>
    <w:rsid w:val="00725EE4"/>
    <w:rsid w:val="00727528"/>
    <w:rsid w:val="0073232E"/>
    <w:rsid w:val="00733A30"/>
    <w:rsid w:val="00734351"/>
    <w:rsid w:val="00735301"/>
    <w:rsid w:val="00735A9C"/>
    <w:rsid w:val="0073600F"/>
    <w:rsid w:val="0073696C"/>
    <w:rsid w:val="00740A96"/>
    <w:rsid w:val="00741202"/>
    <w:rsid w:val="00741776"/>
    <w:rsid w:val="007437F7"/>
    <w:rsid w:val="00744BAC"/>
    <w:rsid w:val="00745450"/>
    <w:rsid w:val="007468AF"/>
    <w:rsid w:val="00747049"/>
    <w:rsid w:val="007474C2"/>
    <w:rsid w:val="00747BA5"/>
    <w:rsid w:val="00751316"/>
    <w:rsid w:val="00756DB4"/>
    <w:rsid w:val="00757943"/>
    <w:rsid w:val="00757F22"/>
    <w:rsid w:val="007600F8"/>
    <w:rsid w:val="0076032F"/>
    <w:rsid w:val="007604EC"/>
    <w:rsid w:val="007624DF"/>
    <w:rsid w:val="007632DB"/>
    <w:rsid w:val="00763CF9"/>
    <w:rsid w:val="00763D6E"/>
    <w:rsid w:val="007717B8"/>
    <w:rsid w:val="007729F5"/>
    <w:rsid w:val="00772E71"/>
    <w:rsid w:val="007732CD"/>
    <w:rsid w:val="007737A3"/>
    <w:rsid w:val="00773D1F"/>
    <w:rsid w:val="0077567C"/>
    <w:rsid w:val="00775A95"/>
    <w:rsid w:val="007760BF"/>
    <w:rsid w:val="007766CE"/>
    <w:rsid w:val="007813CB"/>
    <w:rsid w:val="007835D8"/>
    <w:rsid w:val="00790CFD"/>
    <w:rsid w:val="0079186E"/>
    <w:rsid w:val="00791ABA"/>
    <w:rsid w:val="00791BEA"/>
    <w:rsid w:val="00793B70"/>
    <w:rsid w:val="007957AB"/>
    <w:rsid w:val="007968C5"/>
    <w:rsid w:val="00796B00"/>
    <w:rsid w:val="00796DC9"/>
    <w:rsid w:val="00797832"/>
    <w:rsid w:val="007A04FA"/>
    <w:rsid w:val="007A415D"/>
    <w:rsid w:val="007A4302"/>
    <w:rsid w:val="007A5055"/>
    <w:rsid w:val="007A722F"/>
    <w:rsid w:val="007B0726"/>
    <w:rsid w:val="007B1338"/>
    <w:rsid w:val="007B45F3"/>
    <w:rsid w:val="007B4B54"/>
    <w:rsid w:val="007B5B95"/>
    <w:rsid w:val="007B5EEB"/>
    <w:rsid w:val="007B5F42"/>
    <w:rsid w:val="007C0060"/>
    <w:rsid w:val="007C0AFD"/>
    <w:rsid w:val="007C1894"/>
    <w:rsid w:val="007C1CDD"/>
    <w:rsid w:val="007C2C05"/>
    <w:rsid w:val="007C3222"/>
    <w:rsid w:val="007C3E25"/>
    <w:rsid w:val="007C4066"/>
    <w:rsid w:val="007C4988"/>
    <w:rsid w:val="007C6206"/>
    <w:rsid w:val="007C676A"/>
    <w:rsid w:val="007C6C7B"/>
    <w:rsid w:val="007D0313"/>
    <w:rsid w:val="007D1FD1"/>
    <w:rsid w:val="007D4330"/>
    <w:rsid w:val="007D4367"/>
    <w:rsid w:val="007D670F"/>
    <w:rsid w:val="007D716A"/>
    <w:rsid w:val="007E1017"/>
    <w:rsid w:val="007E2BC4"/>
    <w:rsid w:val="007E3A94"/>
    <w:rsid w:val="007E3C3D"/>
    <w:rsid w:val="007E5B69"/>
    <w:rsid w:val="007E6A7D"/>
    <w:rsid w:val="007F239D"/>
    <w:rsid w:val="007F23E7"/>
    <w:rsid w:val="007F268F"/>
    <w:rsid w:val="007F4B11"/>
    <w:rsid w:val="007F6D64"/>
    <w:rsid w:val="007F7137"/>
    <w:rsid w:val="0080262D"/>
    <w:rsid w:val="00802A80"/>
    <w:rsid w:val="0080380C"/>
    <w:rsid w:val="00803C8B"/>
    <w:rsid w:val="00804449"/>
    <w:rsid w:val="008065A8"/>
    <w:rsid w:val="00806D4F"/>
    <w:rsid w:val="00807C5A"/>
    <w:rsid w:val="00807E7C"/>
    <w:rsid w:val="0081149C"/>
    <w:rsid w:val="0081286D"/>
    <w:rsid w:val="00813802"/>
    <w:rsid w:val="008168B6"/>
    <w:rsid w:val="00817218"/>
    <w:rsid w:val="00821D4F"/>
    <w:rsid w:val="00822078"/>
    <w:rsid w:val="00822860"/>
    <w:rsid w:val="00823957"/>
    <w:rsid w:val="0082626C"/>
    <w:rsid w:val="008268F1"/>
    <w:rsid w:val="00832B4A"/>
    <w:rsid w:val="008335F6"/>
    <w:rsid w:val="00833CB7"/>
    <w:rsid w:val="00836317"/>
    <w:rsid w:val="00837F99"/>
    <w:rsid w:val="00837F9B"/>
    <w:rsid w:val="0084159F"/>
    <w:rsid w:val="008419DE"/>
    <w:rsid w:val="00841BCF"/>
    <w:rsid w:val="00842746"/>
    <w:rsid w:val="00842D3D"/>
    <w:rsid w:val="008463EB"/>
    <w:rsid w:val="00846DD6"/>
    <w:rsid w:val="0085025E"/>
    <w:rsid w:val="00851883"/>
    <w:rsid w:val="008518B7"/>
    <w:rsid w:val="008528BF"/>
    <w:rsid w:val="00853925"/>
    <w:rsid w:val="00854781"/>
    <w:rsid w:val="00854C0C"/>
    <w:rsid w:val="00855250"/>
    <w:rsid w:val="00860C38"/>
    <w:rsid w:val="00860F17"/>
    <w:rsid w:val="0086182F"/>
    <w:rsid w:val="00865E08"/>
    <w:rsid w:val="008673D0"/>
    <w:rsid w:val="0087183B"/>
    <w:rsid w:val="0087247F"/>
    <w:rsid w:val="008743F1"/>
    <w:rsid w:val="00877125"/>
    <w:rsid w:val="00880F72"/>
    <w:rsid w:val="0088156A"/>
    <w:rsid w:val="00881831"/>
    <w:rsid w:val="00882924"/>
    <w:rsid w:val="00884525"/>
    <w:rsid w:val="008854F8"/>
    <w:rsid w:val="00885FF3"/>
    <w:rsid w:val="00886096"/>
    <w:rsid w:val="008866A2"/>
    <w:rsid w:val="00886A3C"/>
    <w:rsid w:val="008904AC"/>
    <w:rsid w:val="008961C1"/>
    <w:rsid w:val="008976CE"/>
    <w:rsid w:val="00897E09"/>
    <w:rsid w:val="008A06E0"/>
    <w:rsid w:val="008A070C"/>
    <w:rsid w:val="008A08FC"/>
    <w:rsid w:val="008A1FCF"/>
    <w:rsid w:val="008A34A9"/>
    <w:rsid w:val="008A36B5"/>
    <w:rsid w:val="008A622D"/>
    <w:rsid w:val="008A6487"/>
    <w:rsid w:val="008A6CA9"/>
    <w:rsid w:val="008A795D"/>
    <w:rsid w:val="008B0E66"/>
    <w:rsid w:val="008B16CA"/>
    <w:rsid w:val="008B2515"/>
    <w:rsid w:val="008B5C22"/>
    <w:rsid w:val="008B5CF7"/>
    <w:rsid w:val="008B6E69"/>
    <w:rsid w:val="008C2B5E"/>
    <w:rsid w:val="008C31C3"/>
    <w:rsid w:val="008C40E6"/>
    <w:rsid w:val="008C6430"/>
    <w:rsid w:val="008D0CCD"/>
    <w:rsid w:val="008D36D0"/>
    <w:rsid w:val="008D4729"/>
    <w:rsid w:val="008D4CA7"/>
    <w:rsid w:val="008D6368"/>
    <w:rsid w:val="008D63A2"/>
    <w:rsid w:val="008D6A21"/>
    <w:rsid w:val="008D6BA3"/>
    <w:rsid w:val="008E07BD"/>
    <w:rsid w:val="008E3BE5"/>
    <w:rsid w:val="008E5462"/>
    <w:rsid w:val="008E5EBA"/>
    <w:rsid w:val="008E6427"/>
    <w:rsid w:val="008F08C9"/>
    <w:rsid w:val="008F1113"/>
    <w:rsid w:val="008F1A12"/>
    <w:rsid w:val="008F58AB"/>
    <w:rsid w:val="008F5DB8"/>
    <w:rsid w:val="008F627B"/>
    <w:rsid w:val="009009ED"/>
    <w:rsid w:val="00900EB1"/>
    <w:rsid w:val="009013F2"/>
    <w:rsid w:val="0090187B"/>
    <w:rsid w:val="00901F58"/>
    <w:rsid w:val="00904060"/>
    <w:rsid w:val="0090557B"/>
    <w:rsid w:val="00906556"/>
    <w:rsid w:val="00911B30"/>
    <w:rsid w:val="00912F6D"/>
    <w:rsid w:val="0091339E"/>
    <w:rsid w:val="00915AD8"/>
    <w:rsid w:val="0091664F"/>
    <w:rsid w:val="00920210"/>
    <w:rsid w:val="00920E18"/>
    <w:rsid w:val="009217E3"/>
    <w:rsid w:val="0092277C"/>
    <w:rsid w:val="009238F5"/>
    <w:rsid w:val="00923A3D"/>
    <w:rsid w:val="009254ED"/>
    <w:rsid w:val="00925695"/>
    <w:rsid w:val="00926FDA"/>
    <w:rsid w:val="00927C7B"/>
    <w:rsid w:val="00927D43"/>
    <w:rsid w:val="009302E0"/>
    <w:rsid w:val="00933546"/>
    <w:rsid w:val="0093367E"/>
    <w:rsid w:val="00933E9A"/>
    <w:rsid w:val="00935460"/>
    <w:rsid w:val="00936B60"/>
    <w:rsid w:val="00936FE4"/>
    <w:rsid w:val="00937089"/>
    <w:rsid w:val="009376CD"/>
    <w:rsid w:val="00937A04"/>
    <w:rsid w:val="00937D8B"/>
    <w:rsid w:val="00942A59"/>
    <w:rsid w:val="009457EF"/>
    <w:rsid w:val="009472D2"/>
    <w:rsid w:val="009475F7"/>
    <w:rsid w:val="009509B4"/>
    <w:rsid w:val="00951103"/>
    <w:rsid w:val="00952701"/>
    <w:rsid w:val="00952F3C"/>
    <w:rsid w:val="00955FCE"/>
    <w:rsid w:val="00956728"/>
    <w:rsid w:val="00956EED"/>
    <w:rsid w:val="0096039C"/>
    <w:rsid w:val="00960511"/>
    <w:rsid w:val="0096670D"/>
    <w:rsid w:val="00967384"/>
    <w:rsid w:val="0096772C"/>
    <w:rsid w:val="00967C19"/>
    <w:rsid w:val="00970235"/>
    <w:rsid w:val="0097049A"/>
    <w:rsid w:val="0097064A"/>
    <w:rsid w:val="00970860"/>
    <w:rsid w:val="00970D74"/>
    <w:rsid w:val="00972422"/>
    <w:rsid w:val="00972651"/>
    <w:rsid w:val="00973A2D"/>
    <w:rsid w:val="00974AEA"/>
    <w:rsid w:val="00975662"/>
    <w:rsid w:val="009760A6"/>
    <w:rsid w:val="0098105F"/>
    <w:rsid w:val="00981A1A"/>
    <w:rsid w:val="00981CAB"/>
    <w:rsid w:val="009830C5"/>
    <w:rsid w:val="00983639"/>
    <w:rsid w:val="00987810"/>
    <w:rsid w:val="00987AB0"/>
    <w:rsid w:val="00991682"/>
    <w:rsid w:val="00991DF9"/>
    <w:rsid w:val="009928CA"/>
    <w:rsid w:val="00992A48"/>
    <w:rsid w:val="009936F7"/>
    <w:rsid w:val="00993D21"/>
    <w:rsid w:val="0099494D"/>
    <w:rsid w:val="009954ED"/>
    <w:rsid w:val="00995DE9"/>
    <w:rsid w:val="009969BD"/>
    <w:rsid w:val="009979C0"/>
    <w:rsid w:val="00997F40"/>
    <w:rsid w:val="009A0C91"/>
    <w:rsid w:val="009A152E"/>
    <w:rsid w:val="009A15CD"/>
    <w:rsid w:val="009A2126"/>
    <w:rsid w:val="009A3C97"/>
    <w:rsid w:val="009A4271"/>
    <w:rsid w:val="009A5730"/>
    <w:rsid w:val="009A5770"/>
    <w:rsid w:val="009A62B9"/>
    <w:rsid w:val="009B03C5"/>
    <w:rsid w:val="009B1E94"/>
    <w:rsid w:val="009B4576"/>
    <w:rsid w:val="009B47E4"/>
    <w:rsid w:val="009B584D"/>
    <w:rsid w:val="009B5F78"/>
    <w:rsid w:val="009B64F1"/>
    <w:rsid w:val="009B66D3"/>
    <w:rsid w:val="009B68FA"/>
    <w:rsid w:val="009B6960"/>
    <w:rsid w:val="009C0A86"/>
    <w:rsid w:val="009C0D82"/>
    <w:rsid w:val="009C1234"/>
    <w:rsid w:val="009C1A97"/>
    <w:rsid w:val="009C25C6"/>
    <w:rsid w:val="009C399B"/>
    <w:rsid w:val="009C4471"/>
    <w:rsid w:val="009C50B9"/>
    <w:rsid w:val="009C54B6"/>
    <w:rsid w:val="009D1035"/>
    <w:rsid w:val="009D12B3"/>
    <w:rsid w:val="009D1406"/>
    <w:rsid w:val="009D29A5"/>
    <w:rsid w:val="009D3011"/>
    <w:rsid w:val="009D4771"/>
    <w:rsid w:val="009D51DB"/>
    <w:rsid w:val="009D6AAB"/>
    <w:rsid w:val="009D6EB8"/>
    <w:rsid w:val="009E0BDB"/>
    <w:rsid w:val="009E1F26"/>
    <w:rsid w:val="009E3BAC"/>
    <w:rsid w:val="009E3CD4"/>
    <w:rsid w:val="009E4750"/>
    <w:rsid w:val="009E5B10"/>
    <w:rsid w:val="009E5FD5"/>
    <w:rsid w:val="009F0F6F"/>
    <w:rsid w:val="009F1C24"/>
    <w:rsid w:val="009F21F4"/>
    <w:rsid w:val="009F2468"/>
    <w:rsid w:val="009F309D"/>
    <w:rsid w:val="009F5929"/>
    <w:rsid w:val="009F5AE6"/>
    <w:rsid w:val="009F6004"/>
    <w:rsid w:val="009F6DF9"/>
    <w:rsid w:val="00A0065E"/>
    <w:rsid w:val="00A02C51"/>
    <w:rsid w:val="00A0302B"/>
    <w:rsid w:val="00A046B0"/>
    <w:rsid w:val="00A04EEE"/>
    <w:rsid w:val="00A07280"/>
    <w:rsid w:val="00A07708"/>
    <w:rsid w:val="00A1336E"/>
    <w:rsid w:val="00A135CD"/>
    <w:rsid w:val="00A13ABC"/>
    <w:rsid w:val="00A157E3"/>
    <w:rsid w:val="00A15972"/>
    <w:rsid w:val="00A159BD"/>
    <w:rsid w:val="00A1606E"/>
    <w:rsid w:val="00A179F2"/>
    <w:rsid w:val="00A21BBD"/>
    <w:rsid w:val="00A21D41"/>
    <w:rsid w:val="00A22BAB"/>
    <w:rsid w:val="00A247A1"/>
    <w:rsid w:val="00A25CCA"/>
    <w:rsid w:val="00A25F4E"/>
    <w:rsid w:val="00A312F3"/>
    <w:rsid w:val="00A320FC"/>
    <w:rsid w:val="00A35CEA"/>
    <w:rsid w:val="00A3690A"/>
    <w:rsid w:val="00A406A2"/>
    <w:rsid w:val="00A419CC"/>
    <w:rsid w:val="00A43367"/>
    <w:rsid w:val="00A438E1"/>
    <w:rsid w:val="00A446C2"/>
    <w:rsid w:val="00A4478D"/>
    <w:rsid w:val="00A47B1B"/>
    <w:rsid w:val="00A50826"/>
    <w:rsid w:val="00A53B58"/>
    <w:rsid w:val="00A547B2"/>
    <w:rsid w:val="00A55DA9"/>
    <w:rsid w:val="00A55FF2"/>
    <w:rsid w:val="00A566A9"/>
    <w:rsid w:val="00A57C1A"/>
    <w:rsid w:val="00A60D4A"/>
    <w:rsid w:val="00A61755"/>
    <w:rsid w:val="00A62CED"/>
    <w:rsid w:val="00A63080"/>
    <w:rsid w:val="00A6622D"/>
    <w:rsid w:val="00A67CD1"/>
    <w:rsid w:val="00A71303"/>
    <w:rsid w:val="00A7220C"/>
    <w:rsid w:val="00A7229C"/>
    <w:rsid w:val="00A73ECA"/>
    <w:rsid w:val="00A76ED8"/>
    <w:rsid w:val="00A82C8D"/>
    <w:rsid w:val="00A82D8A"/>
    <w:rsid w:val="00A8428F"/>
    <w:rsid w:val="00A84E22"/>
    <w:rsid w:val="00A86049"/>
    <w:rsid w:val="00A86AF2"/>
    <w:rsid w:val="00A87A02"/>
    <w:rsid w:val="00A9155A"/>
    <w:rsid w:val="00A93490"/>
    <w:rsid w:val="00A93E81"/>
    <w:rsid w:val="00A94CA5"/>
    <w:rsid w:val="00A97771"/>
    <w:rsid w:val="00AA2444"/>
    <w:rsid w:val="00AA25FD"/>
    <w:rsid w:val="00AA37C6"/>
    <w:rsid w:val="00AA39EC"/>
    <w:rsid w:val="00AA3F1F"/>
    <w:rsid w:val="00AA4CD3"/>
    <w:rsid w:val="00AA4ECC"/>
    <w:rsid w:val="00AA4FA0"/>
    <w:rsid w:val="00AA5625"/>
    <w:rsid w:val="00AA73A5"/>
    <w:rsid w:val="00AB08BA"/>
    <w:rsid w:val="00AB0D18"/>
    <w:rsid w:val="00AB0E57"/>
    <w:rsid w:val="00AB2207"/>
    <w:rsid w:val="00AB2378"/>
    <w:rsid w:val="00AB595B"/>
    <w:rsid w:val="00AB7015"/>
    <w:rsid w:val="00AB72C3"/>
    <w:rsid w:val="00AC0F07"/>
    <w:rsid w:val="00AC21C2"/>
    <w:rsid w:val="00AC290E"/>
    <w:rsid w:val="00AC3E52"/>
    <w:rsid w:val="00AC4D37"/>
    <w:rsid w:val="00AC50B1"/>
    <w:rsid w:val="00AC5685"/>
    <w:rsid w:val="00AC7E1F"/>
    <w:rsid w:val="00AD0A3C"/>
    <w:rsid w:val="00AD1C2A"/>
    <w:rsid w:val="00AD2BBA"/>
    <w:rsid w:val="00AD3145"/>
    <w:rsid w:val="00AD35AC"/>
    <w:rsid w:val="00AE131F"/>
    <w:rsid w:val="00AE2CE5"/>
    <w:rsid w:val="00AE404C"/>
    <w:rsid w:val="00AE40F5"/>
    <w:rsid w:val="00AE6EED"/>
    <w:rsid w:val="00AE73E2"/>
    <w:rsid w:val="00AF07D5"/>
    <w:rsid w:val="00AF0C78"/>
    <w:rsid w:val="00AF1135"/>
    <w:rsid w:val="00AF2CB8"/>
    <w:rsid w:val="00AF32B3"/>
    <w:rsid w:val="00AF33F8"/>
    <w:rsid w:val="00AF399A"/>
    <w:rsid w:val="00AF46F9"/>
    <w:rsid w:val="00AF478A"/>
    <w:rsid w:val="00AF51C8"/>
    <w:rsid w:val="00AF547A"/>
    <w:rsid w:val="00B00AA3"/>
    <w:rsid w:val="00B01003"/>
    <w:rsid w:val="00B01446"/>
    <w:rsid w:val="00B01B5E"/>
    <w:rsid w:val="00B05871"/>
    <w:rsid w:val="00B0656D"/>
    <w:rsid w:val="00B10789"/>
    <w:rsid w:val="00B107FD"/>
    <w:rsid w:val="00B1094A"/>
    <w:rsid w:val="00B13A4D"/>
    <w:rsid w:val="00B15348"/>
    <w:rsid w:val="00B15458"/>
    <w:rsid w:val="00B15D84"/>
    <w:rsid w:val="00B16101"/>
    <w:rsid w:val="00B21CCC"/>
    <w:rsid w:val="00B22682"/>
    <w:rsid w:val="00B2284D"/>
    <w:rsid w:val="00B2300A"/>
    <w:rsid w:val="00B23263"/>
    <w:rsid w:val="00B24D38"/>
    <w:rsid w:val="00B254CE"/>
    <w:rsid w:val="00B25AD0"/>
    <w:rsid w:val="00B25BD1"/>
    <w:rsid w:val="00B2616F"/>
    <w:rsid w:val="00B3232F"/>
    <w:rsid w:val="00B33662"/>
    <w:rsid w:val="00B336D4"/>
    <w:rsid w:val="00B34841"/>
    <w:rsid w:val="00B35B11"/>
    <w:rsid w:val="00B35D0D"/>
    <w:rsid w:val="00B36FAF"/>
    <w:rsid w:val="00B4175A"/>
    <w:rsid w:val="00B42705"/>
    <w:rsid w:val="00B427C0"/>
    <w:rsid w:val="00B42B1B"/>
    <w:rsid w:val="00B430F1"/>
    <w:rsid w:val="00B43ADD"/>
    <w:rsid w:val="00B43FED"/>
    <w:rsid w:val="00B44491"/>
    <w:rsid w:val="00B45DE7"/>
    <w:rsid w:val="00B46773"/>
    <w:rsid w:val="00B46CE8"/>
    <w:rsid w:val="00B503EC"/>
    <w:rsid w:val="00B5041D"/>
    <w:rsid w:val="00B52546"/>
    <w:rsid w:val="00B52D27"/>
    <w:rsid w:val="00B5301F"/>
    <w:rsid w:val="00B53744"/>
    <w:rsid w:val="00B54528"/>
    <w:rsid w:val="00B566E2"/>
    <w:rsid w:val="00B5679A"/>
    <w:rsid w:val="00B576E4"/>
    <w:rsid w:val="00B5790D"/>
    <w:rsid w:val="00B57E84"/>
    <w:rsid w:val="00B61E16"/>
    <w:rsid w:val="00B63294"/>
    <w:rsid w:val="00B6383A"/>
    <w:rsid w:val="00B63D7C"/>
    <w:rsid w:val="00B64166"/>
    <w:rsid w:val="00B650E7"/>
    <w:rsid w:val="00B654A3"/>
    <w:rsid w:val="00B65675"/>
    <w:rsid w:val="00B65938"/>
    <w:rsid w:val="00B664DA"/>
    <w:rsid w:val="00B668C8"/>
    <w:rsid w:val="00B66A5C"/>
    <w:rsid w:val="00B67E99"/>
    <w:rsid w:val="00B7141B"/>
    <w:rsid w:val="00B71CDD"/>
    <w:rsid w:val="00B72AEE"/>
    <w:rsid w:val="00B732CF"/>
    <w:rsid w:val="00B73375"/>
    <w:rsid w:val="00B762C6"/>
    <w:rsid w:val="00B8066A"/>
    <w:rsid w:val="00B83E10"/>
    <w:rsid w:val="00B85B32"/>
    <w:rsid w:val="00B86F7F"/>
    <w:rsid w:val="00B910AE"/>
    <w:rsid w:val="00B91BC9"/>
    <w:rsid w:val="00B91F19"/>
    <w:rsid w:val="00B95680"/>
    <w:rsid w:val="00B95BFD"/>
    <w:rsid w:val="00B97C47"/>
    <w:rsid w:val="00BA04BD"/>
    <w:rsid w:val="00BA1121"/>
    <w:rsid w:val="00BA2AD7"/>
    <w:rsid w:val="00BA2BFB"/>
    <w:rsid w:val="00BA38DC"/>
    <w:rsid w:val="00BA4D9B"/>
    <w:rsid w:val="00BA5778"/>
    <w:rsid w:val="00BA58DD"/>
    <w:rsid w:val="00BA5C29"/>
    <w:rsid w:val="00BA66D2"/>
    <w:rsid w:val="00BA7790"/>
    <w:rsid w:val="00BA791D"/>
    <w:rsid w:val="00BB12D9"/>
    <w:rsid w:val="00BB2BAA"/>
    <w:rsid w:val="00BB5B2E"/>
    <w:rsid w:val="00BB6CD3"/>
    <w:rsid w:val="00BB70A4"/>
    <w:rsid w:val="00BB766F"/>
    <w:rsid w:val="00BB769A"/>
    <w:rsid w:val="00BB7F49"/>
    <w:rsid w:val="00BC038A"/>
    <w:rsid w:val="00BC0811"/>
    <w:rsid w:val="00BC222A"/>
    <w:rsid w:val="00BC38B5"/>
    <w:rsid w:val="00BC4E80"/>
    <w:rsid w:val="00BC5145"/>
    <w:rsid w:val="00BD103E"/>
    <w:rsid w:val="00BD25C3"/>
    <w:rsid w:val="00BD260C"/>
    <w:rsid w:val="00BD56E7"/>
    <w:rsid w:val="00BD5D45"/>
    <w:rsid w:val="00BD6111"/>
    <w:rsid w:val="00BD6660"/>
    <w:rsid w:val="00BD6E8A"/>
    <w:rsid w:val="00BD7E64"/>
    <w:rsid w:val="00BE12E6"/>
    <w:rsid w:val="00BE1A47"/>
    <w:rsid w:val="00BE4C3E"/>
    <w:rsid w:val="00BE534D"/>
    <w:rsid w:val="00BE5437"/>
    <w:rsid w:val="00BE6B4B"/>
    <w:rsid w:val="00BF1615"/>
    <w:rsid w:val="00BF5CB7"/>
    <w:rsid w:val="00BF7E70"/>
    <w:rsid w:val="00C013E5"/>
    <w:rsid w:val="00C03265"/>
    <w:rsid w:val="00C03B42"/>
    <w:rsid w:val="00C03C18"/>
    <w:rsid w:val="00C06396"/>
    <w:rsid w:val="00C063AC"/>
    <w:rsid w:val="00C0661B"/>
    <w:rsid w:val="00C06F28"/>
    <w:rsid w:val="00C079FA"/>
    <w:rsid w:val="00C1162C"/>
    <w:rsid w:val="00C122A2"/>
    <w:rsid w:val="00C13FCF"/>
    <w:rsid w:val="00C154A4"/>
    <w:rsid w:val="00C15A41"/>
    <w:rsid w:val="00C167EA"/>
    <w:rsid w:val="00C16A67"/>
    <w:rsid w:val="00C16CF7"/>
    <w:rsid w:val="00C16FBB"/>
    <w:rsid w:val="00C1755C"/>
    <w:rsid w:val="00C2056D"/>
    <w:rsid w:val="00C21F7A"/>
    <w:rsid w:val="00C224CE"/>
    <w:rsid w:val="00C23239"/>
    <w:rsid w:val="00C23955"/>
    <w:rsid w:val="00C24084"/>
    <w:rsid w:val="00C241D9"/>
    <w:rsid w:val="00C24BEB"/>
    <w:rsid w:val="00C26E63"/>
    <w:rsid w:val="00C27525"/>
    <w:rsid w:val="00C343D9"/>
    <w:rsid w:val="00C3544B"/>
    <w:rsid w:val="00C357CF"/>
    <w:rsid w:val="00C37ADB"/>
    <w:rsid w:val="00C37F68"/>
    <w:rsid w:val="00C407CF"/>
    <w:rsid w:val="00C40988"/>
    <w:rsid w:val="00C40E8E"/>
    <w:rsid w:val="00C41B68"/>
    <w:rsid w:val="00C43A0B"/>
    <w:rsid w:val="00C45905"/>
    <w:rsid w:val="00C461E6"/>
    <w:rsid w:val="00C513B4"/>
    <w:rsid w:val="00C5177A"/>
    <w:rsid w:val="00C52D82"/>
    <w:rsid w:val="00C56785"/>
    <w:rsid w:val="00C573B4"/>
    <w:rsid w:val="00C57A3A"/>
    <w:rsid w:val="00C57C44"/>
    <w:rsid w:val="00C602AA"/>
    <w:rsid w:val="00C61197"/>
    <w:rsid w:val="00C61245"/>
    <w:rsid w:val="00C637EE"/>
    <w:rsid w:val="00C66173"/>
    <w:rsid w:val="00C70578"/>
    <w:rsid w:val="00C7195D"/>
    <w:rsid w:val="00C723B3"/>
    <w:rsid w:val="00C72511"/>
    <w:rsid w:val="00C75BF2"/>
    <w:rsid w:val="00C768FB"/>
    <w:rsid w:val="00C7708E"/>
    <w:rsid w:val="00C77932"/>
    <w:rsid w:val="00C77CC0"/>
    <w:rsid w:val="00C8047A"/>
    <w:rsid w:val="00C81443"/>
    <w:rsid w:val="00C81E8C"/>
    <w:rsid w:val="00C8414C"/>
    <w:rsid w:val="00C84DA6"/>
    <w:rsid w:val="00C8503F"/>
    <w:rsid w:val="00C854E2"/>
    <w:rsid w:val="00C86204"/>
    <w:rsid w:val="00C90E88"/>
    <w:rsid w:val="00C9210B"/>
    <w:rsid w:val="00C933A5"/>
    <w:rsid w:val="00C942A1"/>
    <w:rsid w:val="00C943FC"/>
    <w:rsid w:val="00C94C9F"/>
    <w:rsid w:val="00C97326"/>
    <w:rsid w:val="00CA32C7"/>
    <w:rsid w:val="00CA3CF1"/>
    <w:rsid w:val="00CA426E"/>
    <w:rsid w:val="00CA47BC"/>
    <w:rsid w:val="00CB216E"/>
    <w:rsid w:val="00CB34D3"/>
    <w:rsid w:val="00CB5AC3"/>
    <w:rsid w:val="00CB5C19"/>
    <w:rsid w:val="00CB5D16"/>
    <w:rsid w:val="00CC1295"/>
    <w:rsid w:val="00CC1BCF"/>
    <w:rsid w:val="00CC1F37"/>
    <w:rsid w:val="00CC22A1"/>
    <w:rsid w:val="00CC4092"/>
    <w:rsid w:val="00CC6FB3"/>
    <w:rsid w:val="00CC746F"/>
    <w:rsid w:val="00CD1075"/>
    <w:rsid w:val="00CD1F79"/>
    <w:rsid w:val="00CD23FF"/>
    <w:rsid w:val="00CD2588"/>
    <w:rsid w:val="00CD2CD3"/>
    <w:rsid w:val="00CD4930"/>
    <w:rsid w:val="00CD5653"/>
    <w:rsid w:val="00CD62A6"/>
    <w:rsid w:val="00CD7968"/>
    <w:rsid w:val="00CD7F22"/>
    <w:rsid w:val="00CE09ED"/>
    <w:rsid w:val="00CE17EB"/>
    <w:rsid w:val="00CE27EF"/>
    <w:rsid w:val="00CE5774"/>
    <w:rsid w:val="00CE6708"/>
    <w:rsid w:val="00CE6D4F"/>
    <w:rsid w:val="00CE7A5D"/>
    <w:rsid w:val="00CF11DF"/>
    <w:rsid w:val="00CF1B23"/>
    <w:rsid w:val="00CF3D5C"/>
    <w:rsid w:val="00CF55C0"/>
    <w:rsid w:val="00CF5788"/>
    <w:rsid w:val="00D00136"/>
    <w:rsid w:val="00D00213"/>
    <w:rsid w:val="00D01563"/>
    <w:rsid w:val="00D01924"/>
    <w:rsid w:val="00D035A4"/>
    <w:rsid w:val="00D0365F"/>
    <w:rsid w:val="00D04893"/>
    <w:rsid w:val="00D04B9C"/>
    <w:rsid w:val="00D04BBB"/>
    <w:rsid w:val="00D07231"/>
    <w:rsid w:val="00D07FD2"/>
    <w:rsid w:val="00D10542"/>
    <w:rsid w:val="00D11745"/>
    <w:rsid w:val="00D1202F"/>
    <w:rsid w:val="00D121C1"/>
    <w:rsid w:val="00D12B69"/>
    <w:rsid w:val="00D14111"/>
    <w:rsid w:val="00D15381"/>
    <w:rsid w:val="00D16B36"/>
    <w:rsid w:val="00D1721C"/>
    <w:rsid w:val="00D20FE3"/>
    <w:rsid w:val="00D21DAA"/>
    <w:rsid w:val="00D220D6"/>
    <w:rsid w:val="00D23E5D"/>
    <w:rsid w:val="00D24303"/>
    <w:rsid w:val="00D3100C"/>
    <w:rsid w:val="00D31DFA"/>
    <w:rsid w:val="00D3266D"/>
    <w:rsid w:val="00D3503B"/>
    <w:rsid w:val="00D36BF8"/>
    <w:rsid w:val="00D37747"/>
    <w:rsid w:val="00D40362"/>
    <w:rsid w:val="00D40416"/>
    <w:rsid w:val="00D406F2"/>
    <w:rsid w:val="00D409F8"/>
    <w:rsid w:val="00D4156A"/>
    <w:rsid w:val="00D41DB6"/>
    <w:rsid w:val="00D42E54"/>
    <w:rsid w:val="00D44B51"/>
    <w:rsid w:val="00D45821"/>
    <w:rsid w:val="00D47449"/>
    <w:rsid w:val="00D47958"/>
    <w:rsid w:val="00D47B5A"/>
    <w:rsid w:val="00D47F3C"/>
    <w:rsid w:val="00D5356D"/>
    <w:rsid w:val="00D5359A"/>
    <w:rsid w:val="00D55187"/>
    <w:rsid w:val="00D571E6"/>
    <w:rsid w:val="00D573D0"/>
    <w:rsid w:val="00D57494"/>
    <w:rsid w:val="00D61AC1"/>
    <w:rsid w:val="00D61BB3"/>
    <w:rsid w:val="00D633AE"/>
    <w:rsid w:val="00D63E54"/>
    <w:rsid w:val="00D646D5"/>
    <w:rsid w:val="00D66673"/>
    <w:rsid w:val="00D673BF"/>
    <w:rsid w:val="00D676AD"/>
    <w:rsid w:val="00D71713"/>
    <w:rsid w:val="00D73240"/>
    <w:rsid w:val="00D73BDE"/>
    <w:rsid w:val="00D73C64"/>
    <w:rsid w:val="00D7714F"/>
    <w:rsid w:val="00D77470"/>
    <w:rsid w:val="00D808C0"/>
    <w:rsid w:val="00D81873"/>
    <w:rsid w:val="00D825C4"/>
    <w:rsid w:val="00D84A8B"/>
    <w:rsid w:val="00D85381"/>
    <w:rsid w:val="00D865EC"/>
    <w:rsid w:val="00D86BF6"/>
    <w:rsid w:val="00D9009D"/>
    <w:rsid w:val="00D903FA"/>
    <w:rsid w:val="00D9131E"/>
    <w:rsid w:val="00D92CF8"/>
    <w:rsid w:val="00D93F18"/>
    <w:rsid w:val="00D943DD"/>
    <w:rsid w:val="00D964B0"/>
    <w:rsid w:val="00D96F7E"/>
    <w:rsid w:val="00D97BC8"/>
    <w:rsid w:val="00DA0B00"/>
    <w:rsid w:val="00DA0EA5"/>
    <w:rsid w:val="00DA34FB"/>
    <w:rsid w:val="00DA561D"/>
    <w:rsid w:val="00DA58F1"/>
    <w:rsid w:val="00DB034C"/>
    <w:rsid w:val="00DB03A4"/>
    <w:rsid w:val="00DB0D33"/>
    <w:rsid w:val="00DB3261"/>
    <w:rsid w:val="00DB47D3"/>
    <w:rsid w:val="00DB58E0"/>
    <w:rsid w:val="00DB6F71"/>
    <w:rsid w:val="00DB7E64"/>
    <w:rsid w:val="00DC0191"/>
    <w:rsid w:val="00DC0ECC"/>
    <w:rsid w:val="00DC36D5"/>
    <w:rsid w:val="00DD2768"/>
    <w:rsid w:val="00DD6F8E"/>
    <w:rsid w:val="00DE2107"/>
    <w:rsid w:val="00DE2529"/>
    <w:rsid w:val="00DE28EA"/>
    <w:rsid w:val="00DE3E20"/>
    <w:rsid w:val="00DE4D7F"/>
    <w:rsid w:val="00DE65D2"/>
    <w:rsid w:val="00DE6734"/>
    <w:rsid w:val="00DE7627"/>
    <w:rsid w:val="00DE7A0B"/>
    <w:rsid w:val="00DF10AE"/>
    <w:rsid w:val="00DF1831"/>
    <w:rsid w:val="00DF2E71"/>
    <w:rsid w:val="00DF3147"/>
    <w:rsid w:val="00DF465F"/>
    <w:rsid w:val="00DF5DA3"/>
    <w:rsid w:val="00E00C60"/>
    <w:rsid w:val="00E00D7C"/>
    <w:rsid w:val="00E0243C"/>
    <w:rsid w:val="00E03CEE"/>
    <w:rsid w:val="00E04D3B"/>
    <w:rsid w:val="00E05661"/>
    <w:rsid w:val="00E05CCA"/>
    <w:rsid w:val="00E07E8C"/>
    <w:rsid w:val="00E103CA"/>
    <w:rsid w:val="00E106CB"/>
    <w:rsid w:val="00E11630"/>
    <w:rsid w:val="00E11683"/>
    <w:rsid w:val="00E118C4"/>
    <w:rsid w:val="00E11DD1"/>
    <w:rsid w:val="00E122D0"/>
    <w:rsid w:val="00E137C3"/>
    <w:rsid w:val="00E20602"/>
    <w:rsid w:val="00E2232B"/>
    <w:rsid w:val="00E22B51"/>
    <w:rsid w:val="00E23253"/>
    <w:rsid w:val="00E24720"/>
    <w:rsid w:val="00E26DB3"/>
    <w:rsid w:val="00E31807"/>
    <w:rsid w:val="00E32486"/>
    <w:rsid w:val="00E32E1C"/>
    <w:rsid w:val="00E349AE"/>
    <w:rsid w:val="00E34CD1"/>
    <w:rsid w:val="00E35903"/>
    <w:rsid w:val="00E405EE"/>
    <w:rsid w:val="00E41003"/>
    <w:rsid w:val="00E43B33"/>
    <w:rsid w:val="00E43D61"/>
    <w:rsid w:val="00E45228"/>
    <w:rsid w:val="00E46AD0"/>
    <w:rsid w:val="00E47E1D"/>
    <w:rsid w:val="00E5009B"/>
    <w:rsid w:val="00E50445"/>
    <w:rsid w:val="00E5156B"/>
    <w:rsid w:val="00E52AB6"/>
    <w:rsid w:val="00E54150"/>
    <w:rsid w:val="00E5469A"/>
    <w:rsid w:val="00E56EF1"/>
    <w:rsid w:val="00E573A3"/>
    <w:rsid w:val="00E60104"/>
    <w:rsid w:val="00E60A10"/>
    <w:rsid w:val="00E61E6D"/>
    <w:rsid w:val="00E635CD"/>
    <w:rsid w:val="00E63939"/>
    <w:rsid w:val="00E63F84"/>
    <w:rsid w:val="00E64A99"/>
    <w:rsid w:val="00E64D5E"/>
    <w:rsid w:val="00E65FAE"/>
    <w:rsid w:val="00E66958"/>
    <w:rsid w:val="00E67C79"/>
    <w:rsid w:val="00E72AC4"/>
    <w:rsid w:val="00E72EE2"/>
    <w:rsid w:val="00E741A9"/>
    <w:rsid w:val="00E74ADA"/>
    <w:rsid w:val="00E74E43"/>
    <w:rsid w:val="00E759C1"/>
    <w:rsid w:val="00E75A17"/>
    <w:rsid w:val="00E77C07"/>
    <w:rsid w:val="00E77E0C"/>
    <w:rsid w:val="00E80FD9"/>
    <w:rsid w:val="00E81246"/>
    <w:rsid w:val="00E8144F"/>
    <w:rsid w:val="00E81C59"/>
    <w:rsid w:val="00E82B9E"/>
    <w:rsid w:val="00E84BEE"/>
    <w:rsid w:val="00E85C83"/>
    <w:rsid w:val="00E8683A"/>
    <w:rsid w:val="00E87829"/>
    <w:rsid w:val="00E87EFC"/>
    <w:rsid w:val="00E90075"/>
    <w:rsid w:val="00E90B98"/>
    <w:rsid w:val="00E90EC3"/>
    <w:rsid w:val="00E916D5"/>
    <w:rsid w:val="00E91D2D"/>
    <w:rsid w:val="00E92719"/>
    <w:rsid w:val="00E92CE4"/>
    <w:rsid w:val="00E93ABC"/>
    <w:rsid w:val="00E95FC6"/>
    <w:rsid w:val="00EA1E0B"/>
    <w:rsid w:val="00EA273E"/>
    <w:rsid w:val="00EA41A0"/>
    <w:rsid w:val="00EA43C8"/>
    <w:rsid w:val="00EA4854"/>
    <w:rsid w:val="00EA4D34"/>
    <w:rsid w:val="00EA5114"/>
    <w:rsid w:val="00EA66F3"/>
    <w:rsid w:val="00EA6E1A"/>
    <w:rsid w:val="00EA7090"/>
    <w:rsid w:val="00EA7427"/>
    <w:rsid w:val="00EA769E"/>
    <w:rsid w:val="00EB221F"/>
    <w:rsid w:val="00EB36A1"/>
    <w:rsid w:val="00EB3B0A"/>
    <w:rsid w:val="00EB3D73"/>
    <w:rsid w:val="00EB5D6B"/>
    <w:rsid w:val="00EB74CF"/>
    <w:rsid w:val="00EC12CF"/>
    <w:rsid w:val="00EC16E8"/>
    <w:rsid w:val="00EC1AB3"/>
    <w:rsid w:val="00EC595B"/>
    <w:rsid w:val="00EC5BB4"/>
    <w:rsid w:val="00EC6AA7"/>
    <w:rsid w:val="00EC735B"/>
    <w:rsid w:val="00EC7FE5"/>
    <w:rsid w:val="00ED1EB5"/>
    <w:rsid w:val="00ED5CD1"/>
    <w:rsid w:val="00ED5E9B"/>
    <w:rsid w:val="00ED696F"/>
    <w:rsid w:val="00EE1DFD"/>
    <w:rsid w:val="00EE1EF4"/>
    <w:rsid w:val="00EE3270"/>
    <w:rsid w:val="00EE4F21"/>
    <w:rsid w:val="00EE6CE9"/>
    <w:rsid w:val="00EE7128"/>
    <w:rsid w:val="00EF364D"/>
    <w:rsid w:val="00EF365E"/>
    <w:rsid w:val="00EF4291"/>
    <w:rsid w:val="00EF4F66"/>
    <w:rsid w:val="00EF5434"/>
    <w:rsid w:val="00EF6CE3"/>
    <w:rsid w:val="00EF7482"/>
    <w:rsid w:val="00F01264"/>
    <w:rsid w:val="00F0149A"/>
    <w:rsid w:val="00F039AC"/>
    <w:rsid w:val="00F03DB3"/>
    <w:rsid w:val="00F04F45"/>
    <w:rsid w:val="00F07464"/>
    <w:rsid w:val="00F07FEC"/>
    <w:rsid w:val="00F16FC9"/>
    <w:rsid w:val="00F201CD"/>
    <w:rsid w:val="00F212A8"/>
    <w:rsid w:val="00F221A0"/>
    <w:rsid w:val="00F23BE4"/>
    <w:rsid w:val="00F24828"/>
    <w:rsid w:val="00F24BA6"/>
    <w:rsid w:val="00F2521C"/>
    <w:rsid w:val="00F25298"/>
    <w:rsid w:val="00F2581B"/>
    <w:rsid w:val="00F3005F"/>
    <w:rsid w:val="00F327D7"/>
    <w:rsid w:val="00F33527"/>
    <w:rsid w:val="00F35108"/>
    <w:rsid w:val="00F360E8"/>
    <w:rsid w:val="00F361EA"/>
    <w:rsid w:val="00F36B5A"/>
    <w:rsid w:val="00F40B31"/>
    <w:rsid w:val="00F40E38"/>
    <w:rsid w:val="00F42619"/>
    <w:rsid w:val="00F43497"/>
    <w:rsid w:val="00F4471B"/>
    <w:rsid w:val="00F4565A"/>
    <w:rsid w:val="00F465C8"/>
    <w:rsid w:val="00F47232"/>
    <w:rsid w:val="00F47606"/>
    <w:rsid w:val="00F52159"/>
    <w:rsid w:val="00F54EF0"/>
    <w:rsid w:val="00F5611B"/>
    <w:rsid w:val="00F56C2F"/>
    <w:rsid w:val="00F60D82"/>
    <w:rsid w:val="00F62AF0"/>
    <w:rsid w:val="00F65609"/>
    <w:rsid w:val="00F6666B"/>
    <w:rsid w:val="00F66849"/>
    <w:rsid w:val="00F67582"/>
    <w:rsid w:val="00F734B1"/>
    <w:rsid w:val="00F73C9C"/>
    <w:rsid w:val="00F74D9D"/>
    <w:rsid w:val="00F75524"/>
    <w:rsid w:val="00F770AD"/>
    <w:rsid w:val="00F77E67"/>
    <w:rsid w:val="00F80469"/>
    <w:rsid w:val="00F806FB"/>
    <w:rsid w:val="00F84335"/>
    <w:rsid w:val="00F8628D"/>
    <w:rsid w:val="00F902A7"/>
    <w:rsid w:val="00F90D87"/>
    <w:rsid w:val="00F90FAF"/>
    <w:rsid w:val="00F914C4"/>
    <w:rsid w:val="00F92B7B"/>
    <w:rsid w:val="00F92C47"/>
    <w:rsid w:val="00F93A98"/>
    <w:rsid w:val="00F95057"/>
    <w:rsid w:val="00F96420"/>
    <w:rsid w:val="00FA0B95"/>
    <w:rsid w:val="00FA1384"/>
    <w:rsid w:val="00FA2128"/>
    <w:rsid w:val="00FA265F"/>
    <w:rsid w:val="00FA3849"/>
    <w:rsid w:val="00FB0DFC"/>
    <w:rsid w:val="00FB532F"/>
    <w:rsid w:val="00FC1095"/>
    <w:rsid w:val="00FC1242"/>
    <w:rsid w:val="00FC1CB2"/>
    <w:rsid w:val="00FC2504"/>
    <w:rsid w:val="00FC3E2B"/>
    <w:rsid w:val="00FC6A49"/>
    <w:rsid w:val="00FC73A0"/>
    <w:rsid w:val="00FC74F0"/>
    <w:rsid w:val="00FC78A0"/>
    <w:rsid w:val="00FC78D1"/>
    <w:rsid w:val="00FD0052"/>
    <w:rsid w:val="00FD22A8"/>
    <w:rsid w:val="00FD5C43"/>
    <w:rsid w:val="00FD7FB0"/>
    <w:rsid w:val="00FE1BE3"/>
    <w:rsid w:val="00FE225D"/>
    <w:rsid w:val="00FE2719"/>
    <w:rsid w:val="00FE2861"/>
    <w:rsid w:val="00FE317D"/>
    <w:rsid w:val="00FE38C9"/>
    <w:rsid w:val="00FE3CD4"/>
    <w:rsid w:val="00FE4C55"/>
    <w:rsid w:val="00FE51E0"/>
    <w:rsid w:val="00FE5311"/>
    <w:rsid w:val="00FE56C8"/>
    <w:rsid w:val="00FE694E"/>
    <w:rsid w:val="00FE6FE9"/>
    <w:rsid w:val="00FE7970"/>
    <w:rsid w:val="00FF295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12A7D5"/>
  <w14:defaultImageDpi w14:val="330"/>
  <w15:docId w15:val="{8B27B79A-E8CB-4BFF-A50D-920BEA7F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6CD"/>
  </w:style>
  <w:style w:type="paragraph" w:styleId="Heading1">
    <w:name w:val="heading 1"/>
    <w:basedOn w:val="Normal"/>
    <w:next w:val="Normal"/>
    <w:link w:val="Heading1Char"/>
    <w:uiPriority w:val="9"/>
    <w:qFormat/>
    <w:rsid w:val="00AA5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512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4512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44512F"/>
    <w:pPr>
      <w:keepNext/>
      <w:keepLines/>
      <w:spacing w:before="40" w:after="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unhideWhenUsed/>
    <w:qFormat/>
    <w:rsid w:val="00AA4FA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4512F"/>
    <w:pPr>
      <w:keepNext/>
      <w:keepLines/>
      <w:spacing w:before="40" w:after="0"/>
      <w:outlineLvl w:val="5"/>
    </w:pPr>
    <w:rPr>
      <w:rFonts w:asciiTheme="majorHAnsi" w:eastAsiaTheme="majorEastAsia" w:hAnsiTheme="majorHAnsi" w:cstheme="majorBidi"/>
      <w:i/>
      <w:iCs/>
      <w:caps/>
      <w:color w:val="1F4E79" w:themeColor="accent1" w:themeShade="80"/>
      <w:sz w:val="22"/>
      <w:szCs w:val="22"/>
    </w:rPr>
  </w:style>
  <w:style w:type="paragraph" w:styleId="Heading7">
    <w:name w:val="heading 7"/>
    <w:basedOn w:val="Normal"/>
    <w:next w:val="Normal"/>
    <w:link w:val="Heading7Char"/>
    <w:uiPriority w:val="9"/>
    <w:semiHidden/>
    <w:unhideWhenUsed/>
    <w:qFormat/>
    <w:rsid w:val="0044512F"/>
    <w:pPr>
      <w:keepNext/>
      <w:keepLines/>
      <w:spacing w:before="40" w:after="0"/>
      <w:outlineLvl w:val="6"/>
    </w:pPr>
    <w:rPr>
      <w:rFonts w:asciiTheme="majorHAnsi" w:eastAsiaTheme="majorEastAsia" w:hAnsiTheme="majorHAnsi" w:cstheme="majorBidi"/>
      <w:b/>
      <w:bCs/>
      <w:color w:val="1F4E79" w:themeColor="accent1" w:themeShade="80"/>
      <w:sz w:val="22"/>
      <w:szCs w:val="22"/>
    </w:rPr>
  </w:style>
  <w:style w:type="paragraph" w:styleId="Heading8">
    <w:name w:val="heading 8"/>
    <w:basedOn w:val="Normal"/>
    <w:next w:val="Normal"/>
    <w:link w:val="Heading8Char"/>
    <w:uiPriority w:val="9"/>
    <w:semiHidden/>
    <w:unhideWhenUsed/>
    <w:qFormat/>
    <w:rsid w:val="0044512F"/>
    <w:pPr>
      <w:keepNext/>
      <w:keepLines/>
      <w:spacing w:before="40" w:after="0"/>
      <w:outlineLvl w:val="7"/>
    </w:pPr>
    <w:rPr>
      <w:rFonts w:asciiTheme="majorHAnsi" w:eastAsiaTheme="majorEastAsia" w:hAnsiTheme="majorHAnsi" w:cstheme="majorBidi"/>
      <w:b/>
      <w:bCs/>
      <w:i/>
      <w:iCs/>
      <w:color w:val="1F4E79" w:themeColor="accent1" w:themeShade="80"/>
      <w:sz w:val="22"/>
      <w:szCs w:val="22"/>
    </w:rPr>
  </w:style>
  <w:style w:type="paragraph" w:styleId="Heading9">
    <w:name w:val="heading 9"/>
    <w:basedOn w:val="Normal"/>
    <w:next w:val="Normal"/>
    <w:link w:val="Heading9Char"/>
    <w:uiPriority w:val="9"/>
    <w:semiHidden/>
    <w:unhideWhenUsed/>
    <w:qFormat/>
    <w:rsid w:val="0044512F"/>
    <w:pPr>
      <w:keepNext/>
      <w:keepLines/>
      <w:spacing w:before="40" w:after="0"/>
      <w:outlineLvl w:val="8"/>
    </w:pPr>
    <w:rPr>
      <w:rFonts w:asciiTheme="majorHAnsi" w:eastAsiaTheme="majorEastAsia" w:hAnsiTheme="majorHAnsi" w:cstheme="majorBidi"/>
      <w:i/>
      <w:iCs/>
      <w:color w:val="1F4E79"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2C5B8B"/>
    <w:pPr>
      <w:widowControl w:val="0"/>
      <w:tabs>
        <w:tab w:val="left" w:pos="720"/>
      </w:tabs>
      <w:spacing w:after="0" w:line="240" w:lineRule="auto"/>
      <w:ind w:left="720" w:hanging="720"/>
      <w:jc w:val="both"/>
    </w:pPr>
    <w:rPr>
      <w:rFonts w:eastAsia="Times New Roman"/>
      <w:snapToGrid w:val="0"/>
      <w:szCs w:val="20"/>
      <w:lang w:val="en-AU"/>
    </w:rPr>
  </w:style>
  <w:style w:type="paragraph" w:styleId="BalloonText">
    <w:name w:val="Balloon Text"/>
    <w:basedOn w:val="Normal"/>
    <w:link w:val="BalloonTextChar"/>
    <w:uiPriority w:val="99"/>
    <w:semiHidden/>
    <w:unhideWhenUsed/>
    <w:rsid w:val="00E10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CA"/>
    <w:rPr>
      <w:rFonts w:ascii="Segoe UI" w:hAnsi="Segoe UI" w:cs="Segoe UI"/>
      <w:sz w:val="18"/>
      <w:szCs w:val="18"/>
    </w:rPr>
  </w:style>
  <w:style w:type="paragraph" w:styleId="FootnoteText">
    <w:name w:val="footnote text"/>
    <w:aliases w:val="single space,FOOTNOTES,ft,footnote text,Footnote Text Char2 Char,Footnote Text Char1 Char Char,Footnote Text Char Char Char Char,Footnote Text Char2 Char Char Char Char,Footnote Text Char Char Char Char Char Char,ADB"/>
    <w:basedOn w:val="Normal"/>
    <w:link w:val="FootnoteTextChar"/>
    <w:uiPriority w:val="99"/>
    <w:unhideWhenUsed/>
    <w:qFormat/>
    <w:rsid w:val="00A97771"/>
    <w:pPr>
      <w:spacing w:after="0" w:line="240" w:lineRule="auto"/>
    </w:pPr>
    <w:rPr>
      <w:sz w:val="20"/>
      <w:szCs w:val="20"/>
    </w:rPr>
  </w:style>
  <w:style w:type="character" w:customStyle="1" w:styleId="FootnoteTextChar">
    <w:name w:val="Footnote Text Char"/>
    <w:aliases w:val="single space Char,FOOTNOTES Char,ft Char,footnote text Char,Footnote Text Char2 Char Char,Footnote Text Char1 Char Char Char,Footnote Text Char Char Char Char Char,Footnote Text Char2 Char Char Char Char Char,ADB Char"/>
    <w:basedOn w:val="DefaultParagraphFont"/>
    <w:link w:val="FootnoteText"/>
    <w:uiPriority w:val="99"/>
    <w:rsid w:val="00A97771"/>
    <w:rPr>
      <w:sz w:val="20"/>
      <w:szCs w:val="20"/>
    </w:rPr>
  </w:style>
  <w:style w:type="character" w:styleId="FootnoteReference">
    <w:name w:val="footnote reference"/>
    <w:aliases w:val="ftref,Error-Fußnotenzeichen5,Error-Fußnotenzeichen6,Error-Fußnotenzeichen3,Footnote Reference1,referencia nota al pie,Знак сноски 1,Footnote Reference Number,Footnote Reference_LVL6,Footnote Reference_LVL61,Footnote Reference_LVL62"/>
    <w:basedOn w:val="DefaultParagraphFont"/>
    <w:uiPriority w:val="99"/>
    <w:unhideWhenUsed/>
    <w:rsid w:val="00A97771"/>
    <w:rPr>
      <w:vertAlign w:val="superscript"/>
    </w:rPr>
  </w:style>
  <w:style w:type="character" w:styleId="Hyperlink">
    <w:name w:val="Hyperlink"/>
    <w:basedOn w:val="DefaultParagraphFont"/>
    <w:uiPriority w:val="99"/>
    <w:unhideWhenUsed/>
    <w:rsid w:val="00FE56C8"/>
    <w:rPr>
      <w:color w:val="0563C1" w:themeColor="hyperlink"/>
      <w:u w:val="single"/>
    </w:rPr>
  </w:style>
  <w:style w:type="character" w:customStyle="1" w:styleId="Heading1Char">
    <w:name w:val="Heading 1 Char"/>
    <w:basedOn w:val="DefaultParagraphFont"/>
    <w:link w:val="Heading1"/>
    <w:uiPriority w:val="9"/>
    <w:rsid w:val="00AA562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81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1DF"/>
  </w:style>
  <w:style w:type="paragraph" w:styleId="Footer">
    <w:name w:val="footer"/>
    <w:basedOn w:val="Normal"/>
    <w:link w:val="FooterChar"/>
    <w:uiPriority w:val="99"/>
    <w:unhideWhenUsed/>
    <w:qFormat/>
    <w:rsid w:val="00581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1DF"/>
  </w:style>
  <w:style w:type="paragraph" w:styleId="ListParagraph">
    <w:name w:val="List Paragraph"/>
    <w:basedOn w:val="Normal"/>
    <w:uiPriority w:val="34"/>
    <w:qFormat/>
    <w:rsid w:val="004327EE"/>
    <w:pPr>
      <w:ind w:left="720"/>
      <w:contextualSpacing/>
    </w:pPr>
  </w:style>
  <w:style w:type="paragraph" w:styleId="BodyText3">
    <w:name w:val="Body Text 3"/>
    <w:basedOn w:val="Normal"/>
    <w:link w:val="BodyText3Char"/>
    <w:rsid w:val="0032699D"/>
    <w:pPr>
      <w:spacing w:after="120" w:line="240" w:lineRule="auto"/>
    </w:pPr>
    <w:rPr>
      <w:rFonts w:eastAsia="Times New Roman"/>
      <w:sz w:val="16"/>
      <w:szCs w:val="20"/>
      <w:lang w:val="en-US"/>
    </w:rPr>
  </w:style>
  <w:style w:type="character" w:customStyle="1" w:styleId="BodyText3Char">
    <w:name w:val="Body Text 3 Char"/>
    <w:basedOn w:val="DefaultParagraphFont"/>
    <w:link w:val="BodyText3"/>
    <w:rsid w:val="0032699D"/>
    <w:rPr>
      <w:rFonts w:eastAsia="Times New Roman"/>
      <w:sz w:val="16"/>
      <w:szCs w:val="20"/>
      <w:lang w:val="en-US"/>
    </w:rPr>
  </w:style>
  <w:style w:type="character" w:styleId="HTMLCite">
    <w:name w:val="HTML Cite"/>
    <w:basedOn w:val="DefaultParagraphFont"/>
    <w:uiPriority w:val="99"/>
    <w:semiHidden/>
    <w:unhideWhenUsed/>
    <w:rsid w:val="00467A48"/>
    <w:rPr>
      <w:i/>
      <w:iCs/>
    </w:rPr>
  </w:style>
  <w:style w:type="paragraph" w:styleId="PlainText">
    <w:name w:val="Plain Text"/>
    <w:basedOn w:val="Normal"/>
    <w:link w:val="PlainTextChar"/>
    <w:unhideWhenUsed/>
    <w:rsid w:val="00FE2861"/>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FE2861"/>
    <w:rPr>
      <w:rFonts w:ascii="Consolas" w:hAnsi="Consolas"/>
      <w:sz w:val="21"/>
      <w:szCs w:val="21"/>
    </w:rPr>
  </w:style>
  <w:style w:type="table" w:styleId="TableGrid">
    <w:name w:val="Table Grid"/>
    <w:basedOn w:val="TableNormal"/>
    <w:uiPriority w:val="39"/>
    <w:rsid w:val="00FE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author">
    <w:name w:val="post-author"/>
    <w:basedOn w:val="DefaultParagraphFont"/>
    <w:rsid w:val="001A3F51"/>
  </w:style>
  <w:style w:type="character" w:customStyle="1" w:styleId="apple-converted-space">
    <w:name w:val="apple-converted-space"/>
    <w:basedOn w:val="DefaultParagraphFont"/>
    <w:rsid w:val="001A3F51"/>
  </w:style>
  <w:style w:type="character" w:styleId="CommentReference">
    <w:name w:val="annotation reference"/>
    <w:basedOn w:val="DefaultParagraphFont"/>
    <w:uiPriority w:val="99"/>
    <w:semiHidden/>
    <w:unhideWhenUsed/>
    <w:rsid w:val="00C43A0B"/>
    <w:rPr>
      <w:sz w:val="16"/>
      <w:szCs w:val="16"/>
    </w:rPr>
  </w:style>
  <w:style w:type="paragraph" w:styleId="CommentText">
    <w:name w:val="annotation text"/>
    <w:basedOn w:val="Normal"/>
    <w:link w:val="CommentTextChar"/>
    <w:uiPriority w:val="99"/>
    <w:unhideWhenUsed/>
    <w:rsid w:val="00C43A0B"/>
    <w:pPr>
      <w:spacing w:line="240" w:lineRule="auto"/>
    </w:pPr>
    <w:rPr>
      <w:sz w:val="20"/>
      <w:szCs w:val="20"/>
    </w:rPr>
  </w:style>
  <w:style w:type="character" w:customStyle="1" w:styleId="CommentTextChar">
    <w:name w:val="Comment Text Char"/>
    <w:basedOn w:val="DefaultParagraphFont"/>
    <w:link w:val="CommentText"/>
    <w:uiPriority w:val="99"/>
    <w:rsid w:val="00C43A0B"/>
    <w:rPr>
      <w:sz w:val="20"/>
      <w:szCs w:val="20"/>
    </w:rPr>
  </w:style>
  <w:style w:type="paragraph" w:styleId="CommentSubject">
    <w:name w:val="annotation subject"/>
    <w:basedOn w:val="CommentText"/>
    <w:next w:val="CommentText"/>
    <w:link w:val="CommentSubjectChar"/>
    <w:uiPriority w:val="99"/>
    <w:semiHidden/>
    <w:unhideWhenUsed/>
    <w:rsid w:val="00C43A0B"/>
    <w:rPr>
      <w:b/>
      <w:bCs/>
    </w:rPr>
  </w:style>
  <w:style w:type="character" w:customStyle="1" w:styleId="CommentSubjectChar">
    <w:name w:val="Comment Subject Char"/>
    <w:basedOn w:val="CommentTextChar"/>
    <w:link w:val="CommentSubject"/>
    <w:uiPriority w:val="99"/>
    <w:semiHidden/>
    <w:rsid w:val="00C43A0B"/>
    <w:rPr>
      <w:b/>
      <w:bCs/>
      <w:sz w:val="20"/>
      <w:szCs w:val="20"/>
    </w:rPr>
  </w:style>
  <w:style w:type="character" w:styleId="PlaceholderText">
    <w:name w:val="Placeholder Text"/>
    <w:basedOn w:val="DefaultParagraphFont"/>
    <w:uiPriority w:val="99"/>
    <w:semiHidden/>
    <w:rsid w:val="00CF3D5C"/>
    <w:rPr>
      <w:color w:val="808080"/>
    </w:rPr>
  </w:style>
  <w:style w:type="paragraph" w:styleId="NormalWeb">
    <w:name w:val="Normal (Web)"/>
    <w:basedOn w:val="Normal"/>
    <w:uiPriority w:val="99"/>
    <w:unhideWhenUsed/>
    <w:rsid w:val="00B16101"/>
    <w:pPr>
      <w:spacing w:before="100" w:beforeAutospacing="1" w:after="100" w:afterAutospacing="1" w:line="240" w:lineRule="auto"/>
    </w:pPr>
    <w:rPr>
      <w:rFonts w:eastAsia="Times New Roman"/>
      <w:lang w:val="en-US"/>
    </w:rPr>
  </w:style>
  <w:style w:type="character" w:customStyle="1" w:styleId="Heading5Char">
    <w:name w:val="Heading 5 Char"/>
    <w:basedOn w:val="DefaultParagraphFont"/>
    <w:link w:val="Heading5"/>
    <w:uiPriority w:val="9"/>
    <w:rsid w:val="00AA4FA0"/>
    <w:rPr>
      <w:rFonts w:asciiTheme="majorHAnsi" w:eastAsiaTheme="majorEastAsia" w:hAnsiTheme="majorHAnsi" w:cstheme="majorBidi"/>
      <w:color w:val="2E74B5" w:themeColor="accent1" w:themeShade="BF"/>
    </w:rPr>
  </w:style>
  <w:style w:type="paragraph" w:styleId="HTMLPreformatted">
    <w:name w:val="HTML Preformatted"/>
    <w:basedOn w:val="Normal"/>
    <w:link w:val="HTMLPreformattedChar"/>
    <w:uiPriority w:val="99"/>
    <w:semiHidden/>
    <w:unhideWhenUsed/>
    <w:rsid w:val="00F4760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7606"/>
    <w:rPr>
      <w:rFonts w:ascii="Consolas" w:hAnsi="Consolas"/>
      <w:sz w:val="20"/>
      <w:szCs w:val="20"/>
    </w:rPr>
  </w:style>
  <w:style w:type="character" w:customStyle="1" w:styleId="PlainTextChar1">
    <w:name w:val="Plain Text Char1"/>
    <w:basedOn w:val="DefaultParagraphFont"/>
    <w:uiPriority w:val="99"/>
    <w:rsid w:val="005B7D6B"/>
    <w:rPr>
      <w:rFonts w:ascii="Consolas" w:hAnsi="Consolas" w:cs="Consolas"/>
      <w:sz w:val="21"/>
      <w:szCs w:val="21"/>
    </w:rPr>
  </w:style>
  <w:style w:type="character" w:styleId="FollowedHyperlink">
    <w:name w:val="FollowedHyperlink"/>
    <w:basedOn w:val="DefaultParagraphFont"/>
    <w:uiPriority w:val="99"/>
    <w:semiHidden/>
    <w:unhideWhenUsed/>
    <w:rsid w:val="00F40E38"/>
    <w:rPr>
      <w:color w:val="954F72" w:themeColor="followedHyperlink"/>
      <w:u w:val="single"/>
    </w:rPr>
  </w:style>
  <w:style w:type="character" w:customStyle="1" w:styleId="hgkelc">
    <w:name w:val="hgkelc"/>
    <w:basedOn w:val="DefaultParagraphFont"/>
    <w:rsid w:val="00133C61"/>
  </w:style>
  <w:style w:type="paragraph" w:customStyle="1" w:styleId="Default">
    <w:name w:val="Default"/>
    <w:rsid w:val="00E67C79"/>
    <w:pPr>
      <w:autoSpaceDE w:val="0"/>
      <w:autoSpaceDN w:val="0"/>
      <w:adjustRightInd w:val="0"/>
      <w:spacing w:after="0" w:line="240" w:lineRule="auto"/>
    </w:pPr>
    <w:rPr>
      <w:rFonts w:eastAsia="Times New Roman"/>
      <w:color w:val="000000"/>
      <w:lang w:eastAsia="en-NZ"/>
    </w:rPr>
  </w:style>
  <w:style w:type="paragraph" w:customStyle="1" w:styleId="CM3">
    <w:name w:val="CM3"/>
    <w:basedOn w:val="Default"/>
    <w:next w:val="Default"/>
    <w:rsid w:val="00E67C79"/>
    <w:pPr>
      <w:widowControl w:val="0"/>
    </w:pPr>
    <w:rPr>
      <w:color w:val="auto"/>
      <w:lang w:val="en-US" w:eastAsia="en-US"/>
    </w:rPr>
  </w:style>
  <w:style w:type="paragraph" w:customStyle="1" w:styleId="CM4">
    <w:name w:val="CM4"/>
    <w:basedOn w:val="Default"/>
    <w:next w:val="Default"/>
    <w:rsid w:val="00E67C79"/>
    <w:pPr>
      <w:widowControl w:val="0"/>
      <w:spacing w:line="253" w:lineRule="atLeast"/>
    </w:pPr>
    <w:rPr>
      <w:color w:val="auto"/>
      <w:lang w:val="en-US" w:eastAsia="en-US"/>
    </w:rPr>
  </w:style>
  <w:style w:type="paragraph" w:customStyle="1" w:styleId="CM23">
    <w:name w:val="CM23"/>
    <w:basedOn w:val="Default"/>
    <w:next w:val="Default"/>
    <w:rsid w:val="00E67C79"/>
    <w:pPr>
      <w:widowControl w:val="0"/>
      <w:spacing w:after="233"/>
    </w:pPr>
    <w:rPr>
      <w:color w:val="auto"/>
      <w:lang w:val="en-US" w:eastAsia="en-US"/>
    </w:rPr>
  </w:style>
  <w:style w:type="character" w:customStyle="1" w:styleId="Heading2Char">
    <w:name w:val="Heading 2 Char"/>
    <w:basedOn w:val="DefaultParagraphFont"/>
    <w:link w:val="Heading2"/>
    <w:uiPriority w:val="9"/>
    <w:rsid w:val="0044512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4512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44512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4512F"/>
    <w:rPr>
      <w:rFonts w:asciiTheme="majorHAnsi" w:eastAsiaTheme="majorEastAsia" w:hAnsiTheme="majorHAnsi" w:cstheme="majorBidi"/>
      <w:i/>
      <w:iCs/>
      <w:caps/>
      <w:color w:val="1F4E79" w:themeColor="accent1" w:themeShade="80"/>
      <w:sz w:val="22"/>
      <w:szCs w:val="22"/>
    </w:rPr>
  </w:style>
  <w:style w:type="character" w:customStyle="1" w:styleId="Heading7Char">
    <w:name w:val="Heading 7 Char"/>
    <w:basedOn w:val="DefaultParagraphFont"/>
    <w:link w:val="Heading7"/>
    <w:uiPriority w:val="9"/>
    <w:semiHidden/>
    <w:rsid w:val="0044512F"/>
    <w:rPr>
      <w:rFonts w:asciiTheme="majorHAnsi" w:eastAsiaTheme="majorEastAsia" w:hAnsiTheme="majorHAnsi" w:cstheme="majorBidi"/>
      <w:b/>
      <w:bCs/>
      <w:color w:val="1F4E79" w:themeColor="accent1" w:themeShade="80"/>
      <w:sz w:val="22"/>
      <w:szCs w:val="22"/>
    </w:rPr>
  </w:style>
  <w:style w:type="character" w:customStyle="1" w:styleId="Heading8Char">
    <w:name w:val="Heading 8 Char"/>
    <w:basedOn w:val="DefaultParagraphFont"/>
    <w:link w:val="Heading8"/>
    <w:uiPriority w:val="9"/>
    <w:semiHidden/>
    <w:rsid w:val="0044512F"/>
    <w:rPr>
      <w:rFonts w:asciiTheme="majorHAnsi" w:eastAsiaTheme="majorEastAsia" w:hAnsiTheme="majorHAnsi" w:cstheme="majorBidi"/>
      <w:b/>
      <w:bCs/>
      <w:i/>
      <w:iCs/>
      <w:color w:val="1F4E79" w:themeColor="accent1" w:themeShade="80"/>
      <w:sz w:val="22"/>
      <w:szCs w:val="22"/>
    </w:rPr>
  </w:style>
  <w:style w:type="character" w:customStyle="1" w:styleId="Heading9Char">
    <w:name w:val="Heading 9 Char"/>
    <w:basedOn w:val="DefaultParagraphFont"/>
    <w:link w:val="Heading9"/>
    <w:uiPriority w:val="9"/>
    <w:semiHidden/>
    <w:rsid w:val="0044512F"/>
    <w:rPr>
      <w:rFonts w:asciiTheme="majorHAnsi" w:eastAsiaTheme="majorEastAsia" w:hAnsiTheme="majorHAnsi" w:cstheme="majorBidi"/>
      <w:i/>
      <w:iCs/>
      <w:color w:val="1F4E79" w:themeColor="accent1" w:themeShade="80"/>
      <w:sz w:val="22"/>
      <w:szCs w:val="22"/>
    </w:rPr>
  </w:style>
  <w:style w:type="paragraph" w:styleId="Caption">
    <w:name w:val="caption"/>
    <w:basedOn w:val="Normal"/>
    <w:next w:val="Normal"/>
    <w:uiPriority w:val="35"/>
    <w:semiHidden/>
    <w:unhideWhenUsed/>
    <w:qFormat/>
    <w:rsid w:val="0044512F"/>
    <w:pPr>
      <w:spacing w:line="240" w:lineRule="auto"/>
    </w:pPr>
    <w:rPr>
      <w:rFonts w:asciiTheme="minorHAnsi" w:eastAsiaTheme="minorEastAsia" w:hAnsiTheme="minorHAnsi" w:cstheme="minorBidi"/>
      <w:b/>
      <w:bCs/>
      <w:smallCaps/>
      <w:color w:val="44546A" w:themeColor="text2"/>
      <w:sz w:val="22"/>
      <w:szCs w:val="22"/>
    </w:rPr>
  </w:style>
  <w:style w:type="paragraph" w:styleId="Title">
    <w:name w:val="Title"/>
    <w:basedOn w:val="Normal"/>
    <w:next w:val="Normal"/>
    <w:link w:val="TitleChar"/>
    <w:uiPriority w:val="10"/>
    <w:qFormat/>
    <w:rsid w:val="0044512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4512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4512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4512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4512F"/>
    <w:rPr>
      <w:b/>
      <w:bCs/>
    </w:rPr>
  </w:style>
  <w:style w:type="character" w:styleId="Emphasis">
    <w:name w:val="Emphasis"/>
    <w:basedOn w:val="DefaultParagraphFont"/>
    <w:uiPriority w:val="20"/>
    <w:qFormat/>
    <w:rsid w:val="0044512F"/>
    <w:rPr>
      <w:i/>
      <w:iCs/>
    </w:rPr>
  </w:style>
  <w:style w:type="paragraph" w:styleId="NoSpacing">
    <w:name w:val="No Spacing"/>
    <w:uiPriority w:val="1"/>
    <w:qFormat/>
    <w:rsid w:val="0044512F"/>
    <w:pPr>
      <w:spacing w:after="0" w:line="240" w:lineRule="auto"/>
    </w:pPr>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44512F"/>
    <w:pPr>
      <w:spacing w:before="120" w:after="120"/>
      <w:ind w:left="720"/>
    </w:pPr>
    <w:rPr>
      <w:rFonts w:asciiTheme="minorHAnsi" w:eastAsiaTheme="minorEastAsia" w:hAnsiTheme="minorHAnsi" w:cstheme="minorBidi"/>
      <w:color w:val="44546A" w:themeColor="text2"/>
    </w:rPr>
  </w:style>
  <w:style w:type="character" w:customStyle="1" w:styleId="QuoteChar">
    <w:name w:val="Quote Char"/>
    <w:basedOn w:val="DefaultParagraphFont"/>
    <w:link w:val="Quote"/>
    <w:uiPriority w:val="29"/>
    <w:rsid w:val="0044512F"/>
    <w:rPr>
      <w:rFonts w:asciiTheme="minorHAnsi" w:eastAsiaTheme="minorEastAsia" w:hAnsiTheme="minorHAnsi" w:cstheme="minorBidi"/>
      <w:color w:val="44546A" w:themeColor="text2"/>
    </w:rPr>
  </w:style>
  <w:style w:type="paragraph" w:styleId="IntenseQuote">
    <w:name w:val="Intense Quote"/>
    <w:basedOn w:val="Normal"/>
    <w:next w:val="Normal"/>
    <w:link w:val="IntenseQuoteChar"/>
    <w:uiPriority w:val="30"/>
    <w:qFormat/>
    <w:rsid w:val="0044512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4512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4512F"/>
    <w:rPr>
      <w:i/>
      <w:iCs/>
      <w:color w:val="595959" w:themeColor="text1" w:themeTint="A6"/>
    </w:rPr>
  </w:style>
  <w:style w:type="character" w:styleId="IntenseEmphasis">
    <w:name w:val="Intense Emphasis"/>
    <w:basedOn w:val="DefaultParagraphFont"/>
    <w:uiPriority w:val="21"/>
    <w:qFormat/>
    <w:rsid w:val="0044512F"/>
    <w:rPr>
      <w:b/>
      <w:bCs/>
      <w:i/>
      <w:iCs/>
    </w:rPr>
  </w:style>
  <w:style w:type="character" w:styleId="SubtleReference">
    <w:name w:val="Subtle Reference"/>
    <w:basedOn w:val="DefaultParagraphFont"/>
    <w:uiPriority w:val="31"/>
    <w:qFormat/>
    <w:rsid w:val="0044512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4512F"/>
    <w:rPr>
      <w:b/>
      <w:bCs/>
      <w:smallCaps/>
      <w:color w:val="44546A" w:themeColor="text2"/>
      <w:u w:val="single"/>
    </w:rPr>
  </w:style>
  <w:style w:type="character" w:styleId="BookTitle">
    <w:name w:val="Book Title"/>
    <w:basedOn w:val="DefaultParagraphFont"/>
    <w:uiPriority w:val="33"/>
    <w:qFormat/>
    <w:rsid w:val="0044512F"/>
    <w:rPr>
      <w:b/>
      <w:bCs/>
      <w:smallCaps/>
      <w:spacing w:val="10"/>
    </w:rPr>
  </w:style>
  <w:style w:type="paragraph" w:styleId="TOCHeading">
    <w:name w:val="TOC Heading"/>
    <w:basedOn w:val="Heading1"/>
    <w:next w:val="Normal"/>
    <w:uiPriority w:val="39"/>
    <w:unhideWhenUsed/>
    <w:qFormat/>
    <w:rsid w:val="0044512F"/>
    <w:pPr>
      <w:spacing w:before="400" w:after="40" w:line="240" w:lineRule="auto"/>
      <w:outlineLvl w:val="9"/>
    </w:pPr>
    <w:rPr>
      <w:color w:val="1F4E79" w:themeColor="accent1" w:themeShade="80"/>
      <w:sz w:val="36"/>
      <w:szCs w:val="36"/>
    </w:rPr>
  </w:style>
  <w:style w:type="paragraph" w:styleId="TOC2">
    <w:name w:val="toc 2"/>
    <w:basedOn w:val="Normal"/>
    <w:next w:val="Normal"/>
    <w:autoRedefine/>
    <w:uiPriority w:val="39"/>
    <w:unhideWhenUsed/>
    <w:rsid w:val="0044512F"/>
    <w:pPr>
      <w:spacing w:after="100"/>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rsid w:val="0044512F"/>
    <w:pPr>
      <w:spacing w:after="10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44512F"/>
    <w:pPr>
      <w:spacing w:after="100"/>
      <w:ind w:left="440"/>
    </w:pPr>
    <w:rPr>
      <w:rFonts w:asciiTheme="minorHAnsi" w:eastAsiaTheme="minorEastAsia" w:hAnsiTheme="minorHAnsi"/>
      <w:sz w:val="22"/>
      <w:szCs w:val="22"/>
      <w:lang w:val="en-US"/>
    </w:rPr>
  </w:style>
  <w:style w:type="paragraph" w:styleId="Bibliography">
    <w:name w:val="Bibliography"/>
    <w:basedOn w:val="Normal"/>
    <w:next w:val="Normal"/>
    <w:uiPriority w:val="37"/>
    <w:unhideWhenUsed/>
    <w:rsid w:val="0044512F"/>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44512F"/>
    <w:rPr>
      <w:color w:val="605E5C"/>
      <w:shd w:val="clear" w:color="auto" w:fill="E1DFDD"/>
    </w:rPr>
  </w:style>
  <w:style w:type="paragraph" w:styleId="Revision">
    <w:name w:val="Revision"/>
    <w:hidden/>
    <w:uiPriority w:val="99"/>
    <w:semiHidden/>
    <w:rsid w:val="0044512F"/>
    <w:pPr>
      <w:spacing w:after="0" w:line="240"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7775">
      <w:bodyDiv w:val="1"/>
      <w:marLeft w:val="0"/>
      <w:marRight w:val="0"/>
      <w:marTop w:val="0"/>
      <w:marBottom w:val="0"/>
      <w:divBdr>
        <w:top w:val="none" w:sz="0" w:space="0" w:color="auto"/>
        <w:left w:val="none" w:sz="0" w:space="0" w:color="auto"/>
        <w:bottom w:val="none" w:sz="0" w:space="0" w:color="auto"/>
        <w:right w:val="none" w:sz="0" w:space="0" w:color="auto"/>
      </w:divBdr>
    </w:div>
    <w:div w:id="195125462">
      <w:bodyDiv w:val="1"/>
      <w:marLeft w:val="0"/>
      <w:marRight w:val="0"/>
      <w:marTop w:val="0"/>
      <w:marBottom w:val="0"/>
      <w:divBdr>
        <w:top w:val="none" w:sz="0" w:space="0" w:color="auto"/>
        <w:left w:val="none" w:sz="0" w:space="0" w:color="auto"/>
        <w:bottom w:val="none" w:sz="0" w:space="0" w:color="auto"/>
        <w:right w:val="none" w:sz="0" w:space="0" w:color="auto"/>
      </w:divBdr>
    </w:div>
    <w:div w:id="227884796">
      <w:bodyDiv w:val="1"/>
      <w:marLeft w:val="0"/>
      <w:marRight w:val="0"/>
      <w:marTop w:val="0"/>
      <w:marBottom w:val="0"/>
      <w:divBdr>
        <w:top w:val="none" w:sz="0" w:space="0" w:color="auto"/>
        <w:left w:val="none" w:sz="0" w:space="0" w:color="auto"/>
        <w:bottom w:val="none" w:sz="0" w:space="0" w:color="auto"/>
        <w:right w:val="none" w:sz="0" w:space="0" w:color="auto"/>
      </w:divBdr>
    </w:div>
    <w:div w:id="324552745">
      <w:bodyDiv w:val="1"/>
      <w:marLeft w:val="0"/>
      <w:marRight w:val="0"/>
      <w:marTop w:val="0"/>
      <w:marBottom w:val="0"/>
      <w:divBdr>
        <w:top w:val="none" w:sz="0" w:space="0" w:color="auto"/>
        <w:left w:val="none" w:sz="0" w:space="0" w:color="auto"/>
        <w:bottom w:val="none" w:sz="0" w:space="0" w:color="auto"/>
        <w:right w:val="none" w:sz="0" w:space="0" w:color="auto"/>
      </w:divBdr>
    </w:div>
    <w:div w:id="477308404">
      <w:bodyDiv w:val="1"/>
      <w:marLeft w:val="0"/>
      <w:marRight w:val="0"/>
      <w:marTop w:val="0"/>
      <w:marBottom w:val="0"/>
      <w:divBdr>
        <w:top w:val="none" w:sz="0" w:space="0" w:color="auto"/>
        <w:left w:val="none" w:sz="0" w:space="0" w:color="auto"/>
        <w:bottom w:val="none" w:sz="0" w:space="0" w:color="auto"/>
        <w:right w:val="none" w:sz="0" w:space="0" w:color="auto"/>
      </w:divBdr>
    </w:div>
    <w:div w:id="619651659">
      <w:bodyDiv w:val="1"/>
      <w:marLeft w:val="0"/>
      <w:marRight w:val="0"/>
      <w:marTop w:val="0"/>
      <w:marBottom w:val="0"/>
      <w:divBdr>
        <w:top w:val="none" w:sz="0" w:space="0" w:color="auto"/>
        <w:left w:val="none" w:sz="0" w:space="0" w:color="auto"/>
        <w:bottom w:val="none" w:sz="0" w:space="0" w:color="auto"/>
        <w:right w:val="none" w:sz="0" w:space="0" w:color="auto"/>
      </w:divBdr>
    </w:div>
    <w:div w:id="732853316">
      <w:bodyDiv w:val="1"/>
      <w:marLeft w:val="0"/>
      <w:marRight w:val="0"/>
      <w:marTop w:val="0"/>
      <w:marBottom w:val="0"/>
      <w:divBdr>
        <w:top w:val="none" w:sz="0" w:space="0" w:color="auto"/>
        <w:left w:val="none" w:sz="0" w:space="0" w:color="auto"/>
        <w:bottom w:val="none" w:sz="0" w:space="0" w:color="auto"/>
        <w:right w:val="none" w:sz="0" w:space="0" w:color="auto"/>
      </w:divBdr>
    </w:div>
    <w:div w:id="871965759">
      <w:bodyDiv w:val="1"/>
      <w:marLeft w:val="0"/>
      <w:marRight w:val="0"/>
      <w:marTop w:val="0"/>
      <w:marBottom w:val="0"/>
      <w:divBdr>
        <w:top w:val="none" w:sz="0" w:space="0" w:color="auto"/>
        <w:left w:val="none" w:sz="0" w:space="0" w:color="auto"/>
        <w:bottom w:val="none" w:sz="0" w:space="0" w:color="auto"/>
        <w:right w:val="none" w:sz="0" w:space="0" w:color="auto"/>
      </w:divBdr>
      <w:divsChild>
        <w:div w:id="607080256">
          <w:marLeft w:val="0"/>
          <w:marRight w:val="0"/>
          <w:marTop w:val="0"/>
          <w:marBottom w:val="0"/>
          <w:divBdr>
            <w:top w:val="none" w:sz="0" w:space="0" w:color="auto"/>
            <w:left w:val="none" w:sz="0" w:space="0" w:color="auto"/>
            <w:bottom w:val="none" w:sz="0" w:space="0" w:color="auto"/>
            <w:right w:val="none" w:sz="0" w:space="0" w:color="auto"/>
          </w:divBdr>
        </w:div>
        <w:div w:id="1927416874">
          <w:marLeft w:val="0"/>
          <w:marRight w:val="0"/>
          <w:marTop w:val="0"/>
          <w:marBottom w:val="0"/>
          <w:divBdr>
            <w:top w:val="none" w:sz="0" w:space="0" w:color="auto"/>
            <w:left w:val="none" w:sz="0" w:space="0" w:color="auto"/>
            <w:bottom w:val="none" w:sz="0" w:space="0" w:color="auto"/>
            <w:right w:val="none" w:sz="0" w:space="0" w:color="auto"/>
          </w:divBdr>
        </w:div>
        <w:div w:id="698699032">
          <w:marLeft w:val="0"/>
          <w:marRight w:val="0"/>
          <w:marTop w:val="0"/>
          <w:marBottom w:val="0"/>
          <w:divBdr>
            <w:top w:val="none" w:sz="0" w:space="0" w:color="auto"/>
            <w:left w:val="none" w:sz="0" w:space="0" w:color="auto"/>
            <w:bottom w:val="none" w:sz="0" w:space="0" w:color="auto"/>
            <w:right w:val="none" w:sz="0" w:space="0" w:color="auto"/>
          </w:divBdr>
        </w:div>
      </w:divsChild>
    </w:div>
    <w:div w:id="941650059">
      <w:bodyDiv w:val="1"/>
      <w:marLeft w:val="0"/>
      <w:marRight w:val="0"/>
      <w:marTop w:val="0"/>
      <w:marBottom w:val="0"/>
      <w:divBdr>
        <w:top w:val="none" w:sz="0" w:space="0" w:color="auto"/>
        <w:left w:val="none" w:sz="0" w:space="0" w:color="auto"/>
        <w:bottom w:val="none" w:sz="0" w:space="0" w:color="auto"/>
        <w:right w:val="none" w:sz="0" w:space="0" w:color="auto"/>
      </w:divBdr>
    </w:div>
    <w:div w:id="1140876714">
      <w:bodyDiv w:val="1"/>
      <w:marLeft w:val="0"/>
      <w:marRight w:val="0"/>
      <w:marTop w:val="0"/>
      <w:marBottom w:val="0"/>
      <w:divBdr>
        <w:top w:val="none" w:sz="0" w:space="0" w:color="auto"/>
        <w:left w:val="none" w:sz="0" w:space="0" w:color="auto"/>
        <w:bottom w:val="none" w:sz="0" w:space="0" w:color="auto"/>
        <w:right w:val="none" w:sz="0" w:space="0" w:color="auto"/>
      </w:divBdr>
    </w:div>
    <w:div w:id="1210530782">
      <w:bodyDiv w:val="1"/>
      <w:marLeft w:val="0"/>
      <w:marRight w:val="0"/>
      <w:marTop w:val="0"/>
      <w:marBottom w:val="0"/>
      <w:divBdr>
        <w:top w:val="none" w:sz="0" w:space="0" w:color="auto"/>
        <w:left w:val="none" w:sz="0" w:space="0" w:color="auto"/>
        <w:bottom w:val="none" w:sz="0" w:space="0" w:color="auto"/>
        <w:right w:val="none" w:sz="0" w:space="0" w:color="auto"/>
      </w:divBdr>
    </w:div>
    <w:div w:id="1218662986">
      <w:bodyDiv w:val="1"/>
      <w:marLeft w:val="0"/>
      <w:marRight w:val="0"/>
      <w:marTop w:val="0"/>
      <w:marBottom w:val="0"/>
      <w:divBdr>
        <w:top w:val="none" w:sz="0" w:space="0" w:color="auto"/>
        <w:left w:val="none" w:sz="0" w:space="0" w:color="auto"/>
        <w:bottom w:val="none" w:sz="0" w:space="0" w:color="auto"/>
        <w:right w:val="none" w:sz="0" w:space="0" w:color="auto"/>
      </w:divBdr>
    </w:div>
    <w:div w:id="1254127886">
      <w:bodyDiv w:val="1"/>
      <w:marLeft w:val="0"/>
      <w:marRight w:val="0"/>
      <w:marTop w:val="0"/>
      <w:marBottom w:val="0"/>
      <w:divBdr>
        <w:top w:val="none" w:sz="0" w:space="0" w:color="auto"/>
        <w:left w:val="none" w:sz="0" w:space="0" w:color="auto"/>
        <w:bottom w:val="none" w:sz="0" w:space="0" w:color="auto"/>
        <w:right w:val="none" w:sz="0" w:space="0" w:color="auto"/>
      </w:divBdr>
    </w:div>
    <w:div w:id="1395619013">
      <w:bodyDiv w:val="1"/>
      <w:marLeft w:val="0"/>
      <w:marRight w:val="0"/>
      <w:marTop w:val="0"/>
      <w:marBottom w:val="0"/>
      <w:divBdr>
        <w:top w:val="none" w:sz="0" w:space="0" w:color="auto"/>
        <w:left w:val="none" w:sz="0" w:space="0" w:color="auto"/>
        <w:bottom w:val="none" w:sz="0" w:space="0" w:color="auto"/>
        <w:right w:val="none" w:sz="0" w:space="0" w:color="auto"/>
      </w:divBdr>
    </w:div>
    <w:div w:id="1486430863">
      <w:bodyDiv w:val="1"/>
      <w:marLeft w:val="0"/>
      <w:marRight w:val="0"/>
      <w:marTop w:val="0"/>
      <w:marBottom w:val="0"/>
      <w:divBdr>
        <w:top w:val="none" w:sz="0" w:space="0" w:color="auto"/>
        <w:left w:val="none" w:sz="0" w:space="0" w:color="auto"/>
        <w:bottom w:val="none" w:sz="0" w:space="0" w:color="auto"/>
        <w:right w:val="none" w:sz="0" w:space="0" w:color="auto"/>
      </w:divBdr>
      <w:divsChild>
        <w:div w:id="117336757">
          <w:marLeft w:val="0"/>
          <w:marRight w:val="0"/>
          <w:marTop w:val="0"/>
          <w:marBottom w:val="0"/>
          <w:divBdr>
            <w:top w:val="none" w:sz="0" w:space="0" w:color="auto"/>
            <w:left w:val="none" w:sz="0" w:space="0" w:color="auto"/>
            <w:bottom w:val="none" w:sz="0" w:space="0" w:color="auto"/>
            <w:right w:val="none" w:sz="0" w:space="0" w:color="auto"/>
          </w:divBdr>
        </w:div>
        <w:div w:id="1384409518">
          <w:marLeft w:val="0"/>
          <w:marRight w:val="0"/>
          <w:marTop w:val="0"/>
          <w:marBottom w:val="0"/>
          <w:divBdr>
            <w:top w:val="none" w:sz="0" w:space="0" w:color="auto"/>
            <w:left w:val="none" w:sz="0" w:space="0" w:color="auto"/>
            <w:bottom w:val="none" w:sz="0" w:space="0" w:color="auto"/>
            <w:right w:val="none" w:sz="0" w:space="0" w:color="auto"/>
          </w:divBdr>
        </w:div>
        <w:div w:id="1751462381">
          <w:marLeft w:val="0"/>
          <w:marRight w:val="0"/>
          <w:marTop w:val="0"/>
          <w:marBottom w:val="0"/>
          <w:divBdr>
            <w:top w:val="none" w:sz="0" w:space="0" w:color="auto"/>
            <w:left w:val="none" w:sz="0" w:space="0" w:color="auto"/>
            <w:bottom w:val="none" w:sz="0" w:space="0" w:color="auto"/>
            <w:right w:val="none" w:sz="0" w:space="0" w:color="auto"/>
          </w:divBdr>
        </w:div>
      </w:divsChild>
    </w:div>
    <w:div w:id="1492671403">
      <w:bodyDiv w:val="1"/>
      <w:marLeft w:val="0"/>
      <w:marRight w:val="0"/>
      <w:marTop w:val="0"/>
      <w:marBottom w:val="0"/>
      <w:divBdr>
        <w:top w:val="none" w:sz="0" w:space="0" w:color="auto"/>
        <w:left w:val="none" w:sz="0" w:space="0" w:color="auto"/>
        <w:bottom w:val="none" w:sz="0" w:space="0" w:color="auto"/>
        <w:right w:val="none" w:sz="0" w:space="0" w:color="auto"/>
      </w:divBdr>
    </w:div>
    <w:div w:id="1505197990">
      <w:bodyDiv w:val="1"/>
      <w:marLeft w:val="0"/>
      <w:marRight w:val="0"/>
      <w:marTop w:val="0"/>
      <w:marBottom w:val="0"/>
      <w:divBdr>
        <w:top w:val="none" w:sz="0" w:space="0" w:color="auto"/>
        <w:left w:val="none" w:sz="0" w:space="0" w:color="auto"/>
        <w:bottom w:val="none" w:sz="0" w:space="0" w:color="auto"/>
        <w:right w:val="none" w:sz="0" w:space="0" w:color="auto"/>
      </w:divBdr>
      <w:divsChild>
        <w:div w:id="1366251374">
          <w:marLeft w:val="0"/>
          <w:marRight w:val="0"/>
          <w:marTop w:val="0"/>
          <w:marBottom w:val="0"/>
          <w:divBdr>
            <w:top w:val="none" w:sz="0" w:space="0" w:color="auto"/>
            <w:left w:val="none" w:sz="0" w:space="0" w:color="auto"/>
            <w:bottom w:val="none" w:sz="0" w:space="0" w:color="auto"/>
            <w:right w:val="none" w:sz="0" w:space="0" w:color="auto"/>
          </w:divBdr>
        </w:div>
        <w:div w:id="834342753">
          <w:marLeft w:val="0"/>
          <w:marRight w:val="0"/>
          <w:marTop w:val="0"/>
          <w:marBottom w:val="0"/>
          <w:divBdr>
            <w:top w:val="none" w:sz="0" w:space="0" w:color="auto"/>
            <w:left w:val="none" w:sz="0" w:space="0" w:color="auto"/>
            <w:bottom w:val="none" w:sz="0" w:space="0" w:color="auto"/>
            <w:right w:val="none" w:sz="0" w:space="0" w:color="auto"/>
          </w:divBdr>
        </w:div>
        <w:div w:id="2140493335">
          <w:marLeft w:val="0"/>
          <w:marRight w:val="0"/>
          <w:marTop w:val="0"/>
          <w:marBottom w:val="0"/>
          <w:divBdr>
            <w:top w:val="none" w:sz="0" w:space="0" w:color="auto"/>
            <w:left w:val="none" w:sz="0" w:space="0" w:color="auto"/>
            <w:bottom w:val="none" w:sz="0" w:space="0" w:color="auto"/>
            <w:right w:val="none" w:sz="0" w:space="0" w:color="auto"/>
          </w:divBdr>
        </w:div>
      </w:divsChild>
    </w:div>
    <w:div w:id="1532186022">
      <w:bodyDiv w:val="1"/>
      <w:marLeft w:val="0"/>
      <w:marRight w:val="0"/>
      <w:marTop w:val="0"/>
      <w:marBottom w:val="0"/>
      <w:divBdr>
        <w:top w:val="none" w:sz="0" w:space="0" w:color="auto"/>
        <w:left w:val="none" w:sz="0" w:space="0" w:color="auto"/>
        <w:bottom w:val="none" w:sz="0" w:space="0" w:color="auto"/>
        <w:right w:val="none" w:sz="0" w:space="0" w:color="auto"/>
      </w:divBdr>
    </w:div>
    <w:div w:id="1677151941">
      <w:bodyDiv w:val="1"/>
      <w:marLeft w:val="0"/>
      <w:marRight w:val="0"/>
      <w:marTop w:val="0"/>
      <w:marBottom w:val="0"/>
      <w:divBdr>
        <w:top w:val="none" w:sz="0" w:space="0" w:color="auto"/>
        <w:left w:val="none" w:sz="0" w:space="0" w:color="auto"/>
        <w:bottom w:val="none" w:sz="0" w:space="0" w:color="auto"/>
        <w:right w:val="none" w:sz="0" w:space="0" w:color="auto"/>
      </w:divBdr>
    </w:div>
    <w:div w:id="1717895521">
      <w:bodyDiv w:val="1"/>
      <w:marLeft w:val="0"/>
      <w:marRight w:val="0"/>
      <w:marTop w:val="0"/>
      <w:marBottom w:val="0"/>
      <w:divBdr>
        <w:top w:val="none" w:sz="0" w:space="0" w:color="auto"/>
        <w:left w:val="none" w:sz="0" w:space="0" w:color="auto"/>
        <w:bottom w:val="none" w:sz="0" w:space="0" w:color="auto"/>
        <w:right w:val="none" w:sz="0" w:space="0" w:color="auto"/>
      </w:divBdr>
      <w:divsChild>
        <w:div w:id="976495324">
          <w:marLeft w:val="0"/>
          <w:marRight w:val="0"/>
          <w:marTop w:val="0"/>
          <w:marBottom w:val="150"/>
          <w:divBdr>
            <w:top w:val="none" w:sz="0" w:space="0" w:color="auto"/>
            <w:left w:val="none" w:sz="0" w:space="0" w:color="auto"/>
            <w:bottom w:val="none" w:sz="0" w:space="0" w:color="auto"/>
            <w:right w:val="none" w:sz="0" w:space="0" w:color="auto"/>
          </w:divBdr>
        </w:div>
      </w:divsChild>
    </w:div>
    <w:div w:id="20324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07/12410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0C66-4A72-4210-8FAD-816CB569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9086</Words>
  <Characters>51795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60760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Gibson</dc:creator>
  <cp:lastModifiedBy>Geua Boe-Gibson</cp:lastModifiedBy>
  <cp:revision>2</cp:revision>
  <cp:lastPrinted>2021-04-02T22:31:00Z</cp:lastPrinted>
  <dcterms:created xsi:type="dcterms:W3CDTF">2021-06-10T05:04:00Z</dcterms:created>
  <dcterms:modified xsi:type="dcterms:W3CDTF">2021-06-10T05:04:00Z</dcterms:modified>
</cp:coreProperties>
</file>