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C79" w:rsidRDefault="00E67C79" w:rsidP="00E67C79">
      <w:pPr>
        <w:spacing w:after="0" w:line="300" w:lineRule="auto"/>
        <w:rPr>
          <w:rFonts w:eastAsia="Times New Roman"/>
          <w:b/>
          <w:bCs/>
          <w:sz w:val="28"/>
          <w:lang w:val="en-US"/>
        </w:rPr>
      </w:pPr>
    </w:p>
    <w:p w:rsidR="00E67C79" w:rsidRDefault="00E67C79" w:rsidP="00E67C79">
      <w:pPr>
        <w:pStyle w:val="PlainText"/>
        <w:tabs>
          <w:tab w:val="left" w:pos="284"/>
        </w:tabs>
        <w:jc w:val="center"/>
        <w:rPr>
          <w:rFonts w:ascii="Times New Roman" w:hAnsi="Times New Roman"/>
          <w:b/>
          <w:sz w:val="28"/>
        </w:rPr>
      </w:pPr>
    </w:p>
    <w:p w:rsidR="00E67C79" w:rsidRDefault="00E67C79" w:rsidP="00E67C79">
      <w:pPr>
        <w:pStyle w:val="PlainText"/>
        <w:tabs>
          <w:tab w:val="left" w:pos="284"/>
        </w:tabs>
        <w:jc w:val="center"/>
        <w:rPr>
          <w:rFonts w:ascii="Times New Roman" w:hAnsi="Times New Roman"/>
          <w:b/>
          <w:sz w:val="28"/>
        </w:rPr>
      </w:pPr>
      <w:r>
        <w:rPr>
          <w:rFonts w:ascii="Times New Roman" w:hAnsi="Times New Roman"/>
          <w:b/>
          <w:sz w:val="28"/>
        </w:rPr>
        <w:t>UNIVERSITY OF WAIKATO</w:t>
      </w:r>
    </w:p>
    <w:p w:rsidR="00E67C79" w:rsidRDefault="00E67C79" w:rsidP="00E67C79">
      <w:pPr>
        <w:pStyle w:val="PlainText"/>
        <w:tabs>
          <w:tab w:val="left" w:pos="284"/>
        </w:tabs>
        <w:jc w:val="center"/>
        <w:rPr>
          <w:rFonts w:ascii="Times New Roman" w:hAnsi="Times New Roman"/>
          <w:b/>
          <w:sz w:val="28"/>
        </w:rPr>
      </w:pPr>
    </w:p>
    <w:p w:rsidR="00E67C79" w:rsidRDefault="00E67C79" w:rsidP="00E67C79">
      <w:pPr>
        <w:pStyle w:val="PlainText"/>
        <w:tabs>
          <w:tab w:val="left" w:pos="284"/>
        </w:tabs>
        <w:jc w:val="center"/>
        <w:rPr>
          <w:rFonts w:ascii="Times New Roman" w:hAnsi="Times New Roman"/>
          <w:b/>
          <w:sz w:val="28"/>
        </w:rPr>
      </w:pPr>
      <w:r>
        <w:rPr>
          <w:rFonts w:ascii="Times New Roman" w:hAnsi="Times New Roman"/>
          <w:b/>
          <w:sz w:val="28"/>
        </w:rPr>
        <w:t>Hamilton</w:t>
      </w:r>
    </w:p>
    <w:p w:rsidR="00E67C79" w:rsidRDefault="00E67C79" w:rsidP="00E67C79">
      <w:pPr>
        <w:pStyle w:val="PlainText"/>
        <w:tabs>
          <w:tab w:val="left" w:pos="284"/>
        </w:tabs>
        <w:jc w:val="center"/>
        <w:rPr>
          <w:rFonts w:ascii="Times New Roman" w:hAnsi="Times New Roman"/>
          <w:b/>
          <w:sz w:val="28"/>
        </w:rPr>
      </w:pPr>
      <w:r>
        <w:rPr>
          <w:rFonts w:ascii="Times New Roman" w:hAnsi="Times New Roman"/>
          <w:b/>
          <w:sz w:val="28"/>
        </w:rPr>
        <w:t>New Zealand</w:t>
      </w:r>
    </w:p>
    <w:p w:rsidR="00E67C79" w:rsidRDefault="00E67C79" w:rsidP="00E67C79">
      <w:pPr>
        <w:pStyle w:val="PlainText"/>
        <w:tabs>
          <w:tab w:val="left" w:pos="284"/>
        </w:tabs>
        <w:jc w:val="center"/>
        <w:rPr>
          <w:rFonts w:ascii="Times New Roman" w:hAnsi="Times New Roman"/>
          <w:b/>
          <w:sz w:val="28"/>
        </w:rPr>
      </w:pPr>
    </w:p>
    <w:p w:rsidR="00E67C79" w:rsidRDefault="00E67C79" w:rsidP="00E67C79">
      <w:pPr>
        <w:pStyle w:val="PlainText"/>
        <w:tabs>
          <w:tab w:val="left" w:pos="284"/>
        </w:tabs>
        <w:jc w:val="center"/>
        <w:rPr>
          <w:rFonts w:ascii="Times New Roman" w:hAnsi="Times New Roman"/>
          <w:b/>
          <w:sz w:val="28"/>
        </w:rPr>
      </w:pPr>
    </w:p>
    <w:p w:rsidR="007A34C1" w:rsidRDefault="00D943DD" w:rsidP="00D943DD">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heme="majorBidi" w:hAnsiTheme="majorBidi" w:cstheme="majorBidi"/>
          <w:b/>
          <w:bCs/>
          <w:sz w:val="28"/>
          <w:szCs w:val="28"/>
        </w:rPr>
      </w:pPr>
      <w:r w:rsidRPr="00D943DD">
        <w:rPr>
          <w:rFonts w:asciiTheme="majorBidi" w:hAnsiTheme="majorBidi" w:cstheme="majorBidi"/>
          <w:b/>
          <w:bCs/>
          <w:sz w:val="12"/>
          <w:szCs w:val="12"/>
        </w:rPr>
        <w:br/>
      </w:r>
      <w:r w:rsidR="00AC6564">
        <w:rPr>
          <w:rFonts w:asciiTheme="majorBidi" w:hAnsiTheme="majorBidi" w:cstheme="majorBidi"/>
          <w:b/>
          <w:bCs/>
          <w:sz w:val="28"/>
          <w:szCs w:val="28"/>
        </w:rPr>
        <w:t>Does the impact of cash transfers differ across poverty measures?</w:t>
      </w:r>
    </w:p>
    <w:p w:rsidR="00E67C79" w:rsidRPr="00E67C79" w:rsidRDefault="00C966CA" w:rsidP="00D943DD">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bCs/>
          <w:sz w:val="14"/>
          <w:szCs w:val="14"/>
        </w:rPr>
      </w:pPr>
      <w:r>
        <w:rPr>
          <w:rFonts w:asciiTheme="majorBidi" w:hAnsiTheme="majorBidi" w:cstheme="majorBidi"/>
          <w:b/>
          <w:bCs/>
          <w:sz w:val="28"/>
          <w:szCs w:val="28"/>
        </w:rPr>
        <w:t>Evidence</w:t>
      </w:r>
      <w:r w:rsidR="00410006">
        <w:rPr>
          <w:rFonts w:asciiTheme="majorBidi" w:hAnsiTheme="majorBidi" w:cstheme="majorBidi"/>
          <w:b/>
          <w:bCs/>
          <w:sz w:val="28"/>
          <w:szCs w:val="28"/>
        </w:rPr>
        <w:t xml:space="preserve"> from</w:t>
      </w:r>
      <w:r w:rsidR="00AC6564">
        <w:rPr>
          <w:rFonts w:asciiTheme="majorBidi" w:hAnsiTheme="majorBidi" w:cstheme="majorBidi"/>
          <w:b/>
          <w:bCs/>
          <w:sz w:val="28"/>
          <w:szCs w:val="28"/>
        </w:rPr>
        <w:t xml:space="preserve"> Pakistan</w:t>
      </w:r>
      <w:r w:rsidR="00E67C79" w:rsidRPr="00E67C79">
        <w:rPr>
          <w:rFonts w:cs="Arial"/>
          <w:b/>
          <w:bCs/>
          <w:sz w:val="28"/>
          <w:szCs w:val="28"/>
        </w:rPr>
        <w:br/>
      </w:r>
      <w:r w:rsidR="00E67C79" w:rsidRPr="00E67C79">
        <w:rPr>
          <w:rFonts w:ascii="Times New Roman" w:hAnsi="Times New Roman"/>
          <w:b/>
          <w:bCs/>
          <w:sz w:val="28"/>
          <w:szCs w:val="28"/>
        </w:rPr>
        <w:t xml:space="preserve"> </w:t>
      </w:r>
    </w:p>
    <w:p w:rsidR="00E67C79" w:rsidRDefault="00AC6564" w:rsidP="00E67C7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sz w:val="28"/>
        </w:rPr>
      </w:pPr>
      <w:proofErr w:type="spellStart"/>
      <w:r>
        <w:rPr>
          <w:rFonts w:ascii="Times New Roman" w:hAnsi="Times New Roman"/>
          <w:sz w:val="28"/>
        </w:rPr>
        <w:t>Zaira</w:t>
      </w:r>
      <w:proofErr w:type="spellEnd"/>
      <w:r>
        <w:rPr>
          <w:rFonts w:ascii="Times New Roman" w:hAnsi="Times New Roman"/>
          <w:sz w:val="28"/>
        </w:rPr>
        <w:t xml:space="preserve"> Najam and Susan Olivia</w:t>
      </w:r>
    </w:p>
    <w:p w:rsidR="00E67C79" w:rsidRDefault="00E67C79" w:rsidP="00E67C79">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8"/>
        </w:rPr>
      </w:pPr>
    </w:p>
    <w:p w:rsidR="00E67C79" w:rsidRDefault="00E67C79" w:rsidP="00E67C79">
      <w:pPr>
        <w:pStyle w:val="PlainText"/>
        <w:tabs>
          <w:tab w:val="left" w:pos="284"/>
        </w:tabs>
        <w:rPr>
          <w:rFonts w:ascii="Times New Roman" w:hAnsi="Times New Roman"/>
          <w:b/>
          <w:sz w:val="28"/>
        </w:rPr>
      </w:pPr>
    </w:p>
    <w:p w:rsidR="00E67C79" w:rsidRDefault="00E67C79" w:rsidP="00E67C79">
      <w:pPr>
        <w:pStyle w:val="PlainText"/>
        <w:tabs>
          <w:tab w:val="left" w:pos="284"/>
        </w:tabs>
        <w:rPr>
          <w:rFonts w:ascii="Times New Roman" w:hAnsi="Times New Roman"/>
          <w:b/>
          <w:sz w:val="28"/>
        </w:rPr>
      </w:pPr>
    </w:p>
    <w:p w:rsidR="00E67C79" w:rsidRDefault="00E67C79" w:rsidP="00E67C79">
      <w:pPr>
        <w:pStyle w:val="PlainText"/>
        <w:tabs>
          <w:tab w:val="left" w:pos="284"/>
        </w:tabs>
        <w:spacing w:before="100" w:line="360" w:lineRule="auto"/>
        <w:jc w:val="center"/>
        <w:rPr>
          <w:rFonts w:ascii="Times New Roman" w:hAnsi="Times New Roman"/>
          <w:b/>
          <w:bCs/>
          <w:sz w:val="28"/>
        </w:rPr>
      </w:pPr>
      <w:r>
        <w:rPr>
          <w:rFonts w:ascii="Times New Roman" w:hAnsi="Times New Roman"/>
          <w:b/>
          <w:bCs/>
          <w:sz w:val="28"/>
        </w:rPr>
        <w:t xml:space="preserve">Working Paper in Economics </w:t>
      </w:r>
      <w:r w:rsidR="00021D2E" w:rsidRPr="00021D2E">
        <w:rPr>
          <w:rFonts w:ascii="Times New Roman" w:hAnsi="Times New Roman"/>
          <w:b/>
          <w:bCs/>
          <w:sz w:val="28"/>
        </w:rPr>
        <w:t>9</w:t>
      </w:r>
      <w:r>
        <w:rPr>
          <w:rFonts w:ascii="Times New Roman" w:hAnsi="Times New Roman"/>
          <w:b/>
          <w:bCs/>
          <w:sz w:val="28"/>
        </w:rPr>
        <w:t>/21</w:t>
      </w:r>
    </w:p>
    <w:p w:rsidR="00E67C79" w:rsidRDefault="00021D2E" w:rsidP="00E67C79">
      <w:pPr>
        <w:pStyle w:val="PlainText"/>
        <w:tabs>
          <w:tab w:val="left" w:pos="284"/>
        </w:tabs>
        <w:spacing w:before="100" w:line="360" w:lineRule="auto"/>
        <w:jc w:val="center"/>
        <w:rPr>
          <w:rFonts w:ascii="Times New Roman" w:hAnsi="Times New Roman"/>
          <w:sz w:val="28"/>
        </w:rPr>
      </w:pPr>
      <w:r>
        <w:rPr>
          <w:rFonts w:ascii="Times New Roman" w:hAnsi="Times New Roman"/>
          <w:sz w:val="28"/>
        </w:rPr>
        <w:t xml:space="preserve">September </w:t>
      </w:r>
      <w:r w:rsidR="00E67C79">
        <w:rPr>
          <w:rFonts w:ascii="Times New Roman" w:hAnsi="Times New Roman"/>
          <w:sz w:val="28"/>
        </w:rPr>
        <w:t>2021</w:t>
      </w:r>
    </w:p>
    <w:p w:rsidR="006032F9" w:rsidRDefault="006032F9" w:rsidP="00E67C79">
      <w:pPr>
        <w:pStyle w:val="PlainText"/>
        <w:tabs>
          <w:tab w:val="left" w:pos="284"/>
        </w:tabs>
        <w:spacing w:before="100" w:line="360" w:lineRule="auto"/>
        <w:jc w:val="center"/>
        <w:rPr>
          <w:rFonts w:ascii="Times New Roman" w:hAnsi="Times New Roman"/>
          <w:sz w:val="28"/>
        </w:rPr>
      </w:pPr>
    </w:p>
    <w:p w:rsidR="006032F9" w:rsidRPr="0076045F" w:rsidRDefault="006032F9" w:rsidP="006032F9">
      <w:pPr>
        <w:pStyle w:val="CM4"/>
        <w:spacing w:line="240" w:lineRule="auto"/>
        <w:jc w:val="center"/>
        <w:rPr>
          <w:bCs/>
          <w:i/>
        </w:rPr>
      </w:pPr>
      <w:r w:rsidRPr="0076045F">
        <w:rPr>
          <w:bCs/>
          <w:i/>
        </w:rPr>
        <w:t>Corresponding Author</w:t>
      </w:r>
    </w:p>
    <w:p w:rsidR="00AE73E2" w:rsidRPr="00AE73E2" w:rsidRDefault="00AE73E2" w:rsidP="00AE73E2">
      <w:pPr>
        <w:spacing w:after="0" w:line="276" w:lineRule="auto"/>
        <w:jc w:val="center"/>
        <w:rPr>
          <w:b/>
          <w:bCs/>
        </w:rPr>
      </w:pPr>
      <w:r>
        <w:rPr>
          <w:sz w:val="32"/>
          <w:szCs w:val="32"/>
        </w:rPr>
        <w:br/>
      </w:r>
      <w:proofErr w:type="spellStart"/>
      <w:r w:rsidR="00AC6564">
        <w:rPr>
          <w:b/>
          <w:bCs/>
        </w:rPr>
        <w:t>Zaira</w:t>
      </w:r>
      <w:proofErr w:type="spellEnd"/>
      <w:r w:rsidR="00AC6564">
        <w:rPr>
          <w:b/>
          <w:bCs/>
        </w:rPr>
        <w:t xml:space="preserve"> Najam</w:t>
      </w:r>
    </w:p>
    <w:p w:rsidR="00AE73E2" w:rsidRDefault="006032F9" w:rsidP="00AE73E2">
      <w:pPr>
        <w:spacing w:after="0" w:line="276" w:lineRule="auto"/>
        <w:jc w:val="center"/>
      </w:pPr>
      <w:r>
        <w:t>School of Accounting, Finance and Economics</w:t>
      </w:r>
    </w:p>
    <w:p w:rsidR="006032F9" w:rsidRDefault="006032F9" w:rsidP="00AE73E2">
      <w:pPr>
        <w:spacing w:after="0" w:line="276" w:lineRule="auto"/>
        <w:jc w:val="center"/>
      </w:pPr>
      <w:r>
        <w:t>University of Waikato</w:t>
      </w:r>
    </w:p>
    <w:p w:rsidR="006032F9" w:rsidRDefault="006032F9" w:rsidP="00AE73E2">
      <w:pPr>
        <w:spacing w:after="0" w:line="276" w:lineRule="auto"/>
        <w:jc w:val="center"/>
      </w:pPr>
      <w:r>
        <w:t>Private Bag 3105</w:t>
      </w:r>
    </w:p>
    <w:p w:rsidR="006032F9" w:rsidRDefault="006032F9" w:rsidP="00AE73E2">
      <w:pPr>
        <w:spacing w:after="0" w:line="276" w:lineRule="auto"/>
        <w:jc w:val="center"/>
      </w:pPr>
      <w:r>
        <w:t xml:space="preserve">Hamilton, 3240 </w:t>
      </w:r>
    </w:p>
    <w:p w:rsidR="006032F9" w:rsidRDefault="006032F9" w:rsidP="00AE73E2">
      <w:pPr>
        <w:spacing w:after="0" w:line="276" w:lineRule="auto"/>
        <w:jc w:val="center"/>
      </w:pPr>
      <w:r>
        <w:t>New Zealand</w:t>
      </w:r>
    </w:p>
    <w:p w:rsidR="006032F9" w:rsidRDefault="006032F9" w:rsidP="00AE73E2">
      <w:pPr>
        <w:spacing w:after="0" w:line="276" w:lineRule="auto"/>
        <w:jc w:val="center"/>
      </w:pPr>
      <w:r>
        <w:t>Email: zaira.najam@gmail.com</w:t>
      </w:r>
    </w:p>
    <w:p w:rsidR="00AE73E2" w:rsidRDefault="00AE73E2" w:rsidP="00AE73E2">
      <w:pPr>
        <w:spacing w:after="0" w:line="276" w:lineRule="auto"/>
        <w:jc w:val="center"/>
      </w:pPr>
    </w:p>
    <w:p w:rsidR="00AE73E2" w:rsidRPr="005B2FFB" w:rsidRDefault="00AE73E2" w:rsidP="00AE73E2">
      <w:pPr>
        <w:pStyle w:val="CM4"/>
        <w:spacing w:line="240" w:lineRule="auto"/>
        <w:jc w:val="center"/>
        <w:rPr>
          <w:b/>
          <w:bCs/>
          <w:sz w:val="12"/>
          <w:szCs w:val="12"/>
        </w:rPr>
      </w:pPr>
    </w:p>
    <w:p w:rsidR="00AE73E2" w:rsidRPr="0076045F" w:rsidRDefault="007A34C1" w:rsidP="00AE73E2">
      <w:pPr>
        <w:pStyle w:val="CM4"/>
        <w:spacing w:before="60" w:line="240" w:lineRule="auto"/>
        <w:jc w:val="center"/>
      </w:pPr>
      <w:r>
        <w:rPr>
          <w:b/>
          <w:bCs/>
        </w:rPr>
        <w:t>Susan Olivia</w:t>
      </w:r>
    </w:p>
    <w:p w:rsidR="00AE73E2" w:rsidRDefault="00AE73E2" w:rsidP="00AE73E2">
      <w:pPr>
        <w:pStyle w:val="CM23"/>
        <w:spacing w:after="0"/>
        <w:jc w:val="center"/>
      </w:pPr>
      <w:r w:rsidRPr="0076045F">
        <w:t xml:space="preserve">School of Accounting, Finance </w:t>
      </w:r>
      <w:r w:rsidR="006032F9">
        <w:t>and Economics</w:t>
      </w:r>
    </w:p>
    <w:p w:rsidR="00AE73E2" w:rsidRPr="0076045F" w:rsidRDefault="00AE73E2" w:rsidP="00AE73E2">
      <w:pPr>
        <w:pStyle w:val="CM23"/>
        <w:spacing w:after="0"/>
        <w:jc w:val="center"/>
      </w:pPr>
      <w:r w:rsidRPr="0076045F">
        <w:t>University of Waikato</w:t>
      </w:r>
    </w:p>
    <w:p w:rsidR="00AE73E2" w:rsidRPr="0076045F" w:rsidRDefault="00AE73E2" w:rsidP="00AE73E2">
      <w:pPr>
        <w:pStyle w:val="CM23"/>
        <w:spacing w:after="0"/>
        <w:jc w:val="center"/>
      </w:pPr>
      <w:r w:rsidRPr="0076045F">
        <w:t>Private Bag 3105</w:t>
      </w:r>
    </w:p>
    <w:p w:rsidR="00AE73E2" w:rsidRPr="0076045F" w:rsidRDefault="00AE73E2" w:rsidP="00AE73E2">
      <w:pPr>
        <w:pStyle w:val="CM23"/>
        <w:spacing w:after="0"/>
        <w:jc w:val="center"/>
      </w:pPr>
      <w:r w:rsidRPr="0076045F">
        <w:t>Hamilton, 3240</w:t>
      </w:r>
    </w:p>
    <w:p w:rsidR="00AE73E2" w:rsidRDefault="00AE73E2" w:rsidP="00AE73E2">
      <w:pPr>
        <w:pStyle w:val="CM23"/>
        <w:spacing w:after="0"/>
        <w:jc w:val="center"/>
      </w:pPr>
      <w:r w:rsidRPr="0076045F">
        <w:t xml:space="preserve">New Zealand </w:t>
      </w:r>
    </w:p>
    <w:p w:rsidR="00FE6948" w:rsidRPr="00FE6948" w:rsidRDefault="00FE6948" w:rsidP="00FE6948">
      <w:pPr>
        <w:pStyle w:val="Default"/>
        <w:jc w:val="center"/>
        <w:rPr>
          <w:lang w:val="en-US" w:eastAsia="en-US"/>
        </w:rPr>
      </w:pPr>
      <w:r>
        <w:rPr>
          <w:lang w:val="en-US" w:eastAsia="en-US"/>
        </w:rPr>
        <w:t>Email: susan.olivia@waikato.ac.nz</w:t>
      </w:r>
    </w:p>
    <w:p w:rsidR="00AE73E2" w:rsidRPr="00CD094B" w:rsidRDefault="00AE73E2" w:rsidP="00AE73E2">
      <w:pPr>
        <w:pStyle w:val="Default"/>
        <w:rPr>
          <w:sz w:val="12"/>
          <w:szCs w:val="12"/>
        </w:rPr>
      </w:pPr>
    </w:p>
    <w:p w:rsidR="00AE73E2" w:rsidRPr="009553BA" w:rsidRDefault="00AE73E2" w:rsidP="00AE73E2">
      <w:pPr>
        <w:spacing w:after="0" w:line="276" w:lineRule="auto"/>
        <w:jc w:val="center"/>
      </w:pPr>
    </w:p>
    <w:p w:rsidR="00C637EE" w:rsidRPr="009553BA" w:rsidRDefault="00C637EE" w:rsidP="005D3F48">
      <w:pPr>
        <w:spacing w:line="240" w:lineRule="auto"/>
        <w:jc w:val="center"/>
        <w:rPr>
          <w:b/>
          <w:bCs/>
        </w:rPr>
        <w:sectPr w:rsidR="00C637EE" w:rsidRPr="009553BA" w:rsidSect="00735A9C">
          <w:footerReference w:type="default" r:id="rId8"/>
          <w:footerReference w:type="first" r:id="rId9"/>
          <w:pgSz w:w="11906" w:h="16838"/>
          <w:pgMar w:top="1440" w:right="1440" w:bottom="1440" w:left="1440" w:header="708" w:footer="708" w:gutter="0"/>
          <w:pgNumType w:start="0"/>
          <w:cols w:space="708"/>
          <w:titlePg/>
          <w:docGrid w:linePitch="360"/>
        </w:sectPr>
      </w:pPr>
    </w:p>
    <w:p w:rsidR="005D3F48" w:rsidRPr="009553BA" w:rsidRDefault="005D3F48" w:rsidP="005D3F48">
      <w:pPr>
        <w:spacing w:line="240" w:lineRule="auto"/>
        <w:jc w:val="center"/>
        <w:rPr>
          <w:b/>
          <w:bCs/>
        </w:rPr>
      </w:pPr>
    </w:p>
    <w:p w:rsidR="00E67C79" w:rsidRDefault="00E67C79" w:rsidP="005D3F48">
      <w:pPr>
        <w:spacing w:line="240" w:lineRule="auto"/>
        <w:jc w:val="center"/>
        <w:rPr>
          <w:b/>
        </w:rPr>
      </w:pPr>
      <w:r w:rsidRPr="00AF7EC2">
        <w:rPr>
          <w:b/>
        </w:rPr>
        <w:t>Abstract</w:t>
      </w:r>
    </w:p>
    <w:p w:rsidR="005D3F48" w:rsidRPr="00AF7EC2" w:rsidRDefault="005D3F48" w:rsidP="005D3F48">
      <w:pPr>
        <w:spacing w:line="240" w:lineRule="auto"/>
        <w:jc w:val="center"/>
        <w:rPr>
          <w:b/>
        </w:rPr>
      </w:pPr>
    </w:p>
    <w:p w:rsidR="00D63F2C" w:rsidRPr="00D63F2C" w:rsidRDefault="00D63F2C" w:rsidP="00D63F2C">
      <w:pPr>
        <w:spacing w:before="120" w:after="0" w:line="360" w:lineRule="auto"/>
        <w:jc w:val="both"/>
        <w:rPr>
          <w:rFonts w:eastAsia="Times New Roman"/>
          <w:lang w:val="en-GB" w:eastAsia="en-GB"/>
        </w:rPr>
      </w:pPr>
      <w:r w:rsidRPr="00D63F2C">
        <w:rPr>
          <w:rFonts w:eastAsia="Times New Roman"/>
          <w:bCs/>
          <w:lang w:val="en-US" w:eastAsia="en-GB"/>
        </w:rPr>
        <w:t xml:space="preserve">Cash transfers have been increasingly used in developing countries as key elements of social protection and poverty reduction strategies. Pakistan is no exception. In 2008, Pakistan introduced the Benazir Income Support Program (BISP) as an unconditional cash transfer targeted at the poorest of the poor. In this paper, we use five poverty measures, calculated biennially from 2008 to 2014 for 100 districts in Pakistan to assess the effectiveness of the BISP in alleviating poverty. We also examine whether the impact of the cash transfer programs on poverty is sensitive to the choice of poverty measure. Our results show that BISP is associated with poverty reduction using either the conventional money-metric poverty measures or multidimensional poverty measures, however the impact is much larger for the conventional poverty measures, which are </w:t>
      </w:r>
      <w:proofErr w:type="spellStart"/>
      <w:r w:rsidRPr="00D63F2C">
        <w:rPr>
          <w:rFonts w:eastAsia="Times New Roman"/>
          <w:bCs/>
          <w:lang w:val="en-US" w:eastAsia="en-GB"/>
        </w:rPr>
        <w:t>distributionally</w:t>
      </w:r>
      <w:proofErr w:type="spellEnd"/>
      <w:r w:rsidRPr="00D63F2C">
        <w:rPr>
          <w:rFonts w:eastAsia="Times New Roman"/>
          <w:bCs/>
          <w:lang w:val="en-US" w:eastAsia="en-GB"/>
        </w:rPr>
        <w:t xml:space="preserve"> insensitive. The implication is that </w:t>
      </w:r>
      <w:r w:rsidRPr="00D63F2C">
        <w:rPr>
          <w:rFonts w:eastAsia="Times New Roman"/>
          <w:lang w:val="en-GB" w:eastAsia="en-GB"/>
        </w:rPr>
        <w:t xml:space="preserve">public policy analysts should be cautious in the conclusions they draw from poverty estimate when evaluating welfare programs. </w:t>
      </w:r>
    </w:p>
    <w:p w:rsidR="00E67C79" w:rsidRPr="00D63F2C" w:rsidRDefault="00E67C79" w:rsidP="00E67C79">
      <w:pPr>
        <w:tabs>
          <w:tab w:val="left" w:pos="426"/>
        </w:tabs>
        <w:spacing w:line="300" w:lineRule="auto"/>
        <w:rPr>
          <w:lang w:val="en-GB"/>
        </w:rPr>
      </w:pPr>
    </w:p>
    <w:p w:rsidR="00FE5311" w:rsidRDefault="00FE5311" w:rsidP="00E67C79">
      <w:pPr>
        <w:tabs>
          <w:tab w:val="left" w:pos="426"/>
        </w:tabs>
        <w:spacing w:line="300" w:lineRule="auto"/>
      </w:pPr>
      <w:bookmarkStart w:id="0" w:name="_GoBack"/>
      <w:bookmarkEnd w:id="0"/>
    </w:p>
    <w:p w:rsidR="00E67C79" w:rsidRPr="00CC12E6" w:rsidRDefault="00E67C79" w:rsidP="00E67C79">
      <w:pPr>
        <w:spacing w:after="0" w:line="300" w:lineRule="auto"/>
        <w:jc w:val="center"/>
        <w:rPr>
          <w:rFonts w:eastAsia="Times New Roman"/>
          <w:b/>
          <w:lang w:val="en-US"/>
        </w:rPr>
      </w:pPr>
      <w:r w:rsidRPr="00CC12E6">
        <w:rPr>
          <w:rFonts w:eastAsia="Times New Roman"/>
          <w:b/>
          <w:lang w:val="en-US"/>
        </w:rPr>
        <w:t>Keywords</w:t>
      </w:r>
    </w:p>
    <w:p w:rsidR="00E67C79" w:rsidRDefault="001017B9" w:rsidP="00B668C8">
      <w:pPr>
        <w:spacing w:after="0" w:line="360" w:lineRule="auto"/>
        <w:jc w:val="center"/>
        <w:rPr>
          <w:rFonts w:eastAsia="Times New Roman"/>
          <w:bCs/>
          <w:lang w:val="en-US"/>
        </w:rPr>
      </w:pPr>
      <w:r>
        <w:rPr>
          <w:rFonts w:eastAsia="Batang"/>
          <w:lang w:val="en-US" w:eastAsia="ko-KR"/>
        </w:rPr>
        <w:t>poverty</w:t>
      </w:r>
    </w:p>
    <w:p w:rsidR="00E67C79" w:rsidRDefault="001017B9" w:rsidP="00B668C8">
      <w:pPr>
        <w:spacing w:after="0" w:line="360" w:lineRule="auto"/>
        <w:jc w:val="center"/>
        <w:rPr>
          <w:rFonts w:eastAsia="Times New Roman"/>
          <w:bCs/>
          <w:lang w:val="en-US"/>
        </w:rPr>
      </w:pPr>
      <w:r>
        <w:rPr>
          <w:rFonts w:eastAsia="Batang"/>
          <w:lang w:val="en-US" w:eastAsia="ko-KR"/>
        </w:rPr>
        <w:t>cash transfers</w:t>
      </w:r>
    </w:p>
    <w:p w:rsidR="00E67C79" w:rsidRDefault="001017B9" w:rsidP="00B668C8">
      <w:pPr>
        <w:spacing w:after="0" w:line="360" w:lineRule="auto"/>
        <w:jc w:val="center"/>
        <w:rPr>
          <w:rFonts w:eastAsia="Times New Roman"/>
          <w:bCs/>
          <w:lang w:val="en-US"/>
        </w:rPr>
      </w:pPr>
      <w:r>
        <w:rPr>
          <w:rFonts w:eastAsia="Times New Roman"/>
          <w:bCs/>
          <w:lang w:val="en-US"/>
        </w:rPr>
        <w:t>multidimensional</w:t>
      </w:r>
    </w:p>
    <w:p w:rsidR="001017B9" w:rsidRDefault="001017B9" w:rsidP="00B668C8">
      <w:pPr>
        <w:spacing w:after="0" w:line="360" w:lineRule="auto"/>
        <w:jc w:val="center"/>
        <w:rPr>
          <w:rFonts w:eastAsia="Times New Roman"/>
          <w:bCs/>
          <w:lang w:val="en-US"/>
        </w:rPr>
      </w:pPr>
      <w:r>
        <w:rPr>
          <w:rFonts w:eastAsia="Times New Roman"/>
          <w:bCs/>
          <w:lang w:val="en-US"/>
        </w:rPr>
        <w:t>social protection</w:t>
      </w:r>
    </w:p>
    <w:p w:rsidR="00E67C79" w:rsidRPr="00CC12E6" w:rsidRDefault="001017B9" w:rsidP="00B668C8">
      <w:pPr>
        <w:spacing w:after="0" w:line="360" w:lineRule="auto"/>
        <w:jc w:val="center"/>
        <w:rPr>
          <w:rFonts w:eastAsia="Times New Roman"/>
          <w:bCs/>
          <w:lang w:val="en-US"/>
        </w:rPr>
      </w:pPr>
      <w:r>
        <w:rPr>
          <w:rFonts w:eastAsia="Times New Roman"/>
          <w:bCs/>
          <w:lang w:val="en-US"/>
        </w:rPr>
        <w:t xml:space="preserve">Pakistan </w:t>
      </w:r>
      <w:r w:rsidR="005D3F48">
        <w:rPr>
          <w:rFonts w:eastAsia="Times New Roman"/>
          <w:bCs/>
          <w:lang w:val="en-US"/>
        </w:rPr>
        <w:br/>
      </w:r>
    </w:p>
    <w:p w:rsidR="00E67C79" w:rsidRPr="00CC12E6" w:rsidRDefault="00E67C79" w:rsidP="00E67C79">
      <w:pPr>
        <w:spacing w:after="0" w:line="300" w:lineRule="auto"/>
        <w:jc w:val="center"/>
        <w:rPr>
          <w:rFonts w:eastAsia="Times New Roman"/>
          <w:b/>
          <w:lang w:val="en-US"/>
        </w:rPr>
      </w:pPr>
      <w:r w:rsidRPr="00CC12E6">
        <w:rPr>
          <w:rFonts w:eastAsia="Times New Roman"/>
          <w:b/>
          <w:lang w:val="en-US"/>
        </w:rPr>
        <w:t>JEL Classification</w:t>
      </w:r>
    </w:p>
    <w:p w:rsidR="005D3F48" w:rsidRDefault="00770263" w:rsidP="00AE73E2">
      <w:pPr>
        <w:spacing w:after="0" w:line="300" w:lineRule="auto"/>
        <w:jc w:val="center"/>
        <w:rPr>
          <w:rFonts w:eastAsia="Batang"/>
          <w:lang w:val="en-US" w:eastAsia="ko-KR"/>
        </w:rPr>
      </w:pPr>
      <w:r>
        <w:rPr>
          <w:rFonts w:eastAsia="Batang"/>
          <w:lang w:val="en-US" w:eastAsia="ko-KR"/>
        </w:rPr>
        <w:t>I32</w:t>
      </w:r>
    </w:p>
    <w:p w:rsidR="00E67C79" w:rsidRPr="00E67C79" w:rsidRDefault="00770263" w:rsidP="00AE73E2">
      <w:pPr>
        <w:spacing w:after="0" w:line="300" w:lineRule="auto"/>
        <w:jc w:val="center"/>
        <w:rPr>
          <w:rFonts w:eastAsia="Times New Roman"/>
          <w:bCs/>
        </w:rPr>
      </w:pPr>
      <w:r>
        <w:rPr>
          <w:rFonts w:eastAsia="Batang"/>
          <w:lang w:val="en-US" w:eastAsia="ko-KR"/>
        </w:rPr>
        <w:t>I38</w:t>
      </w:r>
    </w:p>
    <w:p w:rsidR="00E67C79" w:rsidRPr="00E67C79" w:rsidRDefault="00E67C79" w:rsidP="00E67C79">
      <w:pPr>
        <w:spacing w:after="0" w:line="300" w:lineRule="auto"/>
        <w:rPr>
          <w:rFonts w:eastAsia="Times New Roman"/>
          <w:bCs/>
        </w:rPr>
      </w:pPr>
    </w:p>
    <w:p w:rsidR="00B668C8" w:rsidRDefault="00B668C8" w:rsidP="00E67C79">
      <w:pPr>
        <w:spacing w:after="0" w:line="300" w:lineRule="auto"/>
        <w:rPr>
          <w:rFonts w:eastAsia="Times New Roman"/>
          <w:bCs/>
        </w:rPr>
      </w:pPr>
    </w:p>
    <w:p w:rsidR="00B668C8" w:rsidRPr="00E67C79" w:rsidRDefault="00B668C8" w:rsidP="00E67C79">
      <w:pPr>
        <w:spacing w:after="0" w:line="300" w:lineRule="auto"/>
        <w:rPr>
          <w:rFonts w:eastAsia="Times New Roman"/>
          <w:bCs/>
        </w:rPr>
      </w:pPr>
    </w:p>
    <w:p w:rsidR="00E67C79" w:rsidRPr="005B6573" w:rsidRDefault="00E67C79" w:rsidP="00E67C79">
      <w:pPr>
        <w:spacing w:after="0" w:line="300" w:lineRule="auto"/>
        <w:jc w:val="center"/>
        <w:rPr>
          <w:rFonts w:eastAsia="Times New Roman"/>
          <w:b/>
        </w:rPr>
      </w:pPr>
      <w:r w:rsidRPr="005B6573">
        <w:rPr>
          <w:rFonts w:eastAsia="Times New Roman"/>
          <w:b/>
        </w:rPr>
        <w:t>Acknowledgements</w:t>
      </w:r>
    </w:p>
    <w:p w:rsidR="00E67C79" w:rsidRPr="005D3F48" w:rsidRDefault="00A227E1" w:rsidP="005D3F48">
      <w:pPr>
        <w:tabs>
          <w:tab w:val="left" w:pos="426"/>
        </w:tabs>
        <w:spacing w:line="300" w:lineRule="auto"/>
        <w:jc w:val="both"/>
        <w:rPr>
          <w:bCs/>
        </w:rPr>
      </w:pPr>
      <w:r>
        <w:t xml:space="preserve">We are grateful to the Pakistan Ministry of Planning, Development </w:t>
      </w:r>
      <w:r w:rsidR="00247ABE">
        <w:t>and Reforms</w:t>
      </w:r>
      <w:r w:rsidR="009553BA">
        <w:t>, Benazir Income Support Programme office</w:t>
      </w:r>
      <w:r>
        <w:t xml:space="preserve"> for </w:t>
      </w:r>
      <w:r w:rsidR="009553BA">
        <w:t xml:space="preserve">their </w:t>
      </w:r>
      <w:r>
        <w:t xml:space="preserve">assistance and to </w:t>
      </w:r>
      <w:r w:rsidR="001F0321">
        <w:t xml:space="preserve">John Gibson for his </w:t>
      </w:r>
      <w:r w:rsidR="00770263">
        <w:t>valuable</w:t>
      </w:r>
      <w:r w:rsidR="001F0321">
        <w:t xml:space="preserve"> suggestions. </w:t>
      </w:r>
    </w:p>
    <w:p w:rsidR="00EE5514" w:rsidRPr="008A622D" w:rsidRDefault="005D3F48" w:rsidP="00AB6226">
      <w:pPr>
        <w:spacing w:after="0" w:line="360" w:lineRule="auto"/>
        <w:rPr>
          <w:rFonts w:asciiTheme="majorBidi" w:hAnsiTheme="majorBidi" w:cstheme="majorBidi"/>
          <w:bCs/>
          <w:lang w:val="en-AU"/>
        </w:rPr>
      </w:pPr>
      <w:r w:rsidRPr="00CC3CE0">
        <w:rPr>
          <w:rFonts w:cs="Arial"/>
          <w:sz w:val="28"/>
          <w:szCs w:val="28"/>
        </w:rPr>
        <w:br w:type="page"/>
      </w:r>
      <w:r w:rsidR="00EE5514">
        <w:rPr>
          <w:rFonts w:asciiTheme="majorBidi" w:hAnsiTheme="majorBidi" w:cstheme="majorBidi"/>
          <w:b/>
          <w:bCs/>
        </w:rPr>
        <w:lastRenderedPageBreak/>
        <w:t>1</w:t>
      </w:r>
      <w:r w:rsidR="00EE5514" w:rsidRPr="008A622D">
        <w:rPr>
          <w:rFonts w:asciiTheme="majorBidi" w:hAnsiTheme="majorBidi" w:cstheme="majorBidi"/>
          <w:b/>
          <w:bCs/>
        </w:rPr>
        <w:t>.</w:t>
      </w:r>
      <w:r w:rsidR="00EE5514" w:rsidRPr="008A622D">
        <w:rPr>
          <w:rFonts w:asciiTheme="majorBidi" w:hAnsiTheme="majorBidi" w:cstheme="majorBidi"/>
          <w:b/>
          <w:bCs/>
        </w:rPr>
        <w:tab/>
        <w:t>Introduction</w:t>
      </w:r>
      <w:r w:rsidR="00EE5514" w:rsidRPr="008A622D">
        <w:rPr>
          <w:rFonts w:asciiTheme="majorBidi" w:hAnsiTheme="majorBidi" w:cstheme="majorBidi"/>
          <w:bCs/>
          <w:lang w:val="en-AU"/>
        </w:rPr>
        <w:t xml:space="preserve"> </w:t>
      </w:r>
    </w:p>
    <w:p w:rsidR="00EE5514" w:rsidRDefault="00EE5514" w:rsidP="00BB1739">
      <w:pPr>
        <w:spacing w:line="288" w:lineRule="auto"/>
        <w:jc w:val="both"/>
      </w:pPr>
      <w:bookmarkStart w:id="1" w:name="_Hlk80874085"/>
      <w:r w:rsidRPr="00545491">
        <w:t xml:space="preserve">The experience of countries that succeeded in reducing poverty significantly indicates the importance of sustained high economic growth in achieving this result. However, </w:t>
      </w:r>
      <w:proofErr w:type="spellStart"/>
      <w:r w:rsidRPr="00545491">
        <w:t>Ravallion</w:t>
      </w:r>
      <w:proofErr w:type="spellEnd"/>
      <w:r w:rsidRPr="00545491">
        <w:t xml:space="preserve"> (2001) and </w:t>
      </w:r>
      <w:proofErr w:type="spellStart"/>
      <w:r w:rsidRPr="00545491">
        <w:t>Fosu</w:t>
      </w:r>
      <w:proofErr w:type="spellEnd"/>
      <w:r w:rsidRPr="00545491">
        <w:t xml:space="preserve"> (2011) pointed out that high growth alone is not sufficient for poverty alleviation as the very poor are unlikely to benefit from any trickle-down effect that may result from growth. The challenge for policy makers is thus to combine growth-enhancing policies with the right poverty alleviation policies to create opportunities for the poor so that they can contribute to and benefit from growth (</w:t>
      </w:r>
      <w:proofErr w:type="spellStart"/>
      <w:r w:rsidRPr="00545491">
        <w:t>Ravallion</w:t>
      </w:r>
      <w:proofErr w:type="spellEnd"/>
      <w:r w:rsidRPr="00545491">
        <w:t>, 2004). Consequently, in countries where growth is inadequate or is not pro-poor, there is a need to have well-functioning social safety nets to dissipate the increasing income inequality resulting after the spur in growth (Lee and Park, 2002).</w:t>
      </w:r>
      <w:r>
        <w:t xml:space="preserve"> </w:t>
      </w:r>
    </w:p>
    <w:p w:rsidR="00EE5514" w:rsidRDefault="00EE5514" w:rsidP="00CC3CE0">
      <w:pPr>
        <w:spacing w:line="288" w:lineRule="auto"/>
        <w:ind w:firstLine="720"/>
        <w:jc w:val="both"/>
      </w:pPr>
      <w:r>
        <w:t xml:space="preserve">There is growing evidence which shows that social safety net programs play a crucial role in reducing poverty and food insecurity. For instance, Devereux (2002) found that the inclusion of cash transfers in social safety net program in Namibia, Mozambique and Zambia reduce chronic poverty.  A study by </w:t>
      </w:r>
      <w:proofErr w:type="spellStart"/>
      <w:r>
        <w:t>Acasto</w:t>
      </w:r>
      <w:proofErr w:type="spellEnd"/>
      <w:r>
        <w:t xml:space="preserve"> and Velarde (2015) show that </w:t>
      </w:r>
      <w:proofErr w:type="spellStart"/>
      <w:r>
        <w:t>Phillipines</w:t>
      </w:r>
      <w:proofErr w:type="spellEnd"/>
      <w:r>
        <w:t xml:space="preserve">’ cash transfer program, the </w:t>
      </w:r>
      <w:proofErr w:type="spellStart"/>
      <w:r w:rsidRPr="006E6E5D">
        <w:rPr>
          <w:i/>
          <w:iCs/>
        </w:rPr>
        <w:t>Pantawid</w:t>
      </w:r>
      <w:proofErr w:type="spellEnd"/>
      <w:r w:rsidRPr="006E6E5D">
        <w:rPr>
          <w:i/>
          <w:iCs/>
        </w:rPr>
        <w:t xml:space="preserve"> </w:t>
      </w:r>
      <w:proofErr w:type="spellStart"/>
      <w:r w:rsidRPr="006E6E5D">
        <w:rPr>
          <w:i/>
          <w:iCs/>
        </w:rPr>
        <w:t>Pamilyang</w:t>
      </w:r>
      <w:proofErr w:type="spellEnd"/>
      <w:r w:rsidRPr="006E6E5D">
        <w:rPr>
          <w:i/>
          <w:iCs/>
        </w:rPr>
        <w:t xml:space="preserve"> Pilipino </w:t>
      </w:r>
      <w:proofErr w:type="spellStart"/>
      <w:r w:rsidRPr="006E6E5D">
        <w:rPr>
          <w:i/>
          <w:iCs/>
        </w:rPr>
        <w:t>Progam</w:t>
      </w:r>
      <w:proofErr w:type="spellEnd"/>
      <w:r>
        <w:t xml:space="preserve"> (4Ps) has led to a reduction in food poverty and total poverty among beneficiaries by about 7 percentage points.  In India, social safety nets also have a significant impact in improving food security (Pritchard et al., 2013).  Using data from 142 countries, the World Bank (2018) </w:t>
      </w:r>
      <w:r>
        <w:rPr>
          <w:i/>
          <w:iCs/>
        </w:rPr>
        <w:t>State of the Social Safety Nets</w:t>
      </w:r>
      <w:r>
        <w:t xml:space="preserve"> report showed that social protection programs cover 56 percent of the poorest population globally and about 36 percent of the very poor who received safety net benefits escaped extreme poverty because of social safety nets. Data from the report also show that safety nets which include unconditional and conditional cash transfers, food and in-kind transfers, public works, school feeding programmes and fee waivers targeted to poor and vulnerable households also lower inequality and reduce the poverty gap by 45 percent. </w:t>
      </w:r>
    </w:p>
    <w:p w:rsidR="00EE5514" w:rsidRDefault="00EE5514" w:rsidP="00CC3CE0">
      <w:pPr>
        <w:spacing w:line="288" w:lineRule="auto"/>
        <w:ind w:firstLine="720"/>
        <w:jc w:val="both"/>
      </w:pPr>
      <w:r>
        <w:t>Safety nets program not only contribut</w:t>
      </w:r>
      <w:r w:rsidR="00613502">
        <w:t>e</w:t>
      </w:r>
      <w:r>
        <w:t xml:space="preserve"> to poverty reduction, but also allow recipients to boost investment in human and physical capital, to smooth consumption and to engage in more risky but productive activities. Numerous impact evaluation studies on conditional cash transfer program </w:t>
      </w:r>
      <w:proofErr w:type="spellStart"/>
      <w:r w:rsidRPr="00EE0777">
        <w:rPr>
          <w:i/>
          <w:iCs/>
        </w:rPr>
        <w:t>Progresa</w:t>
      </w:r>
      <w:proofErr w:type="spellEnd"/>
      <w:r>
        <w:rPr>
          <w:rStyle w:val="FootnoteReference"/>
          <w:i/>
          <w:iCs/>
        </w:rPr>
        <w:footnoteReference w:id="1"/>
      </w:r>
      <w:r>
        <w:rPr>
          <w:i/>
          <w:iCs/>
        </w:rPr>
        <w:t xml:space="preserve"> </w:t>
      </w:r>
      <w:r>
        <w:t xml:space="preserve">in Mexico have shown a substantial improvement in schooling attendance (Schultz, 2004; </w:t>
      </w:r>
      <w:proofErr w:type="spellStart"/>
      <w:r>
        <w:t>Attanasio</w:t>
      </w:r>
      <w:proofErr w:type="spellEnd"/>
      <w:r>
        <w:t xml:space="preserve"> et al., 2011) </w:t>
      </w:r>
      <w:r w:rsidR="00613502">
        <w:t>and</w:t>
      </w:r>
      <w:r>
        <w:t xml:space="preserve"> other benefits includ</w:t>
      </w:r>
      <w:r w:rsidR="00613502">
        <w:t>ing</w:t>
      </w:r>
      <w:r>
        <w:t xml:space="preserve"> a 20 percent increase in households’ monthly savings (Harrison, 2019) and a significant improvement in the health of both children and adults (Gertler and Boyce, 2003).</w:t>
      </w:r>
      <w:r w:rsidRPr="00EE0777">
        <w:rPr>
          <w:i/>
          <w:iCs/>
        </w:rPr>
        <w:t xml:space="preserve"> </w:t>
      </w:r>
      <w:r>
        <w:t xml:space="preserve"> Existing evidence on the impact of unconditional cash transfers to vulnerable households in Africa also suggest positive effects on the education and health outcomes of children in beneficiary households </w:t>
      </w:r>
      <w:r w:rsidRPr="00EF3C19">
        <w:t>(Haushofer and Shapiro </w:t>
      </w:r>
      <w:hyperlink r:id="rId10" w:history="1">
        <w:r w:rsidRPr="00EF3C19">
          <w:t>2016</w:t>
        </w:r>
      </w:hyperlink>
      <w:r w:rsidRPr="00EF3C19">
        <w:t>; Kremer et al </w:t>
      </w:r>
      <w:hyperlink r:id="rId11" w:history="1">
        <w:r w:rsidRPr="00EF3C19">
          <w:t>2013</w:t>
        </w:r>
      </w:hyperlink>
      <w:r w:rsidRPr="00EF3C19">
        <w:t>)</w:t>
      </w:r>
      <w:r>
        <w:t xml:space="preserve">. In Kenya, a year-long randomised trial of Give Directly found that the programme’s unconditional cash transfers raised psychological wellbeing and food security (Haushofer and Shapiro, 2016). Findings from Uganda show that  beneficiary households reported higher consumption expenditure and used part of the cash transfers on </w:t>
      </w:r>
      <w:r>
        <w:lastRenderedPageBreak/>
        <w:t xml:space="preserve">health and education related expenditures and investment in productive assets </w:t>
      </w:r>
      <w:r>
        <w:rPr>
          <w:rFonts w:ascii="Open Sans" w:hAnsi="Open Sans" w:cs="Open Sans"/>
          <w:color w:val="333333"/>
          <w:sz w:val="26"/>
          <w:szCs w:val="26"/>
        </w:rPr>
        <w:t xml:space="preserve"> </w:t>
      </w:r>
      <w:r w:rsidRPr="00EF3C19">
        <w:t>(</w:t>
      </w:r>
      <w:proofErr w:type="spellStart"/>
      <w:r w:rsidRPr="00EF3C19">
        <w:t>Merttens</w:t>
      </w:r>
      <w:proofErr w:type="spellEnd"/>
      <w:r w:rsidRPr="00EF3C19">
        <w:t xml:space="preserve"> et al. </w:t>
      </w:r>
      <w:hyperlink r:id="rId12" w:history="1">
        <w:r w:rsidRPr="00EF3C19">
          <w:t>2016</w:t>
        </w:r>
      </w:hyperlink>
      <w:r w:rsidRPr="00EF3C19">
        <w:t>).</w:t>
      </w:r>
    </w:p>
    <w:p w:rsidR="00EE5514" w:rsidRDefault="00EE5514" w:rsidP="00CC3CE0">
      <w:pPr>
        <w:spacing w:line="288" w:lineRule="auto"/>
        <w:ind w:firstLine="720"/>
        <w:jc w:val="both"/>
      </w:pPr>
      <w:r>
        <w:t>Despite the wealth of interest from policy makers and researchers, there are a few reasons why the evidence of the impact of social safety nets on poverty and other socio-economic outcomes is insufficient. First, the evidence is for traditional, money-metric poverty measures, such as the headcount index (the share of the population living in households whose consumption or income is below the poverty line) and the poverty gap index (the average proportionate shortfall from the poverty line). Yet many developing countries are switching to multidimensional poverty measures to either supplement or replace the traditional money-metric ones</w:t>
      </w:r>
      <w:r w:rsidR="009553BA">
        <w:t xml:space="preserve"> (</w:t>
      </w:r>
      <w:proofErr w:type="spellStart"/>
      <w:r w:rsidR="009553BA">
        <w:t>Alkire</w:t>
      </w:r>
      <w:proofErr w:type="spellEnd"/>
      <w:r w:rsidR="009553BA">
        <w:t xml:space="preserve"> et al., 2015)</w:t>
      </w:r>
      <w:r>
        <w:t>.</w:t>
      </w:r>
      <w:r w:rsidRPr="005C3624">
        <w:t xml:space="preserve"> </w:t>
      </w:r>
      <w:r>
        <w:t>Secondly, existing studies that investigated the living standards enhancing aspect of social safety nets only use one specific indicator such as school enrolment or health status. Empirical work has shown that significant percentages of those who are multidimensionally deprived are not monetary poor and vice versa (</w:t>
      </w:r>
      <w:proofErr w:type="spellStart"/>
      <w:r>
        <w:t>Alkire</w:t>
      </w:r>
      <w:proofErr w:type="spellEnd"/>
      <w:r>
        <w:t xml:space="preserve"> and Jahan, 2018).  As such, it is thus crucial to understand the poverty-reduction impact of social protection programs in a multidimensional framework. Furthermore, to date, no studies compare the impact of social programs in multidimensional measures versus in money-metric measures.  Other aspects of poverty analysis for Pakistan, such as spatial patterns and temporal changes, appear to be sensitive to using multidimensional versus money-metric poverty measures (Najam, 2020).  </w:t>
      </w:r>
    </w:p>
    <w:p w:rsidR="00EE5514" w:rsidRDefault="00EE5514" w:rsidP="00CC3CE0">
      <w:pPr>
        <w:spacing w:line="288" w:lineRule="auto"/>
        <w:ind w:firstLine="720"/>
        <w:jc w:val="both"/>
      </w:pPr>
      <w:r>
        <w:t>In 2008, the government of Pakistan (</w:t>
      </w:r>
      <w:proofErr w:type="spellStart"/>
      <w:r>
        <w:t>GoP</w:t>
      </w:r>
      <w:proofErr w:type="spellEnd"/>
      <w:r>
        <w:t xml:space="preserve">) launched the Benazir Income Support Program (BISP) to minimize the impact of adverse economic shocks and inflation faced by the poor. The BISP is unique case in social protection for several reasons. First, it is an unconditional transfer. Whereas there is evidence that conditions matter for some outcomes </w:t>
      </w:r>
      <w:r w:rsidR="00A225E8">
        <w:t>(</w:t>
      </w:r>
      <w:r>
        <w:t xml:space="preserve">de </w:t>
      </w:r>
      <w:proofErr w:type="spellStart"/>
      <w:r>
        <w:t>Brauw</w:t>
      </w:r>
      <w:proofErr w:type="spellEnd"/>
      <w:r>
        <w:t xml:space="preserve"> and </w:t>
      </w:r>
      <w:proofErr w:type="spellStart"/>
      <w:r>
        <w:t>Hoddinott</w:t>
      </w:r>
      <w:proofErr w:type="spellEnd"/>
      <w:r>
        <w:t>, 2011), more recent papers that have randomized conditionality find that conditions do not affect impacts on all outcomes (</w:t>
      </w:r>
      <w:proofErr w:type="spellStart"/>
      <w:r>
        <w:t>Akresh</w:t>
      </w:r>
      <w:proofErr w:type="spellEnd"/>
      <w:r>
        <w:t xml:space="preserve"> et al., 2013). Second, the BISP is a nationwide program that has expanded quickly – its coverage has increased from 1.7 million beneficiaries in 2008 to 5.3 million in 2016, and it is expected to reach about 8 million beneficiaries by the end of 2019 (World Bank, 2018).   These facts provide an ideal setting to explore whether BISP really target the poor areas.  There is also a significant timing issue that is especially relevant in the context of Pakistan. Pakistan has made significant progress in reducing its poverty headcount by nearly 66 percent between 2002 – 2016 during which time its economic performance has been erratic with spurts of high growth periods followed by steep decline, indicating that there is no established relationship between poverty and macroeconomic performance in Pakistan (World Bank, 2016, Afzal et al., 2019).  In a recent paper, Najam (2020) reported that while monetary poverty has fallen substantially (from 48.1 percent in 2008, to 13.2 in 2014), improvements in non-monetary social indicators remain sluggish, with the multidimensional poverty index </w:t>
      </w:r>
      <w:r w:rsidR="00A225E8">
        <w:t xml:space="preserve">falling </w:t>
      </w:r>
      <w:r>
        <w:t xml:space="preserve">from 25.7 in 2008 to 22.1 percent in 2014. Why a mediocre economic growth translated to a significant income poverty reduction but not so much on other social indicators has been puzzling. The apparent disconnect between economic growth and the reduction in poverty leads to the question of what policies have contributed to the decline of poverty in Pakistan. Whether the change in poverty numbers is </w:t>
      </w:r>
      <w:r>
        <w:lastRenderedPageBreak/>
        <w:t xml:space="preserve">the result of the cash transfers or the result of economic development initiatives is imperative to the research. </w:t>
      </w:r>
    </w:p>
    <w:p w:rsidR="00EE5514" w:rsidRDefault="00EE5514" w:rsidP="00CC3CE0">
      <w:pPr>
        <w:spacing w:line="288" w:lineRule="auto"/>
        <w:ind w:firstLine="720"/>
        <w:jc w:val="both"/>
      </w:pPr>
      <w:r>
        <w:t xml:space="preserve">In this paper, we are investigating whether the impact of the BISP unconditional cash transfers program on poverty in Pakistan depends on the type of poverty measure used. We use five poverty measures (two multidimensional and three money-metric and one measure from each of these groups is </w:t>
      </w:r>
      <w:proofErr w:type="spellStart"/>
      <w:r>
        <w:t>distributionally</w:t>
      </w:r>
      <w:proofErr w:type="spellEnd"/>
      <w:r>
        <w:t xml:space="preserve"> sensitive), calculated biennially from 2008 to 2014 for 100 districts in Pakistan. With these multitude of measures, we can assess whether choice of poverty measure matters when assessing the impact of social protection program</w:t>
      </w:r>
      <w:r w:rsidR="0002480B">
        <w:t>s</w:t>
      </w:r>
      <w:r>
        <w:t xml:space="preserve">.  Given that we are using data from ex-post perspective in evaluating the effectiveness of BISP on poverty, we use a quasi-experimental approach and employ the Blinder-Oaxaca decomposition method. To the best of our knowledge, this is the first study that examined the poverty eradicating aspect of social safety nets using both the multidimensional and money metric poverty measures. </w:t>
      </w:r>
    </w:p>
    <w:p w:rsidR="00EE5514" w:rsidRPr="008236BC" w:rsidRDefault="00EE5514" w:rsidP="00CC3CE0">
      <w:pPr>
        <w:spacing w:line="288" w:lineRule="auto"/>
        <w:ind w:firstLine="720"/>
        <w:jc w:val="both"/>
      </w:pPr>
      <w:r w:rsidRPr="002224BF">
        <w:t>The rest of the paper is organised as follows. In section 2, we describe the BISP program and briefly discuss existing studies that look at the impact of BISP in Pakistan.  Section 3 provide details on poverty in Pakistan</w:t>
      </w:r>
      <w:r w:rsidR="00817F8F" w:rsidRPr="002224BF">
        <w:t xml:space="preserve">, followed by </w:t>
      </w:r>
      <w:r w:rsidRPr="002224BF">
        <w:t xml:space="preserve">discussion on data and estimation methodology.  Section </w:t>
      </w:r>
      <w:r w:rsidR="00817F8F" w:rsidRPr="002224BF">
        <w:t>5</w:t>
      </w:r>
      <w:r w:rsidRPr="002224BF">
        <w:t xml:space="preserve"> provides the results and Section </w:t>
      </w:r>
      <w:r w:rsidR="00817F8F" w:rsidRPr="002224BF">
        <w:t>6</w:t>
      </w:r>
      <w:r w:rsidRPr="002224BF">
        <w:t xml:space="preserve"> concludes the discussion with policy implications.</w:t>
      </w:r>
      <w:r w:rsidRPr="008236BC">
        <w:t xml:space="preserve"> </w:t>
      </w:r>
    </w:p>
    <w:p w:rsidR="006B4FF6" w:rsidRDefault="006B4FF6" w:rsidP="006B4FF6">
      <w:pPr>
        <w:spacing w:after="0" w:line="288" w:lineRule="auto"/>
        <w:rPr>
          <w:rFonts w:asciiTheme="majorBidi" w:hAnsiTheme="majorBidi" w:cstheme="majorBidi"/>
          <w:b/>
          <w:bCs/>
        </w:rPr>
      </w:pPr>
    </w:p>
    <w:p w:rsidR="00EE5514" w:rsidRPr="00EE5514" w:rsidRDefault="00EE5514" w:rsidP="006B4FF6">
      <w:pPr>
        <w:spacing w:after="0" w:line="288" w:lineRule="auto"/>
        <w:rPr>
          <w:rFonts w:asciiTheme="majorBidi" w:hAnsiTheme="majorBidi" w:cstheme="majorBidi"/>
          <w:b/>
          <w:bCs/>
        </w:rPr>
      </w:pPr>
      <w:r>
        <w:rPr>
          <w:rFonts w:asciiTheme="majorBidi" w:hAnsiTheme="majorBidi" w:cstheme="majorBidi"/>
          <w:b/>
          <w:bCs/>
        </w:rPr>
        <w:t>2</w:t>
      </w:r>
      <w:r w:rsidRPr="00EE5514">
        <w:rPr>
          <w:rFonts w:asciiTheme="majorBidi" w:hAnsiTheme="majorBidi" w:cstheme="majorBidi"/>
          <w:b/>
          <w:bCs/>
        </w:rPr>
        <w:t>.</w:t>
      </w:r>
      <w:r w:rsidRPr="00EE5514">
        <w:rPr>
          <w:rFonts w:asciiTheme="majorBidi" w:hAnsiTheme="majorBidi" w:cstheme="majorBidi"/>
          <w:b/>
          <w:bCs/>
        </w:rPr>
        <w:tab/>
        <w:t>An Overview of the Benazir Income Support Programme (BISP)</w:t>
      </w:r>
    </w:p>
    <w:p w:rsidR="006B4FF6" w:rsidRDefault="006B4FF6" w:rsidP="006B4FF6">
      <w:pPr>
        <w:spacing w:after="0" w:line="288" w:lineRule="auto"/>
        <w:jc w:val="both"/>
      </w:pPr>
    </w:p>
    <w:p w:rsidR="00EE5514" w:rsidRDefault="00EE5514" w:rsidP="00BB1739">
      <w:pPr>
        <w:spacing w:line="288" w:lineRule="auto"/>
        <w:jc w:val="both"/>
      </w:pPr>
      <w:r>
        <w:t>Pakistan first developed a Social Protection Strategy in 2007 and announced the BISP as its main social safety net program in 2008. The BISP initially aimed to help the poorest of the poor through unconditional cash transfers. It has three main policy goals which include (</w:t>
      </w:r>
      <w:proofErr w:type="spellStart"/>
      <w:r>
        <w:t>i</w:t>
      </w:r>
      <w:proofErr w:type="spellEnd"/>
      <w:r>
        <w:t xml:space="preserve">) to eradicate extreme and chronic poverty, (ii) to empower women and (iii) to achieve universal primary education (Afzal et al., 2019). </w:t>
      </w:r>
    </w:p>
    <w:p w:rsidR="00EE5514" w:rsidRDefault="00EE5514" w:rsidP="00CC3CE0">
      <w:pPr>
        <w:spacing w:line="288" w:lineRule="auto"/>
        <w:ind w:firstLine="720"/>
        <w:jc w:val="both"/>
      </w:pPr>
      <w:r>
        <w:t>As the Pakistani economy was characterized by high food price inflation when the BISP began in 2008, with its annual inflation rate hit</w:t>
      </w:r>
      <w:r w:rsidR="00F177CF">
        <w:t>ting</w:t>
      </w:r>
      <w:r>
        <w:t xml:space="preserve"> 21%, up from 12% the year before, there was urgency to increase the declining purchasing power among the poorest members of society. Consequentially, initial program targeting, took place through parliamentarians, who were each asked to identify 8,000 beneficiary households on a prescribed form, on which names and household income information </w:t>
      </w:r>
      <w:r w:rsidR="00F177CF">
        <w:t xml:space="preserve">were </w:t>
      </w:r>
      <w:r>
        <w:t>collected. Under this system of community-based targeting (CBT) through politicians, the initial rollout led to disbursement to over 2 million eligible families (Cheema et al., 2015)</w:t>
      </w:r>
    </w:p>
    <w:p w:rsidR="00EE5514" w:rsidRPr="004279CE" w:rsidRDefault="00EE5514" w:rsidP="00CC3CE0">
      <w:pPr>
        <w:spacing w:line="288" w:lineRule="auto"/>
        <w:ind w:firstLine="720"/>
        <w:jc w:val="both"/>
      </w:pPr>
      <w:r>
        <w:t>As a result of concerns over the effectiveness and transparency of parliamentarian targeting, a new national targeting mechanism based on Proxy Means Test (PMT) was developed.  Weights for the PMT were developed using the 2007-08 Pakistan Living Standards Measurement Survey (PSLM)</w:t>
      </w:r>
      <w:r w:rsidR="00F177CF">
        <w:t>.</w:t>
      </w:r>
      <w:r>
        <w:t xml:space="preserve"> </w:t>
      </w:r>
      <w:r w:rsidR="00F177CF">
        <w:t>T</w:t>
      </w:r>
      <w:r>
        <w:t xml:space="preserve">he PMT is based on 23 variables, which include socio-economic </w:t>
      </w:r>
      <w:r w:rsidR="001A62B0">
        <w:t>characteristics</w:t>
      </w:r>
      <w:r>
        <w:t xml:space="preserve"> such as household size, </w:t>
      </w:r>
      <w:r w:rsidR="001A62B0">
        <w:t>housing type</w:t>
      </w:r>
      <w:r>
        <w:t xml:space="preserve">, access to sanitation, educational status, household assets, agricultural landholding and livestock ownership. The PMT procedure </w:t>
      </w:r>
      <w:r>
        <w:lastRenderedPageBreak/>
        <w:t>estimates the welfare status of a household on a scale of 0 to 100 helping in identifying the poorest households. For the application of the PMT formula, a nationwide Poverty Scorecard Survey was conducted in 2010 covering around 27 million households in the country. A PMT threshold (cut-off score) of 16.17 was used to determine the eligibility of the household for unconditional cash transfer</w:t>
      </w:r>
      <w:r>
        <w:rPr>
          <w:rStyle w:val="FootnoteReference"/>
        </w:rPr>
        <w:footnoteReference w:id="2"/>
      </w:r>
      <w:r>
        <w:t xml:space="preserve">. Among the surveyed households, over 7 million (around 28 percent) households across Pakistan were eligible for the unconditional cash transfer, in which </w:t>
      </w:r>
      <w:r w:rsidRPr="00C138F2">
        <w:t>5.</w:t>
      </w:r>
      <w:r>
        <w:t>8</w:t>
      </w:r>
      <w:r w:rsidRPr="00C138F2">
        <w:t xml:space="preserve"> million families </w:t>
      </w:r>
      <w:r>
        <w:t>were</w:t>
      </w:r>
      <w:r w:rsidRPr="00C138F2">
        <w:t xml:space="preserve"> active beneficiaries</w:t>
      </w:r>
      <w:r>
        <w:t xml:space="preserve"> up until 2018 (Iqbal and Nawaz, 2019)</w:t>
      </w:r>
      <w:r w:rsidRPr="00C138F2">
        <w:t xml:space="preserve">. </w:t>
      </w:r>
      <w:r>
        <w:t xml:space="preserve">The breakdown of surveyed households and the eligible households by four provinces, namely </w:t>
      </w:r>
      <w:r w:rsidRPr="00CD4FEB">
        <w:rPr>
          <w:i/>
          <w:iCs/>
        </w:rPr>
        <w:t>Punjab</w:t>
      </w:r>
      <w:r>
        <w:t xml:space="preserve">, </w:t>
      </w:r>
      <w:r w:rsidRPr="00CD4FEB">
        <w:rPr>
          <w:i/>
          <w:iCs/>
        </w:rPr>
        <w:t>Sindh</w:t>
      </w:r>
      <w:r>
        <w:t xml:space="preserve">, </w:t>
      </w:r>
      <w:proofErr w:type="spellStart"/>
      <w:r w:rsidRPr="00CD4FEB">
        <w:rPr>
          <w:i/>
          <w:iCs/>
        </w:rPr>
        <w:t>Kyber</w:t>
      </w:r>
      <w:proofErr w:type="spellEnd"/>
      <w:r w:rsidRPr="00CD4FEB">
        <w:rPr>
          <w:i/>
          <w:iCs/>
        </w:rPr>
        <w:t xml:space="preserve"> Pakhtunkhwa</w:t>
      </w:r>
      <w:r>
        <w:t xml:space="preserve"> (KPK) and </w:t>
      </w:r>
      <w:proofErr w:type="spellStart"/>
      <w:r w:rsidRPr="006E6BBE">
        <w:rPr>
          <w:i/>
          <w:iCs/>
        </w:rPr>
        <w:t>Balochistan</w:t>
      </w:r>
      <w:proofErr w:type="spellEnd"/>
      <w:r>
        <w:t xml:space="preserve"> along with the three federally administrated territories: </w:t>
      </w:r>
      <w:r w:rsidRPr="00845108">
        <w:rPr>
          <w:i/>
          <w:iCs/>
        </w:rPr>
        <w:t>Azad Jammu and Kashmir</w:t>
      </w:r>
      <w:r>
        <w:t xml:space="preserve"> (AJK), </w:t>
      </w:r>
      <w:r w:rsidRPr="00845108">
        <w:rPr>
          <w:i/>
          <w:iCs/>
        </w:rPr>
        <w:t>Gilgit-Baltistan</w:t>
      </w:r>
      <w:r>
        <w:rPr>
          <w:rFonts w:ascii="Arial" w:hAnsi="Arial" w:cs="Arial"/>
          <w:color w:val="202122"/>
          <w:sz w:val="21"/>
          <w:szCs w:val="21"/>
          <w:shd w:val="clear" w:color="auto" w:fill="FFFFFF"/>
        </w:rPr>
        <w:t> </w:t>
      </w:r>
      <w:r>
        <w:t>(GB), and Federally Administered Tribal Areas (FATA), is presented</w:t>
      </w:r>
      <w:r w:rsidR="00F177CF">
        <w:t xml:space="preserve"> in</w:t>
      </w:r>
      <w:r>
        <w:t xml:space="preserve"> Table 1. The Poverty Score Card</w:t>
      </w:r>
      <w:r w:rsidR="004E01F9">
        <w:t xml:space="preserve"> (PSC)</w:t>
      </w:r>
      <w:r>
        <w:t xml:space="preserve"> Survey covered at least about 80 percent of the population in each of these provinces and territories.  Proportion of eligible beneficiary households was highest in FATA (52.5 percent), followed by </w:t>
      </w:r>
      <w:proofErr w:type="spellStart"/>
      <w:r w:rsidRPr="00AC74F5">
        <w:rPr>
          <w:i/>
          <w:iCs/>
        </w:rPr>
        <w:t>Balochistan</w:t>
      </w:r>
      <w:proofErr w:type="spellEnd"/>
      <w:r>
        <w:t xml:space="preserve"> and </w:t>
      </w:r>
      <w:r w:rsidRPr="00AC74F5">
        <w:rPr>
          <w:i/>
          <w:iCs/>
        </w:rPr>
        <w:t>Sindh</w:t>
      </w:r>
      <w:r>
        <w:rPr>
          <w:i/>
          <w:iCs/>
        </w:rPr>
        <w:t xml:space="preserve"> </w:t>
      </w:r>
      <w:r>
        <w:t xml:space="preserve">(40 percent) </w:t>
      </w:r>
    </w:p>
    <w:p w:rsidR="00EE5514" w:rsidRDefault="00EE5514" w:rsidP="006B4FF6">
      <w:pPr>
        <w:pStyle w:val="NormalWeb"/>
        <w:spacing w:before="0" w:beforeAutospacing="0" w:after="0" w:afterAutospacing="0" w:line="288" w:lineRule="auto"/>
        <w:jc w:val="center"/>
      </w:pPr>
    </w:p>
    <w:p w:rsidR="00EE5514" w:rsidRPr="00AC74F5" w:rsidRDefault="00EE5514" w:rsidP="00EE5514">
      <w:pPr>
        <w:pStyle w:val="NormalWeb"/>
        <w:spacing w:before="0" w:beforeAutospacing="0" w:after="0" w:afterAutospacing="0"/>
        <w:jc w:val="center"/>
        <w:rPr>
          <w:b/>
          <w:bCs/>
        </w:rPr>
      </w:pPr>
      <w:r w:rsidRPr="00AC74F5">
        <w:rPr>
          <w:b/>
          <w:bCs/>
        </w:rPr>
        <w:t>Table 1: Area Wise Coverage under Poverty Scorecard Survey, 2010</w:t>
      </w:r>
    </w:p>
    <w:p w:rsidR="00EE5514" w:rsidRPr="00C94897" w:rsidRDefault="00EE5514" w:rsidP="00EE5514">
      <w:pPr>
        <w:pStyle w:val="NormalWeb"/>
        <w:spacing w:before="0" w:beforeAutospacing="0" w:after="0" w:afterAutospacing="0"/>
        <w:jc w:val="center"/>
        <w:rPr>
          <w:i/>
          <w:iCs/>
        </w:rPr>
      </w:pP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1242"/>
        <w:gridCol w:w="956"/>
        <w:gridCol w:w="1148"/>
        <w:gridCol w:w="1155"/>
        <w:gridCol w:w="1041"/>
        <w:gridCol w:w="1456"/>
        <w:gridCol w:w="1366"/>
        <w:gridCol w:w="1134"/>
      </w:tblGrid>
      <w:tr w:rsidR="00EE5514" w:rsidRPr="002357F0" w:rsidTr="009553BA">
        <w:tc>
          <w:tcPr>
            <w:tcW w:w="1242"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Province</w:t>
            </w:r>
          </w:p>
        </w:tc>
        <w:tc>
          <w:tcPr>
            <w:tcW w:w="956"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No. of Districts</w:t>
            </w:r>
          </w:p>
        </w:tc>
        <w:tc>
          <w:tcPr>
            <w:tcW w:w="1148"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Estimated Population </w:t>
            </w:r>
          </w:p>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(in million)</w:t>
            </w:r>
          </w:p>
        </w:tc>
        <w:tc>
          <w:tcPr>
            <w:tcW w:w="1155"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Population Surveyed </w:t>
            </w:r>
          </w:p>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(in million)</w:t>
            </w:r>
          </w:p>
        </w:tc>
        <w:tc>
          <w:tcPr>
            <w:tcW w:w="1041"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Population Surveyed </w:t>
            </w:r>
          </w:p>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w:t>
            </w:r>
          </w:p>
        </w:tc>
        <w:tc>
          <w:tcPr>
            <w:tcW w:w="1456" w:type="dxa"/>
            <w:tcBorders>
              <w:top w:val="single" w:sz="4" w:space="0" w:color="auto"/>
              <w:bottom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HHs Surveyed (in million)</w:t>
            </w:r>
          </w:p>
        </w:tc>
        <w:tc>
          <w:tcPr>
            <w:tcW w:w="1366" w:type="dxa"/>
            <w:tcBorders>
              <w:top w:val="single" w:sz="4" w:space="0" w:color="auto"/>
              <w:bottom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Eligible HHs</w:t>
            </w:r>
          </w:p>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(in million)</w:t>
            </w:r>
          </w:p>
        </w:tc>
        <w:tc>
          <w:tcPr>
            <w:tcW w:w="1134" w:type="dxa"/>
            <w:tcBorders>
              <w:top w:val="single" w:sz="4" w:space="0" w:color="auto"/>
              <w:bottom w:val="single" w:sz="4" w:space="0" w:color="auto"/>
            </w:tcBorders>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Eligible HHs (%) </w:t>
            </w:r>
          </w:p>
        </w:tc>
      </w:tr>
      <w:tr w:rsidR="00EE5514" w:rsidRPr="002357F0" w:rsidTr="009553BA">
        <w:tc>
          <w:tcPr>
            <w:tcW w:w="1242" w:type="dxa"/>
            <w:tcBorders>
              <w:top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Punjab</w:t>
            </w:r>
          </w:p>
        </w:tc>
        <w:tc>
          <w:tcPr>
            <w:tcW w:w="956" w:type="dxa"/>
            <w:tcBorders>
              <w:top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39</w:t>
            </w:r>
          </w:p>
        </w:tc>
        <w:tc>
          <w:tcPr>
            <w:tcW w:w="1148" w:type="dxa"/>
            <w:tcBorders>
              <w:top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94.36</w:t>
            </w:r>
          </w:p>
        </w:tc>
        <w:tc>
          <w:tcPr>
            <w:tcW w:w="1155" w:type="dxa"/>
            <w:tcBorders>
              <w:top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81.18</w:t>
            </w:r>
          </w:p>
        </w:tc>
        <w:tc>
          <w:tcPr>
            <w:tcW w:w="1041" w:type="dxa"/>
            <w:tcBorders>
              <w:top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86.26</w:t>
            </w:r>
          </w:p>
        </w:tc>
        <w:tc>
          <w:tcPr>
            <w:tcW w:w="1456" w:type="dxa"/>
            <w:tcBorders>
              <w:top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14.88</w:t>
            </w:r>
          </w:p>
        </w:tc>
        <w:tc>
          <w:tcPr>
            <w:tcW w:w="1366" w:type="dxa"/>
            <w:tcBorders>
              <w:top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2.79  </w:t>
            </w:r>
          </w:p>
        </w:tc>
        <w:tc>
          <w:tcPr>
            <w:tcW w:w="1134" w:type="dxa"/>
            <w:tcBorders>
              <w:top w:val="single" w:sz="4" w:space="0" w:color="auto"/>
            </w:tcBorders>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18.7</w:t>
            </w:r>
          </w:p>
        </w:tc>
      </w:tr>
      <w:tr w:rsidR="00EE5514" w:rsidRPr="002357F0" w:rsidTr="009553BA">
        <w:tc>
          <w:tcPr>
            <w:tcW w:w="1242"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Sindh</w:t>
            </w:r>
          </w:p>
        </w:tc>
        <w:tc>
          <w:tcPr>
            <w:tcW w:w="956"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27</w:t>
            </w:r>
          </w:p>
        </w:tc>
        <w:tc>
          <w:tcPr>
            <w:tcW w:w="1148"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38.92</w:t>
            </w:r>
          </w:p>
        </w:tc>
        <w:tc>
          <w:tcPr>
            <w:tcW w:w="1155"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34.29</w:t>
            </w:r>
          </w:p>
        </w:tc>
        <w:tc>
          <w:tcPr>
            <w:tcW w:w="1041"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88.11</w:t>
            </w:r>
          </w:p>
        </w:tc>
        <w:tc>
          <w:tcPr>
            <w:tcW w:w="145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6.60</w:t>
            </w:r>
          </w:p>
        </w:tc>
        <w:tc>
          <w:tcPr>
            <w:tcW w:w="136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2.68  </w:t>
            </w:r>
          </w:p>
        </w:tc>
        <w:tc>
          <w:tcPr>
            <w:tcW w:w="1134" w:type="dxa"/>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40.1</w:t>
            </w:r>
          </w:p>
        </w:tc>
      </w:tr>
      <w:tr w:rsidR="00EE5514" w:rsidRPr="002357F0" w:rsidTr="009553BA">
        <w:tc>
          <w:tcPr>
            <w:tcW w:w="1242"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KPK</w:t>
            </w:r>
          </w:p>
        </w:tc>
        <w:tc>
          <w:tcPr>
            <w:tcW w:w="956"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24</w:t>
            </w:r>
          </w:p>
        </w:tc>
        <w:tc>
          <w:tcPr>
            <w:tcW w:w="1148"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26.93</w:t>
            </w:r>
          </w:p>
        </w:tc>
        <w:tc>
          <w:tcPr>
            <w:tcW w:w="1155"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21.30</w:t>
            </w:r>
          </w:p>
        </w:tc>
        <w:tc>
          <w:tcPr>
            <w:tcW w:w="1041"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79.09</w:t>
            </w:r>
          </w:p>
        </w:tc>
        <w:tc>
          <w:tcPr>
            <w:tcW w:w="145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3.64</w:t>
            </w:r>
          </w:p>
        </w:tc>
        <w:tc>
          <w:tcPr>
            <w:tcW w:w="136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1.40  </w:t>
            </w:r>
          </w:p>
        </w:tc>
        <w:tc>
          <w:tcPr>
            <w:tcW w:w="1134" w:type="dxa"/>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38.5</w:t>
            </w:r>
          </w:p>
        </w:tc>
      </w:tr>
      <w:tr w:rsidR="00EE5514" w:rsidRPr="002357F0" w:rsidTr="009553BA">
        <w:tc>
          <w:tcPr>
            <w:tcW w:w="1242"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proofErr w:type="spellStart"/>
            <w:r w:rsidRPr="00AC74F5">
              <w:rPr>
                <w:rFonts w:ascii="Times New Roman" w:hAnsi="Times New Roman" w:cs="Times New Roman"/>
              </w:rPr>
              <w:t>Balochistan</w:t>
            </w:r>
            <w:proofErr w:type="spellEnd"/>
          </w:p>
        </w:tc>
        <w:tc>
          <w:tcPr>
            <w:tcW w:w="956"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30</w:t>
            </w:r>
          </w:p>
        </w:tc>
        <w:tc>
          <w:tcPr>
            <w:tcW w:w="1148"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7.62</w:t>
            </w:r>
          </w:p>
        </w:tc>
        <w:tc>
          <w:tcPr>
            <w:tcW w:w="1155"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6.05</w:t>
            </w:r>
          </w:p>
        </w:tc>
        <w:tc>
          <w:tcPr>
            <w:tcW w:w="1041"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79.40</w:t>
            </w:r>
          </w:p>
        </w:tc>
        <w:tc>
          <w:tcPr>
            <w:tcW w:w="145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1.10</w:t>
            </w:r>
          </w:p>
        </w:tc>
        <w:tc>
          <w:tcPr>
            <w:tcW w:w="136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0.45  </w:t>
            </w:r>
          </w:p>
        </w:tc>
        <w:tc>
          <w:tcPr>
            <w:tcW w:w="1134" w:type="dxa"/>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40.1</w:t>
            </w:r>
          </w:p>
        </w:tc>
      </w:tr>
      <w:tr w:rsidR="00EE5514" w:rsidRPr="002357F0" w:rsidTr="009553BA">
        <w:tc>
          <w:tcPr>
            <w:tcW w:w="1242"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AJK</w:t>
            </w:r>
          </w:p>
        </w:tc>
        <w:tc>
          <w:tcPr>
            <w:tcW w:w="956"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10</w:t>
            </w:r>
          </w:p>
        </w:tc>
        <w:tc>
          <w:tcPr>
            <w:tcW w:w="1148"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3.87</w:t>
            </w:r>
          </w:p>
        </w:tc>
        <w:tc>
          <w:tcPr>
            <w:tcW w:w="1155"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3.54</w:t>
            </w:r>
          </w:p>
        </w:tc>
        <w:tc>
          <w:tcPr>
            <w:tcW w:w="1041"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88.53</w:t>
            </w:r>
          </w:p>
        </w:tc>
        <w:tc>
          <w:tcPr>
            <w:tcW w:w="145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0.58</w:t>
            </w:r>
          </w:p>
        </w:tc>
        <w:tc>
          <w:tcPr>
            <w:tcW w:w="136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0.12  </w:t>
            </w:r>
          </w:p>
        </w:tc>
        <w:tc>
          <w:tcPr>
            <w:tcW w:w="1134" w:type="dxa"/>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20.6</w:t>
            </w:r>
          </w:p>
        </w:tc>
      </w:tr>
      <w:tr w:rsidR="00EE5514" w:rsidRPr="002357F0" w:rsidTr="009553BA">
        <w:tc>
          <w:tcPr>
            <w:tcW w:w="1242"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GB</w:t>
            </w:r>
          </w:p>
        </w:tc>
        <w:tc>
          <w:tcPr>
            <w:tcW w:w="956"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7</w:t>
            </w:r>
          </w:p>
        </w:tc>
        <w:tc>
          <w:tcPr>
            <w:tcW w:w="1148"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1.27</w:t>
            </w:r>
          </w:p>
        </w:tc>
        <w:tc>
          <w:tcPr>
            <w:tcW w:w="1155"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1.13</w:t>
            </w:r>
          </w:p>
        </w:tc>
        <w:tc>
          <w:tcPr>
            <w:tcW w:w="1041" w:type="dxa"/>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89.44</w:t>
            </w:r>
          </w:p>
        </w:tc>
        <w:tc>
          <w:tcPr>
            <w:tcW w:w="145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0.15</w:t>
            </w:r>
          </w:p>
        </w:tc>
        <w:tc>
          <w:tcPr>
            <w:tcW w:w="1366" w:type="dxa"/>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0.05  </w:t>
            </w:r>
          </w:p>
        </w:tc>
        <w:tc>
          <w:tcPr>
            <w:tcW w:w="1134" w:type="dxa"/>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33.0</w:t>
            </w:r>
          </w:p>
        </w:tc>
      </w:tr>
      <w:tr w:rsidR="00EE5514" w:rsidRPr="002357F0" w:rsidTr="009553BA">
        <w:tc>
          <w:tcPr>
            <w:tcW w:w="1242" w:type="dxa"/>
            <w:tcBorders>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FATA</w:t>
            </w:r>
          </w:p>
        </w:tc>
        <w:tc>
          <w:tcPr>
            <w:tcW w:w="956" w:type="dxa"/>
            <w:tcBorders>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7</w:t>
            </w:r>
          </w:p>
        </w:tc>
        <w:tc>
          <w:tcPr>
            <w:tcW w:w="1148" w:type="dxa"/>
            <w:tcBorders>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3.69</w:t>
            </w:r>
          </w:p>
        </w:tc>
        <w:tc>
          <w:tcPr>
            <w:tcW w:w="1155" w:type="dxa"/>
            <w:tcBorders>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3.06</w:t>
            </w:r>
          </w:p>
        </w:tc>
        <w:tc>
          <w:tcPr>
            <w:tcW w:w="1041" w:type="dxa"/>
            <w:tcBorders>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82.95</w:t>
            </w:r>
          </w:p>
        </w:tc>
        <w:tc>
          <w:tcPr>
            <w:tcW w:w="1456" w:type="dxa"/>
            <w:tcBorders>
              <w:bottom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0.40</w:t>
            </w:r>
          </w:p>
        </w:tc>
        <w:tc>
          <w:tcPr>
            <w:tcW w:w="1366" w:type="dxa"/>
            <w:tcBorders>
              <w:bottom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 xml:space="preserve">0.21  </w:t>
            </w:r>
          </w:p>
        </w:tc>
        <w:tc>
          <w:tcPr>
            <w:tcW w:w="1134" w:type="dxa"/>
            <w:tcBorders>
              <w:bottom w:val="single" w:sz="4" w:space="0" w:color="auto"/>
            </w:tcBorders>
            <w:shd w:val="clear" w:color="auto" w:fill="FFFFFF"/>
          </w:tcPr>
          <w:p w:rsidR="00EE5514" w:rsidRPr="00AC74F5" w:rsidRDefault="00EE5514" w:rsidP="009553BA">
            <w:pPr>
              <w:pStyle w:val="NoSpacing"/>
              <w:rPr>
                <w:rFonts w:ascii="Times New Roman" w:hAnsi="Times New Roman" w:cs="Times New Roman"/>
              </w:rPr>
            </w:pPr>
            <w:r w:rsidRPr="00AC74F5">
              <w:rPr>
                <w:rFonts w:ascii="Times New Roman" w:hAnsi="Times New Roman" w:cs="Times New Roman"/>
              </w:rPr>
              <w:t>52.5</w:t>
            </w:r>
          </w:p>
        </w:tc>
      </w:tr>
      <w:tr w:rsidR="00EE5514" w:rsidRPr="00D27F45" w:rsidTr="009553BA">
        <w:tc>
          <w:tcPr>
            <w:tcW w:w="1242"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 Total</w:t>
            </w:r>
          </w:p>
        </w:tc>
        <w:tc>
          <w:tcPr>
            <w:tcW w:w="956"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144</w:t>
            </w:r>
          </w:p>
        </w:tc>
        <w:tc>
          <w:tcPr>
            <w:tcW w:w="1148"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177.94</w:t>
            </w:r>
          </w:p>
        </w:tc>
        <w:tc>
          <w:tcPr>
            <w:tcW w:w="1155"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150.55</w:t>
            </w:r>
          </w:p>
        </w:tc>
        <w:tc>
          <w:tcPr>
            <w:tcW w:w="1041"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84.61</w:t>
            </w:r>
          </w:p>
        </w:tc>
        <w:tc>
          <w:tcPr>
            <w:tcW w:w="1456" w:type="dxa"/>
            <w:tcBorders>
              <w:top w:val="single" w:sz="4" w:space="0" w:color="auto"/>
              <w:bottom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27.35</w:t>
            </w:r>
          </w:p>
        </w:tc>
        <w:tc>
          <w:tcPr>
            <w:tcW w:w="1366" w:type="dxa"/>
            <w:tcBorders>
              <w:top w:val="single" w:sz="4" w:space="0" w:color="auto"/>
              <w:bottom w:val="single" w:sz="4" w:space="0" w:color="auto"/>
            </w:tcBorders>
            <w:shd w:val="clear" w:color="auto" w:fill="FFFFFF"/>
            <w:vAlign w:val="center"/>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 xml:space="preserve">7.70  </w:t>
            </w:r>
          </w:p>
        </w:tc>
        <w:tc>
          <w:tcPr>
            <w:tcW w:w="1134" w:type="dxa"/>
            <w:tcBorders>
              <w:top w:val="single" w:sz="4" w:space="0" w:color="auto"/>
              <w:bottom w:val="single" w:sz="4" w:space="0" w:color="auto"/>
            </w:tcBorders>
            <w:shd w:val="clear" w:color="auto" w:fill="FFFFFF"/>
          </w:tcPr>
          <w:p w:rsidR="00EE5514" w:rsidRPr="00AC74F5" w:rsidRDefault="00EE5514" w:rsidP="009553BA">
            <w:pPr>
              <w:pStyle w:val="NoSpacing"/>
              <w:rPr>
                <w:rFonts w:ascii="Times New Roman" w:hAnsi="Times New Roman" w:cs="Times New Roman"/>
                <w:b/>
                <w:bCs/>
              </w:rPr>
            </w:pPr>
            <w:r w:rsidRPr="00AC74F5">
              <w:rPr>
                <w:rFonts w:ascii="Times New Roman" w:hAnsi="Times New Roman" w:cs="Times New Roman"/>
                <w:b/>
                <w:bCs/>
              </w:rPr>
              <w:t>28.15</w:t>
            </w:r>
          </w:p>
        </w:tc>
      </w:tr>
    </w:tbl>
    <w:p w:rsidR="00EE5514" w:rsidRPr="00970D32" w:rsidRDefault="00EE5514" w:rsidP="00EE5514">
      <w:pPr>
        <w:spacing w:after="0" w:line="240" w:lineRule="auto"/>
        <w:rPr>
          <w:sz w:val="22"/>
          <w:szCs w:val="22"/>
        </w:rPr>
      </w:pPr>
      <w:r w:rsidRPr="00AC04ED">
        <w:rPr>
          <w:i/>
          <w:iCs/>
          <w:sz w:val="22"/>
          <w:szCs w:val="22"/>
        </w:rPr>
        <w:t>Source</w:t>
      </w:r>
      <w:r w:rsidRPr="00970D32">
        <w:rPr>
          <w:sz w:val="22"/>
          <w:szCs w:val="22"/>
        </w:rPr>
        <w:t>: Benazir Income Support Programme (n.d.)</w:t>
      </w:r>
    </w:p>
    <w:p w:rsidR="00EE5514" w:rsidRDefault="00EE5514" w:rsidP="00EE5514">
      <w:pPr>
        <w:spacing w:after="0"/>
      </w:pPr>
    </w:p>
    <w:p w:rsidR="006B4FF6" w:rsidRDefault="006B4FF6" w:rsidP="00EE5514">
      <w:pPr>
        <w:spacing w:after="0"/>
        <w:ind w:right="136"/>
        <w:jc w:val="both"/>
      </w:pPr>
    </w:p>
    <w:p w:rsidR="00EE5514" w:rsidRPr="0012512A" w:rsidRDefault="00EE5514" w:rsidP="00CC3CE0">
      <w:pPr>
        <w:spacing w:after="0" w:line="288" w:lineRule="auto"/>
        <w:ind w:right="136" w:firstLine="720"/>
        <w:jc w:val="both"/>
      </w:pPr>
      <w:r w:rsidRPr="00C138F2">
        <w:t xml:space="preserve">Since </w:t>
      </w:r>
      <w:r>
        <w:t xml:space="preserve">the </w:t>
      </w:r>
      <w:r w:rsidRPr="00C138F2">
        <w:t xml:space="preserve">inception, BISP's annual disbursement under </w:t>
      </w:r>
      <w:r>
        <w:t xml:space="preserve">the unconditional cash transfer </w:t>
      </w:r>
      <w:r w:rsidRPr="00C138F2">
        <w:t>programme increased from 1</w:t>
      </w:r>
      <w:r>
        <w:t>5</w:t>
      </w:r>
      <w:r w:rsidRPr="00C138F2">
        <w:t xml:space="preserve"> billion in 2008 to Rs. 1</w:t>
      </w:r>
      <w:r>
        <w:t>16</w:t>
      </w:r>
      <w:r w:rsidRPr="00C138F2">
        <w:t xml:space="preserve"> billion in 2018</w:t>
      </w:r>
      <w:r>
        <w:t xml:space="preserve"> (</w:t>
      </w:r>
      <w:r w:rsidR="00AC04ED">
        <w:t xml:space="preserve">see </w:t>
      </w:r>
      <w:r>
        <w:t>Table 2).</w:t>
      </w:r>
      <w:r w:rsidRPr="00845108">
        <w:t xml:space="preserve"> </w:t>
      </w:r>
      <w:r w:rsidRPr="0012512A">
        <w:t xml:space="preserve"> </w:t>
      </w:r>
      <w:r>
        <w:t>Up until 2012 the beneficiary households received Rs 1,000 (around US $10) per month which increased to Rs. 1,200 in 2013, Rs 1,500 in 2014, Rs 1,567 in 2015 and finally to Rs 1,611 in 2016. The amount paid to the beneficiary is around 20% of the monthly income of a daily-wage worker and around 10% of minimum wage set by the government of an unskilled labour</w:t>
      </w:r>
      <w:r w:rsidR="00F177CF">
        <w:t>er</w:t>
      </w:r>
      <w:r w:rsidR="00AC04ED">
        <w:t xml:space="preserve"> (Saleem, 2019)</w:t>
      </w:r>
      <w:r>
        <w:t>. In the span of 10 years</w:t>
      </w:r>
      <w:r w:rsidR="00AC04ED">
        <w:t>,</w:t>
      </w:r>
      <w:r>
        <w:t xml:space="preserve"> the BISP’s releases as a percentage of GDP increased from 0.1% to 0.35%.</w:t>
      </w:r>
    </w:p>
    <w:p w:rsidR="00EE5514" w:rsidRDefault="00EE5514" w:rsidP="00EE5514">
      <w:pPr>
        <w:spacing w:after="0" w:line="240" w:lineRule="auto"/>
      </w:pPr>
    </w:p>
    <w:p w:rsidR="00EE5514" w:rsidRPr="00823467" w:rsidRDefault="00EE5514" w:rsidP="00EE5514">
      <w:pPr>
        <w:spacing w:after="0"/>
      </w:pPr>
    </w:p>
    <w:p w:rsidR="00EE5514" w:rsidRDefault="00EE5514" w:rsidP="00EE5514">
      <w:pPr>
        <w:pStyle w:val="NormalWeb"/>
        <w:spacing w:before="0" w:beforeAutospacing="0" w:after="0" w:afterAutospacing="0"/>
        <w:rPr>
          <w:b/>
          <w:bCs/>
        </w:rPr>
      </w:pPr>
    </w:p>
    <w:p w:rsidR="00EE5514" w:rsidRDefault="00EE5514" w:rsidP="00EE5514">
      <w:pPr>
        <w:pStyle w:val="NormalWeb"/>
        <w:spacing w:before="0" w:beforeAutospacing="0" w:after="0" w:afterAutospacing="0"/>
        <w:jc w:val="center"/>
        <w:rPr>
          <w:b/>
          <w:bCs/>
        </w:rPr>
      </w:pPr>
      <w:r w:rsidRPr="00AC74F5">
        <w:rPr>
          <w:b/>
          <w:bCs/>
        </w:rPr>
        <w:lastRenderedPageBreak/>
        <w:t>Table 2: Yearly BISP Releases and Number of Beneficiaries</w:t>
      </w:r>
    </w:p>
    <w:p w:rsidR="00D96FE5" w:rsidRPr="00AC74F5" w:rsidRDefault="00D96FE5" w:rsidP="00EE5514">
      <w:pPr>
        <w:pStyle w:val="NormalWeb"/>
        <w:spacing w:before="0" w:beforeAutospacing="0" w:after="0" w:afterAutospacing="0"/>
        <w:jc w:val="center"/>
        <w:rPr>
          <w:b/>
          <w:bCs/>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30"/>
        <w:gridCol w:w="993"/>
        <w:gridCol w:w="1033"/>
        <w:gridCol w:w="1234"/>
        <w:gridCol w:w="1452"/>
        <w:gridCol w:w="1554"/>
        <w:gridCol w:w="1630"/>
      </w:tblGrid>
      <w:tr w:rsidR="00EE5514" w:rsidRPr="002357F0" w:rsidTr="009553BA">
        <w:tc>
          <w:tcPr>
            <w:tcW w:w="1130"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Fiscal Years</w:t>
            </w:r>
          </w:p>
        </w:tc>
        <w:tc>
          <w:tcPr>
            <w:tcW w:w="993"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Total Yearly Releases Rs. Billion</w:t>
            </w:r>
          </w:p>
        </w:tc>
        <w:tc>
          <w:tcPr>
            <w:tcW w:w="1033"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Releases as % of Federal Revenues</w:t>
            </w:r>
          </w:p>
        </w:tc>
        <w:tc>
          <w:tcPr>
            <w:tcW w:w="1234"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Releases as % of GDP (MP)</w:t>
            </w:r>
          </w:p>
        </w:tc>
        <w:tc>
          <w:tcPr>
            <w:tcW w:w="1452"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Yearly Beneficiaries (Nos. in Millions)</w:t>
            </w:r>
          </w:p>
        </w:tc>
        <w:tc>
          <w:tcPr>
            <w:tcW w:w="1554"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Project Phases**</w:t>
            </w:r>
          </w:p>
        </w:tc>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Cash Amount Per Month Per Beneficiary (in Pak Rupees)</w:t>
            </w:r>
          </w:p>
        </w:tc>
      </w:tr>
      <w:tr w:rsidR="00EE5514" w:rsidRPr="002357F0" w:rsidTr="009553BA">
        <w:tc>
          <w:tcPr>
            <w:tcW w:w="1130" w:type="dxa"/>
            <w:tcBorders>
              <w:top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2008-09</w:t>
            </w:r>
          </w:p>
        </w:tc>
        <w:tc>
          <w:tcPr>
            <w:tcW w:w="993" w:type="dxa"/>
            <w:tcBorders>
              <w:top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15.32</w:t>
            </w:r>
          </w:p>
        </w:tc>
        <w:tc>
          <w:tcPr>
            <w:tcW w:w="1033" w:type="dxa"/>
            <w:tcBorders>
              <w:top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1.3%</w:t>
            </w:r>
          </w:p>
        </w:tc>
        <w:tc>
          <w:tcPr>
            <w:tcW w:w="1234" w:type="dxa"/>
            <w:tcBorders>
              <w:top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0.10%</w:t>
            </w:r>
          </w:p>
        </w:tc>
        <w:tc>
          <w:tcPr>
            <w:tcW w:w="1452" w:type="dxa"/>
            <w:tcBorders>
              <w:top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1.76</w:t>
            </w:r>
          </w:p>
        </w:tc>
        <w:tc>
          <w:tcPr>
            <w:tcW w:w="1554" w:type="dxa"/>
            <w:tcBorders>
              <w:top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w:t>
            </w:r>
          </w:p>
        </w:tc>
        <w:tc>
          <w:tcPr>
            <w:tcW w:w="0" w:type="auto"/>
            <w:tcBorders>
              <w:top w:val="single" w:sz="4" w:space="0" w:color="auto"/>
            </w:tcBorders>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1,000</w:t>
            </w:r>
          </w:p>
        </w:tc>
      </w:tr>
      <w:tr w:rsidR="00EE5514" w:rsidRPr="002357F0" w:rsidTr="009553BA">
        <w:tc>
          <w:tcPr>
            <w:tcW w:w="1130"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2009-10</w:t>
            </w:r>
          </w:p>
        </w:tc>
        <w:tc>
          <w:tcPr>
            <w:tcW w:w="99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39.94</w:t>
            </w:r>
          </w:p>
        </w:tc>
        <w:tc>
          <w:tcPr>
            <w:tcW w:w="103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3.0%</w:t>
            </w:r>
          </w:p>
        </w:tc>
        <w:tc>
          <w:tcPr>
            <w:tcW w:w="123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0.19%</w:t>
            </w:r>
          </w:p>
        </w:tc>
        <w:tc>
          <w:tcPr>
            <w:tcW w:w="1452"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2.58</w:t>
            </w:r>
          </w:p>
        </w:tc>
        <w:tc>
          <w:tcPr>
            <w:tcW w:w="155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w:t>
            </w:r>
          </w:p>
        </w:tc>
        <w:tc>
          <w:tcPr>
            <w:tcW w:w="0" w:type="auto"/>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1,000</w:t>
            </w:r>
          </w:p>
        </w:tc>
      </w:tr>
      <w:tr w:rsidR="00EE5514" w:rsidRPr="002357F0" w:rsidTr="009553BA">
        <w:tc>
          <w:tcPr>
            <w:tcW w:w="1130"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2010-11</w:t>
            </w:r>
          </w:p>
        </w:tc>
        <w:tc>
          <w:tcPr>
            <w:tcW w:w="99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34.42</w:t>
            </w:r>
          </w:p>
        </w:tc>
        <w:tc>
          <w:tcPr>
            <w:tcW w:w="103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2.2%</w:t>
            </w:r>
          </w:p>
        </w:tc>
        <w:tc>
          <w:tcPr>
            <w:tcW w:w="123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0.19%</w:t>
            </w:r>
          </w:p>
        </w:tc>
        <w:tc>
          <w:tcPr>
            <w:tcW w:w="1452"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3.10</w:t>
            </w:r>
          </w:p>
        </w:tc>
        <w:tc>
          <w:tcPr>
            <w:tcW w:w="155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w:t>
            </w:r>
          </w:p>
        </w:tc>
        <w:tc>
          <w:tcPr>
            <w:tcW w:w="0" w:type="auto"/>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1,000</w:t>
            </w:r>
          </w:p>
        </w:tc>
      </w:tr>
      <w:tr w:rsidR="00EE5514" w:rsidRPr="002357F0" w:rsidTr="009553BA">
        <w:tc>
          <w:tcPr>
            <w:tcW w:w="1130"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2011-12</w:t>
            </w:r>
          </w:p>
        </w:tc>
        <w:tc>
          <w:tcPr>
            <w:tcW w:w="99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49.53</w:t>
            </w:r>
          </w:p>
        </w:tc>
        <w:tc>
          <w:tcPr>
            <w:tcW w:w="103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2.6%</w:t>
            </w:r>
          </w:p>
        </w:tc>
        <w:tc>
          <w:tcPr>
            <w:tcW w:w="123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0.25%</w:t>
            </w:r>
          </w:p>
        </w:tc>
        <w:tc>
          <w:tcPr>
            <w:tcW w:w="1452"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3.68</w:t>
            </w:r>
          </w:p>
        </w:tc>
        <w:tc>
          <w:tcPr>
            <w:tcW w:w="155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 &amp; II</w:t>
            </w:r>
          </w:p>
        </w:tc>
        <w:tc>
          <w:tcPr>
            <w:tcW w:w="0" w:type="auto"/>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1,000</w:t>
            </w:r>
          </w:p>
        </w:tc>
      </w:tr>
      <w:tr w:rsidR="00EE5514" w:rsidRPr="002357F0" w:rsidTr="009553BA">
        <w:tc>
          <w:tcPr>
            <w:tcW w:w="1130"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2012-13</w:t>
            </w:r>
          </w:p>
        </w:tc>
        <w:tc>
          <w:tcPr>
            <w:tcW w:w="99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50.10</w:t>
            </w:r>
          </w:p>
        </w:tc>
        <w:tc>
          <w:tcPr>
            <w:tcW w:w="103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2.6%</w:t>
            </w:r>
          </w:p>
        </w:tc>
        <w:tc>
          <w:tcPr>
            <w:tcW w:w="123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0.22%</w:t>
            </w:r>
          </w:p>
        </w:tc>
        <w:tc>
          <w:tcPr>
            <w:tcW w:w="1452"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sidRPr="002357F0">
              <w:rPr>
                <w:rFonts w:ascii="Times New Roman" w:hAnsi="Times New Roman" w:cs="Times New Roman"/>
                <w:sz w:val="24"/>
                <w:szCs w:val="24"/>
              </w:rPr>
              <w:t>3.</w:t>
            </w:r>
            <w:r>
              <w:rPr>
                <w:rFonts w:ascii="Times New Roman" w:hAnsi="Times New Roman" w:cs="Times New Roman"/>
                <w:sz w:val="24"/>
                <w:szCs w:val="24"/>
              </w:rPr>
              <w:t>75</w:t>
            </w:r>
          </w:p>
        </w:tc>
        <w:tc>
          <w:tcPr>
            <w:tcW w:w="155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II</w:t>
            </w:r>
          </w:p>
        </w:tc>
        <w:tc>
          <w:tcPr>
            <w:tcW w:w="0" w:type="auto"/>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1,000</w:t>
            </w:r>
          </w:p>
        </w:tc>
      </w:tr>
      <w:tr w:rsidR="00EE5514" w:rsidRPr="002357F0" w:rsidTr="009553BA">
        <w:tc>
          <w:tcPr>
            <w:tcW w:w="1130"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2013-14</w:t>
            </w:r>
          </w:p>
        </w:tc>
        <w:tc>
          <w:tcPr>
            <w:tcW w:w="99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69.62</w:t>
            </w:r>
          </w:p>
        </w:tc>
        <w:tc>
          <w:tcPr>
            <w:tcW w:w="103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3.1%</w:t>
            </w:r>
          </w:p>
        </w:tc>
        <w:tc>
          <w:tcPr>
            <w:tcW w:w="123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0.28%</w:t>
            </w:r>
          </w:p>
        </w:tc>
        <w:tc>
          <w:tcPr>
            <w:tcW w:w="1452"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4.64</w:t>
            </w:r>
          </w:p>
        </w:tc>
        <w:tc>
          <w:tcPr>
            <w:tcW w:w="155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II</w:t>
            </w:r>
          </w:p>
        </w:tc>
        <w:tc>
          <w:tcPr>
            <w:tcW w:w="0" w:type="auto"/>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1,200</w:t>
            </w:r>
          </w:p>
        </w:tc>
      </w:tr>
      <w:tr w:rsidR="00EE5514" w:rsidRPr="002357F0" w:rsidTr="009553BA">
        <w:tc>
          <w:tcPr>
            <w:tcW w:w="1130"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2014-15</w:t>
            </w:r>
          </w:p>
        </w:tc>
        <w:tc>
          <w:tcPr>
            <w:tcW w:w="99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91.78</w:t>
            </w:r>
          </w:p>
        </w:tc>
        <w:tc>
          <w:tcPr>
            <w:tcW w:w="103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3.5%</w:t>
            </w:r>
          </w:p>
        </w:tc>
        <w:tc>
          <w:tcPr>
            <w:tcW w:w="123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0.33%</w:t>
            </w:r>
          </w:p>
        </w:tc>
        <w:tc>
          <w:tcPr>
            <w:tcW w:w="1452"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5.05</w:t>
            </w:r>
          </w:p>
        </w:tc>
        <w:tc>
          <w:tcPr>
            <w:tcW w:w="155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II</w:t>
            </w:r>
          </w:p>
        </w:tc>
        <w:tc>
          <w:tcPr>
            <w:tcW w:w="0" w:type="auto"/>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1,500</w:t>
            </w:r>
          </w:p>
        </w:tc>
      </w:tr>
      <w:tr w:rsidR="00EE5514" w:rsidRPr="002357F0" w:rsidTr="009553BA">
        <w:tc>
          <w:tcPr>
            <w:tcW w:w="1130"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2015-16</w:t>
            </w:r>
          </w:p>
        </w:tc>
        <w:tc>
          <w:tcPr>
            <w:tcW w:w="99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102.00</w:t>
            </w:r>
          </w:p>
        </w:tc>
        <w:tc>
          <w:tcPr>
            <w:tcW w:w="1033"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3.3%</w:t>
            </w:r>
          </w:p>
        </w:tc>
        <w:tc>
          <w:tcPr>
            <w:tcW w:w="123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0.35%</w:t>
            </w:r>
          </w:p>
        </w:tc>
        <w:tc>
          <w:tcPr>
            <w:tcW w:w="1452"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5.21</w:t>
            </w:r>
          </w:p>
        </w:tc>
        <w:tc>
          <w:tcPr>
            <w:tcW w:w="1554" w:type="dxa"/>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II</w:t>
            </w:r>
          </w:p>
        </w:tc>
        <w:tc>
          <w:tcPr>
            <w:tcW w:w="0" w:type="auto"/>
            <w:shd w:val="clear" w:color="auto" w:fill="FFFFFF"/>
            <w:tcMar>
              <w:top w:w="0" w:type="dxa"/>
              <w:left w:w="0" w:type="dxa"/>
              <w:bottom w:w="0" w:type="dxa"/>
              <w:right w:w="0" w:type="dxa"/>
            </w:tcMar>
            <w:vAlign w:val="center"/>
            <w:hideMark/>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1,567</w:t>
            </w:r>
          </w:p>
        </w:tc>
      </w:tr>
      <w:tr w:rsidR="00EE5514" w:rsidRPr="002357F0" w:rsidTr="009553BA">
        <w:tc>
          <w:tcPr>
            <w:tcW w:w="1130" w:type="dxa"/>
            <w:shd w:val="clear" w:color="auto" w:fill="FFFFFF"/>
            <w:tcMar>
              <w:top w:w="0" w:type="dxa"/>
              <w:left w:w="0" w:type="dxa"/>
              <w:bottom w:w="0" w:type="dxa"/>
              <w:right w:w="0" w:type="dxa"/>
            </w:tcMar>
            <w:vAlign w:val="center"/>
          </w:tcPr>
          <w:p w:rsidR="00EE5514"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2016-17</w:t>
            </w:r>
          </w:p>
        </w:tc>
        <w:tc>
          <w:tcPr>
            <w:tcW w:w="993"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111.50</w:t>
            </w:r>
          </w:p>
        </w:tc>
        <w:tc>
          <w:tcPr>
            <w:tcW w:w="1033"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3.3%</w:t>
            </w:r>
          </w:p>
        </w:tc>
        <w:tc>
          <w:tcPr>
            <w:tcW w:w="1234"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0.35%</w:t>
            </w:r>
          </w:p>
        </w:tc>
        <w:tc>
          <w:tcPr>
            <w:tcW w:w="1452"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5.46</w:t>
            </w:r>
          </w:p>
        </w:tc>
        <w:tc>
          <w:tcPr>
            <w:tcW w:w="1554"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II</w:t>
            </w:r>
          </w:p>
        </w:tc>
        <w:tc>
          <w:tcPr>
            <w:tcW w:w="0" w:type="auto"/>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1,611</w:t>
            </w:r>
          </w:p>
        </w:tc>
      </w:tr>
      <w:tr w:rsidR="00EE5514" w:rsidRPr="002357F0" w:rsidTr="009553BA">
        <w:tc>
          <w:tcPr>
            <w:tcW w:w="1130" w:type="dxa"/>
            <w:shd w:val="clear" w:color="auto" w:fill="FFFFFF"/>
            <w:tcMar>
              <w:top w:w="0" w:type="dxa"/>
              <w:left w:w="0" w:type="dxa"/>
              <w:bottom w:w="0" w:type="dxa"/>
              <w:right w:w="0" w:type="dxa"/>
            </w:tcMar>
            <w:vAlign w:val="center"/>
          </w:tcPr>
          <w:p w:rsidR="00EE5514"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2017-18</w:t>
            </w:r>
          </w:p>
        </w:tc>
        <w:tc>
          <w:tcPr>
            <w:tcW w:w="993"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107.00</w:t>
            </w:r>
          </w:p>
        </w:tc>
        <w:tc>
          <w:tcPr>
            <w:tcW w:w="1033"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3.0%</w:t>
            </w:r>
          </w:p>
        </w:tc>
        <w:tc>
          <w:tcPr>
            <w:tcW w:w="1234"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0.35%</w:t>
            </w:r>
          </w:p>
        </w:tc>
        <w:tc>
          <w:tcPr>
            <w:tcW w:w="1452"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5.63</w:t>
            </w:r>
          </w:p>
        </w:tc>
        <w:tc>
          <w:tcPr>
            <w:tcW w:w="1554" w:type="dxa"/>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II</w:t>
            </w:r>
          </w:p>
        </w:tc>
        <w:tc>
          <w:tcPr>
            <w:tcW w:w="0" w:type="auto"/>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1,611</w:t>
            </w:r>
          </w:p>
        </w:tc>
      </w:tr>
      <w:tr w:rsidR="00EE5514" w:rsidRPr="002357F0" w:rsidTr="009553BA">
        <w:tc>
          <w:tcPr>
            <w:tcW w:w="1130" w:type="dxa"/>
            <w:tcBorders>
              <w:bottom w:val="single" w:sz="4" w:space="0" w:color="auto"/>
            </w:tcBorders>
            <w:shd w:val="clear" w:color="auto" w:fill="FFFFFF"/>
            <w:tcMar>
              <w:top w:w="0" w:type="dxa"/>
              <w:left w:w="0" w:type="dxa"/>
              <w:bottom w:w="0" w:type="dxa"/>
              <w:right w:w="0" w:type="dxa"/>
            </w:tcMar>
            <w:vAlign w:val="center"/>
          </w:tcPr>
          <w:p w:rsidR="00EE5514"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2018-19</w:t>
            </w:r>
          </w:p>
        </w:tc>
        <w:tc>
          <w:tcPr>
            <w:tcW w:w="993" w:type="dxa"/>
            <w:tcBorders>
              <w:bottom w:val="single" w:sz="4" w:space="0" w:color="auto"/>
            </w:tcBorders>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116.50</w:t>
            </w:r>
          </w:p>
        </w:tc>
        <w:tc>
          <w:tcPr>
            <w:tcW w:w="1033" w:type="dxa"/>
            <w:tcBorders>
              <w:bottom w:val="single" w:sz="4" w:space="0" w:color="auto"/>
            </w:tcBorders>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3.0%</w:t>
            </w:r>
          </w:p>
        </w:tc>
        <w:tc>
          <w:tcPr>
            <w:tcW w:w="1234" w:type="dxa"/>
            <w:tcBorders>
              <w:bottom w:val="single" w:sz="4" w:space="0" w:color="auto"/>
            </w:tcBorders>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0.35%</w:t>
            </w:r>
          </w:p>
        </w:tc>
        <w:tc>
          <w:tcPr>
            <w:tcW w:w="1452" w:type="dxa"/>
            <w:tcBorders>
              <w:bottom w:val="single" w:sz="4" w:space="0" w:color="auto"/>
            </w:tcBorders>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5.78</w:t>
            </w:r>
          </w:p>
        </w:tc>
        <w:tc>
          <w:tcPr>
            <w:tcW w:w="1554" w:type="dxa"/>
            <w:tcBorders>
              <w:bottom w:val="single" w:sz="4" w:space="0" w:color="auto"/>
            </w:tcBorders>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Phase II</w:t>
            </w:r>
          </w:p>
        </w:tc>
        <w:tc>
          <w:tcPr>
            <w:tcW w:w="0" w:type="auto"/>
            <w:tcBorders>
              <w:bottom w:val="single" w:sz="4" w:space="0" w:color="auto"/>
            </w:tcBorders>
            <w:shd w:val="clear" w:color="auto" w:fill="FFFFFF"/>
            <w:tcMar>
              <w:top w:w="0" w:type="dxa"/>
              <w:left w:w="0" w:type="dxa"/>
              <w:bottom w:w="0" w:type="dxa"/>
              <w:right w:w="0" w:type="dxa"/>
            </w:tcMar>
            <w:vAlign w:val="center"/>
          </w:tcPr>
          <w:p w:rsidR="00EE5514" w:rsidRPr="002357F0" w:rsidRDefault="00EE5514" w:rsidP="009553BA">
            <w:pPr>
              <w:pStyle w:val="NoSpacing"/>
              <w:jc w:val="center"/>
              <w:rPr>
                <w:rFonts w:ascii="Times New Roman" w:hAnsi="Times New Roman" w:cs="Times New Roman"/>
                <w:sz w:val="24"/>
                <w:szCs w:val="24"/>
              </w:rPr>
            </w:pPr>
            <w:r>
              <w:rPr>
                <w:rFonts w:ascii="Times New Roman" w:hAnsi="Times New Roman" w:cs="Times New Roman"/>
                <w:sz w:val="24"/>
                <w:szCs w:val="24"/>
              </w:rPr>
              <w:t>1,611</w:t>
            </w:r>
          </w:p>
        </w:tc>
      </w:tr>
    </w:tbl>
    <w:p w:rsidR="00EE5514" w:rsidRPr="00AC04ED" w:rsidRDefault="00EE5514" w:rsidP="00EE5514">
      <w:pPr>
        <w:shd w:val="clear" w:color="auto" w:fill="FFFFFF"/>
        <w:spacing w:after="0" w:line="240" w:lineRule="auto"/>
        <w:rPr>
          <w:sz w:val="22"/>
          <w:szCs w:val="22"/>
        </w:rPr>
      </w:pPr>
      <w:r w:rsidRPr="00AC04ED">
        <w:rPr>
          <w:i/>
          <w:iCs/>
          <w:sz w:val="22"/>
          <w:szCs w:val="22"/>
        </w:rPr>
        <w:t>Source:</w:t>
      </w:r>
      <w:r w:rsidRPr="00AC04ED">
        <w:rPr>
          <w:sz w:val="22"/>
          <w:szCs w:val="22"/>
        </w:rPr>
        <w:t xml:space="preserve"> Economic Survey of Pakistan 2017-18</w:t>
      </w:r>
    </w:p>
    <w:p w:rsidR="00EE5514" w:rsidRPr="00AC04ED" w:rsidRDefault="00EE5514" w:rsidP="00EE5514">
      <w:pPr>
        <w:shd w:val="clear" w:color="auto" w:fill="FFFFFF"/>
        <w:spacing w:after="0" w:line="240" w:lineRule="auto"/>
        <w:rPr>
          <w:sz w:val="22"/>
          <w:szCs w:val="22"/>
        </w:rPr>
      </w:pPr>
    </w:p>
    <w:p w:rsidR="00EE5514" w:rsidRPr="00AC04ED" w:rsidRDefault="00EE5514" w:rsidP="00EE5514">
      <w:pPr>
        <w:shd w:val="clear" w:color="auto" w:fill="FFFFFF"/>
        <w:spacing w:after="0" w:line="240" w:lineRule="auto"/>
        <w:rPr>
          <w:sz w:val="22"/>
          <w:szCs w:val="22"/>
        </w:rPr>
      </w:pPr>
      <w:r w:rsidRPr="00AC04ED">
        <w:rPr>
          <w:i/>
          <w:iCs/>
          <w:sz w:val="22"/>
          <w:szCs w:val="22"/>
        </w:rPr>
        <w:t>Note:</w:t>
      </w:r>
      <w:r w:rsidRPr="00AC04ED">
        <w:rPr>
          <w:sz w:val="22"/>
          <w:szCs w:val="22"/>
        </w:rPr>
        <w:t xml:space="preserve"> ** Phase I of the project was the Community-based targeting, through parliamentarians while Phase II was targeting through Poverty Score Card</w:t>
      </w:r>
    </w:p>
    <w:p w:rsidR="00EE5514" w:rsidRPr="00BC3059" w:rsidRDefault="00EE5514" w:rsidP="00EE5514">
      <w:pPr>
        <w:shd w:val="clear" w:color="auto" w:fill="FFFFFF"/>
        <w:spacing w:after="0" w:line="240" w:lineRule="auto"/>
        <w:rPr>
          <w:sz w:val="22"/>
          <w:szCs w:val="22"/>
        </w:rPr>
      </w:pPr>
    </w:p>
    <w:p w:rsidR="00CC3CE0" w:rsidRDefault="00CC3CE0" w:rsidP="00CC3CE0">
      <w:pPr>
        <w:spacing w:after="0" w:line="288" w:lineRule="auto"/>
        <w:ind w:firstLine="720"/>
        <w:jc w:val="both"/>
      </w:pPr>
    </w:p>
    <w:p w:rsidR="00EE5514" w:rsidRDefault="00EE5514" w:rsidP="00CC3CE0">
      <w:pPr>
        <w:spacing w:after="0" w:line="288" w:lineRule="auto"/>
        <w:ind w:firstLine="720"/>
        <w:jc w:val="both"/>
        <w:rPr>
          <w:color w:val="000000" w:themeColor="text1"/>
        </w:rPr>
      </w:pPr>
      <w:r>
        <w:t xml:space="preserve">For any social safety net program to be successful, the issue of targeting is of utmost importance. Targeting must be cost-effective and be useable by policy makers in a way that can be used to generate lists of potential beneficiaries. Moreover, procedures must be put in place to ensure that </w:t>
      </w:r>
      <w:r w:rsidR="000D1706">
        <w:t>the selection of beneficiary is objective</w:t>
      </w:r>
      <w:r>
        <w:t>, transparent and consistent across geographical areas (</w:t>
      </w:r>
      <w:proofErr w:type="spellStart"/>
      <w:r>
        <w:t>Grosh</w:t>
      </w:r>
      <w:proofErr w:type="spellEnd"/>
      <w:r>
        <w:t xml:space="preserve"> et al., 2008). As mentioned earlier, BISP adopted two different targeting methods to reach out to the poorest of the poor in Pakistan. In the initial phase, which lasted from 2008 to 2011, the beneficiaries of the program were selected through parliamentarians and their political leaders at the local level, which is akin to </w:t>
      </w:r>
      <w:r w:rsidR="005245E3">
        <w:t>C</w:t>
      </w:r>
      <w:r>
        <w:t>ommunity-</w:t>
      </w:r>
      <w:r w:rsidR="005245E3">
        <w:t>B</w:t>
      </w:r>
      <w:r>
        <w:t xml:space="preserve">ased </w:t>
      </w:r>
      <w:r w:rsidR="005245E3">
        <w:t>T</w:t>
      </w:r>
      <w:r>
        <w:t xml:space="preserve">argeting (CBT) with an extra layer of being political.  In the second phase of the program, the BSIP has been targeted using a </w:t>
      </w:r>
      <w:r w:rsidR="005245E3">
        <w:t>P</w:t>
      </w:r>
      <w:r>
        <w:t xml:space="preserve">roxy </w:t>
      </w:r>
      <w:r w:rsidR="005245E3">
        <w:t>M</w:t>
      </w:r>
      <w:r>
        <w:t xml:space="preserve">eans </w:t>
      </w:r>
      <w:r w:rsidR="005245E3">
        <w:t>T</w:t>
      </w:r>
      <w:r>
        <w:t xml:space="preserve">est (PMT) since 2011. While the move to the PMT targeting is perceived to be better than CBT as it limits the biases and rent-seeking behaviour of local elites and other community members, the PMT targeting has both inclusion and exclusion errors </w:t>
      </w:r>
      <w:r w:rsidRPr="00B10B6F">
        <w:rPr>
          <w:color w:val="000000" w:themeColor="text1"/>
        </w:rPr>
        <w:t xml:space="preserve">(Kidd and </w:t>
      </w:r>
      <w:proofErr w:type="spellStart"/>
      <w:r w:rsidRPr="00B10B6F">
        <w:rPr>
          <w:color w:val="000000" w:themeColor="text1"/>
        </w:rPr>
        <w:t>Wylde</w:t>
      </w:r>
      <w:proofErr w:type="spellEnd"/>
      <w:r w:rsidRPr="00B10B6F">
        <w:rPr>
          <w:color w:val="000000" w:themeColor="text1"/>
        </w:rPr>
        <w:t xml:space="preserve"> 2011).</w:t>
      </w:r>
    </w:p>
    <w:p w:rsidR="00EE5514" w:rsidRDefault="00EE5514" w:rsidP="0012512A">
      <w:pPr>
        <w:spacing w:after="0" w:line="288" w:lineRule="auto"/>
        <w:jc w:val="both"/>
        <w:rPr>
          <w:color w:val="000000" w:themeColor="text1"/>
        </w:rPr>
      </w:pPr>
    </w:p>
    <w:p w:rsidR="00EE5514" w:rsidRPr="00AC74F5" w:rsidRDefault="004E01F9" w:rsidP="00CC3CE0">
      <w:pPr>
        <w:spacing w:after="0" w:line="288" w:lineRule="auto"/>
        <w:ind w:firstLine="720"/>
        <w:jc w:val="both"/>
      </w:pPr>
      <w:r>
        <w:rPr>
          <w:color w:val="000000" w:themeColor="text1"/>
        </w:rPr>
        <w:t xml:space="preserve">While designing the PMT, </w:t>
      </w:r>
      <w:r w:rsidR="00EE5514" w:rsidRPr="00B10B6F">
        <w:rPr>
          <w:color w:val="000000" w:themeColor="text1"/>
        </w:rPr>
        <w:t xml:space="preserve">the World Bank </w:t>
      </w:r>
      <w:r w:rsidR="00EE5514">
        <w:rPr>
          <w:color w:val="000000" w:themeColor="text1"/>
        </w:rPr>
        <w:t xml:space="preserve">(2009) carried out simulation exercises and </w:t>
      </w:r>
      <w:r>
        <w:rPr>
          <w:color w:val="000000" w:themeColor="text1"/>
        </w:rPr>
        <w:t xml:space="preserve">showed </w:t>
      </w:r>
      <w:r w:rsidR="00EE5514">
        <w:rPr>
          <w:color w:val="000000" w:themeColor="text1"/>
        </w:rPr>
        <w:t>that</w:t>
      </w:r>
      <w:r w:rsidR="00EE5514" w:rsidRPr="002D285F">
        <w:rPr>
          <w:color w:val="000000" w:themeColor="text1"/>
        </w:rPr>
        <w:t xml:space="preserve"> that </w:t>
      </w:r>
      <w:r w:rsidR="00EE5514" w:rsidRPr="00B10B6F">
        <w:rPr>
          <w:color w:val="000000" w:themeColor="text1"/>
        </w:rPr>
        <w:t>if the poorest 20% of the population is set as the target group</w:t>
      </w:r>
      <w:r>
        <w:rPr>
          <w:color w:val="000000" w:themeColor="text1"/>
        </w:rPr>
        <w:t xml:space="preserve"> for the BISP,</w:t>
      </w:r>
      <w:r w:rsidR="00EE5514" w:rsidRPr="00B10B6F">
        <w:rPr>
          <w:color w:val="000000" w:themeColor="text1"/>
        </w:rPr>
        <w:t xml:space="preserve"> then the leakage rate is expected to be 40% whereas under-coverage rate is expected to be 61%</w:t>
      </w:r>
      <w:r w:rsidR="005353DE">
        <w:rPr>
          <w:color w:val="000000" w:themeColor="text1"/>
        </w:rPr>
        <w:t>.</w:t>
      </w:r>
      <w:r w:rsidR="00EE5514" w:rsidRPr="00B10B6F">
        <w:rPr>
          <w:color w:val="000000" w:themeColor="text1"/>
        </w:rPr>
        <w:t xml:space="preserve"> This implies that 61% of the poor (the poorest 20% of the population) will be excluded from the benefits while 40% of the beneficiaries </w:t>
      </w:r>
      <w:r>
        <w:rPr>
          <w:color w:val="000000" w:themeColor="text1"/>
        </w:rPr>
        <w:t xml:space="preserve">are </w:t>
      </w:r>
      <w:r w:rsidR="00EE5514" w:rsidRPr="00B10B6F">
        <w:rPr>
          <w:color w:val="000000" w:themeColor="text1"/>
        </w:rPr>
        <w:t>non-poor</w:t>
      </w:r>
      <w:r w:rsidR="00EE5514">
        <w:rPr>
          <w:color w:val="000000" w:themeColor="text1"/>
        </w:rPr>
        <w:t xml:space="preserve">. There are few case studies </w:t>
      </w:r>
      <w:r w:rsidR="00EE5514" w:rsidRPr="002D285F">
        <w:rPr>
          <w:color w:val="000000" w:themeColor="text1"/>
        </w:rPr>
        <w:t xml:space="preserve">like </w:t>
      </w:r>
      <w:proofErr w:type="spellStart"/>
      <w:r w:rsidR="00EE5514" w:rsidRPr="002D285F">
        <w:rPr>
          <w:color w:val="000000" w:themeColor="text1"/>
        </w:rPr>
        <w:t>Gazdar</w:t>
      </w:r>
      <w:proofErr w:type="spellEnd"/>
      <w:r w:rsidR="00EE5514" w:rsidRPr="002D285F">
        <w:rPr>
          <w:color w:val="000000" w:themeColor="text1"/>
        </w:rPr>
        <w:t xml:space="preserve"> and </w:t>
      </w:r>
      <w:proofErr w:type="spellStart"/>
      <w:r w:rsidR="00EE5514" w:rsidRPr="002D285F">
        <w:rPr>
          <w:color w:val="000000" w:themeColor="text1"/>
        </w:rPr>
        <w:t>Zuberi</w:t>
      </w:r>
      <w:proofErr w:type="spellEnd"/>
      <w:r w:rsidR="00EE5514" w:rsidRPr="002D285F">
        <w:rPr>
          <w:color w:val="000000" w:themeColor="text1"/>
        </w:rPr>
        <w:t xml:space="preserve"> (2014) </w:t>
      </w:r>
      <w:r w:rsidR="00EE5514" w:rsidRPr="0012393A">
        <w:rPr>
          <w:color w:val="000000" w:themeColor="text1"/>
        </w:rPr>
        <w:t xml:space="preserve">and Saleem (2019) </w:t>
      </w:r>
      <w:r w:rsidR="00EE5514">
        <w:rPr>
          <w:color w:val="000000" w:themeColor="text1"/>
        </w:rPr>
        <w:t xml:space="preserve">which highlighted the exclusion of households which should have been in the eligible household list. This exclusion error along with transition of </w:t>
      </w:r>
      <w:r>
        <w:rPr>
          <w:color w:val="000000" w:themeColor="text1"/>
        </w:rPr>
        <w:lastRenderedPageBreak/>
        <w:t xml:space="preserve">the </w:t>
      </w:r>
      <w:r w:rsidR="00EE5514">
        <w:rPr>
          <w:color w:val="000000" w:themeColor="text1"/>
        </w:rPr>
        <w:t>targeting methodology in</w:t>
      </w:r>
      <w:r>
        <w:rPr>
          <w:color w:val="000000" w:themeColor="text1"/>
        </w:rPr>
        <w:t xml:space="preserve"> the</w:t>
      </w:r>
      <w:r w:rsidR="00EE5514">
        <w:rPr>
          <w:color w:val="000000" w:themeColor="text1"/>
        </w:rPr>
        <w:t xml:space="preserve"> last 10 years made it important to </w:t>
      </w:r>
      <w:r w:rsidR="00C117F7">
        <w:rPr>
          <w:color w:val="000000" w:themeColor="text1"/>
        </w:rPr>
        <w:t>examine</w:t>
      </w:r>
      <w:r w:rsidR="00EE5514">
        <w:rPr>
          <w:color w:val="000000" w:themeColor="text1"/>
        </w:rPr>
        <w:t xml:space="preserve"> how effective</w:t>
      </w:r>
      <w:r w:rsidR="00C117F7">
        <w:rPr>
          <w:color w:val="000000" w:themeColor="text1"/>
        </w:rPr>
        <w:t xml:space="preserve"> </w:t>
      </w:r>
      <w:r w:rsidR="00EE5514">
        <w:rPr>
          <w:color w:val="000000" w:themeColor="text1"/>
        </w:rPr>
        <w:t xml:space="preserve">BISP </w:t>
      </w:r>
      <w:r w:rsidR="001341B4">
        <w:rPr>
          <w:color w:val="000000" w:themeColor="text1"/>
        </w:rPr>
        <w:t xml:space="preserve">was </w:t>
      </w:r>
      <w:r w:rsidR="00EE5514">
        <w:rPr>
          <w:color w:val="000000" w:themeColor="text1"/>
        </w:rPr>
        <w:t xml:space="preserve">in reducing poverty over time </w:t>
      </w:r>
      <w:r w:rsidR="001341B4">
        <w:rPr>
          <w:color w:val="000000" w:themeColor="text1"/>
        </w:rPr>
        <w:t>under</w:t>
      </w:r>
      <w:r w:rsidR="00EE5514">
        <w:rPr>
          <w:color w:val="000000" w:themeColor="text1"/>
        </w:rPr>
        <w:t xml:space="preserve"> </w:t>
      </w:r>
      <w:r w:rsidR="001341B4">
        <w:rPr>
          <w:color w:val="000000" w:themeColor="text1"/>
        </w:rPr>
        <w:t xml:space="preserve">its </w:t>
      </w:r>
      <w:r w:rsidR="00EE5514">
        <w:rPr>
          <w:color w:val="000000" w:themeColor="text1"/>
        </w:rPr>
        <w:t xml:space="preserve">two </w:t>
      </w:r>
      <w:r w:rsidR="001341B4">
        <w:rPr>
          <w:color w:val="000000" w:themeColor="text1"/>
        </w:rPr>
        <w:t xml:space="preserve">different </w:t>
      </w:r>
      <w:r w:rsidR="00EE5514">
        <w:rPr>
          <w:color w:val="000000" w:themeColor="text1"/>
        </w:rPr>
        <w:t xml:space="preserve">targeting phases. </w:t>
      </w:r>
    </w:p>
    <w:p w:rsidR="00EE5514" w:rsidRDefault="00EE5514" w:rsidP="0012512A">
      <w:pPr>
        <w:spacing w:after="0" w:line="288" w:lineRule="auto"/>
        <w:jc w:val="both"/>
        <w:rPr>
          <w:color w:val="000000" w:themeColor="text1"/>
        </w:rPr>
      </w:pPr>
    </w:p>
    <w:p w:rsidR="00EE5514" w:rsidRDefault="00EE5514" w:rsidP="00CC3CE0">
      <w:pPr>
        <w:spacing w:after="0" w:line="288" w:lineRule="auto"/>
        <w:ind w:firstLine="720"/>
        <w:jc w:val="both"/>
        <w:rPr>
          <w:color w:val="000000" w:themeColor="text1"/>
        </w:rPr>
      </w:pPr>
      <w:r>
        <w:rPr>
          <w:color w:val="000000" w:themeColor="text1"/>
        </w:rPr>
        <w:t xml:space="preserve">To examine targeting efficiency, we report </w:t>
      </w:r>
      <w:r w:rsidR="005F4DDD">
        <w:rPr>
          <w:color w:val="000000" w:themeColor="text1"/>
        </w:rPr>
        <w:t xml:space="preserve">the </w:t>
      </w:r>
      <w:r>
        <w:rPr>
          <w:color w:val="000000" w:themeColor="text1"/>
        </w:rPr>
        <w:t xml:space="preserve">percentage of households </w:t>
      </w:r>
      <w:r w:rsidR="005F4DDD">
        <w:rPr>
          <w:color w:val="000000" w:themeColor="text1"/>
        </w:rPr>
        <w:t>who are eligible for the BISP, according to the</w:t>
      </w:r>
      <w:r>
        <w:rPr>
          <w:color w:val="000000" w:themeColor="text1"/>
        </w:rPr>
        <w:t xml:space="preserve"> 2010 PSC Survey</w:t>
      </w:r>
      <w:r w:rsidR="005F4DDD">
        <w:rPr>
          <w:color w:val="000000" w:themeColor="text1"/>
        </w:rPr>
        <w:t>. This benchmark is then</w:t>
      </w:r>
      <w:r>
        <w:rPr>
          <w:color w:val="000000" w:themeColor="text1"/>
        </w:rPr>
        <w:t xml:space="preserve"> compared </w:t>
      </w:r>
      <w:r w:rsidR="005F4DDD">
        <w:rPr>
          <w:color w:val="000000" w:themeColor="text1"/>
        </w:rPr>
        <w:t xml:space="preserve">to the </w:t>
      </w:r>
      <w:r>
        <w:rPr>
          <w:color w:val="000000" w:themeColor="text1"/>
        </w:rPr>
        <w:t xml:space="preserve">percentage of poor households </w:t>
      </w:r>
      <w:r w:rsidR="005F4DDD">
        <w:rPr>
          <w:color w:val="000000" w:themeColor="text1"/>
        </w:rPr>
        <w:t xml:space="preserve">according to either </w:t>
      </w:r>
      <w:r>
        <w:rPr>
          <w:color w:val="000000" w:themeColor="text1"/>
        </w:rPr>
        <w:t xml:space="preserve">the conventional monetary poverty measure </w:t>
      </w:r>
      <w:r w:rsidR="005F4DDD">
        <w:rPr>
          <w:color w:val="000000" w:themeColor="text1"/>
        </w:rPr>
        <w:t xml:space="preserve">or the </w:t>
      </w:r>
      <w:r>
        <w:rPr>
          <w:color w:val="000000" w:themeColor="text1"/>
        </w:rPr>
        <w:t xml:space="preserve">multidimensional poverty measures (see Table 3). According to the </w:t>
      </w:r>
      <w:r w:rsidR="005F4DDD">
        <w:rPr>
          <w:color w:val="000000" w:themeColor="text1"/>
        </w:rPr>
        <w:t xml:space="preserve">PSC </w:t>
      </w:r>
      <w:proofErr w:type="gramStart"/>
      <w:r w:rsidR="005F4DDD">
        <w:rPr>
          <w:color w:val="000000" w:themeColor="text1"/>
        </w:rPr>
        <w:t>Survey</w:t>
      </w:r>
      <w:r w:rsidR="00BB1739">
        <w:rPr>
          <w:color w:val="000000" w:themeColor="text1"/>
        </w:rPr>
        <w:t xml:space="preserve">, </w:t>
      </w:r>
      <w:r w:rsidR="005F4DDD">
        <w:rPr>
          <w:color w:val="000000" w:themeColor="text1"/>
        </w:rPr>
        <w:t xml:space="preserve"> 28</w:t>
      </w:r>
      <w:proofErr w:type="gramEnd"/>
      <w:r w:rsidR="005F4DDD">
        <w:rPr>
          <w:color w:val="000000" w:themeColor="text1"/>
        </w:rPr>
        <w:t xml:space="preserve">% of households nationally are beneficiaries of BISP, yet the </w:t>
      </w:r>
      <w:r>
        <w:rPr>
          <w:color w:val="000000" w:themeColor="text1"/>
        </w:rPr>
        <w:t>MPI poverty measures</w:t>
      </w:r>
      <w:r w:rsidR="005F4DDD">
        <w:rPr>
          <w:color w:val="000000" w:themeColor="text1"/>
        </w:rPr>
        <w:t xml:space="preserve"> suggest that</w:t>
      </w:r>
      <w:r>
        <w:rPr>
          <w:color w:val="000000" w:themeColor="text1"/>
        </w:rPr>
        <w:t xml:space="preserve"> 46 percent of households are poor</w:t>
      </w:r>
      <w:r w:rsidR="005F4DDD">
        <w:rPr>
          <w:color w:val="000000" w:themeColor="text1"/>
        </w:rPr>
        <w:t xml:space="preserve">. Thus, according to this comparison, there is an </w:t>
      </w:r>
      <w:r>
        <w:rPr>
          <w:color w:val="000000" w:themeColor="text1"/>
        </w:rPr>
        <w:t xml:space="preserve">under-coverage in targeting </w:t>
      </w:r>
      <w:r w:rsidR="005F4DDD">
        <w:rPr>
          <w:color w:val="000000" w:themeColor="text1"/>
        </w:rPr>
        <w:t>of</w:t>
      </w:r>
      <w:r>
        <w:rPr>
          <w:color w:val="000000" w:themeColor="text1"/>
        </w:rPr>
        <w:t xml:space="preserve"> about 64%. The gap is even bigger if we use </w:t>
      </w:r>
      <w:r w:rsidR="005F4DDD">
        <w:rPr>
          <w:color w:val="000000" w:themeColor="text1"/>
        </w:rPr>
        <w:t xml:space="preserve">the </w:t>
      </w:r>
      <w:proofErr w:type="spellStart"/>
      <w:r>
        <w:rPr>
          <w:color w:val="000000" w:themeColor="text1"/>
        </w:rPr>
        <w:t>distributionally</w:t>
      </w:r>
      <w:proofErr w:type="spellEnd"/>
      <w:r>
        <w:rPr>
          <w:color w:val="000000" w:themeColor="text1"/>
        </w:rPr>
        <w:t xml:space="preserve"> sensitive multidimensional poverty measure MDPI developed by </w:t>
      </w:r>
      <w:proofErr w:type="spellStart"/>
      <w:r>
        <w:rPr>
          <w:color w:val="000000" w:themeColor="text1"/>
        </w:rPr>
        <w:t>Datt</w:t>
      </w:r>
      <w:proofErr w:type="spellEnd"/>
      <w:r>
        <w:rPr>
          <w:color w:val="000000" w:themeColor="text1"/>
        </w:rPr>
        <w:t xml:space="preserve"> (2019)</w:t>
      </w:r>
      <w:r w:rsidR="005F4DDD">
        <w:rPr>
          <w:color w:val="000000" w:themeColor="text1"/>
        </w:rPr>
        <w:t>, where 89% of households are considered poor</w:t>
      </w:r>
      <w:r>
        <w:rPr>
          <w:color w:val="000000" w:themeColor="text1"/>
        </w:rPr>
        <w:t xml:space="preserve">. </w:t>
      </w:r>
      <w:r w:rsidR="00AC0A86">
        <w:rPr>
          <w:color w:val="000000" w:themeColor="text1"/>
        </w:rPr>
        <w:t xml:space="preserve">In contrast, when the comparison is made between the PSC eligible households and those who are considered poor under the </w:t>
      </w:r>
      <w:r>
        <w:rPr>
          <w:color w:val="000000" w:themeColor="text1"/>
        </w:rPr>
        <w:t xml:space="preserve">conventional head count </w:t>
      </w:r>
      <w:r w:rsidR="00AC0A86">
        <w:rPr>
          <w:color w:val="000000" w:themeColor="text1"/>
        </w:rPr>
        <w:t xml:space="preserve">poverty </w:t>
      </w:r>
      <w:r>
        <w:rPr>
          <w:color w:val="000000" w:themeColor="text1"/>
        </w:rPr>
        <w:t>index</w:t>
      </w:r>
      <w:r w:rsidR="00AC0A86">
        <w:rPr>
          <w:color w:val="000000" w:themeColor="text1"/>
        </w:rPr>
        <w:t>, there seems to be over-coverage with the BISP as it has a higher share of households who are eligible than are counted as poor with the head count index</w:t>
      </w:r>
      <w:r>
        <w:rPr>
          <w:color w:val="000000" w:themeColor="text1"/>
        </w:rPr>
        <w:t xml:space="preserve">.  This evidence indicates there is </w:t>
      </w:r>
      <w:r w:rsidR="00C825A3">
        <w:rPr>
          <w:color w:val="000000" w:themeColor="text1"/>
        </w:rPr>
        <w:t>a</w:t>
      </w:r>
      <w:r>
        <w:rPr>
          <w:color w:val="000000" w:themeColor="text1"/>
        </w:rPr>
        <w:t xml:space="preserve"> need to investigate how effective BISP is in the presence of th</w:t>
      </w:r>
      <w:r w:rsidR="009465AE">
        <w:rPr>
          <w:color w:val="000000" w:themeColor="text1"/>
        </w:rPr>
        <w:t>ese</w:t>
      </w:r>
      <w:r>
        <w:rPr>
          <w:color w:val="000000" w:themeColor="text1"/>
        </w:rPr>
        <w:t xml:space="preserve"> discrepancies in the eligibility </w:t>
      </w:r>
      <w:r w:rsidR="00D27980">
        <w:rPr>
          <w:color w:val="000000" w:themeColor="text1"/>
        </w:rPr>
        <w:t xml:space="preserve">of </w:t>
      </w:r>
      <w:r>
        <w:rPr>
          <w:color w:val="000000" w:themeColor="text1"/>
        </w:rPr>
        <w:t>poor households.</w:t>
      </w:r>
    </w:p>
    <w:p w:rsidR="00EE5514" w:rsidRDefault="00EE5514" w:rsidP="0012512A">
      <w:pPr>
        <w:spacing w:after="0" w:line="288" w:lineRule="auto"/>
        <w:rPr>
          <w:color w:val="000000" w:themeColor="text1"/>
        </w:rPr>
      </w:pPr>
    </w:p>
    <w:p w:rsidR="00EE5514" w:rsidRPr="00AC74F5" w:rsidRDefault="00EE5514" w:rsidP="00EE5514">
      <w:pPr>
        <w:spacing w:line="240" w:lineRule="auto"/>
        <w:jc w:val="center"/>
        <w:rPr>
          <w:b/>
          <w:bCs/>
          <w:color w:val="000000" w:themeColor="text1"/>
        </w:rPr>
      </w:pPr>
      <w:r w:rsidRPr="00AC74F5">
        <w:rPr>
          <w:b/>
          <w:bCs/>
          <w:color w:val="000000" w:themeColor="text1"/>
        </w:rPr>
        <w:t xml:space="preserve">Table 3: Percentage of </w:t>
      </w:r>
      <w:r>
        <w:rPr>
          <w:b/>
          <w:bCs/>
          <w:color w:val="000000" w:themeColor="text1"/>
        </w:rPr>
        <w:t>eligible households</w:t>
      </w:r>
      <w:r w:rsidRPr="00AC74F5">
        <w:rPr>
          <w:b/>
          <w:bCs/>
          <w:color w:val="000000" w:themeColor="text1"/>
        </w:rPr>
        <w:t xml:space="preserve"> under </w:t>
      </w:r>
      <w:r>
        <w:rPr>
          <w:b/>
          <w:bCs/>
          <w:color w:val="000000" w:themeColor="text1"/>
        </w:rPr>
        <w:t xml:space="preserve">the 2010 </w:t>
      </w:r>
      <w:r w:rsidRPr="00AC74F5">
        <w:rPr>
          <w:b/>
          <w:bCs/>
          <w:color w:val="000000" w:themeColor="text1"/>
        </w:rPr>
        <w:t>PSC and poor households using conventional, MPI and MDPI for 2010</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2061"/>
        <w:gridCol w:w="1560"/>
        <w:gridCol w:w="1842"/>
      </w:tblGrid>
      <w:tr w:rsidR="00EE5514" w:rsidTr="009553BA">
        <w:tc>
          <w:tcPr>
            <w:tcW w:w="1802" w:type="dxa"/>
            <w:tcBorders>
              <w:top w:val="single" w:sz="4" w:space="0" w:color="auto"/>
              <w:bottom w:val="single" w:sz="4" w:space="0" w:color="auto"/>
            </w:tcBorders>
          </w:tcPr>
          <w:p w:rsidR="00EE5514" w:rsidRDefault="00EE5514" w:rsidP="009553BA">
            <w:pPr>
              <w:rPr>
                <w:color w:val="000000" w:themeColor="text1"/>
              </w:rPr>
            </w:pPr>
            <w:r>
              <w:rPr>
                <w:color w:val="000000" w:themeColor="text1"/>
              </w:rPr>
              <w:t>Provinces</w:t>
            </w:r>
          </w:p>
        </w:tc>
        <w:tc>
          <w:tcPr>
            <w:tcW w:w="1802" w:type="dxa"/>
            <w:tcBorders>
              <w:top w:val="single" w:sz="4" w:space="0" w:color="auto"/>
              <w:bottom w:val="single" w:sz="4" w:space="0" w:color="auto"/>
            </w:tcBorders>
          </w:tcPr>
          <w:p w:rsidR="00EE5514" w:rsidRDefault="00EE5514" w:rsidP="009553BA">
            <w:pPr>
              <w:rPr>
                <w:color w:val="000000" w:themeColor="text1"/>
              </w:rPr>
            </w:pPr>
            <w:r>
              <w:rPr>
                <w:color w:val="000000" w:themeColor="text1"/>
              </w:rPr>
              <w:t>PSC Eligible Household</w:t>
            </w:r>
          </w:p>
        </w:tc>
        <w:tc>
          <w:tcPr>
            <w:tcW w:w="2061" w:type="dxa"/>
            <w:tcBorders>
              <w:top w:val="single" w:sz="4" w:space="0" w:color="auto"/>
              <w:bottom w:val="single" w:sz="4" w:space="0" w:color="auto"/>
            </w:tcBorders>
          </w:tcPr>
          <w:p w:rsidR="00EE5514" w:rsidRDefault="00EE5514" w:rsidP="009553BA">
            <w:pPr>
              <w:rPr>
                <w:color w:val="000000" w:themeColor="text1"/>
              </w:rPr>
            </w:pPr>
            <w:r>
              <w:rPr>
                <w:color w:val="000000" w:themeColor="text1"/>
              </w:rPr>
              <w:t>Conventional Poverty Measure Poor Households</w:t>
            </w:r>
            <w:r w:rsidRPr="00823467">
              <w:rPr>
                <w:color w:val="000000" w:themeColor="text1"/>
                <w:sz w:val="20"/>
                <w:szCs w:val="20"/>
              </w:rPr>
              <w:t>*</w:t>
            </w:r>
          </w:p>
        </w:tc>
        <w:tc>
          <w:tcPr>
            <w:tcW w:w="1560" w:type="dxa"/>
            <w:tcBorders>
              <w:top w:val="single" w:sz="4" w:space="0" w:color="auto"/>
              <w:bottom w:val="single" w:sz="4" w:space="0" w:color="auto"/>
            </w:tcBorders>
          </w:tcPr>
          <w:p w:rsidR="00EE5514" w:rsidRDefault="00EE5514" w:rsidP="009553BA">
            <w:pPr>
              <w:rPr>
                <w:color w:val="000000" w:themeColor="text1"/>
              </w:rPr>
            </w:pPr>
            <w:r>
              <w:rPr>
                <w:color w:val="000000" w:themeColor="text1"/>
              </w:rPr>
              <w:t>MPI Poor Households</w:t>
            </w:r>
            <w:r w:rsidRPr="00823467">
              <w:rPr>
                <w:color w:val="000000" w:themeColor="text1"/>
                <w:sz w:val="20"/>
                <w:szCs w:val="20"/>
              </w:rPr>
              <w:t>*</w:t>
            </w:r>
          </w:p>
        </w:tc>
        <w:tc>
          <w:tcPr>
            <w:tcW w:w="1842" w:type="dxa"/>
            <w:tcBorders>
              <w:top w:val="single" w:sz="4" w:space="0" w:color="auto"/>
              <w:bottom w:val="single" w:sz="4" w:space="0" w:color="auto"/>
            </w:tcBorders>
          </w:tcPr>
          <w:p w:rsidR="00EE5514" w:rsidRDefault="00EE5514" w:rsidP="009553BA">
            <w:pPr>
              <w:rPr>
                <w:color w:val="000000" w:themeColor="text1"/>
              </w:rPr>
            </w:pPr>
            <w:r>
              <w:rPr>
                <w:color w:val="000000" w:themeColor="text1"/>
              </w:rPr>
              <w:t>MDPI Poor Households</w:t>
            </w:r>
            <w:r w:rsidRPr="00823467">
              <w:rPr>
                <w:color w:val="000000" w:themeColor="text1"/>
                <w:sz w:val="20"/>
                <w:szCs w:val="20"/>
              </w:rPr>
              <w:t>*</w:t>
            </w:r>
          </w:p>
        </w:tc>
      </w:tr>
      <w:tr w:rsidR="00EE5514" w:rsidTr="009553BA">
        <w:tc>
          <w:tcPr>
            <w:tcW w:w="1802" w:type="dxa"/>
            <w:tcBorders>
              <w:top w:val="single" w:sz="4" w:space="0" w:color="auto"/>
            </w:tcBorders>
          </w:tcPr>
          <w:p w:rsidR="00EE5514" w:rsidRDefault="00EE5514" w:rsidP="009553BA">
            <w:pPr>
              <w:rPr>
                <w:color w:val="000000" w:themeColor="text1"/>
              </w:rPr>
            </w:pPr>
            <w:r>
              <w:rPr>
                <w:color w:val="000000" w:themeColor="text1"/>
              </w:rPr>
              <w:t>Punjab</w:t>
            </w:r>
          </w:p>
        </w:tc>
        <w:tc>
          <w:tcPr>
            <w:tcW w:w="1802" w:type="dxa"/>
            <w:tcBorders>
              <w:top w:val="single" w:sz="4" w:space="0" w:color="auto"/>
            </w:tcBorders>
          </w:tcPr>
          <w:p w:rsidR="00EE5514" w:rsidRDefault="00EE5514" w:rsidP="009553BA">
            <w:pPr>
              <w:rPr>
                <w:color w:val="000000" w:themeColor="text1"/>
              </w:rPr>
            </w:pPr>
            <w:r>
              <w:rPr>
                <w:color w:val="000000" w:themeColor="text1"/>
              </w:rPr>
              <w:t>18.7%</w:t>
            </w:r>
          </w:p>
        </w:tc>
        <w:tc>
          <w:tcPr>
            <w:tcW w:w="2061" w:type="dxa"/>
            <w:tcBorders>
              <w:top w:val="single" w:sz="4" w:space="0" w:color="auto"/>
            </w:tcBorders>
          </w:tcPr>
          <w:p w:rsidR="00EE5514" w:rsidRDefault="00EE5514" w:rsidP="009553BA">
            <w:pPr>
              <w:rPr>
                <w:color w:val="000000" w:themeColor="text1"/>
              </w:rPr>
            </w:pPr>
            <w:r>
              <w:rPr>
                <w:color w:val="000000" w:themeColor="text1"/>
              </w:rPr>
              <w:t>18.9%</w:t>
            </w:r>
          </w:p>
        </w:tc>
        <w:tc>
          <w:tcPr>
            <w:tcW w:w="1560" w:type="dxa"/>
            <w:tcBorders>
              <w:top w:val="single" w:sz="4" w:space="0" w:color="auto"/>
            </w:tcBorders>
          </w:tcPr>
          <w:p w:rsidR="00EE5514" w:rsidRDefault="00EE5514" w:rsidP="009553BA">
            <w:pPr>
              <w:rPr>
                <w:color w:val="000000" w:themeColor="text1"/>
              </w:rPr>
            </w:pPr>
            <w:r>
              <w:rPr>
                <w:color w:val="000000" w:themeColor="text1"/>
              </w:rPr>
              <w:t>40.3%</w:t>
            </w:r>
          </w:p>
        </w:tc>
        <w:tc>
          <w:tcPr>
            <w:tcW w:w="1842" w:type="dxa"/>
            <w:tcBorders>
              <w:top w:val="single" w:sz="4" w:space="0" w:color="auto"/>
            </w:tcBorders>
          </w:tcPr>
          <w:p w:rsidR="00EE5514" w:rsidRDefault="00EE5514" w:rsidP="009553BA">
            <w:pPr>
              <w:rPr>
                <w:color w:val="000000" w:themeColor="text1"/>
              </w:rPr>
            </w:pPr>
            <w:r>
              <w:rPr>
                <w:color w:val="000000" w:themeColor="text1"/>
              </w:rPr>
              <w:t>90.7%</w:t>
            </w:r>
          </w:p>
        </w:tc>
      </w:tr>
      <w:tr w:rsidR="00EE5514" w:rsidTr="009553BA">
        <w:tc>
          <w:tcPr>
            <w:tcW w:w="1802" w:type="dxa"/>
          </w:tcPr>
          <w:p w:rsidR="00EE5514" w:rsidRDefault="00EE5514" w:rsidP="009553BA">
            <w:pPr>
              <w:rPr>
                <w:color w:val="000000" w:themeColor="text1"/>
              </w:rPr>
            </w:pPr>
            <w:r>
              <w:rPr>
                <w:color w:val="000000" w:themeColor="text1"/>
              </w:rPr>
              <w:t>Sindh</w:t>
            </w:r>
          </w:p>
        </w:tc>
        <w:tc>
          <w:tcPr>
            <w:tcW w:w="1802" w:type="dxa"/>
          </w:tcPr>
          <w:p w:rsidR="00EE5514" w:rsidRDefault="00EE5514" w:rsidP="009553BA">
            <w:pPr>
              <w:rPr>
                <w:color w:val="000000" w:themeColor="text1"/>
              </w:rPr>
            </w:pPr>
            <w:r>
              <w:rPr>
                <w:color w:val="000000" w:themeColor="text1"/>
              </w:rPr>
              <w:t>40.1%</w:t>
            </w:r>
          </w:p>
        </w:tc>
        <w:tc>
          <w:tcPr>
            <w:tcW w:w="2061" w:type="dxa"/>
          </w:tcPr>
          <w:p w:rsidR="00EE5514" w:rsidRDefault="00EE5514" w:rsidP="009553BA">
            <w:pPr>
              <w:rPr>
                <w:color w:val="000000" w:themeColor="text1"/>
              </w:rPr>
            </w:pPr>
            <w:r>
              <w:rPr>
                <w:color w:val="000000" w:themeColor="text1"/>
              </w:rPr>
              <w:t>21.9%</w:t>
            </w:r>
          </w:p>
        </w:tc>
        <w:tc>
          <w:tcPr>
            <w:tcW w:w="1560" w:type="dxa"/>
          </w:tcPr>
          <w:p w:rsidR="00EE5514" w:rsidRDefault="00EE5514" w:rsidP="009553BA">
            <w:pPr>
              <w:rPr>
                <w:color w:val="000000" w:themeColor="text1"/>
              </w:rPr>
            </w:pPr>
            <w:r>
              <w:rPr>
                <w:color w:val="000000" w:themeColor="text1"/>
              </w:rPr>
              <w:t>45.7%</w:t>
            </w:r>
          </w:p>
        </w:tc>
        <w:tc>
          <w:tcPr>
            <w:tcW w:w="1842" w:type="dxa"/>
          </w:tcPr>
          <w:p w:rsidR="00EE5514" w:rsidRDefault="00EE5514" w:rsidP="009553BA">
            <w:pPr>
              <w:rPr>
                <w:color w:val="000000" w:themeColor="text1"/>
              </w:rPr>
            </w:pPr>
            <w:r>
              <w:rPr>
                <w:color w:val="000000" w:themeColor="text1"/>
              </w:rPr>
              <w:t>80.3%</w:t>
            </w:r>
          </w:p>
        </w:tc>
      </w:tr>
      <w:tr w:rsidR="00EE5514" w:rsidTr="009553BA">
        <w:tc>
          <w:tcPr>
            <w:tcW w:w="1802" w:type="dxa"/>
          </w:tcPr>
          <w:p w:rsidR="00EE5514" w:rsidRDefault="00EE5514" w:rsidP="009553BA">
            <w:pPr>
              <w:rPr>
                <w:color w:val="000000" w:themeColor="text1"/>
              </w:rPr>
            </w:pPr>
            <w:proofErr w:type="spellStart"/>
            <w:r>
              <w:rPr>
                <w:color w:val="000000" w:themeColor="text1"/>
              </w:rPr>
              <w:t>Balochistan</w:t>
            </w:r>
            <w:proofErr w:type="spellEnd"/>
          </w:p>
        </w:tc>
        <w:tc>
          <w:tcPr>
            <w:tcW w:w="1802" w:type="dxa"/>
          </w:tcPr>
          <w:p w:rsidR="00EE5514" w:rsidRDefault="00EE5514" w:rsidP="009553BA">
            <w:pPr>
              <w:rPr>
                <w:color w:val="000000" w:themeColor="text1"/>
              </w:rPr>
            </w:pPr>
            <w:r>
              <w:rPr>
                <w:color w:val="000000" w:themeColor="text1"/>
              </w:rPr>
              <w:t>40.1%</w:t>
            </w:r>
          </w:p>
        </w:tc>
        <w:tc>
          <w:tcPr>
            <w:tcW w:w="2061" w:type="dxa"/>
          </w:tcPr>
          <w:p w:rsidR="00EE5514" w:rsidRDefault="00EE5514" w:rsidP="009553BA">
            <w:pPr>
              <w:rPr>
                <w:color w:val="000000" w:themeColor="text1"/>
              </w:rPr>
            </w:pPr>
            <w:r>
              <w:rPr>
                <w:color w:val="000000" w:themeColor="text1"/>
              </w:rPr>
              <w:t>11.8%</w:t>
            </w:r>
          </w:p>
        </w:tc>
        <w:tc>
          <w:tcPr>
            <w:tcW w:w="1560" w:type="dxa"/>
          </w:tcPr>
          <w:p w:rsidR="00EE5514" w:rsidRDefault="00EE5514" w:rsidP="009553BA">
            <w:pPr>
              <w:rPr>
                <w:color w:val="000000" w:themeColor="text1"/>
              </w:rPr>
            </w:pPr>
            <w:r>
              <w:rPr>
                <w:color w:val="000000" w:themeColor="text1"/>
              </w:rPr>
              <w:t>78.5%</w:t>
            </w:r>
          </w:p>
        </w:tc>
        <w:tc>
          <w:tcPr>
            <w:tcW w:w="1842" w:type="dxa"/>
          </w:tcPr>
          <w:p w:rsidR="00EE5514" w:rsidRDefault="00EE5514" w:rsidP="009553BA">
            <w:pPr>
              <w:rPr>
                <w:color w:val="000000" w:themeColor="text1"/>
              </w:rPr>
            </w:pPr>
            <w:r>
              <w:rPr>
                <w:color w:val="000000" w:themeColor="text1"/>
              </w:rPr>
              <w:t>98.0%</w:t>
            </w:r>
          </w:p>
        </w:tc>
      </w:tr>
      <w:tr w:rsidR="00EE5514" w:rsidTr="009553BA">
        <w:tc>
          <w:tcPr>
            <w:tcW w:w="1802" w:type="dxa"/>
            <w:tcBorders>
              <w:bottom w:val="single" w:sz="4" w:space="0" w:color="auto"/>
            </w:tcBorders>
          </w:tcPr>
          <w:p w:rsidR="00EE5514" w:rsidRDefault="00EE5514" w:rsidP="009553BA">
            <w:pPr>
              <w:rPr>
                <w:color w:val="000000" w:themeColor="text1"/>
              </w:rPr>
            </w:pPr>
            <w:r>
              <w:rPr>
                <w:color w:val="000000" w:themeColor="text1"/>
              </w:rPr>
              <w:t>KPK</w:t>
            </w:r>
          </w:p>
        </w:tc>
        <w:tc>
          <w:tcPr>
            <w:tcW w:w="1802" w:type="dxa"/>
            <w:tcBorders>
              <w:bottom w:val="single" w:sz="4" w:space="0" w:color="auto"/>
            </w:tcBorders>
          </w:tcPr>
          <w:p w:rsidR="00EE5514" w:rsidRDefault="00EE5514" w:rsidP="009553BA">
            <w:pPr>
              <w:rPr>
                <w:color w:val="000000" w:themeColor="text1"/>
              </w:rPr>
            </w:pPr>
            <w:r>
              <w:rPr>
                <w:color w:val="000000" w:themeColor="text1"/>
              </w:rPr>
              <w:t>38.5%</w:t>
            </w:r>
          </w:p>
        </w:tc>
        <w:tc>
          <w:tcPr>
            <w:tcW w:w="2061" w:type="dxa"/>
            <w:tcBorders>
              <w:bottom w:val="single" w:sz="4" w:space="0" w:color="auto"/>
            </w:tcBorders>
          </w:tcPr>
          <w:p w:rsidR="00EE5514" w:rsidRDefault="00EE5514" w:rsidP="009553BA">
            <w:pPr>
              <w:rPr>
                <w:color w:val="000000" w:themeColor="text1"/>
              </w:rPr>
            </w:pPr>
            <w:r>
              <w:rPr>
                <w:color w:val="000000" w:themeColor="text1"/>
              </w:rPr>
              <w:t>20.7%</w:t>
            </w:r>
          </w:p>
        </w:tc>
        <w:tc>
          <w:tcPr>
            <w:tcW w:w="1560" w:type="dxa"/>
            <w:tcBorders>
              <w:bottom w:val="single" w:sz="4" w:space="0" w:color="auto"/>
            </w:tcBorders>
          </w:tcPr>
          <w:p w:rsidR="00EE5514" w:rsidRDefault="00EE5514" w:rsidP="009553BA">
            <w:pPr>
              <w:rPr>
                <w:color w:val="000000" w:themeColor="text1"/>
              </w:rPr>
            </w:pPr>
            <w:r>
              <w:rPr>
                <w:color w:val="000000" w:themeColor="text1"/>
              </w:rPr>
              <w:t>57.3%</w:t>
            </w:r>
          </w:p>
        </w:tc>
        <w:tc>
          <w:tcPr>
            <w:tcW w:w="1842" w:type="dxa"/>
            <w:tcBorders>
              <w:bottom w:val="single" w:sz="4" w:space="0" w:color="auto"/>
            </w:tcBorders>
          </w:tcPr>
          <w:p w:rsidR="00EE5514" w:rsidRDefault="00EE5514" w:rsidP="009553BA">
            <w:pPr>
              <w:rPr>
                <w:color w:val="000000" w:themeColor="text1"/>
              </w:rPr>
            </w:pPr>
            <w:r>
              <w:rPr>
                <w:color w:val="000000" w:themeColor="text1"/>
              </w:rPr>
              <w:t>95.6%</w:t>
            </w:r>
          </w:p>
        </w:tc>
      </w:tr>
      <w:tr w:rsidR="00EE5514" w:rsidRPr="00E672A4" w:rsidTr="009553BA">
        <w:tc>
          <w:tcPr>
            <w:tcW w:w="1802" w:type="dxa"/>
            <w:tcBorders>
              <w:top w:val="single" w:sz="4" w:space="0" w:color="auto"/>
              <w:bottom w:val="single" w:sz="4" w:space="0" w:color="auto"/>
            </w:tcBorders>
          </w:tcPr>
          <w:p w:rsidR="00EE5514" w:rsidRPr="00E672A4" w:rsidRDefault="00EE5514" w:rsidP="009553BA">
            <w:pPr>
              <w:rPr>
                <w:b/>
                <w:bCs/>
                <w:color w:val="000000" w:themeColor="text1"/>
              </w:rPr>
            </w:pPr>
            <w:r w:rsidRPr="00E672A4">
              <w:rPr>
                <w:b/>
                <w:bCs/>
                <w:color w:val="000000" w:themeColor="text1"/>
              </w:rPr>
              <w:t>National</w:t>
            </w:r>
          </w:p>
        </w:tc>
        <w:tc>
          <w:tcPr>
            <w:tcW w:w="1802" w:type="dxa"/>
            <w:tcBorders>
              <w:top w:val="single" w:sz="4" w:space="0" w:color="auto"/>
              <w:bottom w:val="single" w:sz="4" w:space="0" w:color="auto"/>
            </w:tcBorders>
          </w:tcPr>
          <w:p w:rsidR="00EE5514" w:rsidRPr="00E672A4" w:rsidRDefault="00EE5514" w:rsidP="009553BA">
            <w:pPr>
              <w:rPr>
                <w:b/>
                <w:bCs/>
                <w:color w:val="000000" w:themeColor="text1"/>
              </w:rPr>
            </w:pPr>
            <w:r w:rsidRPr="00E672A4">
              <w:rPr>
                <w:b/>
                <w:bCs/>
                <w:color w:val="000000" w:themeColor="text1"/>
              </w:rPr>
              <w:t>27.9%</w:t>
            </w:r>
          </w:p>
        </w:tc>
        <w:tc>
          <w:tcPr>
            <w:tcW w:w="2061" w:type="dxa"/>
            <w:tcBorders>
              <w:top w:val="single" w:sz="4" w:space="0" w:color="auto"/>
              <w:bottom w:val="single" w:sz="4" w:space="0" w:color="auto"/>
            </w:tcBorders>
          </w:tcPr>
          <w:p w:rsidR="00EE5514" w:rsidRPr="00E672A4" w:rsidRDefault="00EE5514" w:rsidP="009553BA">
            <w:pPr>
              <w:rPr>
                <w:b/>
                <w:bCs/>
                <w:color w:val="000000" w:themeColor="text1"/>
              </w:rPr>
            </w:pPr>
            <w:r w:rsidRPr="00E672A4">
              <w:rPr>
                <w:b/>
                <w:bCs/>
                <w:color w:val="000000" w:themeColor="text1"/>
              </w:rPr>
              <w:t>19.5%</w:t>
            </w:r>
          </w:p>
        </w:tc>
        <w:tc>
          <w:tcPr>
            <w:tcW w:w="1560" w:type="dxa"/>
            <w:tcBorders>
              <w:top w:val="single" w:sz="4" w:space="0" w:color="auto"/>
              <w:bottom w:val="single" w:sz="4" w:space="0" w:color="auto"/>
            </w:tcBorders>
          </w:tcPr>
          <w:p w:rsidR="00EE5514" w:rsidRPr="00E672A4" w:rsidRDefault="00EE5514" w:rsidP="009553BA">
            <w:pPr>
              <w:rPr>
                <w:b/>
                <w:bCs/>
                <w:color w:val="000000" w:themeColor="text1"/>
              </w:rPr>
            </w:pPr>
            <w:r w:rsidRPr="00E672A4">
              <w:rPr>
                <w:b/>
                <w:bCs/>
                <w:color w:val="000000" w:themeColor="text1"/>
              </w:rPr>
              <w:t>45.7%</w:t>
            </w:r>
          </w:p>
        </w:tc>
        <w:tc>
          <w:tcPr>
            <w:tcW w:w="1842" w:type="dxa"/>
            <w:tcBorders>
              <w:top w:val="single" w:sz="4" w:space="0" w:color="auto"/>
              <w:bottom w:val="single" w:sz="4" w:space="0" w:color="auto"/>
            </w:tcBorders>
          </w:tcPr>
          <w:p w:rsidR="00EE5514" w:rsidRPr="00E672A4" w:rsidRDefault="00EE5514" w:rsidP="009553BA">
            <w:pPr>
              <w:rPr>
                <w:b/>
                <w:bCs/>
                <w:color w:val="000000" w:themeColor="text1"/>
              </w:rPr>
            </w:pPr>
            <w:r w:rsidRPr="00E672A4">
              <w:rPr>
                <w:b/>
                <w:bCs/>
                <w:color w:val="000000" w:themeColor="text1"/>
              </w:rPr>
              <w:t>89.3%</w:t>
            </w:r>
          </w:p>
        </w:tc>
      </w:tr>
    </w:tbl>
    <w:p w:rsidR="00EE5514" w:rsidRPr="00AC74F5" w:rsidRDefault="00EE5514" w:rsidP="00EE5514">
      <w:pPr>
        <w:rPr>
          <w:color w:val="000000" w:themeColor="text1"/>
          <w:sz w:val="20"/>
          <w:szCs w:val="20"/>
        </w:rPr>
      </w:pPr>
      <w:r w:rsidRPr="00C825A3">
        <w:rPr>
          <w:i/>
          <w:iCs/>
          <w:color w:val="000000" w:themeColor="text1"/>
          <w:sz w:val="20"/>
          <w:szCs w:val="20"/>
        </w:rPr>
        <w:t>Note</w:t>
      </w:r>
      <w:r>
        <w:rPr>
          <w:color w:val="000000" w:themeColor="text1"/>
          <w:sz w:val="20"/>
          <w:szCs w:val="20"/>
        </w:rPr>
        <w:t>: * authors calculation based on Najam (2020)</w:t>
      </w:r>
    </w:p>
    <w:p w:rsidR="00EE5514" w:rsidRDefault="00EE5514" w:rsidP="00EE5514"/>
    <w:p w:rsidR="00EE5514" w:rsidRDefault="00EE5514" w:rsidP="00CC3CE0">
      <w:pPr>
        <w:spacing w:after="0" w:line="288" w:lineRule="auto"/>
        <w:ind w:firstLine="720"/>
        <w:jc w:val="both"/>
      </w:pPr>
      <w:r>
        <w:t>The impacts of BISP have been studie</w:t>
      </w:r>
      <w:r w:rsidR="00201281">
        <w:t>d</w:t>
      </w:r>
      <w:r>
        <w:t xml:space="preserve"> in several papers, including </w:t>
      </w:r>
      <w:proofErr w:type="spellStart"/>
      <w:r w:rsidRPr="0064026B">
        <w:t>Pasha</w:t>
      </w:r>
      <w:r w:rsidR="00D27980">
        <w:t>et</w:t>
      </w:r>
      <w:proofErr w:type="spellEnd"/>
      <w:r w:rsidR="00D27980">
        <w:t xml:space="preserve"> et al. </w:t>
      </w:r>
      <w:r w:rsidRPr="0064026B">
        <w:t xml:space="preserve">(2018) </w:t>
      </w:r>
      <w:r>
        <w:t>who</w:t>
      </w:r>
      <w:r w:rsidRPr="0064026B">
        <w:t xml:space="preserve"> observed stability in social status of beneficiaries and increase</w:t>
      </w:r>
      <w:r w:rsidR="00E65BEC">
        <w:t xml:space="preserve"> in</w:t>
      </w:r>
      <w:r w:rsidRPr="0064026B">
        <w:t xml:space="preserve"> their consumption </w:t>
      </w:r>
      <w:r>
        <w:t xml:space="preserve">on </w:t>
      </w:r>
      <w:proofErr w:type="spellStart"/>
      <w:r w:rsidRPr="00AC74F5">
        <w:rPr>
          <w:i/>
          <w:iCs/>
        </w:rPr>
        <w:t>Thatta</w:t>
      </w:r>
      <w:proofErr w:type="spellEnd"/>
      <w:r>
        <w:t xml:space="preserve"> district of </w:t>
      </w:r>
      <w:r w:rsidRPr="00AC74F5">
        <w:rPr>
          <w:i/>
          <w:iCs/>
        </w:rPr>
        <w:t>Sindh</w:t>
      </w:r>
      <w:r>
        <w:t xml:space="preserve"> province </w:t>
      </w:r>
      <w:r w:rsidRPr="0064026B">
        <w:t>as a result of BISP.</w:t>
      </w:r>
      <w:r w:rsidRPr="005511E0">
        <w:t xml:space="preserve"> Junaid and Mohsin (2017) </w:t>
      </w:r>
      <w:r>
        <w:t>in</w:t>
      </w:r>
      <w:r w:rsidRPr="005511E0">
        <w:t xml:space="preserve"> their research on two districts from </w:t>
      </w:r>
      <w:r w:rsidRPr="00201281">
        <w:rPr>
          <w:i/>
          <w:iCs/>
        </w:rPr>
        <w:t>Sindh</w:t>
      </w:r>
      <w:r w:rsidRPr="005511E0">
        <w:t xml:space="preserve"> province showed that </w:t>
      </w:r>
      <w:r>
        <w:t xml:space="preserve">a </w:t>
      </w:r>
      <w:r w:rsidRPr="005511E0">
        <w:t xml:space="preserve">total of 105 out of 263 beneficiaries </w:t>
      </w:r>
      <w:r>
        <w:t>escaped from poverty</w:t>
      </w:r>
      <w:r w:rsidRPr="005511E0">
        <w:t xml:space="preserve"> after </w:t>
      </w:r>
      <w:r w:rsidR="00201281">
        <w:t xml:space="preserve">the </w:t>
      </w:r>
      <w:r w:rsidRPr="005511E0">
        <w:t xml:space="preserve">BISP. </w:t>
      </w:r>
      <w:proofErr w:type="spellStart"/>
      <w:r w:rsidR="00D27980">
        <w:t>Amrin</w:t>
      </w:r>
      <w:proofErr w:type="spellEnd"/>
      <w:r w:rsidRPr="00C917E8">
        <w:t xml:space="preserve"> and Ashfaq (2020)</w:t>
      </w:r>
      <w:r w:rsidRPr="005511E0">
        <w:t xml:space="preserve"> in their research on a city in </w:t>
      </w:r>
      <w:r w:rsidRPr="00AC74F5">
        <w:rPr>
          <w:i/>
          <w:iCs/>
        </w:rPr>
        <w:t>Punjab</w:t>
      </w:r>
      <w:r w:rsidRPr="005511E0">
        <w:t xml:space="preserve"> province found </w:t>
      </w:r>
      <w:r>
        <w:t>that</w:t>
      </w:r>
      <w:r w:rsidRPr="005511E0">
        <w:t xml:space="preserve"> BISP </w:t>
      </w:r>
      <w:r>
        <w:t xml:space="preserve">increases </w:t>
      </w:r>
      <w:r w:rsidR="00201281">
        <w:t xml:space="preserve">beneficiaries’ </w:t>
      </w:r>
      <w:r w:rsidRPr="005511E0">
        <w:t xml:space="preserve">food expenditure. </w:t>
      </w:r>
      <w:r w:rsidRPr="0064026B">
        <w:t>Afzal</w:t>
      </w:r>
      <w:r w:rsidR="00D27980">
        <w:t xml:space="preserve"> et al.</w:t>
      </w:r>
      <w:r w:rsidRPr="0064026B">
        <w:t xml:space="preserve"> (2019) in their work showed the positive impact of BISP on headcount index. Azeem</w:t>
      </w:r>
      <w:r w:rsidR="00D27980">
        <w:t xml:space="preserve"> et al.</w:t>
      </w:r>
      <w:r w:rsidRPr="0064026B">
        <w:t xml:space="preserve"> (2019) in their extensive study on Pakistan for 2010-11 showed the poverty reducing impacts of social protection programmes. </w:t>
      </w:r>
      <w:proofErr w:type="spellStart"/>
      <w:r w:rsidRPr="0064026B">
        <w:t>Nayab</w:t>
      </w:r>
      <w:proofErr w:type="spellEnd"/>
      <w:r w:rsidRPr="0064026B">
        <w:t xml:space="preserve"> and Farooq (2014) </w:t>
      </w:r>
      <w:r w:rsidR="00E65BEC" w:rsidRPr="0064026B">
        <w:t>studie</w:t>
      </w:r>
      <w:r w:rsidR="00E65BEC">
        <w:t>d</w:t>
      </w:r>
      <w:r w:rsidR="00E65BEC" w:rsidRPr="0064026B">
        <w:t xml:space="preserve"> </w:t>
      </w:r>
      <w:r w:rsidRPr="0064026B">
        <w:t xml:space="preserve">the impact of BISP on food and health expenditures. The detailed evaluation conducted by Oxford Policy Management (OPM) on BISP suggests around 3-7 percent reduction in poverty. </w:t>
      </w:r>
      <w:r w:rsidR="00E65BEC">
        <w:t>T</w:t>
      </w:r>
      <w:r w:rsidRPr="0064026B">
        <w:t>his range of reduction depends on the poverty line used</w:t>
      </w:r>
      <w:r>
        <w:t xml:space="preserve"> (Cheema et al., 2015)</w:t>
      </w:r>
      <w:r w:rsidRPr="0064026B">
        <w:t>.</w:t>
      </w:r>
    </w:p>
    <w:p w:rsidR="00CC3CE0" w:rsidRDefault="00CC3CE0" w:rsidP="0012512A">
      <w:pPr>
        <w:spacing w:after="0" w:line="288" w:lineRule="auto"/>
        <w:jc w:val="both"/>
      </w:pPr>
    </w:p>
    <w:p w:rsidR="00EE5514" w:rsidRDefault="00EE5514" w:rsidP="00CC3CE0">
      <w:pPr>
        <w:spacing w:after="0" w:line="288" w:lineRule="auto"/>
        <w:ind w:firstLine="720"/>
        <w:jc w:val="both"/>
      </w:pPr>
      <w:r>
        <w:t>All of the papers mentioned above used money-metric poverty measure to gauge the impact of the BISP. Furthermore, studies that look at the impact of BISP on poverty only concentrated at a rather limited geographical scale. Our paper differs from existing stud</w:t>
      </w:r>
      <w:r w:rsidR="00E65BEC">
        <w:t>ies</w:t>
      </w:r>
      <w:r>
        <w:t xml:space="preserve"> in the following way. First, we use poverty estimates for all districts in Pakistan to examine the impact of the BISP. Due to the spatial heterogeneity in terms of economic development between provinces and districts as pointed out in Najam (2020), and thus it is important to look at the effects of the social program at the disaggregated level</w:t>
      </w:r>
      <w:r w:rsidR="009D3C28">
        <w:t xml:space="preserve"> for Pakistan</w:t>
      </w:r>
      <w:r>
        <w:t xml:space="preserve">. Secondly, we use both money metric and multidimensional poverty measures to analyse the contribution of BISP in reducing poverty. </w:t>
      </w:r>
      <w:r w:rsidRPr="0084082E">
        <w:t xml:space="preserve"> </w:t>
      </w:r>
      <w:r>
        <w:t xml:space="preserve">BISP beneficiaries have been criticised for </w:t>
      </w:r>
      <w:r w:rsidRPr="0084082E">
        <w:t>spend</w:t>
      </w:r>
      <w:r>
        <w:t>ing</w:t>
      </w:r>
      <w:r w:rsidRPr="0084082E">
        <w:t xml:space="preserve"> their money on </w:t>
      </w:r>
      <w:r>
        <w:t>consumption</w:t>
      </w:r>
      <w:r w:rsidR="009D3C28">
        <w:t xml:space="preserve"> goods</w:t>
      </w:r>
      <w:r>
        <w:t xml:space="preserve"> </w:t>
      </w:r>
      <w:r w:rsidR="00C45501">
        <w:t xml:space="preserve">rather than </w:t>
      </w:r>
      <w:r>
        <w:t>improving their human capital (</w:t>
      </w:r>
      <w:r w:rsidRPr="0084082E">
        <w:t>Junai</w:t>
      </w:r>
      <w:r>
        <w:t>d</w:t>
      </w:r>
      <w:r w:rsidRPr="0084082E">
        <w:t xml:space="preserve"> </w:t>
      </w:r>
      <w:r>
        <w:t>and</w:t>
      </w:r>
      <w:r w:rsidRPr="0084082E">
        <w:t xml:space="preserve"> Mohsin 2017)</w:t>
      </w:r>
      <w:r>
        <w:t xml:space="preserve">. </w:t>
      </w:r>
      <w:r w:rsidR="00C45501">
        <w:t>Consequently, a</w:t>
      </w:r>
      <w:r>
        <w:t xml:space="preserve">nalysing the effect of BISP on multidimensional poverty measures can provide some evidence on spending priorities of the beneficiaries. </w:t>
      </w:r>
      <w:r w:rsidRPr="0084082E">
        <w:t xml:space="preserve"> </w:t>
      </w:r>
    </w:p>
    <w:p w:rsidR="00EE5514" w:rsidRDefault="00EE5514" w:rsidP="0028352F">
      <w:pPr>
        <w:spacing w:after="0" w:line="288" w:lineRule="auto"/>
        <w:jc w:val="center"/>
        <w:rPr>
          <w:color w:val="000000" w:themeColor="text1"/>
        </w:rPr>
      </w:pPr>
    </w:p>
    <w:p w:rsidR="00EE5514" w:rsidRPr="00EE5514" w:rsidRDefault="00EE5514" w:rsidP="0012512A">
      <w:pPr>
        <w:spacing w:after="0" w:line="288" w:lineRule="auto"/>
        <w:rPr>
          <w:rFonts w:asciiTheme="majorBidi" w:hAnsiTheme="majorBidi" w:cstheme="majorBidi"/>
          <w:b/>
          <w:bCs/>
        </w:rPr>
      </w:pPr>
      <w:r w:rsidRPr="00EE5514">
        <w:rPr>
          <w:rFonts w:asciiTheme="majorBidi" w:hAnsiTheme="majorBidi" w:cstheme="majorBidi"/>
          <w:b/>
          <w:bCs/>
        </w:rPr>
        <w:t>3.</w:t>
      </w:r>
      <w:r w:rsidRPr="00EE5514">
        <w:rPr>
          <w:rFonts w:asciiTheme="majorBidi" w:hAnsiTheme="majorBidi" w:cstheme="majorBidi"/>
          <w:b/>
          <w:bCs/>
        </w:rPr>
        <w:tab/>
        <w:t xml:space="preserve">Poverty in Pakistan: Background and Data </w:t>
      </w:r>
    </w:p>
    <w:p w:rsidR="00CC3CE0" w:rsidRDefault="00CC3CE0" w:rsidP="0012512A">
      <w:pPr>
        <w:pStyle w:val="BodyText"/>
        <w:spacing w:after="0" w:line="288" w:lineRule="auto"/>
        <w:ind w:left="119" w:right="108"/>
        <w:jc w:val="both"/>
        <w:rPr>
          <w:lang w:val="en-GB" w:eastAsia="en-GB"/>
        </w:rPr>
      </w:pPr>
    </w:p>
    <w:p w:rsidR="00EE5514" w:rsidRPr="00AC74F5" w:rsidRDefault="00EE5514" w:rsidP="00BB1739">
      <w:pPr>
        <w:pStyle w:val="BodyText"/>
        <w:spacing w:after="0" w:line="288" w:lineRule="auto"/>
        <w:ind w:left="119" w:right="108"/>
        <w:jc w:val="both"/>
        <w:rPr>
          <w:lang w:val="en-GB" w:eastAsia="en-GB"/>
        </w:rPr>
      </w:pPr>
      <w:r w:rsidRPr="00AC74F5">
        <w:rPr>
          <w:lang w:val="en-GB" w:eastAsia="en-GB"/>
        </w:rPr>
        <w:t xml:space="preserve">Figure 1 illustrates the evolution of average poverty rates over the six waves of surveys from 2004 to 2014. The three money-metric measures shown in the figure are the headcount index (HH), the poverty gap index (PG) and the squared poverty gap index (SPG). The SPG is a </w:t>
      </w:r>
      <w:proofErr w:type="spellStart"/>
      <w:r w:rsidRPr="00AC74F5">
        <w:rPr>
          <w:lang w:val="en-GB" w:eastAsia="en-GB"/>
        </w:rPr>
        <w:t>distributionally</w:t>
      </w:r>
      <w:proofErr w:type="spellEnd"/>
      <w:r w:rsidRPr="00AC74F5">
        <w:rPr>
          <w:lang w:val="en-GB" w:eastAsia="en-GB"/>
        </w:rPr>
        <w:t xml:space="preserve"> sensitive measure that puts more weight on the people furthest below the poverty line, while HH and PG are not </w:t>
      </w:r>
      <w:proofErr w:type="spellStart"/>
      <w:r w:rsidRPr="00AC74F5">
        <w:rPr>
          <w:lang w:val="en-GB" w:eastAsia="en-GB"/>
        </w:rPr>
        <w:t>distributionally</w:t>
      </w:r>
      <w:proofErr w:type="spellEnd"/>
      <w:r w:rsidRPr="00AC74F5">
        <w:rPr>
          <w:lang w:val="en-GB" w:eastAsia="en-GB"/>
        </w:rPr>
        <w:t xml:space="preserve"> sensitive. The other two measures are the MPI, which is based on </w:t>
      </w:r>
      <w:proofErr w:type="spellStart"/>
      <w:r w:rsidRPr="00AC74F5">
        <w:rPr>
          <w:lang w:val="en-GB" w:eastAsia="en-GB"/>
        </w:rPr>
        <w:t>Alkire</w:t>
      </w:r>
      <w:proofErr w:type="spellEnd"/>
      <w:r w:rsidRPr="00AC74F5">
        <w:rPr>
          <w:lang w:val="en-GB" w:eastAsia="en-GB"/>
        </w:rPr>
        <w:t xml:space="preserve"> and Foster (2011) and </w:t>
      </w:r>
      <w:proofErr w:type="spellStart"/>
      <w:r w:rsidRPr="00AC74F5">
        <w:rPr>
          <w:lang w:val="en-GB" w:eastAsia="en-GB"/>
        </w:rPr>
        <w:t>Alkire</w:t>
      </w:r>
      <w:proofErr w:type="spellEnd"/>
      <w:r w:rsidRPr="00AC74F5">
        <w:rPr>
          <w:lang w:val="en-GB" w:eastAsia="en-GB"/>
        </w:rPr>
        <w:t xml:space="preserve"> et al</w:t>
      </w:r>
      <w:r w:rsidR="002452E6">
        <w:rPr>
          <w:lang w:val="en-GB" w:eastAsia="en-GB"/>
        </w:rPr>
        <w:t>.</w:t>
      </w:r>
      <w:r w:rsidRPr="00AC74F5">
        <w:rPr>
          <w:lang w:val="en-GB" w:eastAsia="en-GB"/>
        </w:rPr>
        <w:t xml:space="preserve"> (2015), and the multidimensional distribution-sensitive poverty index (MDPI) developed by </w:t>
      </w:r>
      <w:proofErr w:type="spellStart"/>
      <w:r w:rsidRPr="00AC74F5">
        <w:rPr>
          <w:lang w:val="en-GB" w:eastAsia="en-GB"/>
        </w:rPr>
        <w:t>Datt</w:t>
      </w:r>
      <w:proofErr w:type="spellEnd"/>
      <w:r w:rsidRPr="00AC74F5">
        <w:rPr>
          <w:lang w:val="en-GB" w:eastAsia="en-GB"/>
        </w:rPr>
        <w:t xml:space="preserve"> (2019). As the name implies, the MDPI is </w:t>
      </w:r>
      <w:proofErr w:type="spellStart"/>
      <w:r w:rsidRPr="00AC74F5">
        <w:rPr>
          <w:lang w:val="en-GB" w:eastAsia="en-GB"/>
        </w:rPr>
        <w:t>distributionally</w:t>
      </w:r>
      <w:proofErr w:type="spellEnd"/>
      <w:r w:rsidRPr="00AC74F5">
        <w:rPr>
          <w:lang w:val="en-GB" w:eastAsia="en-GB"/>
        </w:rPr>
        <w:t xml:space="preserve"> sensitive while the MPI is not. The detailed formulae for these five indices are provided in Appendix A, with full details on the survey data used to construct them in Najam (2020). </w:t>
      </w:r>
      <w:r>
        <w:rPr>
          <w:lang w:val="en-GB" w:eastAsia="en-GB"/>
        </w:rPr>
        <w:t xml:space="preserve">For money-metric poverty measures, this involves </w:t>
      </w:r>
      <w:proofErr w:type="spellStart"/>
      <w:r>
        <w:rPr>
          <w:lang w:val="en-GB" w:eastAsia="en-GB"/>
        </w:rPr>
        <w:t>Elbers</w:t>
      </w:r>
      <w:proofErr w:type="spellEnd"/>
      <w:r>
        <w:rPr>
          <w:lang w:val="en-GB" w:eastAsia="en-GB"/>
        </w:rPr>
        <w:t xml:space="preserve"> et al</w:t>
      </w:r>
      <w:r w:rsidR="002452E6">
        <w:rPr>
          <w:lang w:val="en-GB" w:eastAsia="en-GB"/>
        </w:rPr>
        <w:t>.</w:t>
      </w:r>
      <w:r>
        <w:rPr>
          <w:lang w:val="en-GB" w:eastAsia="en-GB"/>
        </w:rPr>
        <w:t xml:space="preserve"> (2003) approach to project consumption data from the Household Income and Expenditure Survey (HIES) onto the sample of the Pakistan Social and Living Standard Measurement Surveys (PSLM) that lacks consumption data, using sets of predictor variables from the two surveys that overlap. PLSM surveys are representative at district level, and are used to directly calculate the multidimensional poverty measures. This survey-to-survey imputation approach provides district-level money-metric poverty estimates. Full details are available in Najam (2020). </w:t>
      </w:r>
      <w:r w:rsidRPr="00AC74F5">
        <w:rPr>
          <w:lang w:val="en-GB" w:eastAsia="en-GB"/>
        </w:rPr>
        <w:t>For our purposes here, it is sufficient to note that we have estimates at district level for every second year, from 2004 to 2014</w:t>
      </w:r>
      <w:r>
        <w:rPr>
          <w:lang w:val="en-GB" w:eastAsia="en-GB"/>
        </w:rPr>
        <w:t xml:space="preserve">. </w:t>
      </w:r>
    </w:p>
    <w:p w:rsidR="00EE5514" w:rsidRPr="00AC74F5" w:rsidRDefault="00EE5514" w:rsidP="0012512A">
      <w:pPr>
        <w:pStyle w:val="BodyText"/>
        <w:spacing w:after="0" w:line="288" w:lineRule="auto"/>
        <w:ind w:left="19" w:right="1292"/>
        <w:jc w:val="center"/>
      </w:pPr>
    </w:p>
    <w:p w:rsidR="00EE5514" w:rsidRDefault="00EE5514" w:rsidP="00FC6F44">
      <w:pPr>
        <w:spacing w:after="0" w:line="288" w:lineRule="auto"/>
        <w:ind w:firstLine="720"/>
        <w:jc w:val="both"/>
      </w:pPr>
      <w:r w:rsidRPr="00414B83">
        <w:t>According to Figure 1, the headcount poverty rate was around 40% in 2004 and 2006 but rose to almost 50% in 2008 (Figure 1).</w:t>
      </w:r>
      <w:r>
        <w:t xml:space="preserve"> This sharp increase in poverty is due to the world food price surge in 2008, in which Pakistan’s annual inflation increased from 7.7% in 2007 to 21% in 2008. </w:t>
      </w:r>
      <w:r w:rsidRPr="00414B83">
        <w:t xml:space="preserve"> These increases were followed by an even sharper fall, to about 25% in 2010, with a slight decline in 2012 and then a further sharp decline to below 15% by 2014. The movements of the poverty gap index </w:t>
      </w:r>
      <w:r w:rsidR="00FC6F44" w:rsidRPr="00414B83">
        <w:t>were</w:t>
      </w:r>
      <w:r w:rsidRPr="00414B83">
        <w:t xml:space="preserve"> even more pronounced, rising faster from 2006 to 2008 and then declining even faster than what the movements in </w:t>
      </w:r>
      <w:r w:rsidR="00FC6F44">
        <w:t>headcount poverty index</w:t>
      </w:r>
      <w:r w:rsidRPr="00414B83">
        <w:t xml:space="preserve"> </w:t>
      </w:r>
      <w:r w:rsidRPr="00414B83">
        <w:lastRenderedPageBreak/>
        <w:t xml:space="preserve">show. The patterns for </w:t>
      </w:r>
      <w:r w:rsidR="0020106C">
        <w:t>SPG</w:t>
      </w:r>
      <w:r w:rsidR="00FC6F44">
        <w:t xml:space="preserve"> </w:t>
      </w:r>
      <w:r w:rsidRPr="00414B83">
        <w:t>are similar but with less sharp movements, so the overall patterns revealed by the money-metric measures is that poverty rates in 2014 were substantially lower than in 2004, albeit with an initial period of rising poverty, especially in 2008.</w:t>
      </w:r>
    </w:p>
    <w:p w:rsidR="00EE5514" w:rsidRPr="00414B83" w:rsidRDefault="00EE5514" w:rsidP="0012512A">
      <w:pPr>
        <w:spacing w:after="0" w:line="288" w:lineRule="auto"/>
      </w:pPr>
    </w:p>
    <w:p w:rsidR="00EE5514" w:rsidRPr="00AC74F5" w:rsidRDefault="00EE5514" w:rsidP="0012512A">
      <w:pPr>
        <w:pStyle w:val="BodyText"/>
        <w:spacing w:after="0" w:line="288" w:lineRule="auto"/>
      </w:pPr>
    </w:p>
    <w:p w:rsidR="00EE5514" w:rsidRPr="00845108" w:rsidRDefault="00EE5514" w:rsidP="007126D4">
      <w:pPr>
        <w:spacing w:line="240" w:lineRule="auto"/>
        <w:ind w:left="993" w:hanging="993"/>
        <w:jc w:val="center"/>
        <w:rPr>
          <w:b/>
          <w:bCs/>
          <w:color w:val="000000" w:themeColor="text1"/>
        </w:rPr>
      </w:pPr>
      <w:r w:rsidRPr="00845108">
        <w:rPr>
          <w:b/>
          <w:bCs/>
          <w:color w:val="000000" w:themeColor="text1"/>
        </w:rPr>
        <w:t xml:space="preserve">Figure </w:t>
      </w:r>
      <w:r>
        <w:rPr>
          <w:b/>
          <w:bCs/>
          <w:color w:val="000000" w:themeColor="text1"/>
        </w:rPr>
        <w:t>1: Average Poverty Estimates</w:t>
      </w:r>
      <w:r w:rsidR="000C12C7">
        <w:rPr>
          <w:b/>
          <w:bCs/>
          <w:color w:val="000000" w:themeColor="text1"/>
        </w:rPr>
        <w:t xml:space="preserve"> at the </w:t>
      </w:r>
      <w:r>
        <w:rPr>
          <w:b/>
          <w:bCs/>
          <w:color w:val="000000" w:themeColor="text1"/>
        </w:rPr>
        <w:t>District Level and Number of BISP Beneficiaries</w:t>
      </w:r>
      <w:r w:rsidR="007126D4">
        <w:rPr>
          <w:b/>
          <w:bCs/>
          <w:color w:val="000000" w:themeColor="text1"/>
        </w:rPr>
        <w:t xml:space="preserve"> for Six Alternative Years, 2004 - 2014</w:t>
      </w:r>
    </w:p>
    <w:p w:rsidR="00EE5514" w:rsidRPr="00C863E0" w:rsidRDefault="00EE5514" w:rsidP="00EE5514">
      <w:pPr>
        <w:jc w:val="center"/>
      </w:pPr>
    </w:p>
    <w:p w:rsidR="00EE5514" w:rsidRDefault="00EE5514" w:rsidP="00EE5514">
      <w:pPr>
        <w:spacing w:after="0" w:line="240" w:lineRule="auto"/>
      </w:pPr>
      <w:r>
        <w:rPr>
          <w:noProof/>
          <w:lang w:eastAsia="zh-CN"/>
        </w:rPr>
        <w:drawing>
          <wp:inline distT="0" distB="0" distL="0" distR="0" wp14:anchorId="6AFCF731" wp14:editId="05A406DE">
            <wp:extent cx="5848350" cy="3438525"/>
            <wp:effectExtent l="0" t="0" r="0" b="9525"/>
            <wp:docPr id="48" name="Chart 48">
              <a:extLst xmlns:a="http://schemas.openxmlformats.org/drawingml/2006/main">
                <a:ext uri="{FF2B5EF4-FFF2-40B4-BE49-F238E27FC236}">
                  <a16:creationId xmlns:a16="http://schemas.microsoft.com/office/drawing/2014/main" id="{C3D0AD25-0CA0-BC4B-B4B1-65F3EA3F2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5514" w:rsidRPr="00E672A4" w:rsidRDefault="00EE5514" w:rsidP="00EE5514">
      <w:pPr>
        <w:spacing w:after="0" w:line="240" w:lineRule="auto"/>
        <w:ind w:left="993" w:hanging="993"/>
        <w:rPr>
          <w:color w:val="000000" w:themeColor="text1"/>
          <w:sz w:val="21"/>
          <w:szCs w:val="21"/>
        </w:rPr>
      </w:pPr>
      <w:r w:rsidRPr="00E672A4">
        <w:rPr>
          <w:i/>
          <w:iCs/>
          <w:color w:val="000000" w:themeColor="text1"/>
          <w:sz w:val="21"/>
          <w:szCs w:val="21"/>
        </w:rPr>
        <w:t>Source</w:t>
      </w:r>
      <w:r w:rsidRPr="00E672A4">
        <w:rPr>
          <w:color w:val="000000" w:themeColor="text1"/>
          <w:sz w:val="21"/>
          <w:szCs w:val="21"/>
        </w:rPr>
        <w:t>: Najam (2020)</w:t>
      </w:r>
    </w:p>
    <w:p w:rsidR="00EE5514" w:rsidRDefault="00EE5514" w:rsidP="00EE5514">
      <w:pPr>
        <w:pStyle w:val="BodyText"/>
        <w:spacing w:before="163" w:line="288" w:lineRule="auto"/>
        <w:ind w:left="120" w:right="1391"/>
        <w:jc w:val="both"/>
      </w:pPr>
    </w:p>
    <w:p w:rsidR="00EE5514" w:rsidRDefault="00EE5514" w:rsidP="00CC3CE0">
      <w:pPr>
        <w:spacing w:after="0" w:line="288" w:lineRule="auto"/>
        <w:ind w:firstLine="720"/>
        <w:jc w:val="both"/>
      </w:pPr>
      <w:r w:rsidRPr="00414B83">
        <w:t>The multidimensional poverty measures present quite a different picture. There was a slow decline in the MPI, with an average index value of about 30% in 2004 declining to be just above 20% by 2014. The average level of the MDPI starts lower but does not decline quite as fast and neither measure shows any jump in 2008, unlike the fluctuations seen with the money-metric measures. The trends shown in Figure 1 relate to averages over all 100 districts (and years) but a disaggregated analysis by Najam (2020) also shows that the time trends in poverty in Pakistan depend on what sort of measures are used; over two-thirds of the districts show opposite trends in poverty rates, if using multidimensional measures rather than money-metric ones, for at least two of the five spells between the six survey waves.</w:t>
      </w:r>
      <w:r>
        <w:t xml:space="preserve"> Figure 1 also shows that number of the BISP has increased substantially from 1.76 million in 2008 to 5.1 million beneficiaries in 2014. </w:t>
      </w:r>
    </w:p>
    <w:p w:rsidR="00EE5514" w:rsidRDefault="00EE5514" w:rsidP="0012512A">
      <w:pPr>
        <w:spacing w:after="0" w:line="288" w:lineRule="auto"/>
        <w:jc w:val="both"/>
      </w:pPr>
    </w:p>
    <w:p w:rsidR="00EE5514" w:rsidRDefault="00EE5514" w:rsidP="00CC3CE0">
      <w:pPr>
        <w:pStyle w:val="BodyText"/>
        <w:spacing w:after="0" w:line="288" w:lineRule="auto"/>
        <w:ind w:firstLine="720"/>
        <w:jc w:val="both"/>
      </w:pPr>
      <w:r w:rsidRPr="001B659E">
        <w:t>To capture spatial heterogeneity within the country, in Figure 2 we present</w:t>
      </w:r>
      <w:r w:rsidRPr="001B659E">
        <w:rPr>
          <w:spacing w:val="-7"/>
        </w:rPr>
        <w:t xml:space="preserve"> </w:t>
      </w:r>
      <w:r w:rsidRPr="001B659E">
        <w:t>district-level</w:t>
      </w:r>
      <w:r w:rsidRPr="001B659E">
        <w:rPr>
          <w:spacing w:val="-4"/>
        </w:rPr>
        <w:t xml:space="preserve"> </w:t>
      </w:r>
      <w:r w:rsidRPr="001B659E">
        <w:t>maps</w:t>
      </w:r>
      <w:r w:rsidRPr="001B659E">
        <w:rPr>
          <w:spacing w:val="-10"/>
        </w:rPr>
        <w:t xml:space="preserve"> </w:t>
      </w:r>
      <w:r w:rsidRPr="001B659E">
        <w:t>of</w:t>
      </w:r>
      <w:r w:rsidRPr="001B659E">
        <w:rPr>
          <w:spacing w:val="-8"/>
        </w:rPr>
        <w:t xml:space="preserve"> </w:t>
      </w:r>
      <w:r w:rsidRPr="001B659E">
        <w:t>the</w:t>
      </w:r>
      <w:r w:rsidRPr="001B659E">
        <w:rPr>
          <w:spacing w:val="-8"/>
        </w:rPr>
        <w:t xml:space="preserve"> </w:t>
      </w:r>
      <w:r w:rsidRPr="001B659E">
        <w:t>change</w:t>
      </w:r>
      <w:r w:rsidRPr="001B659E">
        <w:rPr>
          <w:spacing w:val="-3"/>
        </w:rPr>
        <w:t xml:space="preserve"> </w:t>
      </w:r>
      <w:r w:rsidRPr="001B659E">
        <w:t>in</w:t>
      </w:r>
      <w:r w:rsidRPr="001B659E">
        <w:rPr>
          <w:spacing w:val="-7"/>
        </w:rPr>
        <w:t xml:space="preserve"> </w:t>
      </w:r>
      <w:r w:rsidRPr="001B659E">
        <w:t>the</w:t>
      </w:r>
      <w:r w:rsidRPr="001B659E">
        <w:rPr>
          <w:spacing w:val="-8"/>
        </w:rPr>
        <w:t xml:space="preserve"> </w:t>
      </w:r>
      <w:r w:rsidRPr="001B659E">
        <w:t>poverty</w:t>
      </w:r>
      <w:r w:rsidRPr="001B659E">
        <w:rPr>
          <w:spacing w:val="-8"/>
        </w:rPr>
        <w:t xml:space="preserve"> </w:t>
      </w:r>
      <w:r w:rsidRPr="001B659E">
        <w:t>rates</w:t>
      </w:r>
      <w:r w:rsidRPr="001B659E">
        <w:rPr>
          <w:spacing w:val="-8"/>
        </w:rPr>
        <w:t xml:space="preserve"> </w:t>
      </w:r>
      <w:r w:rsidRPr="001B659E">
        <w:t>over</w:t>
      </w:r>
      <w:r w:rsidRPr="001B659E">
        <w:rPr>
          <w:spacing w:val="-6"/>
        </w:rPr>
        <w:t xml:space="preserve"> </w:t>
      </w:r>
      <w:r w:rsidRPr="001B659E">
        <w:t>the</w:t>
      </w:r>
      <w:r w:rsidRPr="001B659E">
        <w:rPr>
          <w:spacing w:val="-8"/>
        </w:rPr>
        <w:t xml:space="preserve"> </w:t>
      </w:r>
      <w:r w:rsidRPr="001B659E">
        <w:t>2008</w:t>
      </w:r>
      <w:r w:rsidRPr="001B659E">
        <w:rPr>
          <w:spacing w:val="-10"/>
        </w:rPr>
        <w:t xml:space="preserve"> </w:t>
      </w:r>
      <w:r w:rsidRPr="001B659E">
        <w:t>to</w:t>
      </w:r>
      <w:r w:rsidRPr="001B659E">
        <w:rPr>
          <w:spacing w:val="-7"/>
        </w:rPr>
        <w:t xml:space="preserve"> </w:t>
      </w:r>
      <w:r w:rsidRPr="001B659E">
        <w:t xml:space="preserve">2014 period for the five poverty </w:t>
      </w:r>
      <w:r w:rsidRPr="001B659E">
        <w:lastRenderedPageBreak/>
        <w:t xml:space="preserve">measures and coverage of the BISP cash transfer. </w:t>
      </w:r>
      <w:r w:rsidRPr="00F06B30">
        <w:t>The darker</w:t>
      </w:r>
      <w:r w:rsidRPr="00F06B30">
        <w:rPr>
          <w:spacing w:val="-8"/>
        </w:rPr>
        <w:t xml:space="preserve"> </w:t>
      </w:r>
      <w:r w:rsidRPr="00F06B30">
        <w:t>colours</w:t>
      </w:r>
      <w:r w:rsidRPr="00F06B30">
        <w:rPr>
          <w:spacing w:val="-10"/>
        </w:rPr>
        <w:t xml:space="preserve"> </w:t>
      </w:r>
      <w:r w:rsidRPr="00F06B30">
        <w:t>on</w:t>
      </w:r>
      <w:r w:rsidRPr="00F06B30">
        <w:rPr>
          <w:spacing w:val="-11"/>
        </w:rPr>
        <w:t xml:space="preserve"> </w:t>
      </w:r>
      <w:r w:rsidRPr="00F06B30">
        <w:t>the</w:t>
      </w:r>
      <w:r w:rsidRPr="00F06B30">
        <w:rPr>
          <w:spacing w:val="-10"/>
        </w:rPr>
        <w:t xml:space="preserve"> </w:t>
      </w:r>
      <w:r w:rsidRPr="00F06B30">
        <w:t>map</w:t>
      </w:r>
      <w:r w:rsidRPr="00F06B30">
        <w:rPr>
          <w:spacing w:val="-10"/>
        </w:rPr>
        <w:t xml:space="preserve"> </w:t>
      </w:r>
      <w:r w:rsidRPr="00F06B30">
        <w:t>denote</w:t>
      </w:r>
      <w:r w:rsidRPr="00F06B30">
        <w:rPr>
          <w:spacing w:val="-10"/>
        </w:rPr>
        <w:t xml:space="preserve"> </w:t>
      </w:r>
      <w:r w:rsidRPr="00F06B30">
        <w:t>districts</w:t>
      </w:r>
      <w:r w:rsidRPr="00F06B30">
        <w:rPr>
          <w:spacing w:val="-10"/>
        </w:rPr>
        <w:t xml:space="preserve"> </w:t>
      </w:r>
      <w:r w:rsidRPr="00F06B30">
        <w:t>that</w:t>
      </w:r>
      <w:r w:rsidRPr="00F06B30">
        <w:rPr>
          <w:spacing w:val="-11"/>
        </w:rPr>
        <w:t xml:space="preserve"> </w:t>
      </w:r>
      <w:r w:rsidRPr="00F06B30">
        <w:t>had</w:t>
      </w:r>
      <w:r w:rsidRPr="00F06B30">
        <w:rPr>
          <w:spacing w:val="-10"/>
        </w:rPr>
        <w:t xml:space="preserve"> </w:t>
      </w:r>
      <w:r w:rsidRPr="00F06B30">
        <w:t>the</w:t>
      </w:r>
      <w:r w:rsidRPr="00F06B30">
        <w:rPr>
          <w:spacing w:val="-10"/>
        </w:rPr>
        <w:t xml:space="preserve"> </w:t>
      </w:r>
      <w:r w:rsidR="00D01751" w:rsidRPr="00F06B30">
        <w:t>fastest</w:t>
      </w:r>
      <w:r w:rsidRPr="00F06B30">
        <w:rPr>
          <w:spacing w:val="-9"/>
        </w:rPr>
        <w:t xml:space="preserve"> </w:t>
      </w:r>
      <w:r w:rsidRPr="00F06B30">
        <w:t>rates</w:t>
      </w:r>
      <w:r w:rsidRPr="00F06B30">
        <w:rPr>
          <w:spacing w:val="-10"/>
        </w:rPr>
        <w:t xml:space="preserve"> </w:t>
      </w:r>
      <w:r w:rsidRPr="00F06B30">
        <w:t>of</w:t>
      </w:r>
      <w:r w:rsidRPr="00F06B30">
        <w:rPr>
          <w:spacing w:val="-10"/>
        </w:rPr>
        <w:t xml:space="preserve"> </w:t>
      </w:r>
      <w:r w:rsidRPr="00F06B30">
        <w:t>poverty</w:t>
      </w:r>
      <w:r w:rsidRPr="00F06B30">
        <w:rPr>
          <w:spacing w:val="-10"/>
        </w:rPr>
        <w:t xml:space="preserve"> </w:t>
      </w:r>
      <w:r w:rsidRPr="00F06B30">
        <w:t>reduction</w:t>
      </w:r>
      <w:r w:rsidRPr="001B659E">
        <w:t>.</w:t>
      </w:r>
      <w:r w:rsidRPr="001B659E">
        <w:rPr>
          <w:spacing w:val="-10"/>
        </w:rPr>
        <w:t xml:space="preserve"> </w:t>
      </w:r>
      <w:r w:rsidRPr="001B659E">
        <w:t>There are</w:t>
      </w:r>
      <w:r w:rsidRPr="001B659E">
        <w:rPr>
          <w:spacing w:val="-16"/>
        </w:rPr>
        <w:t xml:space="preserve"> </w:t>
      </w:r>
      <w:r w:rsidRPr="001B659E">
        <w:t>also</w:t>
      </w:r>
      <w:r w:rsidRPr="001B659E">
        <w:rPr>
          <w:spacing w:val="-14"/>
        </w:rPr>
        <w:t xml:space="preserve"> </w:t>
      </w:r>
      <w:r w:rsidRPr="001B659E">
        <w:t>some</w:t>
      </w:r>
      <w:r w:rsidRPr="001B659E">
        <w:rPr>
          <w:spacing w:val="-17"/>
        </w:rPr>
        <w:t xml:space="preserve"> </w:t>
      </w:r>
      <w:r w:rsidRPr="001B659E">
        <w:t>districts</w:t>
      </w:r>
      <w:r w:rsidRPr="001B659E">
        <w:rPr>
          <w:spacing w:val="-16"/>
        </w:rPr>
        <w:t xml:space="preserve"> </w:t>
      </w:r>
      <w:r w:rsidRPr="001B659E">
        <w:t>with</w:t>
      </w:r>
      <w:r w:rsidRPr="001B659E">
        <w:rPr>
          <w:spacing w:val="-16"/>
        </w:rPr>
        <w:t xml:space="preserve"> </w:t>
      </w:r>
      <w:r w:rsidRPr="001B659E">
        <w:t>no</w:t>
      </w:r>
      <w:r w:rsidRPr="001B659E">
        <w:rPr>
          <w:spacing w:val="-17"/>
        </w:rPr>
        <w:t xml:space="preserve"> </w:t>
      </w:r>
      <w:r w:rsidRPr="001B659E">
        <w:t>data,</w:t>
      </w:r>
      <w:r w:rsidRPr="001B659E">
        <w:rPr>
          <w:spacing w:val="-15"/>
        </w:rPr>
        <w:t xml:space="preserve"> </w:t>
      </w:r>
      <w:r w:rsidRPr="001B659E">
        <w:t>mainly</w:t>
      </w:r>
      <w:r w:rsidRPr="001B659E">
        <w:rPr>
          <w:spacing w:val="-16"/>
        </w:rPr>
        <w:t xml:space="preserve"> </w:t>
      </w:r>
      <w:r w:rsidRPr="001B659E">
        <w:t>in</w:t>
      </w:r>
      <w:r w:rsidRPr="001B659E">
        <w:rPr>
          <w:spacing w:val="-16"/>
        </w:rPr>
        <w:t xml:space="preserve"> </w:t>
      </w:r>
      <w:r w:rsidRPr="001B659E">
        <w:t>the</w:t>
      </w:r>
      <w:r w:rsidRPr="001B659E">
        <w:rPr>
          <w:spacing w:val="-15"/>
        </w:rPr>
        <w:t xml:space="preserve"> </w:t>
      </w:r>
      <w:r w:rsidRPr="001B659E">
        <w:t>Federally</w:t>
      </w:r>
      <w:r w:rsidRPr="001B659E">
        <w:rPr>
          <w:spacing w:val="-12"/>
        </w:rPr>
        <w:t xml:space="preserve"> </w:t>
      </w:r>
      <w:r w:rsidRPr="001B659E">
        <w:t>Administered</w:t>
      </w:r>
      <w:r w:rsidRPr="001B659E">
        <w:rPr>
          <w:spacing w:val="-17"/>
        </w:rPr>
        <w:t xml:space="preserve"> </w:t>
      </w:r>
      <w:r w:rsidRPr="001B659E">
        <w:t>Tribal</w:t>
      </w:r>
      <w:r w:rsidRPr="001B659E">
        <w:rPr>
          <w:spacing w:val="-14"/>
        </w:rPr>
        <w:t xml:space="preserve"> </w:t>
      </w:r>
      <w:r w:rsidRPr="001B659E">
        <w:t>Areas</w:t>
      </w:r>
      <w:r w:rsidRPr="001B659E">
        <w:rPr>
          <w:spacing w:val="-14"/>
        </w:rPr>
        <w:t xml:space="preserve"> </w:t>
      </w:r>
      <w:r w:rsidRPr="001B659E">
        <w:t>(FATA), where the PSLM surveys were not fielded due to the security</w:t>
      </w:r>
      <w:r w:rsidRPr="001B659E">
        <w:rPr>
          <w:spacing w:val="-10"/>
        </w:rPr>
        <w:t xml:space="preserve"> </w:t>
      </w:r>
      <w:r w:rsidRPr="001B659E">
        <w:t>situation.</w:t>
      </w:r>
      <w:r>
        <w:t xml:space="preserve"> A group of </w:t>
      </w:r>
      <w:r w:rsidR="00FC6F44">
        <w:t>neighbouring</w:t>
      </w:r>
      <w:r>
        <w:t xml:space="preserve"> districts in </w:t>
      </w:r>
      <w:proofErr w:type="spellStart"/>
      <w:r w:rsidRPr="00D6673F">
        <w:rPr>
          <w:i/>
          <w:iCs/>
        </w:rPr>
        <w:t>Balochistan</w:t>
      </w:r>
      <w:proofErr w:type="spellEnd"/>
      <w:r>
        <w:t xml:space="preserve"> province (in the southwest) are among those with the least reduction in money-metric poverty measures over 2008-2014</w:t>
      </w:r>
      <w:r w:rsidR="0020252C">
        <w:t xml:space="preserve"> after having the highest poverty rates in 2008</w:t>
      </w:r>
      <w:r>
        <w:t xml:space="preserve">.  </w:t>
      </w:r>
      <w:r w:rsidRPr="00D6673F">
        <w:t xml:space="preserve">The larger physical size of some of these districts draws attention to them but it is also the case that the majority of districts with the least poverty reduction are in </w:t>
      </w:r>
      <w:proofErr w:type="spellStart"/>
      <w:r w:rsidRPr="00D6673F">
        <w:rPr>
          <w:i/>
          <w:iCs/>
        </w:rPr>
        <w:t>Balochistan</w:t>
      </w:r>
      <w:proofErr w:type="spellEnd"/>
      <w:r w:rsidR="00F06B30">
        <w:rPr>
          <w:i/>
          <w:iCs/>
        </w:rPr>
        <w:t xml:space="preserve"> </w:t>
      </w:r>
      <w:r w:rsidR="00F06B30">
        <w:t>because these were the districts that had highest rates of poverty in 2008</w:t>
      </w:r>
      <w:r w:rsidRPr="00D6673F">
        <w:t xml:space="preserve">. </w:t>
      </w:r>
    </w:p>
    <w:p w:rsidR="00F06B30" w:rsidRPr="00D6673F" w:rsidRDefault="00F06B30" w:rsidP="00CC3CE0">
      <w:pPr>
        <w:pStyle w:val="BodyText"/>
        <w:spacing w:after="0" w:line="288" w:lineRule="auto"/>
        <w:ind w:firstLine="720"/>
        <w:jc w:val="both"/>
      </w:pPr>
    </w:p>
    <w:p w:rsidR="00F06B30" w:rsidRPr="004073FC" w:rsidRDefault="00F06B30" w:rsidP="00F06B30">
      <w:pPr>
        <w:spacing w:after="0" w:line="288" w:lineRule="auto"/>
        <w:ind w:firstLine="720"/>
        <w:jc w:val="both"/>
      </w:pPr>
      <w:r w:rsidRPr="00F06B30">
        <w:t xml:space="preserve">In </w:t>
      </w:r>
      <w:r w:rsidRPr="004E57CB">
        <w:t>contrast to the maps for money-metric poverty measures, where the slowest</w:t>
      </w:r>
      <w:r w:rsidRPr="00F06B30">
        <w:t xml:space="preserve"> </w:t>
      </w:r>
      <w:r w:rsidRPr="004E57CB">
        <w:t>rates</w:t>
      </w:r>
      <w:r w:rsidRPr="00F06B30">
        <w:t xml:space="preserve"> </w:t>
      </w:r>
      <w:r w:rsidRPr="004E57CB">
        <w:t>of</w:t>
      </w:r>
      <w:r w:rsidRPr="00F06B30">
        <w:t xml:space="preserve"> </w:t>
      </w:r>
      <w:r w:rsidRPr="004E57CB">
        <w:t>poverty</w:t>
      </w:r>
      <w:r w:rsidRPr="00F06B30">
        <w:t xml:space="preserve"> </w:t>
      </w:r>
      <w:r w:rsidRPr="004E57CB">
        <w:t>reduction</w:t>
      </w:r>
      <w:r w:rsidRPr="00F06B30">
        <w:t xml:space="preserve"> </w:t>
      </w:r>
      <w:r w:rsidR="00571242">
        <w:t>are</w:t>
      </w:r>
      <w:r w:rsidR="00571242" w:rsidRPr="00F06B30">
        <w:t xml:space="preserve"> </w:t>
      </w:r>
      <w:r w:rsidRPr="004E57CB">
        <w:t>mostly</w:t>
      </w:r>
      <w:r w:rsidRPr="00F06B30">
        <w:t xml:space="preserve"> </w:t>
      </w:r>
      <w:r w:rsidRPr="004E57CB">
        <w:t>in</w:t>
      </w:r>
      <w:r w:rsidRPr="00F06B30">
        <w:t xml:space="preserve"> </w:t>
      </w:r>
      <w:r w:rsidRPr="00F06B30">
        <w:rPr>
          <w:i/>
          <w:iCs/>
        </w:rPr>
        <w:t>Punjab</w:t>
      </w:r>
      <w:r w:rsidR="00571242">
        <w:rPr>
          <w:i/>
          <w:iCs/>
        </w:rPr>
        <w:t>,</w:t>
      </w:r>
      <w:r w:rsidRPr="00F06B30">
        <w:rPr>
          <w:i/>
          <w:iCs/>
        </w:rPr>
        <w:t xml:space="preserve"> Sindh</w:t>
      </w:r>
      <w:r w:rsidRPr="00F06B30">
        <w:t xml:space="preserve"> </w:t>
      </w:r>
      <w:r w:rsidRPr="004E57CB">
        <w:t>and</w:t>
      </w:r>
      <w:r w:rsidRPr="00F06B30">
        <w:t xml:space="preserve"> </w:t>
      </w:r>
      <w:r w:rsidRPr="004E57CB">
        <w:t>a</w:t>
      </w:r>
      <w:r w:rsidRPr="00F06B30">
        <w:t xml:space="preserve"> </w:t>
      </w:r>
      <w:r w:rsidRPr="004E57CB">
        <w:t>few</w:t>
      </w:r>
      <w:r w:rsidRPr="00F06B30">
        <w:t xml:space="preserve"> </w:t>
      </w:r>
      <w:r w:rsidRPr="004E57CB">
        <w:t>scattered</w:t>
      </w:r>
      <w:r w:rsidRPr="00F06B30">
        <w:t xml:space="preserve"> </w:t>
      </w:r>
      <w:r w:rsidRPr="004E57CB">
        <w:t>parts</w:t>
      </w:r>
      <w:r w:rsidRPr="00F06B30">
        <w:t xml:space="preserve"> </w:t>
      </w:r>
      <w:r w:rsidRPr="004E57CB">
        <w:t>of</w:t>
      </w:r>
      <w:r w:rsidRPr="00F06B30">
        <w:t xml:space="preserve"> </w:t>
      </w:r>
      <w:r w:rsidRPr="00F06B30">
        <w:rPr>
          <w:i/>
          <w:iCs/>
        </w:rPr>
        <w:t>Khyber Pakhtunkhwa</w:t>
      </w:r>
      <w:r w:rsidRPr="004E57CB">
        <w:t xml:space="preserve">, the multidimensional poverty measures show patterns that are more spatially random. The slowest rates of reduction in multidimensional poverty includes parts of </w:t>
      </w:r>
      <w:r w:rsidRPr="00F06B30">
        <w:rPr>
          <w:i/>
          <w:iCs/>
        </w:rPr>
        <w:t>Sindh</w:t>
      </w:r>
      <w:r w:rsidRPr="004073FC">
        <w:t xml:space="preserve"> and </w:t>
      </w:r>
      <w:proofErr w:type="spellStart"/>
      <w:r w:rsidRPr="00F06B30">
        <w:rPr>
          <w:i/>
          <w:iCs/>
        </w:rPr>
        <w:t>Balochistan</w:t>
      </w:r>
      <w:proofErr w:type="spellEnd"/>
      <w:r w:rsidRPr="00F06B30">
        <w:rPr>
          <w:i/>
          <w:iCs/>
        </w:rPr>
        <w:t xml:space="preserve"> </w:t>
      </w:r>
      <w:r w:rsidRPr="004073FC">
        <w:t xml:space="preserve">provinces, plus </w:t>
      </w:r>
      <w:r>
        <w:t xml:space="preserve">some </w:t>
      </w:r>
      <w:r w:rsidRPr="004073FC">
        <w:t xml:space="preserve">districts from </w:t>
      </w:r>
      <w:r w:rsidRPr="00F06B30">
        <w:rPr>
          <w:i/>
          <w:iCs/>
        </w:rPr>
        <w:t>Khyber Pakhtunkhwa</w:t>
      </w:r>
      <w:r w:rsidRPr="004073FC">
        <w:t xml:space="preserve">. </w:t>
      </w:r>
    </w:p>
    <w:p w:rsidR="00EE5514" w:rsidRDefault="00EE5514" w:rsidP="0012512A">
      <w:pPr>
        <w:spacing w:after="0" w:line="288" w:lineRule="auto"/>
        <w:jc w:val="both"/>
      </w:pPr>
    </w:p>
    <w:p w:rsidR="00EE5514" w:rsidRPr="008109C3" w:rsidRDefault="00EE5514" w:rsidP="00CC3CE0">
      <w:pPr>
        <w:spacing w:after="0" w:line="288" w:lineRule="auto"/>
        <w:ind w:firstLine="720"/>
        <w:jc w:val="both"/>
      </w:pPr>
      <w:r>
        <w:t xml:space="preserve">In terms of the changes in coverage for the cash transfer, the map shows that majority of districts in </w:t>
      </w:r>
      <w:r>
        <w:rPr>
          <w:i/>
          <w:iCs/>
        </w:rPr>
        <w:t xml:space="preserve">Sindh </w:t>
      </w:r>
      <w:r>
        <w:t xml:space="preserve">province (in the southeast) and few districts in the </w:t>
      </w:r>
      <w:r w:rsidRPr="00D6673F">
        <w:rPr>
          <w:i/>
          <w:iCs/>
        </w:rPr>
        <w:t>Khyber Pakhtunkhwa</w:t>
      </w:r>
      <w:r w:rsidRPr="00845108">
        <w:t xml:space="preserve"> </w:t>
      </w:r>
      <w:r>
        <w:t>province are among those with the highest increase in terms of</w:t>
      </w:r>
      <w:r w:rsidR="00A5399B">
        <w:t xml:space="preserve"> per capita</w:t>
      </w:r>
      <w:r>
        <w:t xml:space="preserve"> cash transfer between 2008-2014, while there seems to be a reduction in terms of coverage of the BISP in several districts within the </w:t>
      </w:r>
      <w:r w:rsidRPr="008109C3">
        <w:rPr>
          <w:i/>
          <w:iCs/>
        </w:rPr>
        <w:t xml:space="preserve">Punjab </w:t>
      </w:r>
      <w:r>
        <w:t xml:space="preserve">province. </w:t>
      </w:r>
    </w:p>
    <w:p w:rsidR="00EE5514" w:rsidRDefault="00EE5514" w:rsidP="00EE5514">
      <w:pPr>
        <w:rPr>
          <w:color w:val="FF0000"/>
        </w:rPr>
        <w:sectPr w:rsidR="00EE5514" w:rsidSect="00AB6226">
          <w:footerReference w:type="default" r:id="rId14"/>
          <w:footerReference w:type="first" r:id="rId15"/>
          <w:pgSz w:w="11906" w:h="16838"/>
          <w:pgMar w:top="1440" w:right="1440" w:bottom="1440" w:left="1440" w:header="708" w:footer="708" w:gutter="0"/>
          <w:cols w:space="708"/>
          <w:titlePg/>
          <w:docGrid w:linePitch="360"/>
        </w:sectPr>
      </w:pPr>
    </w:p>
    <w:p w:rsidR="00817F8F" w:rsidRDefault="00817F8F" w:rsidP="00817F8F">
      <w:pPr>
        <w:spacing w:line="240" w:lineRule="auto"/>
        <w:ind w:left="720"/>
        <w:jc w:val="center"/>
        <w:rPr>
          <w:rFonts w:eastAsiaTheme="majorEastAsia"/>
          <w:i/>
          <w:iCs/>
          <w:color w:val="000000" w:themeColor="text1"/>
        </w:rPr>
      </w:pPr>
      <w:r w:rsidRPr="001B659E">
        <w:rPr>
          <w:b/>
          <w:bCs/>
        </w:rPr>
        <w:lastRenderedPageBreak/>
        <w:t>Figure 2: Change in Poverty Estimates and Cash Transfer</w:t>
      </w:r>
      <w:r>
        <w:rPr>
          <w:b/>
          <w:bCs/>
        </w:rPr>
        <w:t xml:space="preserve"> Coverage</w:t>
      </w:r>
      <w:r w:rsidRPr="001B659E">
        <w:rPr>
          <w:b/>
          <w:bCs/>
        </w:rPr>
        <w:t xml:space="preserve"> for the Districts between 2008 – 201</w:t>
      </w:r>
      <w:r>
        <w:rPr>
          <w:b/>
          <w:bCs/>
        </w:rPr>
        <w:t>4</w:t>
      </w:r>
    </w:p>
    <w:p w:rsidR="00817F8F" w:rsidRDefault="00817F8F" w:rsidP="00EE5514">
      <w:pPr>
        <w:rPr>
          <w:color w:val="FF0000"/>
        </w:rPr>
      </w:pPr>
    </w:p>
    <w:p w:rsidR="00EE5514" w:rsidRPr="00C87F38" w:rsidRDefault="00EE5514" w:rsidP="00EE5514">
      <w:pPr>
        <w:rPr>
          <w:color w:val="FF0000"/>
        </w:rPr>
      </w:pPr>
      <w:r w:rsidRPr="00C87F38">
        <w:rPr>
          <w:color w:val="FF0000"/>
        </w:rPr>
        <w:t xml:space="preserve"> </w:t>
      </w:r>
      <w:r>
        <w:rPr>
          <w:noProof/>
          <w:color w:val="FF0000"/>
        </w:rPr>
        <w:drawing>
          <wp:inline distT="0" distB="0" distL="0" distR="0" wp14:anchorId="00A83411" wp14:editId="4FE2133E">
            <wp:extent cx="8315960" cy="428561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5960" cy="4285615"/>
                    </a:xfrm>
                    <a:prstGeom prst="rect">
                      <a:avLst/>
                    </a:prstGeom>
                    <a:noFill/>
                  </pic:spPr>
                </pic:pic>
              </a:graphicData>
            </a:graphic>
          </wp:inline>
        </w:drawing>
      </w:r>
    </w:p>
    <w:p w:rsidR="00EE5514" w:rsidRPr="00140400" w:rsidRDefault="00EE5514" w:rsidP="00EE5514">
      <w:pPr>
        <w:spacing w:after="0" w:line="240" w:lineRule="auto"/>
        <w:ind w:left="142"/>
        <w:rPr>
          <w:rFonts w:eastAsiaTheme="majorEastAsia"/>
          <w:color w:val="000000" w:themeColor="text1"/>
          <w:sz w:val="22"/>
          <w:szCs w:val="22"/>
        </w:rPr>
        <w:sectPr w:rsidR="00EE5514" w:rsidRPr="00140400">
          <w:pgSz w:w="16838" w:h="11906" w:orient="landscape"/>
          <w:pgMar w:top="1440" w:right="1440" w:bottom="1440" w:left="1440" w:header="709" w:footer="709" w:gutter="0"/>
          <w:cols w:space="720"/>
        </w:sectPr>
      </w:pPr>
      <w:r>
        <w:rPr>
          <w:rFonts w:eastAsiaTheme="majorEastAsia"/>
          <w:i/>
          <w:iCs/>
          <w:color w:val="000000" w:themeColor="text1"/>
          <w:sz w:val="22"/>
          <w:szCs w:val="22"/>
        </w:rPr>
        <w:t>Notes</w:t>
      </w:r>
      <w:r w:rsidRPr="00140400">
        <w:rPr>
          <w:rFonts w:eastAsiaTheme="majorEastAsia"/>
          <w:i/>
          <w:iCs/>
          <w:color w:val="000000" w:themeColor="text1"/>
          <w:sz w:val="22"/>
          <w:szCs w:val="22"/>
        </w:rPr>
        <w:t>:</w:t>
      </w:r>
      <w:r w:rsidRPr="00140400">
        <w:rPr>
          <w:rFonts w:eastAsiaTheme="majorEastAsia"/>
          <w:color w:val="000000" w:themeColor="text1"/>
          <w:sz w:val="22"/>
          <w:szCs w:val="22"/>
        </w:rPr>
        <w:t xml:space="preserve"> HH, Headcount Index; HH</w:t>
      </w:r>
      <w:r>
        <w:rPr>
          <w:rFonts w:eastAsiaTheme="majorEastAsia"/>
          <w:color w:val="000000" w:themeColor="text1"/>
          <w:sz w:val="22"/>
          <w:szCs w:val="22"/>
        </w:rPr>
        <w:t>-MPI</w:t>
      </w:r>
      <w:r w:rsidRPr="00140400">
        <w:rPr>
          <w:rFonts w:eastAsiaTheme="majorEastAsia"/>
          <w:color w:val="000000" w:themeColor="text1"/>
          <w:sz w:val="22"/>
          <w:szCs w:val="22"/>
        </w:rPr>
        <w:t xml:space="preserve">, </w:t>
      </w:r>
      <w:proofErr w:type="spellStart"/>
      <w:r w:rsidRPr="00140400">
        <w:rPr>
          <w:rFonts w:eastAsiaTheme="majorEastAsia"/>
          <w:color w:val="000000" w:themeColor="text1"/>
          <w:sz w:val="22"/>
          <w:szCs w:val="22"/>
        </w:rPr>
        <w:t>A</w:t>
      </w:r>
      <w:r>
        <w:rPr>
          <w:rFonts w:eastAsiaTheme="majorEastAsia"/>
          <w:color w:val="000000" w:themeColor="text1"/>
          <w:sz w:val="22"/>
          <w:szCs w:val="22"/>
        </w:rPr>
        <w:t>lkire</w:t>
      </w:r>
      <w:proofErr w:type="spellEnd"/>
      <w:r>
        <w:rPr>
          <w:rFonts w:eastAsiaTheme="majorEastAsia"/>
          <w:color w:val="000000" w:themeColor="text1"/>
          <w:sz w:val="22"/>
          <w:szCs w:val="22"/>
        </w:rPr>
        <w:t xml:space="preserve"> &amp; </w:t>
      </w:r>
      <w:r w:rsidRPr="00140400">
        <w:rPr>
          <w:rFonts w:eastAsiaTheme="majorEastAsia"/>
          <w:color w:val="000000" w:themeColor="text1"/>
          <w:sz w:val="22"/>
          <w:szCs w:val="22"/>
        </w:rPr>
        <w:t>F</w:t>
      </w:r>
      <w:r>
        <w:rPr>
          <w:rFonts w:eastAsiaTheme="majorEastAsia"/>
          <w:color w:val="000000" w:themeColor="text1"/>
          <w:sz w:val="22"/>
          <w:szCs w:val="22"/>
        </w:rPr>
        <w:t>oster (2011)</w:t>
      </w:r>
      <w:r w:rsidRPr="00140400">
        <w:rPr>
          <w:rFonts w:eastAsiaTheme="majorEastAsia"/>
          <w:color w:val="000000" w:themeColor="text1"/>
          <w:sz w:val="22"/>
          <w:szCs w:val="22"/>
        </w:rPr>
        <w:t xml:space="preserve"> </w:t>
      </w:r>
      <w:r>
        <w:rPr>
          <w:rFonts w:eastAsiaTheme="majorEastAsia"/>
          <w:color w:val="000000" w:themeColor="text1"/>
          <w:sz w:val="22"/>
          <w:szCs w:val="22"/>
        </w:rPr>
        <w:t>M</w:t>
      </w:r>
      <w:r w:rsidRPr="00140400">
        <w:rPr>
          <w:rFonts w:eastAsiaTheme="majorEastAsia"/>
          <w:color w:val="000000" w:themeColor="text1"/>
          <w:sz w:val="22"/>
          <w:szCs w:val="22"/>
        </w:rPr>
        <w:t xml:space="preserve">ultidimensional </w:t>
      </w:r>
      <w:r>
        <w:rPr>
          <w:rFonts w:eastAsiaTheme="majorEastAsia"/>
          <w:color w:val="000000" w:themeColor="text1"/>
          <w:sz w:val="22"/>
          <w:szCs w:val="22"/>
        </w:rPr>
        <w:t>H</w:t>
      </w:r>
      <w:r w:rsidRPr="00140400">
        <w:rPr>
          <w:rFonts w:eastAsiaTheme="majorEastAsia"/>
          <w:color w:val="000000" w:themeColor="text1"/>
          <w:sz w:val="22"/>
          <w:szCs w:val="22"/>
        </w:rPr>
        <w:t>eadcount Index; H</w:t>
      </w:r>
      <w:r>
        <w:rPr>
          <w:rFonts w:eastAsiaTheme="majorEastAsia"/>
          <w:color w:val="000000" w:themeColor="text1"/>
          <w:sz w:val="22"/>
          <w:szCs w:val="22"/>
        </w:rPr>
        <w:t>H-MDPI</w:t>
      </w:r>
      <w:r w:rsidRPr="00140400">
        <w:rPr>
          <w:rFonts w:eastAsiaTheme="majorEastAsia"/>
          <w:color w:val="000000" w:themeColor="text1"/>
          <w:sz w:val="22"/>
          <w:szCs w:val="22"/>
        </w:rPr>
        <w:t xml:space="preserve">, </w:t>
      </w:r>
      <w:r>
        <w:rPr>
          <w:rFonts w:eastAsiaTheme="majorEastAsia"/>
          <w:color w:val="000000" w:themeColor="text1"/>
          <w:sz w:val="22"/>
          <w:szCs w:val="22"/>
        </w:rPr>
        <w:t>M</w:t>
      </w:r>
      <w:r w:rsidRPr="00140400">
        <w:rPr>
          <w:rFonts w:eastAsiaTheme="majorEastAsia"/>
          <w:color w:val="000000" w:themeColor="text1"/>
          <w:sz w:val="22"/>
          <w:szCs w:val="22"/>
        </w:rPr>
        <w:t xml:space="preserve">ultidimensional </w:t>
      </w:r>
      <w:r>
        <w:rPr>
          <w:rFonts w:eastAsiaTheme="majorEastAsia"/>
          <w:color w:val="000000" w:themeColor="text1"/>
          <w:sz w:val="22"/>
          <w:szCs w:val="22"/>
        </w:rPr>
        <w:t>D</w:t>
      </w:r>
      <w:r w:rsidRPr="00140400">
        <w:rPr>
          <w:rFonts w:eastAsiaTheme="majorEastAsia"/>
          <w:color w:val="000000" w:themeColor="text1"/>
          <w:sz w:val="22"/>
          <w:szCs w:val="22"/>
        </w:rPr>
        <w:t xml:space="preserve">istribution-sensitive </w:t>
      </w:r>
      <w:r>
        <w:rPr>
          <w:rFonts w:eastAsiaTheme="majorEastAsia"/>
          <w:color w:val="000000" w:themeColor="text1"/>
          <w:sz w:val="22"/>
          <w:szCs w:val="22"/>
        </w:rPr>
        <w:t>H</w:t>
      </w:r>
      <w:r w:rsidRPr="00140400">
        <w:rPr>
          <w:rFonts w:eastAsiaTheme="majorEastAsia"/>
          <w:color w:val="000000" w:themeColor="text1"/>
          <w:sz w:val="22"/>
          <w:szCs w:val="22"/>
        </w:rPr>
        <w:t>eadcount Index; Multidimensional Poverty Index with 33% cut-off; MDPI, Multidimensional Distribution Sensitive Poverty Index; Cash Transfer (per capita) (BISP). Poverty change</w:t>
      </w:r>
      <w:r>
        <w:rPr>
          <w:rFonts w:eastAsiaTheme="majorEastAsia"/>
          <w:color w:val="000000" w:themeColor="text1"/>
          <w:sz w:val="22"/>
          <w:szCs w:val="22"/>
        </w:rPr>
        <w:t>s are</w:t>
      </w:r>
      <w:r w:rsidRPr="00140400">
        <w:rPr>
          <w:rFonts w:eastAsiaTheme="majorEastAsia"/>
          <w:color w:val="000000" w:themeColor="text1"/>
          <w:sz w:val="22"/>
          <w:szCs w:val="22"/>
        </w:rPr>
        <w:t xml:space="preserve"> pre-BISP minus post-BISP</w:t>
      </w:r>
    </w:p>
    <w:p w:rsidR="00EE5514" w:rsidRPr="00EE5514" w:rsidRDefault="00EE5514" w:rsidP="0012512A">
      <w:pPr>
        <w:spacing w:after="0" w:line="288" w:lineRule="auto"/>
        <w:jc w:val="both"/>
        <w:rPr>
          <w:rFonts w:asciiTheme="majorBidi" w:hAnsiTheme="majorBidi" w:cstheme="majorBidi"/>
          <w:b/>
          <w:bCs/>
        </w:rPr>
      </w:pPr>
      <w:r w:rsidRPr="00EE5514">
        <w:rPr>
          <w:rFonts w:asciiTheme="majorBidi" w:hAnsiTheme="majorBidi" w:cstheme="majorBidi"/>
          <w:b/>
          <w:bCs/>
        </w:rPr>
        <w:lastRenderedPageBreak/>
        <w:t>4. Empirical Methodology</w:t>
      </w:r>
    </w:p>
    <w:p w:rsidR="00CC3CE0" w:rsidRDefault="00CC3CE0" w:rsidP="0012512A">
      <w:pPr>
        <w:spacing w:after="0" w:line="288" w:lineRule="auto"/>
        <w:jc w:val="both"/>
      </w:pPr>
    </w:p>
    <w:p w:rsidR="00EE5514" w:rsidRDefault="00EE5514" w:rsidP="00BB1739">
      <w:pPr>
        <w:spacing w:after="0" w:line="288" w:lineRule="auto"/>
        <w:jc w:val="both"/>
      </w:pPr>
      <w:r>
        <w:t>The focus of this study is to investigate the impact of BISP in eradicating money-metric and multidimensional poverty at the district level of Pakistan based on the assumptions of counterfactual reasoning as we are evaluating the impact of social programme which has been implemented. The analysis is done in two stages. In the first stage, we employ the counterfactual decomposition technique introduced by Blinder and Oaxaca to examine</w:t>
      </w:r>
      <w:r w:rsidR="005F75C7">
        <w:t>: (</w:t>
      </w:r>
      <w:proofErr w:type="spellStart"/>
      <w:r w:rsidR="005F75C7">
        <w:t>i</w:t>
      </w:r>
      <w:proofErr w:type="spellEnd"/>
      <w:r w:rsidR="005F75C7">
        <w:t>)</w:t>
      </w:r>
      <w:r>
        <w:t xml:space="preserve"> if the same trends in poverty are apparent if </w:t>
      </w:r>
      <w:r w:rsidR="000A6BBC">
        <w:t>one</w:t>
      </w:r>
      <w:r>
        <w:t xml:space="preserve"> uses either the conventional or the multidimensional measures before and after the </w:t>
      </w:r>
      <w:r w:rsidR="005F75C7">
        <w:t xml:space="preserve">implementation of the </w:t>
      </w:r>
      <w:r>
        <w:t>BISP and (ii) whether the reduction in poverty is due to result of improvement in factors such as infrastructure or due to BISP. In the second stage, the impact of cash transfers in reducing poverty using conventional and non-conventional poverty measures is estimated along with investigating which targeting regimes (CBT vs PMT) worked better.</w:t>
      </w:r>
    </w:p>
    <w:p w:rsidR="00EE5514" w:rsidRDefault="00EE5514" w:rsidP="0012512A">
      <w:pPr>
        <w:spacing w:after="0" w:line="288" w:lineRule="auto"/>
        <w:jc w:val="both"/>
      </w:pPr>
    </w:p>
    <w:p w:rsidR="00EE5514" w:rsidRDefault="00EE5514" w:rsidP="0012512A">
      <w:pPr>
        <w:spacing w:after="0" w:line="288" w:lineRule="auto"/>
        <w:jc w:val="both"/>
        <w:rPr>
          <w:rFonts w:asciiTheme="majorBidi" w:hAnsiTheme="majorBidi" w:cstheme="majorBidi"/>
          <w:b/>
          <w:bCs/>
        </w:rPr>
      </w:pPr>
      <w:r w:rsidRPr="00EE5514">
        <w:rPr>
          <w:rFonts w:asciiTheme="majorBidi" w:hAnsiTheme="majorBidi" w:cstheme="majorBidi"/>
          <w:b/>
          <w:bCs/>
        </w:rPr>
        <w:t xml:space="preserve">4.1 </w:t>
      </w:r>
      <w:r w:rsidRPr="00EE5514">
        <w:rPr>
          <w:rFonts w:asciiTheme="majorBidi" w:hAnsiTheme="majorBidi" w:cstheme="majorBidi"/>
          <w:b/>
          <w:bCs/>
        </w:rPr>
        <w:tab/>
        <w:t>Blinder- Oaxaca Decomposition</w:t>
      </w:r>
    </w:p>
    <w:p w:rsidR="00CC3CE0" w:rsidRPr="00EE5514" w:rsidRDefault="00CC3CE0" w:rsidP="0012512A">
      <w:pPr>
        <w:spacing w:after="0" w:line="288" w:lineRule="auto"/>
        <w:jc w:val="both"/>
        <w:rPr>
          <w:rFonts w:asciiTheme="majorBidi" w:hAnsiTheme="majorBidi" w:cstheme="majorBidi"/>
          <w:b/>
          <w:bCs/>
        </w:rPr>
      </w:pPr>
    </w:p>
    <w:p w:rsidR="00EE5514" w:rsidRDefault="00EE5514" w:rsidP="00BB1739">
      <w:pPr>
        <w:spacing w:after="0" w:line="288" w:lineRule="auto"/>
        <w:jc w:val="both"/>
      </w:pPr>
      <w:r>
        <w:t xml:space="preserve">The Blinder- Oaxaca Decomposition has been most frequently applied in labour economics to explain wage differentials between groups, such as males and females, immigrants and natives and black and white workers.  It decomposes the average difference between two groups into three components. The first component explains the difference between two groups </w:t>
      </w:r>
      <w:r w:rsidR="00AC0A86">
        <w:t xml:space="preserve">due to </w:t>
      </w:r>
      <w:r>
        <w:t>difference</w:t>
      </w:r>
      <w:r w:rsidR="00AC0A86">
        <w:t>s</w:t>
      </w:r>
      <w:r>
        <w:t xml:space="preserve"> in </w:t>
      </w:r>
      <w:r w:rsidR="00AC0A86">
        <w:t xml:space="preserve">their </w:t>
      </w:r>
      <w:r>
        <w:t xml:space="preserve">endowments </w:t>
      </w:r>
      <w:r w:rsidR="00AC0A86">
        <w:t xml:space="preserve">(the covariates in the wage equation). </w:t>
      </w:r>
      <w:r>
        <w:t xml:space="preserve"> The second component refers to the difference due to differen</w:t>
      </w:r>
      <w:r w:rsidR="00AC0A86">
        <w:t xml:space="preserve">t returns to these characteristics (that is, differences in the </w:t>
      </w:r>
      <w:r>
        <w:t>coefficients of th</w:t>
      </w:r>
      <w:r w:rsidR="00AC0A86">
        <w:t xml:space="preserve">e wage equations). </w:t>
      </w:r>
      <w:r w:rsidR="00352725">
        <w:t>I</w:t>
      </w:r>
      <w:r w:rsidR="00AC0A86">
        <w:t>t is t</w:t>
      </w:r>
      <w:r>
        <w:t>h</w:t>
      </w:r>
      <w:r w:rsidR="00AC0A86">
        <w:t>is</w:t>
      </w:r>
      <w:r>
        <w:t xml:space="preserve"> second component </w:t>
      </w:r>
      <w:r w:rsidR="00E65BEC">
        <w:t xml:space="preserve">that can </w:t>
      </w:r>
      <w:r>
        <w:t xml:space="preserve">indicate the presence of </w:t>
      </w:r>
      <w:r w:rsidR="00E65BEC">
        <w:t xml:space="preserve">gender or racial </w:t>
      </w:r>
      <w:r>
        <w:t>biases</w:t>
      </w:r>
      <w:r w:rsidR="00E65BEC">
        <w:t>, whereby people with the same characteristics receive different payoffs.</w:t>
      </w:r>
      <w:r>
        <w:t xml:space="preserve">  The third component is the combination of endowment</w:t>
      </w:r>
      <w:r w:rsidR="00E65BEC">
        <w:t>s</w:t>
      </w:r>
      <w:r>
        <w:t xml:space="preserve"> and coefficient</w:t>
      </w:r>
      <w:r w:rsidR="00E65BEC">
        <w:t>s, and is</w:t>
      </w:r>
      <w:r>
        <w:t xml:space="preserve"> known as </w:t>
      </w:r>
      <w:r w:rsidR="00E65BEC">
        <w:t xml:space="preserve">the </w:t>
      </w:r>
      <w:r>
        <w:t>interaction</w:t>
      </w:r>
      <w:r w:rsidR="00E65BEC">
        <w:t xml:space="preserve"> component</w:t>
      </w:r>
      <w:r>
        <w:t xml:space="preserve">. </w:t>
      </w:r>
    </w:p>
    <w:p w:rsidR="00EE5514" w:rsidRDefault="00EE5514" w:rsidP="0012512A">
      <w:pPr>
        <w:spacing w:after="0" w:line="288" w:lineRule="auto"/>
        <w:jc w:val="both"/>
      </w:pPr>
    </w:p>
    <w:p w:rsidR="004C5945" w:rsidRDefault="00EE5514" w:rsidP="002224BF">
      <w:pPr>
        <w:spacing w:after="0" w:line="288" w:lineRule="auto"/>
        <w:ind w:firstLine="720"/>
        <w:jc w:val="both"/>
      </w:pPr>
      <w:r w:rsidRPr="002224BF">
        <w:t>In this paper</w:t>
      </w:r>
      <w:r w:rsidR="005F75C7" w:rsidRPr="002224BF">
        <w:t>, we</w:t>
      </w:r>
      <w:r w:rsidR="009F4386" w:rsidRPr="002224BF">
        <w:t xml:space="preserve"> use the</w:t>
      </w:r>
      <w:r w:rsidRPr="002224BF">
        <w:t xml:space="preserve"> Blinder-Oaxaca decomposition</w:t>
      </w:r>
      <w:r w:rsidR="009F4386" w:rsidRPr="002224BF">
        <w:t xml:space="preserve"> method</w:t>
      </w:r>
      <w:r w:rsidRPr="002224BF">
        <w:t xml:space="preserve"> </w:t>
      </w:r>
      <w:r w:rsidR="005F75C7" w:rsidRPr="002224BF">
        <w:t>to</w:t>
      </w:r>
      <w:r w:rsidRPr="002224BF">
        <w:t xml:space="preserve"> investigate if there is any significant difference in </w:t>
      </w:r>
      <w:r w:rsidR="004C5945" w:rsidRPr="002224BF">
        <w:t xml:space="preserve">the </w:t>
      </w:r>
      <w:r w:rsidRPr="002224BF">
        <w:t xml:space="preserve">average poverty estimates before and after the implementation of </w:t>
      </w:r>
      <w:r w:rsidR="00423254" w:rsidRPr="002224BF">
        <w:t xml:space="preserve">the </w:t>
      </w:r>
      <w:r w:rsidRPr="002224BF">
        <w:t xml:space="preserve">BISP. </w:t>
      </w:r>
      <w:r w:rsidR="007151C1" w:rsidRPr="002224BF">
        <w:t xml:space="preserve"> </w:t>
      </w:r>
      <w:r w:rsidR="00E5165A" w:rsidRPr="002224BF">
        <w:t xml:space="preserve">The decomposition technique allows the identification of how much of mean differences on outcomes across </w:t>
      </w:r>
      <w:r w:rsidR="002224BF" w:rsidRPr="002224BF">
        <w:t>two time periods</w:t>
      </w:r>
      <w:r w:rsidR="00E5165A" w:rsidRPr="002224BF">
        <w:t xml:space="preserve"> can be explained by the differences in observed characteristics. The rest of differences that cannot be explained by observed characteristics can be defined as exogenous effects. </w:t>
      </w:r>
      <w:r w:rsidR="002224BF" w:rsidRPr="002224BF">
        <w:t>In this light, the Blinder–Oaxaca decomposition can be applied in policy evaluation to estimate the net policy impact (Hwang and Lee, 2015)</w:t>
      </w:r>
    </w:p>
    <w:p w:rsidR="00EE5514" w:rsidRDefault="00EE5514" w:rsidP="0012512A">
      <w:pPr>
        <w:spacing w:after="0" w:line="288" w:lineRule="auto"/>
        <w:jc w:val="both"/>
      </w:pPr>
    </w:p>
    <w:p w:rsidR="00EE5514" w:rsidRDefault="00EE5514" w:rsidP="00CC3CE0">
      <w:pPr>
        <w:spacing w:after="0" w:line="288" w:lineRule="auto"/>
        <w:ind w:firstLine="720"/>
        <w:jc w:val="both"/>
      </w:pPr>
      <w:r>
        <w:t xml:space="preserve">To identify the policy impact of BISP on poverty using the Blinder-Oaxaca decomposition, linear regression defined by equation (1) is divided into </w:t>
      </w:r>
      <w:r w:rsidR="003E77F0">
        <w:t>two groups:</w:t>
      </w:r>
      <w:r>
        <w:t xml:space="preserve"> ‘pre’ BISP and ‘post’ BSP. In </w:t>
      </w:r>
      <w:r w:rsidR="000D76FE">
        <w:t xml:space="preserve">the </w:t>
      </w:r>
      <w:r>
        <w:t xml:space="preserve">first equation, the poverty estimates from the first group ‘pre’, before 2008, are regressed on </w:t>
      </w:r>
      <w:r w:rsidR="005F75C7">
        <w:t>a set of</w:t>
      </w:r>
      <w:r>
        <w:t xml:space="preserve"> covariates. In the second equation, the poverty estimates from the second group, ‘post’, calculated using conventional and non-conventional poverty estimates are regressed on covariates post 2008. The covariates used in both these regressions </w:t>
      </w:r>
      <w:r w:rsidR="003E77F0">
        <w:lastRenderedPageBreak/>
        <w:t>include</w:t>
      </w:r>
      <w:r>
        <w:t xml:space="preserve"> household characteristics, access to services and facilities that define the living standard of a household such as electricity, gas, access to water, access to hospitals, schools, number of rooms, brick wall, number of rooms. </w:t>
      </w:r>
    </w:p>
    <w:p w:rsidR="00EE5514" w:rsidRPr="00887487" w:rsidRDefault="00EE5514" w:rsidP="0012512A">
      <w:pPr>
        <w:spacing w:after="0" w:line="288" w:lineRule="auto"/>
        <w:jc w:val="both"/>
      </w:pPr>
    </w:p>
    <w:p w:rsidR="00EE5514" w:rsidRPr="00930827" w:rsidRDefault="00CF00F9" w:rsidP="00EE5514">
      <w:pPr>
        <w:jc w:val="center"/>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w:rPr>
                        <w:rFonts w:ascii="Cambria Math" w:hAnsi="Cambria Math"/>
                      </w:rPr>
                      <m:t>β</m:t>
                    </m:r>
                  </m:e>
                  <m:sup>
                    <m:r>
                      <w:rPr>
                        <w:rFonts w:ascii="Cambria Math" w:hAnsi="Cambria Math"/>
                      </w:rPr>
                      <m:t>pre</m:t>
                    </m:r>
                  </m:sup>
                </m:s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pre</m:t>
                    </m:r>
                  </m:sup>
                </m:sSubSup>
                <m:r>
                  <w:rPr>
                    <w:rFonts w:ascii="Cambria Math" w:hAnsi="Cambria Math"/>
                  </w:rPr>
                  <m:t xml:space="preserve">                                Pre BISP</m:t>
                </m:r>
              </m:e>
              <m:e>
                <m:sSup>
                  <m:sSupPr>
                    <m:ctrlPr>
                      <w:rPr>
                        <w:rFonts w:ascii="Cambria Math" w:hAnsi="Cambria Math"/>
                        <w:i/>
                      </w:rPr>
                    </m:ctrlPr>
                  </m:sSupPr>
                  <m:e>
                    <m:r>
                      <w:rPr>
                        <w:rFonts w:ascii="Cambria Math" w:hAnsi="Cambria Math"/>
                      </w:rPr>
                      <m:t>β</m:t>
                    </m:r>
                  </m:e>
                  <m:sup>
                    <m:r>
                      <w:rPr>
                        <w:rFonts w:ascii="Cambria Math" w:hAnsi="Cambria Math"/>
                      </w:rPr>
                      <m:t>post</m:t>
                    </m:r>
                  </m:sup>
                </m:s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 </m:t>
                </m:r>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post</m:t>
                    </m:r>
                  </m:sup>
                </m:sSubSup>
                <m:r>
                  <w:rPr>
                    <w:rFonts w:ascii="Cambria Math" w:hAnsi="Cambria Math"/>
                  </w:rPr>
                  <m:t xml:space="preserve">                              Post BISP </m:t>
                </m:r>
              </m:e>
            </m:eqArr>
          </m:e>
        </m:d>
      </m:oMath>
      <w:r w:rsidR="00EE5514">
        <w:t xml:space="preserve"> </w:t>
      </w:r>
      <w:r w:rsidR="00F57697">
        <w:tab/>
      </w:r>
      <w:r w:rsidR="00F57697">
        <w:tab/>
      </w:r>
      <w:r w:rsidR="00F57697">
        <w:tab/>
      </w:r>
      <w:r w:rsidR="00F57697">
        <w:tab/>
      </w:r>
      <w:r w:rsidR="00EE5514">
        <w:t>(1)</w:t>
      </w:r>
    </w:p>
    <w:p w:rsidR="003E77F0" w:rsidRDefault="003E77F0" w:rsidP="0012512A">
      <w:pPr>
        <w:spacing w:after="0" w:line="288" w:lineRule="auto"/>
        <w:jc w:val="both"/>
      </w:pPr>
    </w:p>
    <w:p w:rsidR="00EE5514" w:rsidRDefault="00EE5514" w:rsidP="0012512A">
      <w:pPr>
        <w:spacing w:after="0" w:line="288" w:lineRule="auto"/>
        <w:jc w:val="both"/>
      </w:pPr>
      <w:r>
        <w:t xml:space="preserve">where </w:t>
      </w:r>
      <m:oMath>
        <m:sSub>
          <m:sSubPr>
            <m:ctrlPr>
              <w:rPr>
                <w:rFonts w:ascii="Cambria Math" w:hAnsi="Cambria Math"/>
                <w:i/>
              </w:rPr>
            </m:ctrlPr>
          </m:sSubPr>
          <m:e>
            <m:r>
              <w:rPr>
                <w:rFonts w:ascii="Cambria Math" w:hAnsi="Cambria Math"/>
              </w:rPr>
              <m:t xml:space="preserve"> x</m:t>
            </m:r>
          </m:e>
          <m:sub>
            <m:r>
              <w:rPr>
                <w:rFonts w:ascii="Cambria Math" w:hAnsi="Cambria Math"/>
              </w:rPr>
              <m:t>i</m:t>
            </m:r>
          </m:sub>
        </m:sSub>
      </m:oMath>
      <w:r>
        <w:t xml:space="preserve"> is the set of covariates,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is the money metric and multidimensional poverty </w:t>
      </w:r>
      <w:proofErr w:type="gramStart"/>
      <w:r>
        <w:t>estimates.</w:t>
      </w:r>
      <w:proofErr w:type="gramEnd"/>
      <w:r>
        <w:t xml:space="preserve"> The difference in the average poverty estimates for two groups, pre</w:t>
      </w:r>
      <w:r w:rsidR="0078287D">
        <w:t>-</w:t>
      </w:r>
      <w:r>
        <w:t xml:space="preserve"> and post</w:t>
      </w:r>
      <w:r w:rsidR="0078287D">
        <w:t>-</w:t>
      </w:r>
      <w:r>
        <w:t xml:space="preserve"> BISP can be expressed as: </w:t>
      </w:r>
    </w:p>
    <w:p w:rsidR="0012512A" w:rsidRDefault="0012512A" w:rsidP="00EE5514">
      <w:pPr>
        <w:ind w:left="720"/>
      </w:pPr>
    </w:p>
    <w:p w:rsidR="00EE5514" w:rsidRPr="00315545" w:rsidRDefault="00EE5514" w:rsidP="00EE5514">
      <w:pPr>
        <w:ind w:left="720"/>
      </w:pPr>
      <w:r>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Pr>
          <w:vertAlign w:val="superscript"/>
        </w:rPr>
        <w:t xml:space="preserve"> </w:t>
      </w:r>
      <w:r>
        <w:sym w:font="Symbol" w:char="F02D"/>
      </w:r>
      <w:r>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post</m:t>
            </m:r>
          </m:sup>
        </m:sSup>
      </m:oMath>
      <w:r>
        <w:rPr>
          <w:vertAlign w:val="superscript"/>
        </w:rPr>
        <w:t xml:space="preserve">   </w:t>
      </w:r>
      <w:r>
        <w:t xml:space="preserve">=   </w:t>
      </w: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pre</m:t>
            </m:r>
          </m:sup>
        </m:sSup>
        <m:r>
          <w:rPr>
            <w:rFonts w:ascii="Cambria Math" w:hAnsi="Cambria Math"/>
            <w:lang w:val="en-US"/>
          </w:rPr>
          <m:t xml:space="preserve">- </m:t>
        </m:r>
        <m:r>
          <m:rPr>
            <m:sty m:val="p"/>
          </m:rPr>
          <w:rPr>
            <w:rFonts w:ascii="Cambria Math" w:hAnsi="Cambria Math"/>
          </w:rPr>
          <m:t xml:space="preserve"> </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oMath>
      <w:r>
        <w:rPr>
          <w:lang w:val="en-US"/>
        </w:rPr>
        <w:t xml:space="preserve">     </w:t>
      </w:r>
      <w:r w:rsidR="00F57697">
        <w:rPr>
          <w:lang w:val="en-US"/>
        </w:rPr>
        <w:tab/>
      </w:r>
      <w:r w:rsidR="00F57697">
        <w:rPr>
          <w:lang w:val="en-US"/>
        </w:rPr>
        <w:tab/>
      </w:r>
      <w:r w:rsidR="00F57697">
        <w:rPr>
          <w:lang w:val="en-US"/>
        </w:rPr>
        <w:tab/>
      </w:r>
      <w:r w:rsidR="00F57697">
        <w:rPr>
          <w:lang w:val="en-US"/>
        </w:rPr>
        <w:tab/>
        <w:t xml:space="preserve">      </w:t>
      </w:r>
      <w:proofErr w:type="gramStart"/>
      <w:r w:rsidR="00F57697">
        <w:rPr>
          <w:lang w:val="en-US"/>
        </w:rPr>
        <w:t xml:space="preserve">  </w:t>
      </w:r>
      <w:r>
        <w:rPr>
          <w:lang w:val="en-US"/>
        </w:rPr>
        <w:t xml:space="preserve"> (</w:t>
      </w:r>
      <w:proofErr w:type="gramEnd"/>
      <w:r>
        <w:rPr>
          <w:lang w:val="en-US"/>
        </w:rPr>
        <w:t>2)</w:t>
      </w:r>
    </w:p>
    <w:p w:rsidR="00EE5514" w:rsidRDefault="00EE5514" w:rsidP="00EE5514"/>
    <w:p w:rsidR="00EE5514" w:rsidRPr="00F57697" w:rsidRDefault="00EE5514" w:rsidP="00F57697">
      <w:pPr>
        <w:spacing w:after="0" w:line="288" w:lineRule="auto"/>
        <w:ind w:firstLine="720"/>
        <w:jc w:val="both"/>
        <w:rPr>
          <w:lang w:val="en-US"/>
        </w:rPr>
      </w:pPr>
      <w:r>
        <w:t xml:space="preserve">A simple graphical representation is presented in Figure 3, with poverty as the outcome variable and for simplicity we assume a single covariate, </w:t>
      </w:r>
      <w:r w:rsidRPr="002D3683">
        <w:rPr>
          <w:i/>
          <w:iCs/>
        </w:rPr>
        <w:t>x</w:t>
      </w:r>
      <w:r w:rsidR="003E77F0">
        <w:rPr>
          <w:i/>
          <w:iCs/>
        </w:rPr>
        <w:t>,</w:t>
      </w:r>
      <w:r w:rsidR="00F57697">
        <w:rPr>
          <w:i/>
          <w:iCs/>
        </w:rPr>
        <w:t xml:space="preserve"> </w:t>
      </w:r>
      <w:r w:rsidR="00F57697">
        <w:t>such as number of rooms,</w:t>
      </w:r>
      <w:r w:rsidR="00F57697">
        <w:rPr>
          <w:i/>
          <w:iCs/>
        </w:rPr>
        <w:t xml:space="preserve"> </w:t>
      </w:r>
      <w:r w:rsidR="00F57697">
        <w:t xml:space="preserve">which is negatively associated with poverty; and the mean level of </w:t>
      </w:r>
      <w:r w:rsidR="00F57697" w:rsidRPr="00F57697">
        <w:rPr>
          <w:i/>
          <w:iCs/>
        </w:rPr>
        <w:t>x</w:t>
      </w:r>
      <w:r w:rsidR="00F57697">
        <w:t xml:space="preserve"> </w:t>
      </w:r>
      <w:r w:rsidR="00F57697">
        <w:rPr>
          <w:lang w:val="en-US"/>
        </w:rPr>
        <w:t>in post-BISP is higher than that of in the pre-BISP because of the improvements in social indicators over time (World Bank, 201</w:t>
      </w:r>
      <w:r w:rsidR="00961B9F">
        <w:rPr>
          <w:lang w:val="en-US"/>
        </w:rPr>
        <w:t>6</w:t>
      </w:r>
      <w:r w:rsidR="00F57697">
        <w:rPr>
          <w:lang w:val="en-US"/>
        </w:rPr>
        <w:t>).</w:t>
      </w:r>
    </w:p>
    <w:p w:rsidR="0012512A" w:rsidRDefault="0012512A" w:rsidP="0012512A">
      <w:pPr>
        <w:spacing w:after="0" w:line="288" w:lineRule="auto"/>
        <w:rPr>
          <w:i/>
          <w:iCs/>
        </w:rPr>
      </w:pPr>
    </w:p>
    <w:p w:rsidR="005F75C7" w:rsidRPr="00104188" w:rsidRDefault="005F75C7" w:rsidP="005F75C7">
      <w:pPr>
        <w:spacing w:line="240" w:lineRule="auto"/>
        <w:ind w:left="993" w:hanging="993"/>
        <w:jc w:val="center"/>
        <w:rPr>
          <w:b/>
          <w:bCs/>
          <w:color w:val="000000" w:themeColor="text1"/>
        </w:rPr>
      </w:pPr>
      <w:r w:rsidRPr="00104188">
        <w:rPr>
          <w:b/>
          <w:bCs/>
          <w:color w:val="000000" w:themeColor="text1"/>
        </w:rPr>
        <w:t>Figure 3: Graphical representation of Blinder-Oaxaca decomposition</w:t>
      </w:r>
    </w:p>
    <w:p w:rsidR="00EE5514" w:rsidRDefault="00EE5514" w:rsidP="00EE5514">
      <w:pPr>
        <w:spacing w:line="240" w:lineRule="auto"/>
        <w:ind w:left="993" w:hanging="993"/>
        <w:rPr>
          <w:i/>
          <w:iCs/>
          <w:color w:val="000000" w:themeColor="text1"/>
        </w:rPr>
      </w:pPr>
      <w:r>
        <w:rPr>
          <w:noProof/>
          <w:lang w:eastAsia="zh-CN"/>
        </w:rPr>
        <w:drawing>
          <wp:inline distT="0" distB="0" distL="0" distR="0" wp14:anchorId="2F090BAA" wp14:editId="09114B68">
            <wp:extent cx="5517592" cy="3678488"/>
            <wp:effectExtent l="19050" t="19050" r="26035" b="1778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0153" cy="3753531"/>
                    </a:xfrm>
                    <a:prstGeom prst="rect">
                      <a:avLst/>
                    </a:prstGeom>
                    <a:ln>
                      <a:solidFill>
                        <a:schemeClr val="tx1"/>
                      </a:solidFill>
                    </a:ln>
                  </pic:spPr>
                </pic:pic>
              </a:graphicData>
            </a:graphic>
          </wp:inline>
        </w:drawing>
      </w:r>
    </w:p>
    <w:p w:rsidR="00F57697" w:rsidRDefault="00F57697" w:rsidP="0012512A">
      <w:pPr>
        <w:spacing w:after="0" w:line="288" w:lineRule="auto"/>
        <w:jc w:val="both"/>
        <w:rPr>
          <w:lang w:val="en-US"/>
        </w:rPr>
      </w:pPr>
    </w:p>
    <w:p w:rsidR="00EE5514" w:rsidRDefault="00961B9F" w:rsidP="0012512A">
      <w:pPr>
        <w:spacing w:after="0" w:line="288" w:lineRule="auto"/>
        <w:jc w:val="both"/>
        <w:rPr>
          <w:lang w:val="en-US"/>
        </w:rPr>
      </w:pPr>
      <w:r>
        <w:rPr>
          <w:lang w:val="en-US"/>
        </w:rPr>
        <w:lastRenderedPageBreak/>
        <w:t>We</w:t>
      </w:r>
      <w:r w:rsidR="00EE5514">
        <w:rPr>
          <w:lang w:val="en-US"/>
        </w:rPr>
        <w:t xml:space="preserve"> assume that the difference in average poverty estimates between two groups is not merely because of the difference in the value of covariates, </w:t>
      </w:r>
      <m:oMath>
        <m:r>
          <w:rPr>
            <w:rFonts w:ascii="Cambria Math" w:hAnsi="Cambria Math"/>
            <w:lang w:val="en-US"/>
          </w:rPr>
          <m:t>∆x</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oMath>
      <w:r w:rsidR="00EE5514">
        <w:rPr>
          <w:lang w:val="en-US"/>
        </w:rPr>
        <w:t xml:space="preserve">, but is also due to the difference in effects of those covariates, the slope of the model, </w:t>
      </w:r>
      <m:oMath>
        <m:r>
          <w:rPr>
            <w:rFonts w:ascii="Cambria Math" w:hAnsi="Cambria Math"/>
            <w:lang w:val="en-US"/>
          </w:rPr>
          <m:t>∆β</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r>
          <w:rPr>
            <w:rFonts w:ascii="Cambria Math" w:hAnsi="Cambria Math"/>
            <w:lang w:val="en-US"/>
          </w:rPr>
          <m:t>.</m:t>
        </m:r>
      </m:oMath>
      <w:r w:rsidR="00EE5514">
        <w:rPr>
          <w:lang w:val="en-US"/>
        </w:rPr>
        <w:t xml:space="preserve">  The above figure implies the following: </w:t>
      </w:r>
    </w:p>
    <w:p w:rsidR="00F57697" w:rsidRPr="00237936" w:rsidRDefault="00F57697" w:rsidP="0012512A">
      <w:pPr>
        <w:spacing w:after="0" w:line="288" w:lineRule="auto"/>
        <w:jc w:val="both"/>
        <w:rPr>
          <w:lang w:val="en-US"/>
        </w:rPr>
      </w:pPr>
    </w:p>
    <w:p w:rsidR="00EE5514" w:rsidRDefault="00CF00F9" w:rsidP="0012512A">
      <w:pPr>
        <w:spacing w:after="0" w:line="288" w:lineRule="auto"/>
        <w:jc w:val="both"/>
        <w:rPr>
          <w:lang w:val="en-US"/>
        </w:rPr>
      </w:pP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sidR="00EE5514">
        <w:rPr>
          <w:vertAlign w:val="superscript"/>
        </w:rPr>
        <w:t xml:space="preserve"> </w:t>
      </w:r>
      <w:r w:rsidR="00EE5514">
        <w:sym w:font="Symbol" w:char="F02D"/>
      </w:r>
      <w:r w:rsidR="00EE5514">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sz w:val="22"/>
                <w:szCs w:val="22"/>
                <w:lang w:val="en-US"/>
              </w:rPr>
              <m:t>post</m:t>
            </m:r>
          </m:sup>
        </m:sSup>
      </m:oMath>
      <w:r w:rsidR="00EE5514">
        <w:rPr>
          <w:vertAlign w:val="superscript"/>
        </w:rPr>
        <w:t xml:space="preserve"> </w:t>
      </w:r>
      <w:r w:rsidR="00EE5514">
        <w:t xml:space="preserve">=  </w:t>
      </w:r>
      <m:oMath>
        <m:r>
          <w:rPr>
            <w:rFonts w:ascii="Cambria Math" w:hAnsi="Cambria Math"/>
            <w:lang w:val="en-US"/>
          </w:rPr>
          <m:t>∆β</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r>
          <w:rPr>
            <w:rFonts w:ascii="Cambria Math" w:hAnsi="Cambria Math"/>
            <w:lang w:val="en-US"/>
          </w:rPr>
          <m:t>+ ∆x</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oMath>
      <w:r w:rsidR="00EE5514">
        <w:rPr>
          <w:lang w:val="en-US"/>
        </w:rPr>
        <w:t xml:space="preserve"> </w:t>
      </w:r>
      <w:r w:rsidR="00F57697">
        <w:rPr>
          <w:lang w:val="en-US"/>
        </w:rPr>
        <w:t xml:space="preserve">          </w:t>
      </w:r>
      <w:r w:rsidR="00F57697">
        <w:rPr>
          <w:lang w:val="en-US"/>
        </w:rPr>
        <w:tab/>
      </w:r>
      <w:r w:rsidR="00F57697">
        <w:rPr>
          <w:lang w:val="en-US"/>
        </w:rPr>
        <w:tab/>
      </w:r>
      <w:r w:rsidR="00F57697">
        <w:rPr>
          <w:lang w:val="en-US"/>
        </w:rPr>
        <w:tab/>
      </w:r>
      <w:r w:rsidR="00F57697">
        <w:rPr>
          <w:lang w:val="en-US"/>
        </w:rPr>
        <w:tab/>
      </w:r>
      <w:r w:rsidR="00F57697">
        <w:rPr>
          <w:lang w:val="en-US"/>
        </w:rPr>
        <w:tab/>
      </w:r>
      <w:r w:rsidR="00F57697">
        <w:rPr>
          <w:lang w:val="en-US"/>
        </w:rPr>
        <w:tab/>
      </w:r>
      <w:r w:rsidR="00EE5514">
        <w:rPr>
          <w:lang w:val="en-US"/>
        </w:rPr>
        <w:t xml:space="preserve">    </w:t>
      </w:r>
      <w:proofErr w:type="gramStart"/>
      <w:r w:rsidR="00EE5514">
        <w:rPr>
          <w:lang w:val="en-US"/>
        </w:rPr>
        <w:t xml:space="preserve">   (</w:t>
      </w:r>
      <w:proofErr w:type="gramEnd"/>
      <w:r w:rsidR="00EE5514">
        <w:rPr>
          <w:lang w:val="en-US"/>
        </w:rPr>
        <w:t>3)</w:t>
      </w:r>
    </w:p>
    <w:p w:rsidR="00F57697" w:rsidRDefault="00F57697" w:rsidP="0012512A">
      <w:pPr>
        <w:spacing w:after="0" w:line="288" w:lineRule="auto"/>
        <w:ind w:left="1440"/>
        <w:jc w:val="both"/>
        <w:rPr>
          <w:lang w:val="en-US"/>
        </w:rPr>
      </w:pPr>
    </w:p>
    <w:p w:rsidR="00EE5514" w:rsidRPr="002433F6" w:rsidRDefault="00EE5514" w:rsidP="009D5A9C">
      <w:pPr>
        <w:spacing w:after="0" w:line="288" w:lineRule="auto"/>
        <w:jc w:val="both"/>
        <w:rPr>
          <w:lang w:val="en-US"/>
        </w:rPr>
      </w:pPr>
      <w:r>
        <w:rPr>
          <w:lang w:val="en-US"/>
        </w:rPr>
        <w:t xml:space="preserve">where, </w:t>
      </w:r>
    </w:p>
    <w:p w:rsidR="00EE5514" w:rsidRDefault="00EE5514" w:rsidP="0012512A">
      <w:pPr>
        <w:spacing w:after="0" w:line="288" w:lineRule="auto"/>
        <w:ind w:firstLine="2127"/>
        <w:jc w:val="both"/>
        <w:rPr>
          <w:vertAlign w:val="superscript"/>
        </w:rPr>
      </w:pPr>
      <m:oMath>
        <m:r>
          <w:rPr>
            <w:rFonts w:ascii="Cambria Math" w:hAnsi="Cambria Math"/>
            <w:lang w:val="en-US"/>
          </w:rPr>
          <m:t>∆x</m:t>
        </m:r>
      </m:oMath>
      <w:r>
        <w:t xml:space="preserve"> = </w:t>
      </w:r>
      <m:oMath>
        <m:r>
          <w:rPr>
            <w:rFonts w:ascii="Cambria Math" w:hAnsi="Cambria Math"/>
            <w:lang w:val="en-US"/>
          </w:rPr>
          <m:t>x</m:t>
        </m:r>
      </m:oMath>
      <w:r>
        <w:rPr>
          <w:vertAlign w:val="superscript"/>
        </w:rPr>
        <w:t xml:space="preserve"> pre </w:t>
      </w:r>
      <w:r>
        <w:sym w:font="Symbol" w:char="F02D"/>
      </w:r>
      <w:r>
        <w:t xml:space="preserve"> </w:t>
      </w:r>
      <m:oMath>
        <m:r>
          <w:rPr>
            <w:rFonts w:ascii="Cambria Math" w:hAnsi="Cambria Math"/>
            <w:lang w:val="en-US"/>
          </w:rPr>
          <m:t>x</m:t>
        </m:r>
      </m:oMath>
      <w:r>
        <w:rPr>
          <w:vertAlign w:val="superscript"/>
        </w:rPr>
        <w:t xml:space="preserve"> post</w:t>
      </w:r>
    </w:p>
    <w:p w:rsidR="00EE5514" w:rsidRPr="00753AF1" w:rsidRDefault="00EE5514" w:rsidP="0012512A">
      <w:pPr>
        <w:spacing w:after="0" w:line="288" w:lineRule="auto"/>
        <w:ind w:firstLine="2127"/>
        <w:jc w:val="both"/>
        <w:rPr>
          <w:lang w:val="en-US"/>
        </w:rPr>
      </w:pPr>
      <m:oMath>
        <m:r>
          <w:rPr>
            <w:rFonts w:ascii="Cambria Math" w:hAnsi="Cambria Math"/>
            <w:lang w:val="en-US"/>
          </w:rPr>
          <m:t>∆β</m:t>
        </m:r>
      </m:oMath>
      <w:r>
        <w:t xml:space="preserve"> = </w:t>
      </w:r>
      <m:oMath>
        <m:r>
          <w:rPr>
            <w:rFonts w:ascii="Cambria Math" w:hAnsi="Cambria Math"/>
            <w:lang w:val="en-US"/>
          </w:rPr>
          <m:t>β</m:t>
        </m:r>
      </m:oMath>
      <w:r>
        <w:rPr>
          <w:vertAlign w:val="superscript"/>
        </w:rPr>
        <w:t xml:space="preserve"> pre </w:t>
      </w:r>
      <w:r>
        <w:sym w:font="Symbol" w:char="F02D"/>
      </w:r>
      <w:r>
        <w:t xml:space="preserve"> </w:t>
      </w:r>
      <m:oMath>
        <m:r>
          <w:rPr>
            <w:rFonts w:ascii="Cambria Math" w:hAnsi="Cambria Math"/>
            <w:lang w:val="en-US"/>
          </w:rPr>
          <m:t>β</m:t>
        </m:r>
      </m:oMath>
      <w:r>
        <w:rPr>
          <w:vertAlign w:val="superscript"/>
        </w:rPr>
        <w:t xml:space="preserve"> post</w:t>
      </w:r>
    </w:p>
    <w:p w:rsidR="00F57697" w:rsidRDefault="00F57697" w:rsidP="0012512A">
      <w:pPr>
        <w:spacing w:after="0" w:line="288" w:lineRule="auto"/>
        <w:jc w:val="both"/>
        <w:rPr>
          <w:lang w:val="en-US"/>
        </w:rPr>
      </w:pPr>
    </w:p>
    <w:p w:rsidR="00EE5514" w:rsidRPr="00874B33" w:rsidRDefault="00EE5514" w:rsidP="0012512A">
      <w:pPr>
        <w:spacing w:after="0" w:line="288" w:lineRule="auto"/>
        <w:jc w:val="both"/>
        <w:rPr>
          <w:lang w:val="en-US"/>
        </w:rPr>
      </w:pPr>
      <w:r>
        <w:rPr>
          <w:lang w:val="en-US"/>
        </w:rPr>
        <w:t xml:space="preserve">Expanding equation </w:t>
      </w:r>
      <w:r w:rsidR="00F57697">
        <w:rPr>
          <w:lang w:val="en-US"/>
        </w:rPr>
        <w:t>(</w:t>
      </w:r>
      <w:r>
        <w:rPr>
          <w:lang w:val="en-US"/>
        </w:rPr>
        <w:t>3</w:t>
      </w:r>
      <w:r w:rsidR="00F57697">
        <w:rPr>
          <w:lang w:val="en-US"/>
        </w:rPr>
        <w:t>)</w:t>
      </w:r>
      <w:r>
        <w:rPr>
          <w:lang w:val="en-US"/>
        </w:rPr>
        <w:t xml:space="preserve"> leads to the </w:t>
      </w:r>
      <w:r w:rsidR="00F57697">
        <w:rPr>
          <w:lang w:val="en-US"/>
        </w:rPr>
        <w:t>following equation</w:t>
      </w:r>
      <w:r>
        <w:rPr>
          <w:lang w:val="en-US"/>
        </w:rPr>
        <w:t>. The derivation is given in Annex B.</w:t>
      </w:r>
    </w:p>
    <w:p w:rsidR="00EE5514" w:rsidRPr="00F57697" w:rsidRDefault="00EE5514" w:rsidP="0012512A">
      <w:pPr>
        <w:spacing w:after="0" w:line="288" w:lineRule="auto"/>
        <w:jc w:val="both"/>
        <w:rPr>
          <w:lang w:val="fr-FR"/>
        </w:rPr>
      </w:pPr>
      <w:r>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sidRPr="00E5430B">
        <w:rPr>
          <w:vertAlign w:val="superscript"/>
          <w:lang w:val="fr-FR"/>
        </w:rPr>
        <w:t xml:space="preserve"> </w:t>
      </w:r>
      <w:r>
        <w:sym w:font="Symbol" w:char="F02D"/>
      </w:r>
      <w:r w:rsidRPr="00E5430B">
        <w:rPr>
          <w:lang w:val="fr-FR"/>
        </w:rPr>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post</m:t>
            </m:r>
          </m:sup>
        </m:sSup>
      </m:oMath>
      <w:r w:rsidRPr="00E5430B">
        <w:rPr>
          <w:vertAlign w:val="superscript"/>
          <w:lang w:val="fr-FR"/>
        </w:rPr>
        <w:t xml:space="preserve"> </w:t>
      </w:r>
      <w:r w:rsidRPr="00E5430B">
        <w:rPr>
          <w:lang w:val="fr-FR"/>
        </w:rPr>
        <w:t>= (</w:t>
      </w:r>
      <m:oMath>
        <m:r>
          <w:rPr>
            <w:rFonts w:ascii="Cambria Math" w:hAnsi="Cambria Math"/>
            <w:lang w:val="en-US"/>
          </w:rPr>
          <m:t>x</m:t>
        </m:r>
      </m:oMath>
      <w:r w:rsidRPr="00E5430B">
        <w:rPr>
          <w:vertAlign w:val="superscript"/>
          <w:lang w:val="fr-FR"/>
        </w:rPr>
        <w:t xml:space="preserve"> pre </w:t>
      </w:r>
      <w:r>
        <w:sym w:font="Symbol" w:char="F02D"/>
      </w:r>
      <w:r w:rsidRPr="00E5430B">
        <w:rPr>
          <w:lang w:val="fr-FR"/>
        </w:rPr>
        <w:t xml:space="preserve"> </w:t>
      </w:r>
      <m:oMath>
        <m:r>
          <w:rPr>
            <w:rFonts w:ascii="Cambria Math" w:hAnsi="Cambria Math"/>
            <w:lang w:val="en-US"/>
          </w:rPr>
          <m:t>x</m:t>
        </m:r>
      </m:oMath>
      <w:r w:rsidRPr="00E5430B">
        <w:rPr>
          <w:vertAlign w:val="superscript"/>
          <w:lang w:val="fr-FR"/>
        </w:rPr>
        <w:t xml:space="preserve"> post</w:t>
      </w:r>
      <w:r w:rsidRPr="00E5430B">
        <w:rPr>
          <w:lang w:val="fr-FR"/>
        </w:rPr>
        <w:t xml:space="preserve">) </w:t>
      </w:r>
      <m:oMath>
        <m:r>
          <w:rPr>
            <w:rFonts w:ascii="Cambria Math" w:hAnsi="Cambria Math"/>
            <w:lang w:val="en-US"/>
          </w:rPr>
          <m:t>β</m:t>
        </m:r>
      </m:oMath>
      <w:r w:rsidRPr="00E5430B">
        <w:rPr>
          <w:vertAlign w:val="superscript"/>
          <w:lang w:val="fr-FR"/>
        </w:rPr>
        <w:t xml:space="preserve"> post</w:t>
      </w:r>
      <w:r w:rsidRPr="00E5430B">
        <w:rPr>
          <w:lang w:val="fr-FR"/>
        </w:rPr>
        <w:t xml:space="preserve"> + (</w:t>
      </w:r>
      <m:oMath>
        <m:r>
          <w:rPr>
            <w:rFonts w:ascii="Cambria Math" w:hAnsi="Cambria Math"/>
            <w:lang w:val="en-US"/>
          </w:rPr>
          <m:t>β</m:t>
        </m:r>
      </m:oMath>
      <w:r w:rsidRPr="00E5430B">
        <w:rPr>
          <w:vertAlign w:val="superscript"/>
          <w:lang w:val="fr-FR"/>
        </w:rPr>
        <w:t xml:space="preserve"> pre </w:t>
      </w:r>
      <w:r>
        <w:sym w:font="Symbol" w:char="F02D"/>
      </w:r>
      <w:r w:rsidRPr="00E5430B">
        <w:rPr>
          <w:lang w:val="fr-FR"/>
        </w:rPr>
        <w:t xml:space="preserve"> </w:t>
      </w:r>
      <m:oMath>
        <m:r>
          <w:rPr>
            <w:rFonts w:ascii="Cambria Math" w:hAnsi="Cambria Math"/>
            <w:lang w:val="en-US"/>
          </w:rPr>
          <m:t>β</m:t>
        </m:r>
      </m:oMath>
      <w:r w:rsidRPr="00E5430B">
        <w:rPr>
          <w:vertAlign w:val="superscript"/>
          <w:lang w:val="fr-FR"/>
        </w:rPr>
        <w:t xml:space="preserve"> post</w:t>
      </w:r>
      <w:r w:rsidRPr="00E5430B">
        <w:rPr>
          <w:lang w:val="fr-FR"/>
        </w:rPr>
        <w:t xml:space="preserve">) </w:t>
      </w:r>
      <m:oMath>
        <m:r>
          <w:rPr>
            <w:rFonts w:ascii="Cambria Math" w:hAnsi="Cambria Math"/>
            <w:lang w:val="en-US"/>
          </w:rPr>
          <m:t>x</m:t>
        </m:r>
      </m:oMath>
      <w:r w:rsidRPr="00E5430B">
        <w:rPr>
          <w:vertAlign w:val="superscript"/>
          <w:lang w:val="fr-FR"/>
        </w:rPr>
        <w:t xml:space="preserve"> post </w:t>
      </w:r>
      <w:r w:rsidRPr="00E5430B">
        <w:rPr>
          <w:lang w:val="fr-FR"/>
        </w:rPr>
        <w:t>+ (</w:t>
      </w:r>
      <m:oMath>
        <m:r>
          <w:rPr>
            <w:rFonts w:ascii="Cambria Math" w:hAnsi="Cambria Math"/>
            <w:lang w:val="en-US"/>
          </w:rPr>
          <m:t>x</m:t>
        </m:r>
      </m:oMath>
      <w:r w:rsidRPr="00E5430B">
        <w:rPr>
          <w:vertAlign w:val="superscript"/>
          <w:lang w:val="fr-FR"/>
        </w:rPr>
        <w:t xml:space="preserve"> pre </w:t>
      </w:r>
      <w:r>
        <w:sym w:font="Symbol" w:char="F02D"/>
      </w:r>
      <w:r w:rsidRPr="00E5430B">
        <w:rPr>
          <w:lang w:val="fr-FR"/>
        </w:rPr>
        <w:t xml:space="preserve"> </w:t>
      </w:r>
      <m:oMath>
        <m:r>
          <w:rPr>
            <w:rFonts w:ascii="Cambria Math" w:hAnsi="Cambria Math"/>
            <w:lang w:val="en-US"/>
          </w:rPr>
          <m:t>x</m:t>
        </m:r>
      </m:oMath>
      <w:r w:rsidRPr="00E5430B">
        <w:rPr>
          <w:vertAlign w:val="superscript"/>
          <w:lang w:val="fr-FR"/>
        </w:rPr>
        <w:t xml:space="preserve"> post</w:t>
      </w:r>
      <w:r w:rsidRPr="00E5430B">
        <w:rPr>
          <w:lang w:val="fr-FR"/>
        </w:rPr>
        <w:t>) (</w:t>
      </w:r>
      <m:oMath>
        <m:r>
          <w:rPr>
            <w:rFonts w:ascii="Cambria Math" w:hAnsi="Cambria Math"/>
            <w:lang w:val="en-US"/>
          </w:rPr>
          <m:t>β</m:t>
        </m:r>
      </m:oMath>
      <w:r w:rsidRPr="00E5430B">
        <w:rPr>
          <w:vertAlign w:val="superscript"/>
          <w:lang w:val="fr-FR"/>
        </w:rPr>
        <w:t xml:space="preserve"> pre </w:t>
      </w:r>
      <w:r>
        <w:sym w:font="Symbol" w:char="F02D"/>
      </w:r>
      <w:r w:rsidRPr="00E5430B">
        <w:rPr>
          <w:lang w:val="fr-FR"/>
        </w:rPr>
        <w:t xml:space="preserve"> </w:t>
      </w:r>
      <m:oMath>
        <m:r>
          <w:rPr>
            <w:rFonts w:ascii="Cambria Math" w:hAnsi="Cambria Math"/>
            <w:lang w:val="en-US"/>
          </w:rPr>
          <m:t>β</m:t>
        </m:r>
      </m:oMath>
      <w:r w:rsidRPr="00E5430B">
        <w:rPr>
          <w:vertAlign w:val="superscript"/>
          <w:lang w:val="fr-FR"/>
        </w:rPr>
        <w:t xml:space="preserve"> </w:t>
      </w:r>
      <w:proofErr w:type="gramStart"/>
      <w:r w:rsidRPr="00E5430B">
        <w:rPr>
          <w:vertAlign w:val="superscript"/>
          <w:lang w:val="fr-FR"/>
        </w:rPr>
        <w:t>post</w:t>
      </w:r>
      <w:r w:rsidRPr="00E5430B">
        <w:rPr>
          <w:lang w:val="fr-FR"/>
        </w:rPr>
        <w:t>)</w:t>
      </w:r>
      <w:r w:rsidR="00F57697">
        <w:rPr>
          <w:lang w:val="fr-FR"/>
        </w:rPr>
        <w:t xml:space="preserve">   </w:t>
      </w:r>
      <w:proofErr w:type="gramEnd"/>
      <w:r w:rsidR="009D5A9C">
        <w:rPr>
          <w:lang w:val="fr-FR"/>
        </w:rPr>
        <w:t xml:space="preserve">     </w:t>
      </w:r>
      <w:r w:rsidR="00F57697">
        <w:rPr>
          <w:lang w:val="fr-FR"/>
        </w:rPr>
        <w:t>(4)</w:t>
      </w:r>
    </w:p>
    <w:p w:rsidR="00CC3CE0" w:rsidRPr="00F57697" w:rsidRDefault="00CC3CE0" w:rsidP="00CC3CE0">
      <w:pPr>
        <w:spacing w:after="0" w:line="288" w:lineRule="auto"/>
        <w:jc w:val="both"/>
        <w:rPr>
          <w:lang w:val="fr-FR"/>
        </w:rPr>
      </w:pPr>
    </w:p>
    <w:p w:rsidR="00E5165A" w:rsidRPr="009D5A9C" w:rsidRDefault="00E5165A" w:rsidP="00E5165A">
      <w:pPr>
        <w:spacing w:after="0" w:line="288" w:lineRule="auto"/>
        <w:jc w:val="both"/>
        <w:rPr>
          <w:lang w:val="fr-FR"/>
        </w:rPr>
      </w:pPr>
    </w:p>
    <w:p w:rsidR="00EE5514" w:rsidRDefault="00E5165A" w:rsidP="00E5165A">
      <w:pPr>
        <w:spacing w:after="0" w:line="288" w:lineRule="auto"/>
        <w:jc w:val="both"/>
      </w:pPr>
      <w:r>
        <w:t>E</w:t>
      </w:r>
      <w:r w:rsidR="00EE5514">
        <w:t xml:space="preserve">quation </w:t>
      </w:r>
      <w:r>
        <w:t>(</w:t>
      </w:r>
      <w:r w:rsidR="00EE5514">
        <w:t>4</w:t>
      </w:r>
      <w:r>
        <w:t>)</w:t>
      </w:r>
      <w:r w:rsidR="00EE5514">
        <w:t xml:space="preserve"> shows the threefold decomposition of the average difference in poverty estimates for two groups. The difference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sidR="00EE5514">
        <w:rPr>
          <w:vertAlign w:val="superscript"/>
        </w:rPr>
        <w:t xml:space="preserve"> </w:t>
      </w:r>
      <w:r w:rsidR="00EE5514">
        <w:sym w:font="Symbol" w:char="F02D"/>
      </w:r>
      <w:r w:rsidR="00EE5514">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post</m:t>
            </m:r>
          </m:sup>
        </m:sSup>
      </m:oMath>
      <w:r w:rsidR="00EE5514">
        <w:rPr>
          <w:vertAlign w:val="superscript"/>
        </w:rPr>
        <w:t xml:space="preserve"> </w:t>
      </w:r>
      <w:r w:rsidR="00EE5514">
        <w:t>is decomposed into three parts:</w:t>
      </w:r>
      <w:r>
        <w:t xml:space="preserve"> (</w:t>
      </w:r>
      <w:proofErr w:type="spellStart"/>
      <w:r>
        <w:t>i</w:t>
      </w:r>
      <w:proofErr w:type="spellEnd"/>
      <w:r>
        <w:t>) e</w:t>
      </w:r>
      <w:r w:rsidR="00EE5514">
        <w:t>ndowments (</w:t>
      </w:r>
      <m:oMath>
        <m:r>
          <w:rPr>
            <w:rFonts w:ascii="Cambria Math" w:hAnsi="Cambria Math"/>
            <w:lang w:val="en-US"/>
          </w:rPr>
          <m:t>x</m:t>
        </m:r>
      </m:oMath>
      <w:r w:rsidR="00EE5514">
        <w:rPr>
          <w:vertAlign w:val="superscript"/>
        </w:rPr>
        <w:t xml:space="preserve"> pre </w:t>
      </w:r>
      <w:r w:rsidR="00EE5514">
        <w:sym w:font="Symbol" w:char="F02D"/>
      </w:r>
      <w:r w:rsidR="00EE5514">
        <w:t xml:space="preserve"> </w:t>
      </w:r>
      <m:oMath>
        <m:r>
          <w:rPr>
            <w:rFonts w:ascii="Cambria Math" w:hAnsi="Cambria Math"/>
            <w:lang w:val="en-US"/>
          </w:rPr>
          <m:t>x</m:t>
        </m:r>
      </m:oMath>
      <w:r w:rsidR="00EE5514">
        <w:rPr>
          <w:vertAlign w:val="superscript"/>
        </w:rPr>
        <w:t xml:space="preserve"> post</w:t>
      </w:r>
      <w:r w:rsidR="00EE5514">
        <w:t xml:space="preserve">) </w:t>
      </w:r>
      <m:oMath>
        <m:r>
          <w:rPr>
            <w:rFonts w:ascii="Cambria Math" w:hAnsi="Cambria Math"/>
            <w:lang w:val="en-US"/>
          </w:rPr>
          <m:t>β</m:t>
        </m:r>
      </m:oMath>
      <w:r w:rsidR="00EE5514">
        <w:rPr>
          <w:vertAlign w:val="superscript"/>
        </w:rPr>
        <w:t xml:space="preserve"> post</w:t>
      </w:r>
      <w:r w:rsidR="00EE5514">
        <w:t xml:space="preserve">, </w:t>
      </w:r>
      <w:r>
        <w:t>(ii) c</w:t>
      </w:r>
      <w:r w:rsidR="00EE5514">
        <w:t>oefficients (</w:t>
      </w:r>
      <m:oMath>
        <m:r>
          <w:rPr>
            <w:rFonts w:ascii="Cambria Math" w:hAnsi="Cambria Math"/>
            <w:lang w:val="en-US"/>
          </w:rPr>
          <m:t>β</m:t>
        </m:r>
      </m:oMath>
      <w:r w:rsidR="00EE5514">
        <w:rPr>
          <w:vertAlign w:val="superscript"/>
        </w:rPr>
        <w:t xml:space="preserve"> pre </w:t>
      </w:r>
      <w:r w:rsidR="00EE5514">
        <w:sym w:font="Symbol" w:char="F02D"/>
      </w:r>
      <w:r w:rsidR="00EE5514">
        <w:t xml:space="preserve"> </w:t>
      </w:r>
      <m:oMath>
        <m:r>
          <w:rPr>
            <w:rFonts w:ascii="Cambria Math" w:hAnsi="Cambria Math"/>
            <w:lang w:val="en-US"/>
          </w:rPr>
          <m:t>β</m:t>
        </m:r>
      </m:oMath>
      <w:r w:rsidR="00EE5514">
        <w:rPr>
          <w:vertAlign w:val="superscript"/>
        </w:rPr>
        <w:t xml:space="preserve"> post</w:t>
      </w:r>
      <w:r w:rsidR="00EE5514">
        <w:t xml:space="preserve">) </w:t>
      </w:r>
      <m:oMath>
        <m:r>
          <w:rPr>
            <w:rFonts w:ascii="Cambria Math" w:hAnsi="Cambria Math"/>
            <w:lang w:val="en-US"/>
          </w:rPr>
          <m:t>x</m:t>
        </m:r>
      </m:oMath>
      <w:r w:rsidR="00EE5514">
        <w:rPr>
          <w:vertAlign w:val="superscript"/>
        </w:rPr>
        <w:t xml:space="preserve"> post </w:t>
      </w:r>
      <w:r w:rsidR="00EE5514">
        <w:t xml:space="preserve">and </w:t>
      </w:r>
      <w:r>
        <w:t>(iii) i</w:t>
      </w:r>
      <w:r w:rsidR="00EE5514">
        <w:t>nteraction (</w:t>
      </w:r>
      <m:oMath>
        <m:r>
          <w:rPr>
            <w:rFonts w:ascii="Cambria Math" w:hAnsi="Cambria Math"/>
            <w:lang w:val="en-US"/>
          </w:rPr>
          <m:t>x</m:t>
        </m:r>
      </m:oMath>
      <w:r w:rsidR="00EE5514">
        <w:rPr>
          <w:vertAlign w:val="superscript"/>
        </w:rPr>
        <w:t xml:space="preserve"> pre </w:t>
      </w:r>
      <w:r w:rsidR="00EE5514">
        <w:sym w:font="Symbol" w:char="F02D"/>
      </w:r>
      <w:r w:rsidR="00EE5514">
        <w:t xml:space="preserve"> </w:t>
      </w:r>
      <m:oMath>
        <m:r>
          <w:rPr>
            <w:rFonts w:ascii="Cambria Math" w:hAnsi="Cambria Math"/>
            <w:lang w:val="en-US"/>
          </w:rPr>
          <m:t>x</m:t>
        </m:r>
      </m:oMath>
      <w:r w:rsidR="00EE5514">
        <w:rPr>
          <w:vertAlign w:val="superscript"/>
        </w:rPr>
        <w:t xml:space="preserve"> post</w:t>
      </w:r>
      <w:r w:rsidR="00EE5514">
        <w:t>) (</w:t>
      </w:r>
      <m:oMath>
        <m:r>
          <w:rPr>
            <w:rFonts w:ascii="Cambria Math" w:hAnsi="Cambria Math"/>
            <w:lang w:val="en-US"/>
          </w:rPr>
          <m:t>β</m:t>
        </m:r>
      </m:oMath>
      <w:r w:rsidR="00EE5514">
        <w:rPr>
          <w:vertAlign w:val="superscript"/>
        </w:rPr>
        <w:t xml:space="preserve"> pre </w:t>
      </w:r>
      <w:r w:rsidR="00EE5514">
        <w:sym w:font="Symbol" w:char="F02D"/>
      </w:r>
      <w:r w:rsidR="00EE5514">
        <w:t xml:space="preserve"> </w:t>
      </w:r>
      <m:oMath>
        <m:r>
          <w:rPr>
            <w:rFonts w:ascii="Cambria Math" w:hAnsi="Cambria Math"/>
            <w:lang w:val="en-US"/>
          </w:rPr>
          <m:t>β</m:t>
        </m:r>
      </m:oMath>
      <w:r w:rsidR="00EE5514">
        <w:rPr>
          <w:vertAlign w:val="superscript"/>
        </w:rPr>
        <w:t xml:space="preserve"> post</w:t>
      </w:r>
      <w:r w:rsidR="00EE5514">
        <w:t>). Endowments constitute the differences caused due to the change in covariates (</w:t>
      </w:r>
      <m:oMath>
        <m:r>
          <w:rPr>
            <w:rFonts w:ascii="Cambria Math" w:hAnsi="Cambria Math"/>
            <w:lang w:val="en-US"/>
          </w:rPr>
          <m:t>x</m:t>
        </m:r>
      </m:oMath>
      <w:r w:rsidR="00EE5514">
        <w:t>) post</w:t>
      </w:r>
      <w:r>
        <w:t>-</w:t>
      </w:r>
      <w:r w:rsidR="00EE5514">
        <w:t xml:space="preserve"> and pre</w:t>
      </w:r>
      <w:r>
        <w:t>-</w:t>
      </w:r>
      <w:r w:rsidR="00EE5514">
        <w:t xml:space="preserve"> BISP. Coefficients constitute the difference caused due to factors other than changes in endowment</w:t>
      </w:r>
      <w:r>
        <w:t xml:space="preserve"> and/or </w:t>
      </w:r>
      <w:r w:rsidR="00EE5514">
        <w:t>covariates. In our study</w:t>
      </w:r>
      <w:r>
        <w:t>,</w:t>
      </w:r>
      <w:r w:rsidR="00EE5514">
        <w:t xml:space="preserve"> because the demarcation between two groups is because of the initiation of a social safety net program, BISP, any difference caused </w:t>
      </w:r>
      <w:r w:rsidR="002224BF">
        <w:t>by</w:t>
      </w:r>
      <w:r w:rsidR="00EE5514">
        <w:t xml:space="preserve"> the </w:t>
      </w:r>
      <w:r w:rsidR="00587F1D">
        <w:t>c</w:t>
      </w:r>
      <w:r w:rsidR="00EE5514">
        <w:t xml:space="preserve">oefficient component indicates towards BISP. The third component, </w:t>
      </w:r>
      <w:r w:rsidR="00587F1D">
        <w:t>i</w:t>
      </w:r>
      <w:r w:rsidR="00EE5514">
        <w:t>nteraction, refers to the difference caused because of the coexistence of endowments and coefficients.</w:t>
      </w:r>
    </w:p>
    <w:p w:rsidR="00EE5514" w:rsidRDefault="00EE5514" w:rsidP="0012512A">
      <w:pPr>
        <w:spacing w:after="0" w:line="288" w:lineRule="auto"/>
        <w:jc w:val="both"/>
      </w:pPr>
    </w:p>
    <w:p w:rsidR="00EE5514" w:rsidRDefault="00EE5514" w:rsidP="00CC3CE0">
      <w:pPr>
        <w:spacing w:after="0" w:line="288" w:lineRule="auto"/>
        <w:ind w:firstLine="720"/>
        <w:jc w:val="both"/>
      </w:pPr>
      <w:r>
        <w:t xml:space="preserve"> Given the declining trend of poverty estimates for conventional and non-conventional poverty measures (Najam, 2020), we can observe if the reduction in poverty using both conventional and non-conventional poverty measures between 2004-2006 and 2008-2014 is a result of economic development in terms of increased access to services and facilities (</w:t>
      </w:r>
      <w:r w:rsidR="009D5A9C">
        <w:t>i.e. e</w:t>
      </w:r>
      <w:r>
        <w:t>ndowments component) or there is an unexplained component to it as well (</w:t>
      </w:r>
      <w:r w:rsidR="009D5A9C">
        <w:t>i.e. c</w:t>
      </w:r>
      <w:r>
        <w:t xml:space="preserve">oefficients component). </w:t>
      </w:r>
    </w:p>
    <w:p w:rsidR="00CC3CE0" w:rsidRDefault="00CC3CE0" w:rsidP="0012512A">
      <w:pPr>
        <w:spacing w:after="0" w:line="288" w:lineRule="auto"/>
        <w:jc w:val="both"/>
        <w:rPr>
          <w:rFonts w:asciiTheme="majorBidi" w:hAnsiTheme="majorBidi" w:cstheme="majorBidi"/>
          <w:b/>
          <w:bCs/>
        </w:rPr>
      </w:pPr>
    </w:p>
    <w:p w:rsidR="00EE5514" w:rsidRPr="00EE5514" w:rsidRDefault="00EE5514" w:rsidP="0012512A">
      <w:pPr>
        <w:spacing w:after="0" w:line="288" w:lineRule="auto"/>
        <w:jc w:val="both"/>
        <w:rPr>
          <w:rFonts w:asciiTheme="majorBidi" w:hAnsiTheme="majorBidi" w:cstheme="majorBidi"/>
          <w:b/>
          <w:bCs/>
        </w:rPr>
      </w:pPr>
      <w:r w:rsidRPr="00EE5514">
        <w:rPr>
          <w:rFonts w:asciiTheme="majorBidi" w:hAnsiTheme="majorBidi" w:cstheme="majorBidi"/>
          <w:b/>
          <w:bCs/>
        </w:rPr>
        <w:t xml:space="preserve">4.2 </w:t>
      </w:r>
      <w:r w:rsidRPr="00EE5514">
        <w:rPr>
          <w:rFonts w:asciiTheme="majorBidi" w:hAnsiTheme="majorBidi" w:cstheme="majorBidi"/>
          <w:b/>
          <w:bCs/>
        </w:rPr>
        <w:tab/>
        <w:t>Panel Regressions</w:t>
      </w:r>
    </w:p>
    <w:p w:rsidR="00CC3CE0" w:rsidRDefault="00CC3CE0" w:rsidP="0012512A">
      <w:pPr>
        <w:spacing w:after="0" w:line="288" w:lineRule="auto"/>
        <w:jc w:val="both"/>
      </w:pPr>
    </w:p>
    <w:p w:rsidR="00EE5514" w:rsidRDefault="00EE5514" w:rsidP="00C653CB">
      <w:pPr>
        <w:spacing w:after="0" w:line="288" w:lineRule="auto"/>
        <w:jc w:val="both"/>
        <w:rPr>
          <w:lang w:val="en-US"/>
        </w:rPr>
      </w:pPr>
      <w:r>
        <w:t xml:space="preserve">Once we have </w:t>
      </w:r>
      <w:r w:rsidR="00587F1D">
        <w:t xml:space="preserve">a </w:t>
      </w:r>
      <w:r>
        <w:t>significant coefficient component from the Blinder-Oaxaca decomposition</w:t>
      </w:r>
      <w:r w:rsidR="00587F1D">
        <w:t>,</w:t>
      </w:r>
      <w:r>
        <w:t xml:space="preserve"> we run </w:t>
      </w:r>
      <w:r w:rsidR="00587F1D">
        <w:t xml:space="preserve">a </w:t>
      </w:r>
      <w:r>
        <w:t xml:space="preserve">panel regression on the period post inception of </w:t>
      </w:r>
      <w:r w:rsidR="00587F1D">
        <w:t xml:space="preserve">the </w:t>
      </w:r>
      <w:r>
        <w:t>BISP in 2008. In the presence of control variables, the panel regression shows how influential the cash transfers are in reducing the poverty estimates generated through money-metric and multidimensional approaches, in which some of them comply to the axiom of distribution sensitivity. As explained earlier, BISP had two targeting phases, from 2008-2010 it relie</w:t>
      </w:r>
      <w:r w:rsidR="00352725">
        <w:t>d</w:t>
      </w:r>
      <w:r>
        <w:t xml:space="preserve"> on CBT </w:t>
      </w:r>
      <w:r w:rsidR="00352725">
        <w:t xml:space="preserve">and </w:t>
      </w:r>
      <w:r>
        <w:t>post 2010 it relies on PMT. In our analysis</w:t>
      </w:r>
      <w:r w:rsidR="00587F1D">
        <w:t>,</w:t>
      </w:r>
      <w:r>
        <w:t xml:space="preserve"> it is important to observe whether changing the </w:t>
      </w:r>
      <w:r>
        <w:lastRenderedPageBreak/>
        <w:t xml:space="preserve">targeting approach has any significant impact in reducing poverty at the district level.   We want to observe whether the effect of Cash Transfer (CT) on poverty estimates changes (+/-) when there is </w:t>
      </w:r>
      <w:r w:rsidR="00587F1D">
        <w:t xml:space="preserve">a </w:t>
      </w:r>
      <w:r>
        <w:t xml:space="preserve">change in </w:t>
      </w:r>
      <w:r w:rsidR="00587F1D">
        <w:t xml:space="preserve">the </w:t>
      </w:r>
      <w:r>
        <w:t xml:space="preserve">targeting </w:t>
      </w:r>
      <w:r w:rsidR="00587F1D">
        <w:t>approach</w:t>
      </w:r>
      <w:r w:rsidR="009D5A9C">
        <w:t>.</w:t>
      </w:r>
      <w:r>
        <w:t xml:space="preserve"> To factor this in, we also included an intercept dummy </w:t>
      </w:r>
      <m:oMath>
        <m:d>
          <m:dPr>
            <m:ctrlPr>
              <w:rPr>
                <w:rFonts w:ascii="Cambria Math" w:hAnsi="Cambria Math"/>
                <w:i/>
              </w:rPr>
            </m:ctrlPr>
          </m:dPr>
          <m:e>
            <m:r>
              <w:rPr>
                <w:rFonts w:ascii="Cambria Math" w:hAnsi="Cambria Math"/>
              </w:rPr>
              <m:t>Phase</m:t>
            </m:r>
          </m:e>
        </m:d>
        <m:r>
          <w:rPr>
            <w:rFonts w:ascii="Cambria Math" w:hAnsi="Cambria Math"/>
          </w:rPr>
          <m:t xml:space="preserve"> </m:t>
        </m:r>
      </m:oMath>
      <w:r>
        <w:t xml:space="preserve">and interactive dummy </w:t>
      </w:r>
      <m:oMath>
        <m:d>
          <m:dPr>
            <m:ctrlPr>
              <w:rPr>
                <w:rFonts w:ascii="Cambria Math" w:hAnsi="Cambria Math"/>
                <w:i/>
              </w:rPr>
            </m:ctrlPr>
          </m:dPr>
          <m:e>
            <m:sSub>
              <m:sSubPr>
                <m:ctrlPr>
                  <w:rPr>
                    <w:rFonts w:ascii="Cambria Math" w:hAnsi="Cambria Math"/>
                    <w:i/>
                  </w:rPr>
                </m:ctrlPr>
              </m:sSubPr>
              <m:e>
                <m:r>
                  <w:rPr>
                    <w:rFonts w:ascii="Cambria Math" w:hAnsi="Cambria Math"/>
                  </w:rPr>
                  <m:t>CT</m:t>
                </m:r>
              </m:e>
              <m:sub>
                <m:r>
                  <w:rPr>
                    <w:rFonts w:ascii="Cambria Math" w:hAnsi="Cambria Math"/>
                  </w:rPr>
                  <m:t>it</m:t>
                </m:r>
              </m:sub>
            </m:sSub>
          </m:e>
        </m:d>
        <m:r>
          <w:rPr>
            <w:rFonts w:ascii="Cambria Math" w:hAnsi="Cambria Math"/>
          </w:rPr>
          <m:t>*</m:t>
        </m:r>
        <m:d>
          <m:dPr>
            <m:ctrlPr>
              <w:rPr>
                <w:rFonts w:ascii="Cambria Math" w:hAnsi="Cambria Math"/>
                <w:i/>
              </w:rPr>
            </m:ctrlPr>
          </m:dPr>
          <m:e>
            <m:r>
              <w:rPr>
                <w:rFonts w:ascii="Cambria Math" w:hAnsi="Cambria Math"/>
              </w:rPr>
              <m:t>Phase</m:t>
            </m:r>
          </m:e>
        </m:d>
        <m:r>
          <w:rPr>
            <w:rFonts w:ascii="Cambria Math" w:hAnsi="Cambria Math"/>
          </w:rPr>
          <m:t xml:space="preserve">. </m:t>
        </m:r>
      </m:oMath>
      <w:r>
        <w:t xml:space="preserve"> Hausman test is applied to select the appropriate structure of panel model for each poverty measure. </w:t>
      </w:r>
      <w:r w:rsidRPr="005D5F75">
        <w:rPr>
          <w:lang w:val="en-US"/>
        </w:rPr>
        <w:t xml:space="preserve">Equations </w:t>
      </w:r>
      <w:r w:rsidR="00587F1D">
        <w:rPr>
          <w:lang w:val="en-US"/>
        </w:rPr>
        <w:t>5</w:t>
      </w:r>
      <w:r w:rsidRPr="005D5F75">
        <w:rPr>
          <w:lang w:val="en-US"/>
        </w:rPr>
        <w:t xml:space="preserve">.1 and </w:t>
      </w:r>
      <w:r w:rsidR="00587F1D">
        <w:rPr>
          <w:lang w:val="en-US"/>
        </w:rPr>
        <w:t>5</w:t>
      </w:r>
      <w:r w:rsidRPr="005D5F75">
        <w:rPr>
          <w:lang w:val="en-US"/>
        </w:rPr>
        <w:t xml:space="preserve">.2 represent the structural form of fixed effect panel while those for the random effect are shown in equation </w:t>
      </w:r>
      <w:r w:rsidR="00587F1D">
        <w:rPr>
          <w:lang w:val="en-US"/>
        </w:rPr>
        <w:t>5</w:t>
      </w:r>
      <w:r w:rsidRPr="005D5F75">
        <w:rPr>
          <w:lang w:val="en-US"/>
        </w:rPr>
        <w:t xml:space="preserve">.3 and </w:t>
      </w:r>
      <w:r w:rsidR="00587F1D">
        <w:rPr>
          <w:lang w:val="en-US"/>
        </w:rPr>
        <w:t>5</w:t>
      </w:r>
      <w:r w:rsidRPr="005D5F75">
        <w:rPr>
          <w:lang w:val="en-US"/>
        </w:rPr>
        <w:t>.4</w:t>
      </w:r>
      <w:r>
        <w:rPr>
          <w:lang w:val="en-US"/>
        </w:rPr>
        <w:t>.</w:t>
      </w:r>
    </w:p>
    <w:p w:rsidR="00587F1D" w:rsidRPr="00587F1D" w:rsidRDefault="00587F1D" w:rsidP="00CC3CE0">
      <w:pPr>
        <w:spacing w:after="0" w:line="288" w:lineRule="auto"/>
        <w:ind w:firstLine="284"/>
        <w:jc w:val="both"/>
        <w:rPr>
          <w:lang w:val="en-US"/>
        </w:rPr>
      </w:pPr>
    </w:p>
    <w:p w:rsidR="00EE5514" w:rsidRDefault="00CF00F9" w:rsidP="0012512A">
      <w:pPr>
        <w:spacing w:after="0" w:line="288" w:lineRule="auto"/>
        <w:ind w:firstLine="284"/>
        <w:jc w:val="both"/>
      </w:pPr>
      <m:oMath>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=α+ β</m:t>
        </m:r>
        <m:d>
          <m:dPr>
            <m:ctrlPr>
              <w:rPr>
                <w:rFonts w:ascii="Cambria Math" w:hAnsi="Cambria Math"/>
                <w:i/>
              </w:rPr>
            </m:ctrlPr>
          </m:dPr>
          <m:e>
            <m:sSub>
              <m:sSubPr>
                <m:ctrlPr>
                  <w:rPr>
                    <w:rFonts w:ascii="Cambria Math" w:hAnsi="Cambria Math"/>
                    <w:i/>
                  </w:rPr>
                </m:ctrlPr>
              </m:sSubPr>
              <m:e>
                <m:r>
                  <w:rPr>
                    <w:rFonts w:ascii="Cambria Math" w:hAnsi="Cambria Math"/>
                  </w:rPr>
                  <m:t>CT</m:t>
                </m:r>
              </m:e>
              <m:sub>
                <m:r>
                  <w:rPr>
                    <w:rFonts w:ascii="Cambria Math" w:hAnsi="Cambria Math"/>
                  </w:rPr>
                  <m:t>it</m:t>
                </m:r>
              </m:sub>
            </m:sSub>
          </m:e>
        </m:d>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it</m:t>
                </m:r>
              </m:sub>
            </m:sSub>
          </m:e>
        </m:d>
        <m:r>
          <w:rPr>
            <w:rFonts w:ascii="Cambria Math" w:hAnsi="Cambria Math"/>
          </w:rPr>
          <m:t>+ δ</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oMath>
      <w:r w:rsidR="00EE5514">
        <w:t xml:space="preserve">   </w:t>
      </w:r>
      <w:r w:rsidR="00587F1D">
        <w:tab/>
      </w:r>
      <w:r w:rsidR="00587F1D">
        <w:tab/>
      </w:r>
      <w:r w:rsidR="00961B9F">
        <w:t xml:space="preserve">    </w:t>
      </w:r>
      <w:r w:rsidR="00587F1D">
        <w:tab/>
      </w:r>
      <w:r w:rsidR="00587F1D">
        <w:tab/>
        <w:t xml:space="preserve">          </w:t>
      </w:r>
      <w:r w:rsidR="00961B9F">
        <w:t xml:space="preserve">          </w:t>
      </w:r>
      <w:r w:rsidR="00EE5514">
        <w:t>(</w:t>
      </w:r>
      <w:r w:rsidR="00587F1D">
        <w:t>5</w:t>
      </w:r>
      <w:r w:rsidR="00EE5514">
        <w:t>.1)</w:t>
      </w:r>
    </w:p>
    <w:p w:rsidR="00EE5514" w:rsidRDefault="00CF00F9" w:rsidP="0012512A">
      <w:pPr>
        <w:spacing w:after="0" w:line="288" w:lineRule="auto"/>
        <w:ind w:firstLine="284"/>
        <w:jc w:val="both"/>
      </w:pPr>
      <m:oMath>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=α+ β</m:t>
        </m:r>
        <m:d>
          <m:dPr>
            <m:ctrlPr>
              <w:rPr>
                <w:rFonts w:ascii="Cambria Math" w:hAnsi="Cambria Math"/>
                <w:i/>
              </w:rPr>
            </m:ctrlPr>
          </m:dPr>
          <m:e>
            <m:sSub>
              <m:sSubPr>
                <m:ctrlPr>
                  <w:rPr>
                    <w:rFonts w:ascii="Cambria Math" w:hAnsi="Cambria Math"/>
                    <w:i/>
                  </w:rPr>
                </m:ctrlPr>
              </m:sSubPr>
              <m:e>
                <m:r>
                  <w:rPr>
                    <w:rFonts w:ascii="Cambria Math" w:hAnsi="Cambria Math"/>
                  </w:rPr>
                  <m:t>CT</m:t>
                </m:r>
              </m:e>
              <m:sub>
                <m:r>
                  <w:rPr>
                    <w:rFonts w:ascii="Cambria Math" w:hAnsi="Cambria Math"/>
                  </w:rPr>
                  <m:t>it</m:t>
                </m:r>
              </m:sub>
            </m:sSub>
          </m:e>
        </m:d>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it</m:t>
                </m:r>
              </m:sub>
            </m:sSub>
          </m:e>
        </m:d>
        <m:r>
          <w:rPr>
            <w:rFonts w:ascii="Cambria Math" w:hAnsi="Cambria Math"/>
          </w:rPr>
          <m:t>+η</m:t>
        </m:r>
        <m:d>
          <m:dPr>
            <m:ctrlPr>
              <w:rPr>
                <w:rFonts w:ascii="Cambria Math" w:hAnsi="Cambria Math"/>
                <w:i/>
              </w:rPr>
            </m:ctrlPr>
          </m:dPr>
          <m:e>
            <m:r>
              <w:rPr>
                <w:rFonts w:ascii="Cambria Math" w:hAnsi="Cambria Math"/>
              </w:rPr>
              <m:t>Phase</m:t>
            </m:r>
          </m:e>
        </m:d>
        <m:r>
          <w:rPr>
            <w:rFonts w:ascii="Cambria Math" w:hAnsi="Cambria Math"/>
          </w:rPr>
          <m:t>+ δ</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+θ</m:t>
        </m:r>
        <m:d>
          <m:dPr>
            <m:ctrlPr>
              <w:rPr>
                <w:rFonts w:ascii="Cambria Math" w:hAnsi="Cambria Math"/>
                <w:i/>
              </w:rPr>
            </m:ctrlPr>
          </m:dPr>
          <m:e>
            <m:sSub>
              <m:sSubPr>
                <m:ctrlPr>
                  <w:rPr>
                    <w:rFonts w:ascii="Cambria Math" w:hAnsi="Cambria Math"/>
                    <w:i/>
                  </w:rPr>
                </m:ctrlPr>
              </m:sSubPr>
              <m:e>
                <m:r>
                  <w:rPr>
                    <w:rFonts w:ascii="Cambria Math" w:hAnsi="Cambria Math"/>
                  </w:rPr>
                  <m:t>CT</m:t>
                </m:r>
              </m:e>
              <m:sub>
                <m:r>
                  <w:rPr>
                    <w:rFonts w:ascii="Cambria Math" w:hAnsi="Cambria Math"/>
                  </w:rPr>
                  <m:t>it</m:t>
                </m:r>
              </m:sub>
            </m:sSub>
          </m:e>
        </m:d>
        <m:d>
          <m:dPr>
            <m:ctrlPr>
              <w:rPr>
                <w:rFonts w:ascii="Cambria Math" w:hAnsi="Cambria Math"/>
                <w:i/>
              </w:rPr>
            </m:ctrlPr>
          </m:dPr>
          <m:e>
            <m:r>
              <w:rPr>
                <w:rFonts w:ascii="Cambria Math" w:hAnsi="Cambria Math"/>
              </w:rPr>
              <m:t>Phase</m:t>
            </m:r>
          </m:e>
        </m:d>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oMath>
      <w:r w:rsidR="00EE5514">
        <w:t xml:space="preserve">  </w:t>
      </w:r>
      <w:r w:rsidR="00587F1D">
        <w:t xml:space="preserve">          </w:t>
      </w:r>
      <w:r w:rsidR="00EE5514">
        <w:t xml:space="preserve"> (</w:t>
      </w:r>
      <w:r w:rsidR="00587F1D">
        <w:t>5</w:t>
      </w:r>
      <w:r w:rsidR="00EE5514">
        <w:t>.2)</w:t>
      </w:r>
    </w:p>
    <w:p w:rsidR="00EE5514" w:rsidRDefault="00CF00F9" w:rsidP="0012512A">
      <w:pPr>
        <w:spacing w:after="0" w:line="288" w:lineRule="auto"/>
        <w:ind w:firstLine="284"/>
        <w:jc w:val="both"/>
      </w:pPr>
      <m:oMath>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=α+ β</m:t>
        </m:r>
        <m:d>
          <m:dPr>
            <m:ctrlPr>
              <w:rPr>
                <w:rFonts w:ascii="Cambria Math" w:hAnsi="Cambria Math"/>
                <w:i/>
              </w:rPr>
            </m:ctrlPr>
          </m:dPr>
          <m:e>
            <m:sSub>
              <m:sSubPr>
                <m:ctrlPr>
                  <w:rPr>
                    <w:rFonts w:ascii="Cambria Math" w:hAnsi="Cambria Math"/>
                    <w:i/>
                  </w:rPr>
                </m:ctrlPr>
              </m:sSubPr>
              <m:e>
                <m:r>
                  <w:rPr>
                    <w:rFonts w:ascii="Cambria Math" w:hAnsi="Cambria Math"/>
                  </w:rPr>
                  <m:t>CT</m:t>
                </m:r>
              </m:e>
              <m:sub>
                <m:r>
                  <w:rPr>
                    <w:rFonts w:ascii="Cambria Math" w:hAnsi="Cambria Math"/>
                  </w:rPr>
                  <m:t>it</m:t>
                </m:r>
              </m:sub>
            </m:sSub>
          </m:e>
        </m:d>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it</m:t>
                </m:r>
              </m:sub>
            </m:sSub>
          </m:e>
        </m:d>
        <m:r>
          <w:rPr>
            <w:rFonts w:ascii="Cambria Math" w:hAnsi="Cambria Math"/>
          </w:rPr>
          <m:t>+ δ</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it</m:t>
            </m:r>
          </m:sub>
        </m:sSub>
        <m:r>
          <w:rPr>
            <w:rFonts w:ascii="Cambria Math" w:hAnsi="Cambria Math"/>
          </w:rPr>
          <m:t xml:space="preserve"> </m:t>
        </m:r>
      </m:oMath>
      <w:r w:rsidR="00EE5514">
        <w:t xml:space="preserve"> </w:t>
      </w:r>
      <w:r w:rsidR="00587F1D">
        <w:t xml:space="preserve">                                                      </w:t>
      </w:r>
      <w:r w:rsidR="00EE5514">
        <w:t xml:space="preserve"> (</w:t>
      </w:r>
      <w:r w:rsidR="00587F1D">
        <w:t>5</w:t>
      </w:r>
      <w:r w:rsidR="00EE5514">
        <w:t>.3)</w:t>
      </w:r>
    </w:p>
    <w:p w:rsidR="00EE5514" w:rsidRDefault="00CF00F9" w:rsidP="0012512A">
      <w:pPr>
        <w:spacing w:after="0" w:line="288" w:lineRule="auto"/>
        <w:ind w:firstLine="284"/>
        <w:jc w:val="both"/>
      </w:pPr>
      <m:oMath>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=α+ β</m:t>
        </m:r>
        <m:d>
          <m:dPr>
            <m:ctrlPr>
              <w:rPr>
                <w:rFonts w:ascii="Cambria Math" w:hAnsi="Cambria Math"/>
                <w:i/>
              </w:rPr>
            </m:ctrlPr>
          </m:dPr>
          <m:e>
            <m:sSub>
              <m:sSubPr>
                <m:ctrlPr>
                  <w:rPr>
                    <w:rFonts w:ascii="Cambria Math" w:hAnsi="Cambria Math"/>
                    <w:i/>
                  </w:rPr>
                </m:ctrlPr>
              </m:sSubPr>
              <m:e>
                <m:r>
                  <w:rPr>
                    <w:rFonts w:ascii="Cambria Math" w:hAnsi="Cambria Math"/>
                  </w:rPr>
                  <m:t>CT</m:t>
                </m:r>
              </m:e>
              <m:sub>
                <m:r>
                  <w:rPr>
                    <w:rFonts w:ascii="Cambria Math" w:hAnsi="Cambria Math"/>
                  </w:rPr>
                  <m:t>it</m:t>
                </m:r>
              </m:sub>
            </m:sSub>
          </m:e>
        </m:d>
        <m: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it</m:t>
                </m:r>
              </m:sub>
            </m:sSub>
          </m:e>
        </m:d>
        <m:r>
          <w:rPr>
            <w:rFonts w:ascii="Cambria Math" w:hAnsi="Cambria Math"/>
          </w:rPr>
          <m:t>+ δ</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+η</m:t>
        </m:r>
        <m:d>
          <m:dPr>
            <m:ctrlPr>
              <w:rPr>
                <w:rFonts w:ascii="Cambria Math" w:hAnsi="Cambria Math"/>
                <w:i/>
              </w:rPr>
            </m:ctrlPr>
          </m:dPr>
          <m:e>
            <m:r>
              <w:rPr>
                <w:rFonts w:ascii="Cambria Math" w:hAnsi="Cambria Math"/>
              </w:rPr>
              <m:t>Phase</m:t>
            </m:r>
          </m:e>
        </m:d>
        <m:r>
          <w:rPr>
            <w:rFonts w:ascii="Cambria Math" w:hAnsi="Cambria Math"/>
          </w:rPr>
          <m:t>+ θ</m:t>
        </m:r>
        <m:d>
          <m:dPr>
            <m:ctrlPr>
              <w:rPr>
                <w:rFonts w:ascii="Cambria Math" w:hAnsi="Cambria Math"/>
                <w:i/>
              </w:rPr>
            </m:ctrlPr>
          </m:dPr>
          <m:e>
            <m:sSub>
              <m:sSubPr>
                <m:ctrlPr>
                  <w:rPr>
                    <w:rFonts w:ascii="Cambria Math" w:hAnsi="Cambria Math"/>
                    <w:i/>
                  </w:rPr>
                </m:ctrlPr>
              </m:sSubPr>
              <m:e>
                <m:r>
                  <w:rPr>
                    <w:rFonts w:ascii="Cambria Math" w:hAnsi="Cambria Math"/>
                  </w:rPr>
                  <m:t>CT</m:t>
                </m:r>
              </m:e>
              <m:sub>
                <m:r>
                  <w:rPr>
                    <w:rFonts w:ascii="Cambria Math" w:hAnsi="Cambria Math"/>
                  </w:rPr>
                  <m:t>it</m:t>
                </m:r>
              </m:sub>
            </m:sSub>
          </m:e>
        </m:d>
        <m:d>
          <m:dPr>
            <m:ctrlPr>
              <w:rPr>
                <w:rFonts w:ascii="Cambria Math" w:hAnsi="Cambria Math"/>
                <w:i/>
              </w:rPr>
            </m:ctrlPr>
          </m:dPr>
          <m:e>
            <m:r>
              <w:rPr>
                <w:rFonts w:ascii="Cambria Math" w:hAnsi="Cambria Math"/>
              </w:rPr>
              <m:t>Phase</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it</m:t>
            </m:r>
          </m:sub>
        </m:sSub>
      </m:oMath>
      <w:r w:rsidR="00EE5514">
        <w:t xml:space="preserve">  </w:t>
      </w:r>
      <w:r w:rsidR="00961B9F">
        <w:t>(</w:t>
      </w:r>
      <w:r w:rsidR="00587F1D">
        <w:t>5</w:t>
      </w:r>
      <w:r w:rsidR="00EE5514">
        <w:t>.4)</w:t>
      </w:r>
    </w:p>
    <w:p w:rsidR="00EE5514" w:rsidRPr="006E45AC" w:rsidRDefault="00EE5514" w:rsidP="0012512A">
      <w:pPr>
        <w:spacing w:after="0" w:line="288" w:lineRule="auto"/>
        <w:jc w:val="both"/>
        <w:rPr>
          <w:rFonts w:eastAsiaTheme="minorEastAsia"/>
        </w:rPr>
      </w:pPr>
    </w:p>
    <w:p w:rsidR="00EE5514" w:rsidRDefault="00350B84" w:rsidP="0012512A">
      <w:pPr>
        <w:spacing w:after="0" w:line="288" w:lineRule="auto"/>
        <w:ind w:firstLine="284"/>
        <w:jc w:val="both"/>
        <w:rPr>
          <w:rFonts w:eastAsiaTheme="minorEastAsia"/>
        </w:rPr>
      </w:pPr>
      <w:r>
        <w:rPr>
          <w:rFonts w:eastAsiaTheme="minorEastAsia"/>
        </w:rPr>
        <w:t>w</w:t>
      </w:r>
      <w:r w:rsidR="00EE5514">
        <w:rPr>
          <w:rFonts w:eastAsiaTheme="minorEastAsia"/>
        </w:rPr>
        <w:t>here</w:t>
      </w:r>
    </w:p>
    <w:p w:rsidR="00587F1D" w:rsidRDefault="00587F1D" w:rsidP="0012512A">
      <w:pPr>
        <w:spacing w:after="0" w:line="288" w:lineRule="auto"/>
        <w:ind w:firstLine="284"/>
        <w:jc w:val="both"/>
        <w:rPr>
          <w:rFonts w:eastAsiaTheme="minorEastAsia"/>
        </w:rPr>
      </w:pPr>
    </w:p>
    <w:p w:rsidR="00EE5514" w:rsidRDefault="00CF00F9" w:rsidP="0012512A">
      <w:pPr>
        <w:spacing w:after="0" w:line="288" w:lineRule="auto"/>
        <w:jc w:val="both"/>
        <w:rPr>
          <w:rFonts w:eastAsiaTheme="minorEastAsia"/>
          <w:vertAlign w:val="subscript"/>
        </w:rPr>
      </w:pPr>
      <m:oMath>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rPr>
          <m:t xml:space="preserve">         </m:t>
        </m:r>
      </m:oMath>
      <w:r w:rsidR="00EE5514">
        <w:t xml:space="preserve">= Poverty estimates for district </w:t>
      </w:r>
      <w:proofErr w:type="spellStart"/>
      <w:r w:rsidR="00EE5514" w:rsidRPr="006E45AC">
        <w:rPr>
          <w:i/>
          <w:iCs/>
        </w:rPr>
        <w:t>i</w:t>
      </w:r>
      <w:proofErr w:type="spellEnd"/>
      <w:r w:rsidR="00EE5514">
        <w:t xml:space="preserve"> in time</w:t>
      </w:r>
      <w:r w:rsidR="00EE5514" w:rsidRPr="006E45AC">
        <w:rPr>
          <w:i/>
          <w:iCs/>
        </w:rPr>
        <w:t xml:space="preserve"> t</w:t>
      </w:r>
    </w:p>
    <w:p w:rsidR="00EE5514" w:rsidRDefault="00CF00F9" w:rsidP="0012512A">
      <w:pPr>
        <w:spacing w:after="0" w:line="288" w:lineRule="auto"/>
        <w:jc w:val="both"/>
      </w:pPr>
      <m:oMath>
        <m:sSub>
          <m:sSubPr>
            <m:ctrlPr>
              <w:rPr>
                <w:rFonts w:ascii="Cambria Math" w:hAnsi="Cambria Math"/>
                <w:i/>
              </w:rPr>
            </m:ctrlPr>
          </m:sSubPr>
          <m:e>
            <m:r>
              <w:rPr>
                <w:rFonts w:ascii="Cambria Math" w:hAnsi="Cambria Math"/>
              </w:rPr>
              <m:t>CT</m:t>
            </m:r>
          </m:e>
          <m:sub>
            <m:r>
              <w:rPr>
                <w:rFonts w:ascii="Cambria Math" w:hAnsi="Cambria Math"/>
              </w:rPr>
              <m:t>it</m:t>
            </m:r>
          </m:sub>
        </m:sSub>
      </m:oMath>
      <w:r w:rsidR="00EE5514">
        <w:t xml:space="preserve"> </w:t>
      </w:r>
      <w:r w:rsidR="00587F1D">
        <w:t xml:space="preserve">     </w:t>
      </w:r>
      <w:r w:rsidR="00EE5514">
        <w:t xml:space="preserve">= Cash transfers for district </w:t>
      </w:r>
      <w:proofErr w:type="spellStart"/>
      <w:r w:rsidR="00EE5514" w:rsidRPr="006E45AC">
        <w:rPr>
          <w:i/>
          <w:iCs/>
        </w:rPr>
        <w:t>i</w:t>
      </w:r>
      <w:proofErr w:type="spellEnd"/>
      <w:r w:rsidR="00EE5514">
        <w:t xml:space="preserve"> in time</w:t>
      </w:r>
      <w:r w:rsidR="00EE5514" w:rsidRPr="006E45AC">
        <w:rPr>
          <w:i/>
          <w:iCs/>
        </w:rPr>
        <w:t xml:space="preserve"> t</w:t>
      </w:r>
    </w:p>
    <w:p w:rsidR="00350B84" w:rsidRDefault="00CF00F9" w:rsidP="00350B84">
      <w:pPr>
        <w:spacing w:after="0" w:line="288" w:lineRule="auto"/>
        <w:jc w:val="both"/>
      </w:pPr>
      <m:oMath>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 xml:space="preserve">         </m:t>
        </m:r>
      </m:oMath>
      <w:r w:rsidR="00EE5514">
        <w:t>=</w:t>
      </w:r>
      <w:r w:rsidR="00350B84">
        <w:t xml:space="preserve"> </w:t>
      </w:r>
      <w:r w:rsidR="00EE5514">
        <w:t xml:space="preserve">Set of control variables that falls into the broader categories of </w:t>
      </w:r>
      <w:r w:rsidR="00587F1D">
        <w:t xml:space="preserve">household </w:t>
      </w:r>
      <w:r w:rsidR="00350B84">
        <w:t xml:space="preserve">  </w:t>
      </w:r>
    </w:p>
    <w:p w:rsidR="00EE5514" w:rsidRPr="00587F1D" w:rsidRDefault="00350B84" w:rsidP="00350B84">
      <w:pPr>
        <w:spacing w:after="0" w:line="288" w:lineRule="auto"/>
        <w:ind w:firstLine="720"/>
        <w:jc w:val="both"/>
      </w:pPr>
      <w:r>
        <w:t xml:space="preserve">    </w:t>
      </w:r>
      <w:r w:rsidR="00EE5514">
        <w:t>demographics, education,</w:t>
      </w:r>
      <w:r w:rsidR="00587F1D">
        <w:t xml:space="preserve"> </w:t>
      </w:r>
      <w:r w:rsidR="00EE5514">
        <w:t>health, living standards and access</w:t>
      </w:r>
      <w:r w:rsidR="00587F1D">
        <w:t xml:space="preserve"> to</w:t>
      </w:r>
      <w:r w:rsidR="00EE5514">
        <w:t xml:space="preserve"> facilities</w:t>
      </w:r>
    </w:p>
    <w:p w:rsidR="00EE5514" w:rsidRDefault="00CF00F9" w:rsidP="0012512A">
      <w:pPr>
        <w:spacing w:after="0" w:line="288" w:lineRule="auto"/>
        <w:jc w:val="both"/>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EE5514">
        <w:rPr>
          <w:rFonts w:eastAsiaTheme="minorEastAsia"/>
          <w:vertAlign w:val="subscript"/>
        </w:rPr>
        <w:t xml:space="preserve"> </w:t>
      </w:r>
      <w:r w:rsidR="00587F1D">
        <w:rPr>
          <w:rFonts w:eastAsiaTheme="minorEastAsia"/>
          <w:vertAlign w:val="subscript"/>
        </w:rPr>
        <w:t xml:space="preserve">   </w:t>
      </w:r>
      <w:r w:rsidR="00350B84">
        <w:rPr>
          <w:rFonts w:eastAsiaTheme="minorEastAsia"/>
          <w:vertAlign w:val="subscript"/>
        </w:rPr>
        <w:t xml:space="preserve">        </w:t>
      </w:r>
      <w:r w:rsidR="00587F1D">
        <w:rPr>
          <w:rFonts w:eastAsiaTheme="minorEastAsia"/>
          <w:vertAlign w:val="subscript"/>
        </w:rPr>
        <w:t xml:space="preserve"> </w:t>
      </w:r>
      <w:r w:rsidR="00EE5514">
        <w:rPr>
          <w:rFonts w:eastAsiaTheme="minorEastAsia"/>
        </w:rPr>
        <w:t>=</w:t>
      </w:r>
      <w:r w:rsidR="00587F1D">
        <w:rPr>
          <w:rFonts w:eastAsiaTheme="minorEastAsia"/>
        </w:rPr>
        <w:t xml:space="preserve"> </w:t>
      </w:r>
      <w:r w:rsidR="00EE5514">
        <w:rPr>
          <w:rFonts w:eastAsiaTheme="minorEastAsia"/>
        </w:rPr>
        <w:t>District dummy in fixed effect model</w:t>
      </w:r>
    </w:p>
    <w:p w:rsidR="00350B84" w:rsidRDefault="00EE5514" w:rsidP="00587F1D">
      <w:pPr>
        <w:spacing w:after="0" w:line="288" w:lineRule="auto"/>
        <w:jc w:val="both"/>
        <w:rPr>
          <w:rFonts w:eastAsiaTheme="minorEastAsia"/>
          <w:iCs/>
        </w:rPr>
      </w:pPr>
      <m:oMath>
        <m:r>
          <w:rPr>
            <w:rFonts w:ascii="Cambria Math" w:hAnsi="Cambria Math"/>
          </w:rPr>
          <m:t>Phase</m:t>
        </m:r>
      </m:oMath>
      <w:r>
        <w:rPr>
          <w:rFonts w:eastAsiaTheme="minorEastAsia"/>
          <w:iCs/>
        </w:rPr>
        <w:t xml:space="preserve"> </w:t>
      </w:r>
      <w:r w:rsidR="00350B84">
        <w:rPr>
          <w:rFonts w:eastAsiaTheme="minorEastAsia"/>
          <w:iCs/>
        </w:rPr>
        <w:t xml:space="preserve"> </w:t>
      </w:r>
      <w:r>
        <w:rPr>
          <w:rFonts w:eastAsiaTheme="minorEastAsia"/>
          <w:iCs/>
        </w:rPr>
        <w:t>= Dummy for the change in targeting phase</w:t>
      </w:r>
      <w:r w:rsidR="00587F1D">
        <w:rPr>
          <w:rFonts w:eastAsiaTheme="minorEastAsia"/>
          <w:iCs/>
        </w:rPr>
        <w:t xml:space="preserve"> which takes value of </w:t>
      </w:r>
      <w:r>
        <w:rPr>
          <w:rFonts w:eastAsiaTheme="minorEastAsia"/>
          <w:iCs/>
        </w:rPr>
        <w:t>1 if CBT a</w:t>
      </w:r>
      <w:r w:rsidR="00350B84">
        <w:rPr>
          <w:rFonts w:eastAsiaTheme="minorEastAsia"/>
          <w:iCs/>
        </w:rPr>
        <w:t>nd 0 if</w:t>
      </w:r>
      <w:r>
        <w:rPr>
          <w:rFonts w:eastAsiaTheme="minorEastAsia"/>
          <w:iCs/>
        </w:rPr>
        <w:t xml:space="preserve"> </w:t>
      </w:r>
    </w:p>
    <w:p w:rsidR="00EE5514" w:rsidRPr="0096654A" w:rsidRDefault="00350B84" w:rsidP="00587F1D">
      <w:pPr>
        <w:spacing w:after="0" w:line="288" w:lineRule="auto"/>
        <w:jc w:val="both"/>
        <w:rPr>
          <w:rFonts w:eastAsiaTheme="minorEastAsia"/>
        </w:rPr>
      </w:pPr>
      <w:r>
        <w:rPr>
          <w:rFonts w:eastAsiaTheme="minorEastAsia"/>
          <w:iCs/>
        </w:rPr>
        <w:t xml:space="preserve">                </w:t>
      </w:r>
      <w:r w:rsidR="00EE5514">
        <w:rPr>
          <w:rFonts w:eastAsiaTheme="minorEastAsia"/>
          <w:iCs/>
        </w:rPr>
        <w:t>PMT</w:t>
      </w:r>
    </w:p>
    <w:p w:rsidR="00EE5514" w:rsidRPr="006E45AC" w:rsidRDefault="00EE5514" w:rsidP="0012512A">
      <w:pPr>
        <w:spacing w:after="0" w:line="288" w:lineRule="auto"/>
        <w:jc w:val="both"/>
        <w:rPr>
          <w:rFonts w:eastAsiaTheme="minorEastAsia"/>
        </w:rPr>
      </w:pPr>
      <m:oMath>
        <m:r>
          <w:rPr>
            <w:rFonts w:ascii="Cambria Math" w:hAnsi="Cambria Math"/>
          </w:rPr>
          <m:t>ε</m:t>
        </m:r>
      </m:oMath>
      <w:r>
        <w:rPr>
          <w:rFonts w:eastAsiaTheme="minorEastAsia"/>
          <w:vertAlign w:val="subscript"/>
        </w:rPr>
        <w:t xml:space="preserve">it </w:t>
      </w:r>
      <w:r w:rsidR="00350B84">
        <w:rPr>
          <w:rFonts w:eastAsiaTheme="minorEastAsia"/>
          <w:vertAlign w:val="subscript"/>
        </w:rPr>
        <w:t xml:space="preserve">             </w:t>
      </w:r>
      <w:r>
        <w:rPr>
          <w:rFonts w:eastAsiaTheme="minorEastAsia"/>
        </w:rPr>
        <w:t>= Error term</w:t>
      </w:r>
    </w:p>
    <w:p w:rsidR="00EE5514" w:rsidRPr="006E45AC" w:rsidRDefault="00CF00F9" w:rsidP="0012512A">
      <w:pPr>
        <w:spacing w:after="0" w:line="288" w:lineRule="auto"/>
        <w:jc w:val="both"/>
        <w:rPr>
          <w:rFonts w:eastAsiaTheme="minorEastAsia"/>
        </w:rPr>
      </w:pPr>
      <m:oMath>
        <m:sSub>
          <m:sSubPr>
            <m:ctrlPr>
              <w:rPr>
                <w:rFonts w:ascii="Cambria Math" w:hAnsi="Cambria Math"/>
                <w:i/>
              </w:rPr>
            </m:ctrlPr>
          </m:sSubPr>
          <m:e>
            <m:r>
              <w:rPr>
                <w:rFonts w:ascii="Cambria Math" w:hAnsi="Cambria Math"/>
              </w:rPr>
              <m:t>u</m:t>
            </m:r>
          </m:e>
          <m:sub>
            <m:r>
              <w:rPr>
                <w:rFonts w:ascii="Cambria Math" w:hAnsi="Cambria Math"/>
              </w:rPr>
              <m:t>it</m:t>
            </m:r>
          </m:sub>
        </m:sSub>
      </m:oMath>
      <w:r w:rsidR="00350B84">
        <w:rPr>
          <w:rFonts w:eastAsiaTheme="minorEastAsia"/>
        </w:rPr>
        <w:t xml:space="preserve">       </w:t>
      </w:r>
      <w:r w:rsidR="005125C9">
        <w:rPr>
          <w:rFonts w:eastAsiaTheme="minorEastAsia"/>
        </w:rPr>
        <w:t xml:space="preserve"> </w:t>
      </w:r>
      <w:r w:rsidR="00EE5514">
        <w:rPr>
          <w:rFonts w:eastAsiaTheme="minorEastAsia"/>
        </w:rPr>
        <w:t>= Between districts error term in random effect model</w:t>
      </w:r>
    </w:p>
    <w:p w:rsidR="00EE5514" w:rsidRDefault="00EE5514" w:rsidP="0012512A">
      <w:pPr>
        <w:spacing w:after="0" w:line="288" w:lineRule="auto"/>
        <w:jc w:val="both"/>
      </w:pPr>
    </w:p>
    <w:p w:rsidR="00EE5514" w:rsidRDefault="00EE5514" w:rsidP="0012512A">
      <w:pPr>
        <w:spacing w:after="0" w:line="288" w:lineRule="auto"/>
        <w:jc w:val="both"/>
      </w:pPr>
    </w:p>
    <w:p w:rsidR="00CC3CE0" w:rsidRPr="00EE5514" w:rsidRDefault="00CC3CE0" w:rsidP="00CC3CE0">
      <w:pPr>
        <w:spacing w:after="100" w:afterAutospacing="1" w:line="288" w:lineRule="auto"/>
        <w:jc w:val="both"/>
        <w:rPr>
          <w:rFonts w:asciiTheme="majorBidi" w:hAnsiTheme="majorBidi" w:cstheme="majorBidi"/>
          <w:b/>
          <w:bCs/>
        </w:rPr>
      </w:pPr>
      <w:r w:rsidRPr="00EE5514">
        <w:rPr>
          <w:rFonts w:asciiTheme="majorBidi" w:hAnsiTheme="majorBidi" w:cstheme="majorBidi"/>
          <w:b/>
          <w:bCs/>
        </w:rPr>
        <w:t>5. Results</w:t>
      </w:r>
    </w:p>
    <w:p w:rsidR="00CC3CE0" w:rsidRDefault="00CC3CE0" w:rsidP="00C653CB">
      <w:pPr>
        <w:spacing w:after="100" w:afterAutospacing="1" w:line="288" w:lineRule="auto"/>
        <w:jc w:val="both"/>
      </w:pPr>
      <w:r>
        <w:t xml:space="preserve">Prior to analysing the effect of BISP cash transfer on poverty and whether choice of poverty measure matter, we compared the coverage of the cash transfer at the district level across four alternate years. </w:t>
      </w:r>
      <w:r w:rsidR="00474F4A">
        <w:t>Appendix</w:t>
      </w:r>
      <w:r>
        <w:t xml:space="preserve"> C provides </w:t>
      </w:r>
      <w:r w:rsidR="00474F4A">
        <w:t xml:space="preserve">spatial profile of </w:t>
      </w:r>
      <w:r>
        <w:t>both money metric and multidimensional poverty estimates along with the amount of cash transfers at the district level for four alternate survey years of 2008,</w:t>
      </w:r>
      <w:r w:rsidR="00474F4A">
        <w:t xml:space="preserve"> </w:t>
      </w:r>
      <w:r>
        <w:t>2010,</w:t>
      </w:r>
      <w:r w:rsidR="00474F4A">
        <w:t xml:space="preserve"> </w:t>
      </w:r>
      <w:r>
        <w:t xml:space="preserve">2012 and 2014. </w:t>
      </w:r>
    </w:p>
    <w:p w:rsidR="00CC3CE0" w:rsidRDefault="00CC3CE0" w:rsidP="00CC3CE0">
      <w:pPr>
        <w:spacing w:after="100" w:afterAutospacing="1" w:line="288" w:lineRule="auto"/>
        <w:ind w:firstLine="720"/>
        <w:jc w:val="both"/>
      </w:pPr>
      <w:r>
        <w:t>The districts which have</w:t>
      </w:r>
      <w:r w:rsidR="00020702">
        <w:t xml:space="preserve"> the</w:t>
      </w:r>
      <w:r>
        <w:t xml:space="preserve"> highest poverty estimates whether using conventional or non-conventional poverty measures do not completely fall into the list of districts which received highest </w:t>
      </w:r>
      <w:r w:rsidR="00020702">
        <w:t xml:space="preserve">per capita </w:t>
      </w:r>
      <w:r>
        <w:t xml:space="preserve">cash transfers. Even after 2010 when the targeting approach </w:t>
      </w:r>
      <w:r w:rsidR="00020702">
        <w:t xml:space="preserve">was </w:t>
      </w:r>
      <w:r>
        <w:t xml:space="preserve">changed to PMT, the districts which have </w:t>
      </w:r>
      <w:r w:rsidR="00020702">
        <w:t xml:space="preserve">the </w:t>
      </w:r>
      <w:r>
        <w:t>highest incidence of poverty based on money-metric poverty measures (headcount) are not falling into the highest cash receiving tier. If we consider the headcount of the multidimensional poverty estimates, the districts with highest incidence of poverty which are concentrated in the south-west of Pakistan (</w:t>
      </w:r>
      <w:proofErr w:type="spellStart"/>
      <w:r w:rsidRPr="003575A7">
        <w:rPr>
          <w:i/>
          <w:iCs/>
        </w:rPr>
        <w:t>Balochishtan</w:t>
      </w:r>
      <w:proofErr w:type="spellEnd"/>
      <w:r>
        <w:t xml:space="preserve"> province) are not receiving the highest amount of cash transfers. BISP </w:t>
      </w:r>
      <w:r w:rsidR="00D319F9">
        <w:t>does not seem to be</w:t>
      </w:r>
      <w:r>
        <w:t xml:space="preserve"> </w:t>
      </w:r>
      <w:r>
        <w:lastRenderedPageBreak/>
        <w:t xml:space="preserve">targeting districts with highest incidence of poverty even if we just consider the spatial profile using headcount indices. If we consider complex poverty measures which are sensitive to the depth and distribution of the poverty, the coverage of BISP </w:t>
      </w:r>
      <w:r w:rsidR="000A5E46">
        <w:t>seems even less</w:t>
      </w:r>
      <w:r w:rsidR="00AD35ED">
        <w:t xml:space="preserve"> well targeted</w:t>
      </w:r>
      <w:r>
        <w:t xml:space="preserve">. </w:t>
      </w:r>
    </w:p>
    <w:p w:rsidR="00CC3CE0" w:rsidRDefault="00CC3CE0" w:rsidP="00CC3CE0">
      <w:pPr>
        <w:spacing w:after="100" w:afterAutospacing="1" w:line="288" w:lineRule="auto"/>
        <w:ind w:firstLine="720"/>
        <w:jc w:val="both"/>
      </w:pPr>
      <w:r>
        <w:t xml:space="preserve">Although </w:t>
      </w:r>
      <w:r w:rsidR="00AD35ED">
        <w:t xml:space="preserve">there is poor overlap between </w:t>
      </w:r>
      <w:r>
        <w:t xml:space="preserve">the coverage of BISP </w:t>
      </w:r>
      <w:r w:rsidR="00AD35ED">
        <w:t>and the poverty measures,</w:t>
      </w:r>
      <w:r>
        <w:t xml:space="preserve"> it is important to observe if there is any significant difference in average poverty estimates before and after the start of the largest social safety net program in Pakistan</w:t>
      </w:r>
      <w:r w:rsidR="00AD35ED">
        <w:t>. In particular we want to examine</w:t>
      </w:r>
      <w:r w:rsidR="00637834">
        <w:t xml:space="preserve"> </w:t>
      </w:r>
      <w:r w:rsidR="00AD35ED">
        <w:t>the effects of</w:t>
      </w:r>
      <w:r>
        <w:t xml:space="preserve"> factors other than changes in household endowments.  To examine the drivers of poverty reduction, Table 4 reported Blinder-Oaxaca decomposition for not only money-metric but also multidimensional poverty measures. </w:t>
      </w:r>
    </w:p>
    <w:p w:rsidR="00CC3CE0" w:rsidRDefault="00CC3CE0" w:rsidP="00CC3CE0">
      <w:pPr>
        <w:spacing w:after="100" w:afterAutospacing="1" w:line="288" w:lineRule="auto"/>
        <w:ind w:firstLine="720"/>
        <w:jc w:val="both"/>
      </w:pPr>
      <w:r>
        <w:t xml:space="preserve">For money-metric poverty measures, </w:t>
      </w:r>
      <w:r w:rsidR="00AD35ED">
        <w:t xml:space="preserve">it </w:t>
      </w:r>
      <w:r>
        <w:t>showed that there was a relatively large decline in poverty of about 12.33 percentage points for monetary HH poverty measure. Similar magnitude of poverty reduction was observed if using the distributional insensitive multidimensional poverty index MPI (a reduction of 10.21 percentage points)</w:t>
      </w:r>
      <w:r w:rsidR="009A7CA1">
        <w:t>.</w:t>
      </w:r>
      <w:r w:rsidR="00907EFF">
        <w:t xml:space="preserve"> Appendix D provides the Blinder-Oaxaca decomposition results in details. </w:t>
      </w:r>
    </w:p>
    <w:p w:rsidR="00EE5514" w:rsidRDefault="00EE5514" w:rsidP="00EE5514">
      <w:pPr>
        <w:spacing w:after="0" w:line="240" w:lineRule="auto"/>
        <w:jc w:val="center"/>
        <w:rPr>
          <w:b/>
          <w:bCs/>
        </w:rPr>
      </w:pPr>
      <w:r w:rsidRPr="00907EFF">
        <w:rPr>
          <w:b/>
          <w:bCs/>
        </w:rPr>
        <w:t xml:space="preserve">Table 4: </w:t>
      </w:r>
      <w:r>
        <w:rPr>
          <w:b/>
          <w:bCs/>
        </w:rPr>
        <w:t xml:space="preserve">Drivers of poverty reduction: Decomposing changes in poverty </w:t>
      </w:r>
    </w:p>
    <w:p w:rsidR="00EE5514" w:rsidRPr="000F28B3" w:rsidRDefault="00EE5514" w:rsidP="00EE5514">
      <w:pPr>
        <w:spacing w:after="0" w:line="240" w:lineRule="auto"/>
        <w:jc w:val="center"/>
        <w:rPr>
          <w:b/>
          <w:bCs/>
        </w:rPr>
      </w:pPr>
    </w:p>
    <w:tbl>
      <w:tblPr>
        <w:tblW w:w="8931" w:type="dxa"/>
        <w:tblBorders>
          <w:top w:val="single" w:sz="4" w:space="0" w:color="auto"/>
          <w:insideH w:val="single" w:sz="4" w:space="0" w:color="auto"/>
        </w:tblBorders>
        <w:tblLayout w:type="fixed"/>
        <w:tblLook w:val="04A0" w:firstRow="1" w:lastRow="0" w:firstColumn="1" w:lastColumn="0" w:noHBand="0" w:noVBand="1"/>
      </w:tblPr>
      <w:tblGrid>
        <w:gridCol w:w="1843"/>
        <w:gridCol w:w="1843"/>
        <w:gridCol w:w="1276"/>
        <w:gridCol w:w="1275"/>
        <w:gridCol w:w="1276"/>
        <w:gridCol w:w="1418"/>
      </w:tblGrid>
      <w:tr w:rsidR="00EE5514" w:rsidRPr="00536878" w:rsidTr="009553BA">
        <w:trPr>
          <w:cantSplit/>
          <w:trHeight w:val="541"/>
        </w:trPr>
        <w:tc>
          <w:tcPr>
            <w:tcW w:w="3686" w:type="dxa"/>
            <w:gridSpan w:val="2"/>
            <w:shd w:val="clear" w:color="auto" w:fill="BFBFBF" w:themeFill="background1" w:themeFillShade="BF"/>
            <w:vAlign w:val="center"/>
          </w:tcPr>
          <w:p w:rsidR="00EE5514" w:rsidRPr="00536878" w:rsidRDefault="00EE5514" w:rsidP="009553BA">
            <w:pPr>
              <w:pStyle w:val="NoSpacing"/>
              <w:jc w:val="center"/>
              <w:rPr>
                <w:rFonts w:ascii="Times New Roman" w:hAnsi="Times New Roman" w:cs="Times New Roman"/>
                <w:b/>
                <w:bCs/>
                <w:sz w:val="21"/>
                <w:szCs w:val="21"/>
              </w:rPr>
            </w:pPr>
            <w:r w:rsidRPr="00536878">
              <w:rPr>
                <w:rFonts w:ascii="Times New Roman" w:hAnsi="Times New Roman" w:cs="Times New Roman"/>
                <w:b/>
                <w:bCs/>
                <w:sz w:val="21"/>
                <w:szCs w:val="21"/>
              </w:rPr>
              <w:t>Poverty Measures</w:t>
            </w:r>
          </w:p>
        </w:tc>
        <w:tc>
          <w:tcPr>
            <w:tcW w:w="1276" w:type="dxa"/>
            <w:shd w:val="clear" w:color="auto" w:fill="BFBFBF" w:themeFill="background1" w:themeFillShade="BF"/>
            <w:vAlign w:val="center"/>
            <w:hideMark/>
          </w:tcPr>
          <w:p w:rsidR="00EE5514" w:rsidRPr="00536878" w:rsidRDefault="00EE5514" w:rsidP="009553BA">
            <w:pPr>
              <w:pStyle w:val="NoSpacing"/>
              <w:rPr>
                <w:rFonts w:ascii="Times New Roman" w:hAnsi="Times New Roman" w:cs="Times New Roman"/>
                <w:b/>
                <w:bCs/>
                <w:sz w:val="21"/>
                <w:szCs w:val="21"/>
              </w:rPr>
            </w:pPr>
            <w:r w:rsidRPr="00536878">
              <w:rPr>
                <w:rFonts w:ascii="Times New Roman" w:hAnsi="Times New Roman" w:cs="Times New Roman"/>
                <w:b/>
                <w:bCs/>
                <w:sz w:val="21"/>
                <w:szCs w:val="21"/>
              </w:rPr>
              <w:t>Difference</w:t>
            </w:r>
          </w:p>
        </w:tc>
        <w:tc>
          <w:tcPr>
            <w:tcW w:w="1275" w:type="dxa"/>
            <w:shd w:val="clear" w:color="auto" w:fill="BFBFBF" w:themeFill="background1" w:themeFillShade="BF"/>
            <w:vAlign w:val="center"/>
            <w:hideMark/>
          </w:tcPr>
          <w:p w:rsidR="00EE5514" w:rsidRPr="00536878" w:rsidRDefault="00EE5514" w:rsidP="009553BA">
            <w:pPr>
              <w:pStyle w:val="NoSpacing"/>
              <w:ind w:right="-106" w:firstLine="7"/>
              <w:rPr>
                <w:rFonts w:ascii="Times New Roman" w:hAnsi="Times New Roman" w:cs="Times New Roman"/>
                <w:b/>
                <w:bCs/>
                <w:sz w:val="21"/>
                <w:szCs w:val="21"/>
              </w:rPr>
            </w:pPr>
            <w:r w:rsidRPr="00536878">
              <w:rPr>
                <w:rFonts w:ascii="Times New Roman" w:hAnsi="Times New Roman" w:cs="Times New Roman"/>
                <w:b/>
                <w:bCs/>
                <w:sz w:val="21"/>
                <w:szCs w:val="21"/>
              </w:rPr>
              <w:t>Endowment</w:t>
            </w:r>
          </w:p>
        </w:tc>
        <w:tc>
          <w:tcPr>
            <w:tcW w:w="1276" w:type="dxa"/>
            <w:shd w:val="clear" w:color="auto" w:fill="BFBFBF" w:themeFill="background1" w:themeFillShade="BF"/>
            <w:vAlign w:val="center"/>
            <w:hideMark/>
          </w:tcPr>
          <w:p w:rsidR="00EE5514" w:rsidRPr="00536878" w:rsidRDefault="00EE5514" w:rsidP="009553BA">
            <w:pPr>
              <w:pStyle w:val="NoSpacing"/>
              <w:ind w:firstLine="1"/>
              <w:rPr>
                <w:rFonts w:ascii="Times New Roman" w:hAnsi="Times New Roman" w:cs="Times New Roman"/>
                <w:b/>
                <w:bCs/>
                <w:sz w:val="21"/>
                <w:szCs w:val="21"/>
              </w:rPr>
            </w:pPr>
            <w:r w:rsidRPr="00536878">
              <w:rPr>
                <w:rFonts w:ascii="Times New Roman" w:hAnsi="Times New Roman" w:cs="Times New Roman"/>
                <w:b/>
                <w:bCs/>
                <w:sz w:val="21"/>
                <w:szCs w:val="21"/>
              </w:rPr>
              <w:t>Coefficient</w:t>
            </w:r>
          </w:p>
        </w:tc>
        <w:tc>
          <w:tcPr>
            <w:tcW w:w="1418" w:type="dxa"/>
            <w:shd w:val="clear" w:color="auto" w:fill="BFBFBF" w:themeFill="background1" w:themeFillShade="BF"/>
            <w:vAlign w:val="center"/>
            <w:hideMark/>
          </w:tcPr>
          <w:p w:rsidR="00EE5514" w:rsidRPr="00536878" w:rsidRDefault="00EE5514" w:rsidP="009553BA">
            <w:pPr>
              <w:pStyle w:val="NoSpacing"/>
              <w:ind w:firstLine="41"/>
              <w:rPr>
                <w:rFonts w:ascii="Times New Roman" w:hAnsi="Times New Roman" w:cs="Times New Roman"/>
                <w:b/>
                <w:bCs/>
                <w:sz w:val="21"/>
                <w:szCs w:val="21"/>
              </w:rPr>
            </w:pPr>
            <w:r w:rsidRPr="00536878">
              <w:rPr>
                <w:rFonts w:ascii="Times New Roman" w:hAnsi="Times New Roman" w:cs="Times New Roman"/>
                <w:b/>
                <w:bCs/>
                <w:sz w:val="21"/>
                <w:szCs w:val="21"/>
              </w:rPr>
              <w:t>Interaction</w:t>
            </w:r>
          </w:p>
        </w:tc>
      </w:tr>
      <w:tr w:rsidR="00EE5514" w:rsidRPr="00536878" w:rsidTr="009553BA">
        <w:trPr>
          <w:cantSplit/>
          <w:trHeight w:val="20"/>
        </w:trPr>
        <w:tc>
          <w:tcPr>
            <w:tcW w:w="1843" w:type="dxa"/>
            <w:vMerge w:val="restart"/>
            <w:vAlign w:val="center"/>
          </w:tcPr>
          <w:p w:rsidR="00EE5514" w:rsidRPr="00536878" w:rsidRDefault="00EE5514" w:rsidP="009553BA">
            <w:pPr>
              <w:pStyle w:val="NoSpacing"/>
              <w:ind w:firstLine="40"/>
              <w:rPr>
                <w:rFonts w:ascii="Times New Roman" w:hAnsi="Times New Roman" w:cs="Times New Roman"/>
                <w:sz w:val="21"/>
                <w:szCs w:val="21"/>
              </w:rPr>
            </w:pPr>
            <w:r w:rsidRPr="00536878">
              <w:rPr>
                <w:rFonts w:ascii="Times New Roman" w:hAnsi="Times New Roman" w:cs="Times New Roman"/>
                <w:sz w:val="21"/>
                <w:szCs w:val="21"/>
              </w:rPr>
              <w:t>Money Metric</w:t>
            </w:r>
          </w:p>
        </w:tc>
        <w:tc>
          <w:tcPr>
            <w:tcW w:w="7088" w:type="dxa"/>
            <w:gridSpan w:val="5"/>
            <w:shd w:val="clear" w:color="auto" w:fill="D9D9D9" w:themeFill="background1" w:themeFillShade="D9"/>
            <w:vAlign w:val="center"/>
          </w:tcPr>
          <w:p w:rsidR="00EE5514" w:rsidRPr="00536878" w:rsidRDefault="00EE5514" w:rsidP="009553BA">
            <w:pPr>
              <w:pStyle w:val="NoSpacing"/>
              <w:ind w:firstLine="41"/>
              <w:jc w:val="center"/>
              <w:rPr>
                <w:rFonts w:ascii="Times New Roman" w:hAnsi="Times New Roman" w:cs="Times New Roman"/>
                <w:sz w:val="21"/>
                <w:szCs w:val="21"/>
              </w:rPr>
            </w:pPr>
            <w:r w:rsidRPr="00536878">
              <w:rPr>
                <w:rFonts w:ascii="Times New Roman" w:hAnsi="Times New Roman" w:cs="Times New Roman"/>
                <w:sz w:val="21"/>
                <w:szCs w:val="21"/>
              </w:rPr>
              <w:t>Distribution Insensitive</w:t>
            </w:r>
          </w:p>
        </w:tc>
      </w:tr>
      <w:tr w:rsidR="00EE5514" w:rsidRPr="00536878" w:rsidTr="009553BA">
        <w:trPr>
          <w:cantSplit/>
          <w:trHeight w:val="20"/>
        </w:trPr>
        <w:tc>
          <w:tcPr>
            <w:tcW w:w="1843" w:type="dxa"/>
            <w:vMerge/>
            <w:vAlign w:val="center"/>
            <w:hideMark/>
          </w:tcPr>
          <w:p w:rsidR="00EE5514" w:rsidRPr="00536878" w:rsidRDefault="00EE5514" w:rsidP="009553BA">
            <w:pPr>
              <w:pStyle w:val="NoSpacing"/>
              <w:ind w:firstLine="40"/>
              <w:rPr>
                <w:rFonts w:ascii="Times New Roman" w:hAnsi="Times New Roman" w:cs="Times New Roman"/>
                <w:sz w:val="21"/>
                <w:szCs w:val="21"/>
              </w:rPr>
            </w:pPr>
          </w:p>
        </w:tc>
        <w:tc>
          <w:tcPr>
            <w:tcW w:w="1843" w:type="dxa"/>
            <w:vAlign w:val="center"/>
            <w:hideMark/>
          </w:tcPr>
          <w:p w:rsidR="00EE5514" w:rsidRPr="00536878" w:rsidRDefault="00EE5514" w:rsidP="009553BA">
            <w:pPr>
              <w:pStyle w:val="NoSpacing"/>
              <w:rPr>
                <w:rFonts w:ascii="Times New Roman" w:hAnsi="Times New Roman" w:cs="Times New Roman"/>
                <w:sz w:val="21"/>
                <w:szCs w:val="21"/>
              </w:rPr>
            </w:pPr>
            <w:r w:rsidRPr="00536878">
              <w:rPr>
                <w:rFonts w:ascii="Times New Roman" w:hAnsi="Times New Roman" w:cs="Times New Roman"/>
                <w:sz w:val="21"/>
                <w:szCs w:val="21"/>
              </w:rPr>
              <w:t xml:space="preserve">Headcount </w:t>
            </w:r>
            <w:proofErr w:type="gramStart"/>
            <w:r w:rsidRPr="00536878">
              <w:rPr>
                <w:rFonts w:ascii="Times New Roman" w:hAnsi="Times New Roman" w:cs="Times New Roman"/>
                <w:sz w:val="21"/>
                <w:szCs w:val="21"/>
              </w:rPr>
              <w:t>Index  (</w:t>
            </w:r>
            <w:proofErr w:type="gramEnd"/>
            <w:r w:rsidRPr="00536878">
              <w:rPr>
                <w:rFonts w:ascii="Times New Roman" w:hAnsi="Times New Roman" w:cs="Times New Roman"/>
                <w:sz w:val="21"/>
                <w:szCs w:val="21"/>
              </w:rPr>
              <w:t>HH)</w:t>
            </w:r>
          </w:p>
        </w:tc>
        <w:tc>
          <w:tcPr>
            <w:tcW w:w="1276" w:type="dxa"/>
            <w:vAlign w:val="center"/>
            <w:hideMark/>
          </w:tcPr>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12.33***</w:t>
            </w:r>
          </w:p>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(1.82)</w:t>
            </w:r>
          </w:p>
        </w:tc>
        <w:tc>
          <w:tcPr>
            <w:tcW w:w="1275" w:type="dxa"/>
            <w:vAlign w:val="center"/>
            <w:hideMark/>
          </w:tcPr>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 xml:space="preserve"> 5.94 **</w:t>
            </w:r>
          </w:p>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 xml:space="preserve"> (3.02)</w:t>
            </w:r>
          </w:p>
        </w:tc>
        <w:tc>
          <w:tcPr>
            <w:tcW w:w="1276" w:type="dxa"/>
            <w:vAlign w:val="center"/>
            <w:hideMark/>
          </w:tcPr>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5.64 ***</w:t>
            </w:r>
          </w:p>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(2.08)</w:t>
            </w:r>
          </w:p>
        </w:tc>
        <w:tc>
          <w:tcPr>
            <w:tcW w:w="1418" w:type="dxa"/>
            <w:vAlign w:val="center"/>
            <w:hideMark/>
          </w:tcPr>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 xml:space="preserve"> 0.74</w:t>
            </w:r>
          </w:p>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 xml:space="preserve"> (3.19)</w:t>
            </w:r>
          </w:p>
        </w:tc>
      </w:tr>
      <w:tr w:rsidR="00EE5514" w:rsidRPr="00536878" w:rsidTr="009553BA">
        <w:trPr>
          <w:trHeight w:val="20"/>
        </w:trPr>
        <w:tc>
          <w:tcPr>
            <w:tcW w:w="1843" w:type="dxa"/>
            <w:vMerge/>
            <w:vAlign w:val="center"/>
            <w:hideMark/>
          </w:tcPr>
          <w:p w:rsidR="00EE5514" w:rsidRPr="00536878" w:rsidRDefault="00EE5514" w:rsidP="009553BA">
            <w:pPr>
              <w:spacing w:after="0" w:line="240" w:lineRule="auto"/>
              <w:ind w:firstLine="40"/>
              <w:rPr>
                <w:rFonts w:eastAsiaTheme="minorEastAsia"/>
                <w:sz w:val="21"/>
                <w:szCs w:val="21"/>
                <w:lang w:val="en-US" w:eastAsia="zh-CN"/>
              </w:rPr>
            </w:pPr>
          </w:p>
        </w:tc>
        <w:tc>
          <w:tcPr>
            <w:tcW w:w="1843" w:type="dxa"/>
            <w:vAlign w:val="center"/>
            <w:hideMark/>
          </w:tcPr>
          <w:p w:rsidR="00EE5514" w:rsidRPr="00536878" w:rsidRDefault="00EE5514" w:rsidP="009553BA">
            <w:pPr>
              <w:pStyle w:val="NoSpacing"/>
              <w:rPr>
                <w:rFonts w:ascii="Times New Roman" w:hAnsi="Times New Roman" w:cs="Times New Roman"/>
                <w:sz w:val="21"/>
                <w:szCs w:val="21"/>
              </w:rPr>
            </w:pPr>
            <w:r w:rsidRPr="00536878">
              <w:rPr>
                <w:rFonts w:ascii="Times New Roman" w:hAnsi="Times New Roman" w:cs="Times New Roman"/>
                <w:sz w:val="21"/>
                <w:szCs w:val="21"/>
              </w:rPr>
              <w:t xml:space="preserve">Poverty Gap </w:t>
            </w:r>
            <w:proofErr w:type="gramStart"/>
            <w:r w:rsidRPr="00536878">
              <w:rPr>
                <w:rFonts w:ascii="Times New Roman" w:hAnsi="Times New Roman" w:cs="Times New Roman"/>
                <w:sz w:val="21"/>
                <w:szCs w:val="21"/>
              </w:rPr>
              <w:t>Index  (</w:t>
            </w:r>
            <w:proofErr w:type="gramEnd"/>
            <w:r w:rsidRPr="00536878">
              <w:rPr>
                <w:rFonts w:ascii="Times New Roman" w:hAnsi="Times New Roman" w:cs="Times New Roman"/>
                <w:sz w:val="21"/>
                <w:szCs w:val="21"/>
              </w:rPr>
              <w:t>PG)</w:t>
            </w:r>
          </w:p>
        </w:tc>
        <w:tc>
          <w:tcPr>
            <w:tcW w:w="1276" w:type="dxa"/>
            <w:vAlign w:val="center"/>
            <w:hideMark/>
          </w:tcPr>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2.85 ***</w:t>
            </w:r>
          </w:p>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(0.44)</w:t>
            </w:r>
          </w:p>
        </w:tc>
        <w:tc>
          <w:tcPr>
            <w:tcW w:w="1275" w:type="dxa"/>
            <w:vAlign w:val="center"/>
            <w:hideMark/>
          </w:tcPr>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1.0 ***</w:t>
            </w:r>
          </w:p>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 xml:space="preserve"> (0.37)</w:t>
            </w:r>
          </w:p>
        </w:tc>
        <w:tc>
          <w:tcPr>
            <w:tcW w:w="1276" w:type="dxa"/>
            <w:vAlign w:val="center"/>
            <w:hideMark/>
          </w:tcPr>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1.72 ***</w:t>
            </w:r>
          </w:p>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(0.45)</w:t>
            </w:r>
          </w:p>
        </w:tc>
        <w:tc>
          <w:tcPr>
            <w:tcW w:w="1418" w:type="dxa"/>
            <w:vAlign w:val="center"/>
            <w:hideMark/>
          </w:tcPr>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 xml:space="preserve"> 0.13</w:t>
            </w:r>
          </w:p>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 xml:space="preserve"> (0.39)</w:t>
            </w:r>
          </w:p>
        </w:tc>
      </w:tr>
      <w:tr w:rsidR="00EE5514" w:rsidRPr="00536878" w:rsidTr="009553BA">
        <w:trPr>
          <w:cantSplit/>
          <w:trHeight w:val="20"/>
        </w:trPr>
        <w:tc>
          <w:tcPr>
            <w:tcW w:w="1843" w:type="dxa"/>
            <w:vMerge/>
            <w:vAlign w:val="center"/>
          </w:tcPr>
          <w:p w:rsidR="00EE5514" w:rsidRPr="00536878" w:rsidRDefault="00EE5514" w:rsidP="009553BA">
            <w:pPr>
              <w:spacing w:after="0" w:line="240" w:lineRule="auto"/>
              <w:ind w:firstLine="40"/>
              <w:rPr>
                <w:rFonts w:eastAsiaTheme="minorEastAsia"/>
                <w:sz w:val="21"/>
                <w:szCs w:val="21"/>
                <w:lang w:val="en-US" w:eastAsia="zh-CN"/>
              </w:rPr>
            </w:pPr>
          </w:p>
        </w:tc>
        <w:tc>
          <w:tcPr>
            <w:tcW w:w="7088" w:type="dxa"/>
            <w:gridSpan w:val="5"/>
            <w:shd w:val="clear" w:color="auto" w:fill="D9D9D9" w:themeFill="background1" w:themeFillShade="D9"/>
            <w:vAlign w:val="center"/>
          </w:tcPr>
          <w:p w:rsidR="00EE5514" w:rsidRPr="00536878" w:rsidRDefault="00EE5514" w:rsidP="009553BA">
            <w:pPr>
              <w:pStyle w:val="NoSpacing"/>
              <w:ind w:firstLine="41"/>
              <w:jc w:val="center"/>
              <w:rPr>
                <w:rFonts w:ascii="Times New Roman" w:hAnsi="Times New Roman" w:cs="Times New Roman"/>
                <w:sz w:val="21"/>
                <w:szCs w:val="21"/>
              </w:rPr>
            </w:pPr>
            <w:r w:rsidRPr="00536878">
              <w:rPr>
                <w:rFonts w:ascii="Times New Roman" w:hAnsi="Times New Roman" w:cs="Times New Roman"/>
                <w:sz w:val="21"/>
                <w:szCs w:val="21"/>
              </w:rPr>
              <w:t>Distribution Sensitive</w:t>
            </w:r>
          </w:p>
        </w:tc>
      </w:tr>
      <w:tr w:rsidR="00EE5514" w:rsidRPr="00536878" w:rsidTr="009553BA">
        <w:trPr>
          <w:cantSplit/>
          <w:trHeight w:val="20"/>
        </w:trPr>
        <w:tc>
          <w:tcPr>
            <w:tcW w:w="1843" w:type="dxa"/>
            <w:vMerge/>
            <w:tcBorders>
              <w:bottom w:val="single" w:sz="4" w:space="0" w:color="auto"/>
            </w:tcBorders>
            <w:vAlign w:val="center"/>
            <w:hideMark/>
          </w:tcPr>
          <w:p w:rsidR="00EE5514" w:rsidRPr="00536878" w:rsidRDefault="00EE5514" w:rsidP="009553BA">
            <w:pPr>
              <w:spacing w:after="0" w:line="240" w:lineRule="auto"/>
              <w:ind w:firstLine="40"/>
              <w:rPr>
                <w:rFonts w:eastAsiaTheme="minorEastAsia"/>
                <w:sz w:val="21"/>
                <w:szCs w:val="21"/>
                <w:lang w:val="en-US" w:eastAsia="zh-CN"/>
              </w:rPr>
            </w:pPr>
          </w:p>
        </w:tc>
        <w:tc>
          <w:tcPr>
            <w:tcW w:w="1843" w:type="dxa"/>
            <w:tcBorders>
              <w:bottom w:val="single" w:sz="4" w:space="0" w:color="auto"/>
            </w:tcBorders>
            <w:vAlign w:val="center"/>
            <w:hideMark/>
          </w:tcPr>
          <w:p w:rsidR="00EE5514" w:rsidRPr="00536878" w:rsidRDefault="00EE5514" w:rsidP="009553BA">
            <w:pPr>
              <w:pStyle w:val="NoSpacing"/>
              <w:rPr>
                <w:rFonts w:ascii="Times New Roman" w:hAnsi="Times New Roman" w:cs="Times New Roman"/>
                <w:sz w:val="21"/>
                <w:szCs w:val="21"/>
              </w:rPr>
            </w:pPr>
            <w:r w:rsidRPr="00536878">
              <w:rPr>
                <w:rFonts w:ascii="Times New Roman" w:hAnsi="Times New Roman" w:cs="Times New Roman"/>
                <w:sz w:val="21"/>
                <w:szCs w:val="21"/>
              </w:rPr>
              <w:t>Squared Poverty Gap Index (SPG)</w:t>
            </w:r>
          </w:p>
        </w:tc>
        <w:tc>
          <w:tcPr>
            <w:tcW w:w="1276" w:type="dxa"/>
            <w:tcBorders>
              <w:bottom w:val="single" w:sz="4" w:space="0" w:color="auto"/>
            </w:tcBorders>
            <w:vAlign w:val="center"/>
            <w:hideMark/>
          </w:tcPr>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0.80 ***</w:t>
            </w:r>
          </w:p>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(0.13)</w:t>
            </w:r>
          </w:p>
        </w:tc>
        <w:tc>
          <w:tcPr>
            <w:tcW w:w="1275" w:type="dxa"/>
            <w:tcBorders>
              <w:bottom w:val="single" w:sz="4" w:space="0" w:color="auto"/>
            </w:tcBorders>
            <w:vAlign w:val="center"/>
            <w:hideMark/>
          </w:tcPr>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 xml:space="preserve"> 0.28 ***</w:t>
            </w:r>
          </w:p>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 xml:space="preserve"> (0.10)</w:t>
            </w:r>
          </w:p>
        </w:tc>
        <w:tc>
          <w:tcPr>
            <w:tcW w:w="1276" w:type="dxa"/>
            <w:tcBorders>
              <w:bottom w:val="single" w:sz="4" w:space="0" w:color="auto"/>
            </w:tcBorders>
            <w:vAlign w:val="center"/>
            <w:hideMark/>
          </w:tcPr>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0.51 ***</w:t>
            </w:r>
          </w:p>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(0.14)</w:t>
            </w:r>
          </w:p>
        </w:tc>
        <w:tc>
          <w:tcPr>
            <w:tcW w:w="1418" w:type="dxa"/>
            <w:tcBorders>
              <w:bottom w:val="single" w:sz="4" w:space="0" w:color="auto"/>
            </w:tcBorders>
            <w:vAlign w:val="center"/>
            <w:hideMark/>
          </w:tcPr>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 xml:space="preserve"> 0.02</w:t>
            </w:r>
          </w:p>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 xml:space="preserve"> (0.12)</w:t>
            </w:r>
          </w:p>
        </w:tc>
      </w:tr>
      <w:tr w:rsidR="00EE5514" w:rsidRPr="00536878" w:rsidTr="009553BA">
        <w:trPr>
          <w:cantSplit/>
          <w:trHeight w:val="20"/>
        </w:trPr>
        <w:tc>
          <w:tcPr>
            <w:tcW w:w="1843" w:type="dxa"/>
            <w:vMerge w:val="restart"/>
            <w:tcBorders>
              <w:bottom w:val="single" w:sz="4" w:space="0" w:color="auto"/>
            </w:tcBorders>
            <w:vAlign w:val="center"/>
          </w:tcPr>
          <w:p w:rsidR="00EE5514" w:rsidRPr="00536878" w:rsidRDefault="00EE5514" w:rsidP="009553BA">
            <w:pPr>
              <w:pStyle w:val="NoSpacing"/>
              <w:ind w:firstLine="40"/>
              <w:rPr>
                <w:rFonts w:ascii="Times New Roman" w:hAnsi="Times New Roman" w:cs="Times New Roman"/>
                <w:sz w:val="21"/>
                <w:szCs w:val="21"/>
              </w:rPr>
            </w:pPr>
            <w:r w:rsidRPr="00536878">
              <w:rPr>
                <w:rFonts w:ascii="Times New Roman" w:hAnsi="Times New Roman" w:cs="Times New Roman"/>
                <w:sz w:val="21"/>
                <w:szCs w:val="21"/>
              </w:rPr>
              <w:t>Multidimensional</w:t>
            </w:r>
          </w:p>
        </w:tc>
        <w:tc>
          <w:tcPr>
            <w:tcW w:w="7088" w:type="dxa"/>
            <w:gridSpan w:val="5"/>
            <w:tcBorders>
              <w:bottom w:val="single" w:sz="4" w:space="0" w:color="auto"/>
            </w:tcBorders>
            <w:shd w:val="clear" w:color="auto" w:fill="D9D9D9" w:themeFill="background1" w:themeFillShade="D9"/>
            <w:vAlign w:val="center"/>
          </w:tcPr>
          <w:p w:rsidR="00EE5514" w:rsidRPr="00536878" w:rsidRDefault="00EE5514" w:rsidP="009553BA">
            <w:pPr>
              <w:pStyle w:val="NoSpacing"/>
              <w:ind w:firstLine="41"/>
              <w:jc w:val="center"/>
              <w:rPr>
                <w:rFonts w:ascii="Times New Roman" w:hAnsi="Times New Roman" w:cs="Times New Roman"/>
                <w:sz w:val="21"/>
                <w:szCs w:val="21"/>
              </w:rPr>
            </w:pPr>
            <w:r w:rsidRPr="00536878">
              <w:rPr>
                <w:rFonts w:ascii="Times New Roman" w:hAnsi="Times New Roman" w:cs="Times New Roman"/>
                <w:sz w:val="21"/>
                <w:szCs w:val="21"/>
              </w:rPr>
              <w:t>Distribution Insensitive</w:t>
            </w:r>
          </w:p>
        </w:tc>
      </w:tr>
      <w:tr w:rsidR="00EE5514" w:rsidRPr="00536878" w:rsidTr="009553BA">
        <w:trPr>
          <w:cantSplit/>
          <w:trHeight w:val="20"/>
        </w:trPr>
        <w:tc>
          <w:tcPr>
            <w:tcW w:w="1843" w:type="dxa"/>
            <w:vMerge/>
            <w:tcBorders>
              <w:bottom w:val="single" w:sz="4" w:space="0" w:color="auto"/>
            </w:tcBorders>
            <w:vAlign w:val="center"/>
            <w:hideMark/>
          </w:tcPr>
          <w:p w:rsidR="00EE5514" w:rsidRPr="00536878" w:rsidRDefault="00EE5514" w:rsidP="009553BA">
            <w:pPr>
              <w:pStyle w:val="NoSpacing"/>
              <w:rPr>
                <w:rFonts w:ascii="Times New Roman" w:hAnsi="Times New Roman" w:cs="Times New Roman"/>
                <w:sz w:val="21"/>
                <w:szCs w:val="21"/>
              </w:rPr>
            </w:pPr>
          </w:p>
        </w:tc>
        <w:tc>
          <w:tcPr>
            <w:tcW w:w="1843" w:type="dxa"/>
            <w:tcBorders>
              <w:bottom w:val="single" w:sz="4" w:space="0" w:color="auto"/>
            </w:tcBorders>
            <w:vAlign w:val="center"/>
            <w:hideMark/>
          </w:tcPr>
          <w:p w:rsidR="00EE5514" w:rsidRPr="00536878" w:rsidRDefault="00EE5514" w:rsidP="009553BA">
            <w:pPr>
              <w:pStyle w:val="NoSpacing"/>
              <w:rPr>
                <w:rFonts w:ascii="Times New Roman" w:hAnsi="Times New Roman" w:cs="Times New Roman"/>
                <w:sz w:val="21"/>
                <w:szCs w:val="21"/>
              </w:rPr>
            </w:pPr>
            <w:r w:rsidRPr="00536878">
              <w:rPr>
                <w:rFonts w:ascii="Times New Roman" w:hAnsi="Times New Roman" w:cs="Times New Roman"/>
                <w:sz w:val="21"/>
                <w:szCs w:val="21"/>
              </w:rPr>
              <w:t>Multidimensional Poverty Index (MPI)</w:t>
            </w:r>
          </w:p>
        </w:tc>
        <w:tc>
          <w:tcPr>
            <w:tcW w:w="1276" w:type="dxa"/>
            <w:tcBorders>
              <w:bottom w:val="single" w:sz="4" w:space="0" w:color="auto"/>
            </w:tcBorders>
            <w:vAlign w:val="center"/>
          </w:tcPr>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7.02 ***</w:t>
            </w:r>
          </w:p>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(1.31)</w:t>
            </w:r>
          </w:p>
        </w:tc>
        <w:tc>
          <w:tcPr>
            <w:tcW w:w="1275" w:type="dxa"/>
            <w:tcBorders>
              <w:bottom w:val="single" w:sz="4" w:space="0" w:color="auto"/>
            </w:tcBorders>
            <w:vAlign w:val="center"/>
            <w:hideMark/>
          </w:tcPr>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 xml:space="preserve"> 5.52 ***</w:t>
            </w:r>
          </w:p>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 xml:space="preserve">  (1.3)</w:t>
            </w:r>
          </w:p>
        </w:tc>
        <w:tc>
          <w:tcPr>
            <w:tcW w:w="1276" w:type="dxa"/>
            <w:tcBorders>
              <w:bottom w:val="single" w:sz="4" w:space="0" w:color="auto"/>
            </w:tcBorders>
            <w:vAlign w:val="center"/>
            <w:hideMark/>
          </w:tcPr>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0.81</w:t>
            </w:r>
          </w:p>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(0.63)</w:t>
            </w:r>
          </w:p>
        </w:tc>
        <w:tc>
          <w:tcPr>
            <w:tcW w:w="1418" w:type="dxa"/>
            <w:tcBorders>
              <w:bottom w:val="single" w:sz="4" w:space="0" w:color="auto"/>
            </w:tcBorders>
            <w:vAlign w:val="center"/>
            <w:hideMark/>
          </w:tcPr>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0.69</w:t>
            </w:r>
          </w:p>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 xml:space="preserve"> (0.57)</w:t>
            </w:r>
          </w:p>
        </w:tc>
      </w:tr>
      <w:tr w:rsidR="00EE5514" w:rsidRPr="00536878" w:rsidTr="009553BA">
        <w:trPr>
          <w:cantSplit/>
          <w:trHeight w:val="20"/>
        </w:trPr>
        <w:tc>
          <w:tcPr>
            <w:tcW w:w="1843" w:type="dxa"/>
            <w:vMerge/>
            <w:tcBorders>
              <w:bottom w:val="single" w:sz="4" w:space="0" w:color="auto"/>
            </w:tcBorders>
            <w:vAlign w:val="center"/>
          </w:tcPr>
          <w:p w:rsidR="00EE5514" w:rsidRPr="00536878" w:rsidRDefault="00EE5514" w:rsidP="009553BA">
            <w:pPr>
              <w:pStyle w:val="NoSpacing"/>
              <w:rPr>
                <w:rFonts w:ascii="Times New Roman" w:hAnsi="Times New Roman" w:cs="Times New Roman"/>
                <w:sz w:val="21"/>
                <w:szCs w:val="21"/>
              </w:rPr>
            </w:pPr>
          </w:p>
        </w:tc>
        <w:tc>
          <w:tcPr>
            <w:tcW w:w="1843" w:type="dxa"/>
            <w:tcBorders>
              <w:bottom w:val="single" w:sz="4" w:space="0" w:color="auto"/>
            </w:tcBorders>
            <w:vAlign w:val="center"/>
          </w:tcPr>
          <w:p w:rsidR="00EE5514" w:rsidRPr="00536878" w:rsidRDefault="00EE5514" w:rsidP="009553BA">
            <w:pPr>
              <w:pStyle w:val="NoSpacing"/>
              <w:rPr>
                <w:rFonts w:ascii="Times New Roman" w:hAnsi="Times New Roman" w:cs="Times New Roman"/>
                <w:sz w:val="21"/>
                <w:szCs w:val="21"/>
              </w:rPr>
            </w:pPr>
            <w:r w:rsidRPr="00536878">
              <w:rPr>
                <w:rFonts w:ascii="Times New Roman" w:hAnsi="Times New Roman" w:cs="Times New Roman"/>
                <w:sz w:val="21"/>
                <w:szCs w:val="21"/>
              </w:rPr>
              <w:t>Headcount MPI</w:t>
            </w:r>
          </w:p>
        </w:tc>
        <w:tc>
          <w:tcPr>
            <w:tcW w:w="1276" w:type="dxa"/>
            <w:tcBorders>
              <w:bottom w:val="single" w:sz="4" w:space="0" w:color="auto"/>
            </w:tcBorders>
            <w:vAlign w:val="center"/>
          </w:tcPr>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10.21 ***</w:t>
            </w:r>
          </w:p>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(1.88)</w:t>
            </w:r>
          </w:p>
        </w:tc>
        <w:tc>
          <w:tcPr>
            <w:tcW w:w="1275" w:type="dxa"/>
            <w:tcBorders>
              <w:bottom w:val="single" w:sz="4" w:space="0" w:color="auto"/>
            </w:tcBorders>
            <w:vAlign w:val="center"/>
          </w:tcPr>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8.04 ***</w:t>
            </w:r>
          </w:p>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(1.89)</w:t>
            </w:r>
          </w:p>
        </w:tc>
        <w:tc>
          <w:tcPr>
            <w:tcW w:w="1276" w:type="dxa"/>
            <w:tcBorders>
              <w:bottom w:val="single" w:sz="4" w:space="0" w:color="auto"/>
            </w:tcBorders>
            <w:vAlign w:val="center"/>
          </w:tcPr>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1.06</w:t>
            </w:r>
          </w:p>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(0.77)</w:t>
            </w:r>
          </w:p>
        </w:tc>
        <w:tc>
          <w:tcPr>
            <w:tcW w:w="1418" w:type="dxa"/>
            <w:tcBorders>
              <w:bottom w:val="single" w:sz="4" w:space="0" w:color="auto"/>
            </w:tcBorders>
            <w:vAlign w:val="center"/>
          </w:tcPr>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1.10</w:t>
            </w:r>
          </w:p>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(0.69)</w:t>
            </w:r>
          </w:p>
        </w:tc>
      </w:tr>
      <w:tr w:rsidR="00EE5514" w:rsidRPr="00536878" w:rsidTr="009553BA">
        <w:trPr>
          <w:cantSplit/>
          <w:trHeight w:val="20"/>
        </w:trPr>
        <w:tc>
          <w:tcPr>
            <w:tcW w:w="1843" w:type="dxa"/>
            <w:vMerge/>
            <w:tcBorders>
              <w:bottom w:val="single" w:sz="4" w:space="0" w:color="auto"/>
            </w:tcBorders>
            <w:vAlign w:val="center"/>
          </w:tcPr>
          <w:p w:rsidR="00EE5514" w:rsidRPr="00536878" w:rsidRDefault="00EE5514" w:rsidP="009553BA">
            <w:pPr>
              <w:spacing w:after="0" w:line="240" w:lineRule="auto"/>
              <w:rPr>
                <w:rFonts w:eastAsiaTheme="minorEastAsia"/>
                <w:sz w:val="21"/>
                <w:szCs w:val="21"/>
                <w:lang w:val="en-US" w:eastAsia="zh-CN"/>
              </w:rPr>
            </w:pPr>
          </w:p>
        </w:tc>
        <w:tc>
          <w:tcPr>
            <w:tcW w:w="7088" w:type="dxa"/>
            <w:gridSpan w:val="5"/>
            <w:tcBorders>
              <w:bottom w:val="single" w:sz="4" w:space="0" w:color="auto"/>
            </w:tcBorders>
            <w:shd w:val="clear" w:color="auto" w:fill="D9D9D9" w:themeFill="background1" w:themeFillShade="D9"/>
            <w:vAlign w:val="center"/>
          </w:tcPr>
          <w:p w:rsidR="00EE5514" w:rsidRPr="00536878" w:rsidRDefault="00EE5514" w:rsidP="009553BA">
            <w:pPr>
              <w:pStyle w:val="NoSpacing"/>
              <w:ind w:firstLine="41"/>
              <w:jc w:val="center"/>
              <w:rPr>
                <w:rFonts w:ascii="Times New Roman" w:hAnsi="Times New Roman" w:cs="Times New Roman"/>
                <w:sz w:val="21"/>
                <w:szCs w:val="21"/>
              </w:rPr>
            </w:pPr>
            <w:r w:rsidRPr="00536878">
              <w:rPr>
                <w:rFonts w:ascii="Times New Roman" w:hAnsi="Times New Roman" w:cs="Times New Roman"/>
                <w:sz w:val="21"/>
                <w:szCs w:val="21"/>
              </w:rPr>
              <w:t>Distribution Sensitive</w:t>
            </w:r>
          </w:p>
        </w:tc>
      </w:tr>
      <w:tr w:rsidR="00EE5514" w:rsidRPr="00536878" w:rsidTr="009553BA">
        <w:trPr>
          <w:cantSplit/>
          <w:trHeight w:val="20"/>
        </w:trPr>
        <w:tc>
          <w:tcPr>
            <w:tcW w:w="1843" w:type="dxa"/>
            <w:vMerge/>
            <w:tcBorders>
              <w:bottom w:val="single" w:sz="4" w:space="0" w:color="auto"/>
            </w:tcBorders>
            <w:vAlign w:val="center"/>
            <w:hideMark/>
          </w:tcPr>
          <w:p w:rsidR="00EE5514" w:rsidRPr="00536878" w:rsidRDefault="00EE5514" w:rsidP="009553BA">
            <w:pPr>
              <w:spacing w:after="0" w:line="240" w:lineRule="auto"/>
              <w:rPr>
                <w:rFonts w:eastAsiaTheme="minorEastAsia"/>
                <w:sz w:val="21"/>
                <w:szCs w:val="21"/>
                <w:lang w:val="en-US" w:eastAsia="zh-CN"/>
              </w:rPr>
            </w:pPr>
          </w:p>
        </w:tc>
        <w:tc>
          <w:tcPr>
            <w:tcW w:w="1843" w:type="dxa"/>
            <w:tcBorders>
              <w:bottom w:val="single" w:sz="4" w:space="0" w:color="auto"/>
            </w:tcBorders>
            <w:vAlign w:val="center"/>
            <w:hideMark/>
          </w:tcPr>
          <w:p w:rsidR="00EE5514" w:rsidRPr="00536878" w:rsidRDefault="00EE5514" w:rsidP="009553BA">
            <w:pPr>
              <w:pStyle w:val="NoSpacing"/>
              <w:rPr>
                <w:rFonts w:ascii="Times New Roman" w:hAnsi="Times New Roman" w:cs="Times New Roman"/>
                <w:sz w:val="21"/>
                <w:szCs w:val="21"/>
              </w:rPr>
            </w:pPr>
            <w:r w:rsidRPr="00536878">
              <w:rPr>
                <w:rFonts w:ascii="Times New Roman" w:hAnsi="Times New Roman" w:cs="Times New Roman"/>
                <w:sz w:val="21"/>
                <w:szCs w:val="21"/>
              </w:rPr>
              <w:t>Multidimensional Distribution-sensitive Poverty Index (MDPI)</w:t>
            </w:r>
          </w:p>
        </w:tc>
        <w:tc>
          <w:tcPr>
            <w:tcW w:w="1276" w:type="dxa"/>
            <w:tcBorders>
              <w:bottom w:val="single" w:sz="4" w:space="0" w:color="auto"/>
            </w:tcBorders>
            <w:vAlign w:val="center"/>
            <w:hideMark/>
          </w:tcPr>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4.72***</w:t>
            </w:r>
            <w:r w:rsidRPr="00536878">
              <w:rPr>
                <w:rFonts w:ascii="Times New Roman" w:hAnsi="Times New Roman" w:cs="Times New Roman"/>
                <w:sz w:val="21"/>
                <w:szCs w:val="21"/>
              </w:rPr>
              <w:br/>
              <w:t xml:space="preserve"> (0.90)</w:t>
            </w:r>
          </w:p>
        </w:tc>
        <w:tc>
          <w:tcPr>
            <w:tcW w:w="1275" w:type="dxa"/>
            <w:tcBorders>
              <w:bottom w:val="single" w:sz="4" w:space="0" w:color="auto"/>
            </w:tcBorders>
            <w:vAlign w:val="center"/>
            <w:hideMark/>
          </w:tcPr>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2.58 ***</w:t>
            </w:r>
          </w:p>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(0.82)</w:t>
            </w:r>
          </w:p>
        </w:tc>
        <w:tc>
          <w:tcPr>
            <w:tcW w:w="1276" w:type="dxa"/>
            <w:tcBorders>
              <w:bottom w:val="single" w:sz="4" w:space="0" w:color="auto"/>
            </w:tcBorders>
            <w:vAlign w:val="center"/>
            <w:hideMark/>
          </w:tcPr>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1.13</w:t>
            </w:r>
          </w:p>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(0.86)</w:t>
            </w:r>
          </w:p>
        </w:tc>
        <w:tc>
          <w:tcPr>
            <w:tcW w:w="1418" w:type="dxa"/>
            <w:tcBorders>
              <w:bottom w:val="single" w:sz="4" w:space="0" w:color="auto"/>
            </w:tcBorders>
            <w:vAlign w:val="center"/>
            <w:hideMark/>
          </w:tcPr>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1.00</w:t>
            </w:r>
          </w:p>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(0.81)</w:t>
            </w:r>
          </w:p>
        </w:tc>
      </w:tr>
      <w:tr w:rsidR="00EE5514" w:rsidRPr="00536878" w:rsidTr="009553BA">
        <w:trPr>
          <w:trHeight w:val="20"/>
        </w:trPr>
        <w:tc>
          <w:tcPr>
            <w:tcW w:w="1843" w:type="dxa"/>
            <w:vMerge/>
            <w:tcBorders>
              <w:bottom w:val="single" w:sz="4" w:space="0" w:color="auto"/>
            </w:tcBorders>
            <w:vAlign w:val="center"/>
            <w:hideMark/>
          </w:tcPr>
          <w:p w:rsidR="00EE5514" w:rsidRPr="00536878" w:rsidRDefault="00EE5514" w:rsidP="009553BA">
            <w:pPr>
              <w:spacing w:after="0" w:line="240" w:lineRule="auto"/>
              <w:rPr>
                <w:rFonts w:eastAsiaTheme="minorEastAsia"/>
                <w:sz w:val="21"/>
                <w:szCs w:val="21"/>
                <w:lang w:val="en-US" w:eastAsia="zh-CN"/>
              </w:rPr>
            </w:pPr>
          </w:p>
        </w:tc>
        <w:tc>
          <w:tcPr>
            <w:tcW w:w="1843" w:type="dxa"/>
            <w:tcBorders>
              <w:bottom w:val="single" w:sz="4" w:space="0" w:color="auto"/>
            </w:tcBorders>
            <w:vAlign w:val="center"/>
            <w:hideMark/>
          </w:tcPr>
          <w:p w:rsidR="00EE5514" w:rsidRPr="00536878" w:rsidRDefault="00EE5514" w:rsidP="009553BA">
            <w:pPr>
              <w:pStyle w:val="NoSpacing"/>
              <w:rPr>
                <w:rFonts w:ascii="Times New Roman" w:hAnsi="Times New Roman" w:cs="Times New Roman"/>
                <w:sz w:val="21"/>
                <w:szCs w:val="21"/>
              </w:rPr>
            </w:pPr>
            <w:r w:rsidRPr="00536878">
              <w:rPr>
                <w:rFonts w:ascii="Times New Roman" w:hAnsi="Times New Roman" w:cs="Times New Roman"/>
                <w:sz w:val="21"/>
                <w:szCs w:val="21"/>
              </w:rPr>
              <w:t>Headcount MDPI</w:t>
            </w:r>
          </w:p>
        </w:tc>
        <w:tc>
          <w:tcPr>
            <w:tcW w:w="1276" w:type="dxa"/>
            <w:tcBorders>
              <w:bottom w:val="single" w:sz="4" w:space="0" w:color="auto"/>
            </w:tcBorders>
            <w:vAlign w:val="center"/>
            <w:hideMark/>
          </w:tcPr>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2.03 ***</w:t>
            </w:r>
          </w:p>
          <w:p w:rsidR="00EE5514" w:rsidRPr="00536878" w:rsidRDefault="00EE5514" w:rsidP="009553BA">
            <w:pPr>
              <w:pStyle w:val="NoSpacing"/>
              <w:ind w:hanging="103"/>
              <w:rPr>
                <w:rFonts w:ascii="Times New Roman" w:hAnsi="Times New Roman" w:cs="Times New Roman"/>
                <w:sz w:val="21"/>
                <w:szCs w:val="21"/>
              </w:rPr>
            </w:pPr>
            <w:r w:rsidRPr="00536878">
              <w:rPr>
                <w:rFonts w:ascii="Times New Roman" w:hAnsi="Times New Roman" w:cs="Times New Roman"/>
                <w:sz w:val="21"/>
                <w:szCs w:val="21"/>
              </w:rPr>
              <w:t xml:space="preserve"> (0.60)</w:t>
            </w:r>
          </w:p>
        </w:tc>
        <w:tc>
          <w:tcPr>
            <w:tcW w:w="1275" w:type="dxa"/>
            <w:tcBorders>
              <w:bottom w:val="single" w:sz="4" w:space="0" w:color="auto"/>
            </w:tcBorders>
            <w:vAlign w:val="center"/>
            <w:hideMark/>
          </w:tcPr>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1.55 *</w:t>
            </w:r>
          </w:p>
          <w:p w:rsidR="00EE5514" w:rsidRPr="00536878" w:rsidRDefault="00EE5514" w:rsidP="009553BA">
            <w:pPr>
              <w:pStyle w:val="NoSpacing"/>
              <w:ind w:firstLine="7"/>
              <w:rPr>
                <w:rFonts w:ascii="Times New Roman" w:hAnsi="Times New Roman" w:cs="Times New Roman"/>
                <w:sz w:val="21"/>
                <w:szCs w:val="21"/>
              </w:rPr>
            </w:pPr>
            <w:r w:rsidRPr="00536878">
              <w:rPr>
                <w:rFonts w:ascii="Times New Roman" w:hAnsi="Times New Roman" w:cs="Times New Roman"/>
                <w:sz w:val="21"/>
                <w:szCs w:val="21"/>
              </w:rPr>
              <w:t>(0.43)</w:t>
            </w:r>
          </w:p>
        </w:tc>
        <w:tc>
          <w:tcPr>
            <w:tcW w:w="1276" w:type="dxa"/>
            <w:tcBorders>
              <w:bottom w:val="single" w:sz="4" w:space="0" w:color="auto"/>
            </w:tcBorders>
            <w:vAlign w:val="center"/>
            <w:hideMark/>
          </w:tcPr>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0.42</w:t>
            </w:r>
          </w:p>
          <w:p w:rsidR="00EE5514" w:rsidRPr="00536878" w:rsidRDefault="00EE5514" w:rsidP="009553BA">
            <w:pPr>
              <w:pStyle w:val="NoSpacing"/>
              <w:ind w:firstLine="1"/>
              <w:rPr>
                <w:rFonts w:ascii="Times New Roman" w:hAnsi="Times New Roman" w:cs="Times New Roman"/>
                <w:sz w:val="21"/>
                <w:szCs w:val="21"/>
              </w:rPr>
            </w:pPr>
            <w:r w:rsidRPr="00536878">
              <w:rPr>
                <w:rFonts w:ascii="Times New Roman" w:hAnsi="Times New Roman" w:cs="Times New Roman"/>
                <w:sz w:val="21"/>
                <w:szCs w:val="21"/>
              </w:rPr>
              <w:t xml:space="preserve"> (0.56)</w:t>
            </w:r>
          </w:p>
        </w:tc>
        <w:tc>
          <w:tcPr>
            <w:tcW w:w="1418" w:type="dxa"/>
            <w:tcBorders>
              <w:bottom w:val="single" w:sz="4" w:space="0" w:color="auto"/>
            </w:tcBorders>
            <w:vAlign w:val="center"/>
            <w:hideMark/>
          </w:tcPr>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0.05</w:t>
            </w:r>
          </w:p>
          <w:p w:rsidR="00EE5514" w:rsidRPr="00536878" w:rsidRDefault="00EE5514" w:rsidP="009553BA">
            <w:pPr>
              <w:pStyle w:val="NoSpacing"/>
              <w:ind w:firstLine="41"/>
              <w:rPr>
                <w:rFonts w:ascii="Times New Roman" w:hAnsi="Times New Roman" w:cs="Times New Roman"/>
                <w:sz w:val="21"/>
                <w:szCs w:val="21"/>
              </w:rPr>
            </w:pPr>
            <w:r w:rsidRPr="00536878">
              <w:rPr>
                <w:rFonts w:ascii="Times New Roman" w:hAnsi="Times New Roman" w:cs="Times New Roman"/>
                <w:sz w:val="21"/>
                <w:szCs w:val="21"/>
              </w:rPr>
              <w:t>(0.36)</w:t>
            </w:r>
          </w:p>
        </w:tc>
      </w:tr>
      <w:tr w:rsidR="00EE5514" w:rsidRPr="00536878" w:rsidTr="009553BA">
        <w:trPr>
          <w:trHeight w:val="339"/>
        </w:trPr>
        <w:tc>
          <w:tcPr>
            <w:tcW w:w="8931" w:type="dxa"/>
            <w:gridSpan w:val="6"/>
            <w:tcBorders>
              <w:bottom w:val="nil"/>
            </w:tcBorders>
            <w:vAlign w:val="center"/>
          </w:tcPr>
          <w:p w:rsidR="00EE5514" w:rsidRPr="00536878" w:rsidRDefault="00EE5514" w:rsidP="009553BA">
            <w:pPr>
              <w:pStyle w:val="NoSpacing"/>
              <w:spacing w:after="360"/>
              <w:ind w:firstLine="40"/>
              <w:rPr>
                <w:rFonts w:ascii="Times New Roman" w:hAnsi="Times New Roman" w:cs="Times New Roman"/>
                <w:sz w:val="21"/>
                <w:szCs w:val="21"/>
              </w:rPr>
            </w:pPr>
            <w:r>
              <w:rPr>
                <w:rFonts w:ascii="Times New Roman" w:hAnsi="Times New Roman" w:cs="Times New Roman"/>
                <w:i/>
                <w:iCs/>
                <w:sz w:val="20"/>
                <w:szCs w:val="20"/>
              </w:rPr>
              <w:t>Notes</w:t>
            </w:r>
            <w:r w:rsidRPr="004478C7">
              <w:rPr>
                <w:rFonts w:ascii="Times New Roman" w:hAnsi="Times New Roman" w:cs="Times New Roman"/>
                <w:i/>
                <w:iCs/>
                <w:sz w:val="20"/>
                <w:szCs w:val="20"/>
              </w:rPr>
              <w:t>:</w:t>
            </w:r>
            <w:r w:rsidRPr="004478C7">
              <w:rPr>
                <w:rFonts w:ascii="Times New Roman" w:hAnsi="Times New Roman" w:cs="Times New Roman"/>
                <w:sz w:val="20"/>
                <w:szCs w:val="20"/>
              </w:rPr>
              <w:t xml:space="preserve"> Standard errors in () with ***, **, * denoting statistical significance at the 1%, 5% and 10% level. The differences in poverty estimates are pre-BISP minus post-BISP (hence the positive sign of poverty reduction)</w:t>
            </w:r>
          </w:p>
        </w:tc>
      </w:tr>
    </w:tbl>
    <w:p w:rsidR="00CE5AA7" w:rsidRDefault="00CE5AA7" w:rsidP="00907EFF">
      <w:pPr>
        <w:spacing w:after="0" w:line="288" w:lineRule="auto"/>
        <w:ind w:firstLine="720"/>
        <w:jc w:val="both"/>
      </w:pPr>
    </w:p>
    <w:p w:rsidR="00EE5514" w:rsidRDefault="00EE5514" w:rsidP="00907EFF">
      <w:pPr>
        <w:spacing w:after="0" w:line="288" w:lineRule="auto"/>
        <w:ind w:firstLine="720"/>
        <w:jc w:val="both"/>
      </w:pPr>
      <w:r>
        <w:t>For all</w:t>
      </w:r>
      <w:r w:rsidR="00907EFF">
        <w:t xml:space="preserve"> of</w:t>
      </w:r>
      <w:r>
        <w:t xml:space="preserve"> our poverty measures irrespective of whether they are money metric or multidimensional or distribution sensitive, they have shown decrease in poverty estimates </w:t>
      </w:r>
      <w:r>
        <w:lastRenderedPageBreak/>
        <w:t>after the cash transfers. The reduction in poverty is the greatest for the HH (a 12.33 percentage reduction)</w:t>
      </w:r>
      <w:r w:rsidR="00AD35ED">
        <w:t>.</w:t>
      </w:r>
      <w:r>
        <w:t xml:space="preserve"> The statistically significant effect of endowment component indicates the difference in poverty estimates between two periods is because of the difference in endowments that households possess. The development projects </w:t>
      </w:r>
      <w:r w:rsidR="00907EFF">
        <w:t>and/or</w:t>
      </w:r>
      <w:r>
        <w:t xml:space="preserve"> initiatives have increased in numbers and in value over time, which is helpful in uplifting the living standards of Pakistani people and ultimately decreasing the level of poverty, represented through endowment component. </w:t>
      </w:r>
      <w:r w:rsidR="004E6B68">
        <w:t>Various development projects were put in place during these periods, which include construction of degree colleges for girls in different villages and town</w:t>
      </w:r>
      <w:r w:rsidR="00AD35ED">
        <w:t>s</w:t>
      </w:r>
      <w:r w:rsidR="004E6B68">
        <w:t>, construction of centres in hospital for transplantation and blood transfusions, construction of training and welfare institutes, building of new roads under China-Pakistan Economic Corridor.</w:t>
      </w:r>
      <w:r w:rsidR="004E6B68">
        <w:rPr>
          <w:rStyle w:val="FootnoteReference"/>
        </w:rPr>
        <w:footnoteReference w:id="3"/>
      </w:r>
      <w:r w:rsidR="004E6B68">
        <w:t xml:space="preserve"> </w:t>
      </w:r>
      <w:r>
        <w:t>The development expenditure as percentage of GDP was 3.9 in 2004 which increased to 4.9% by 2014 (</w:t>
      </w:r>
      <w:r w:rsidR="00907EFF">
        <w:t>Ministry of Finance,</w:t>
      </w:r>
      <w:r>
        <w:t xml:space="preserve"> 2018).  The significant endowment component refers to this development as a source for poverty reduction. However, the significant coefficient component refers to the other unexplained factors beyond endowments. In our case the only factor that is creating two distinct groups is the presence of cash transfers. The significant coefficient component refers to the part of difference caused because of the cash transfers. </w:t>
      </w:r>
    </w:p>
    <w:p w:rsidR="00907EFF" w:rsidRDefault="00907EFF" w:rsidP="00907EFF">
      <w:pPr>
        <w:spacing w:after="0" w:line="288" w:lineRule="auto"/>
        <w:ind w:firstLine="720"/>
        <w:jc w:val="both"/>
      </w:pPr>
    </w:p>
    <w:p w:rsidR="00EE5514" w:rsidRDefault="00EE5514" w:rsidP="0012512A">
      <w:pPr>
        <w:spacing w:after="0" w:line="288" w:lineRule="auto"/>
        <w:jc w:val="both"/>
      </w:pPr>
      <w:r>
        <w:t xml:space="preserve">In the case of </w:t>
      </w:r>
      <w:r w:rsidRPr="004E6B68">
        <w:t>money metric poverty measures</w:t>
      </w:r>
      <w:r>
        <w:t xml:space="preserve">, the reduction in poverty estimates between two time periods is majorly due to the (coefficient) return on endowments which refers to the cash transfers in our case. Also, the money metric poverty measure, which account for the depth in poverty and distribution sensitivity axiom, is predominately reduced due to the return on endowments (cash transfers). The reduction in money-metric poverty measures over two periods is induced due to both the increase in endowments/ services/facilities available to the households and also due </w:t>
      </w:r>
      <w:r w:rsidR="0097136B">
        <w:t xml:space="preserve">to </w:t>
      </w:r>
      <w:r>
        <w:t xml:space="preserve">the cash transfers made to the households. Hence, not only the development in the economy is helping households in increasing their consumption but also the cash transferred to the households is providing the support. </w:t>
      </w:r>
    </w:p>
    <w:p w:rsidR="00EE5514" w:rsidRDefault="00EE5514" w:rsidP="0012512A">
      <w:pPr>
        <w:spacing w:after="0" w:line="288" w:lineRule="auto"/>
        <w:jc w:val="both"/>
      </w:pPr>
    </w:p>
    <w:p w:rsidR="00EE5514" w:rsidRDefault="00EE5514" w:rsidP="00CC3CE0">
      <w:pPr>
        <w:spacing w:after="0" w:line="288" w:lineRule="auto"/>
        <w:ind w:firstLine="720"/>
        <w:jc w:val="both"/>
      </w:pPr>
      <w:r>
        <w:t xml:space="preserve">In the case of </w:t>
      </w:r>
      <w:r w:rsidRPr="004E6B68">
        <w:t>multidimensional poverty measures</w:t>
      </w:r>
      <w:r>
        <w:t>, the reduction in poverty estimates is caused due to the improvement/increase in endowments. The return on endowment (coefficient) though is positive but is insignificant. The factors other than increased access to services and facilities are not significant in reducing the multidimensional poverty estimates. The results showed that after 2008 when BISP was implemented, the reduction in multidimensional poverty estimates is due to increased / improved access to services and facilities. As the multidimensional poverty measures are based on the access to the services and facilities hence any improvement in those statistics must come from increase in assets, facilities and services available to the individuals. However, an explicit regression modelling has revealed the impact of cash transfers made to the households in uplifting the living standard and human capital of households (World Bank, 201</w:t>
      </w:r>
      <w:r w:rsidR="004E6B68">
        <w:t>6</w:t>
      </w:r>
      <w:r>
        <w:t>).</w:t>
      </w:r>
    </w:p>
    <w:p w:rsidR="00EE5514" w:rsidRDefault="00EE5514" w:rsidP="0012512A">
      <w:pPr>
        <w:spacing w:after="0" w:line="288" w:lineRule="auto"/>
        <w:jc w:val="both"/>
      </w:pPr>
    </w:p>
    <w:p w:rsidR="00EE5514" w:rsidRDefault="00EE5514" w:rsidP="00CC3CE0">
      <w:pPr>
        <w:spacing w:after="0" w:line="288" w:lineRule="auto"/>
        <w:ind w:firstLine="720"/>
        <w:jc w:val="both"/>
      </w:pPr>
      <w:r>
        <w:lastRenderedPageBreak/>
        <w:t xml:space="preserve">The panel regression run on poverty measures at the district level post 2008 is shown in Table 5 below. Districts in Pakistan belong to different geographical and economic characteristics. For instance, some districts rely on agricultural, while other rely either on tourism as their revenue generating process.   To </w:t>
      </w:r>
      <w:proofErr w:type="gramStart"/>
      <w:r>
        <w:t>take into account</w:t>
      </w:r>
      <w:proofErr w:type="gramEnd"/>
      <w:r>
        <w:t xml:space="preserve"> the heterogeneity across districts in Pakistan, we included district fixed effects in the model.  The amount paid to the poor households has been revised over years which </w:t>
      </w:r>
      <w:proofErr w:type="gramStart"/>
      <w:r>
        <w:t>takes into account</w:t>
      </w:r>
      <w:proofErr w:type="gramEnd"/>
      <w:r>
        <w:t xml:space="preserve"> the changing economic conditions of the economy. The other covariates that we used control for the development initiatives that affects the access to services and facilities. </w:t>
      </w:r>
    </w:p>
    <w:p w:rsidR="00EE5514" w:rsidRDefault="00EE5514" w:rsidP="0012512A">
      <w:pPr>
        <w:spacing w:after="0" w:line="288" w:lineRule="auto"/>
        <w:jc w:val="both"/>
      </w:pPr>
    </w:p>
    <w:p w:rsidR="00EE5514" w:rsidRDefault="00EE5514" w:rsidP="00CC3CE0">
      <w:pPr>
        <w:spacing w:after="0" w:line="288" w:lineRule="auto"/>
        <w:ind w:firstLine="720"/>
        <w:jc w:val="both"/>
      </w:pPr>
      <w:r>
        <w:t>The coefficient of log cash transfer from the first model and the coefficients of dummy variables that accounts for different targeting process from the second model (</w:t>
      </w:r>
      <w:proofErr w:type="spellStart"/>
      <w:r>
        <w:t>Eq</w:t>
      </w:r>
      <w:proofErr w:type="spellEnd"/>
      <w:r>
        <w:t xml:space="preserve"> </w:t>
      </w:r>
      <w:r w:rsidR="00505C64">
        <w:t>5</w:t>
      </w:r>
      <w:r>
        <w:t xml:space="preserve">.2 and </w:t>
      </w:r>
      <w:r w:rsidR="00505C64">
        <w:t>5</w:t>
      </w:r>
      <w:r>
        <w:t xml:space="preserve">.4) for respective poverty measures are presented in Table 5 below.  </w:t>
      </w:r>
      <w:r w:rsidR="00505C64" w:rsidRPr="00505C64">
        <w:t>D</w:t>
      </w:r>
      <w:r w:rsidRPr="00505C64">
        <w:t xml:space="preserve">etailed regression results are </w:t>
      </w:r>
      <w:r w:rsidR="00505C64" w:rsidRPr="00505C64">
        <w:t>given in</w:t>
      </w:r>
      <w:r w:rsidRPr="00505C64">
        <w:t xml:space="preserve"> Appendix E</w:t>
      </w:r>
      <w:r>
        <w:t xml:space="preserve"> </w:t>
      </w:r>
    </w:p>
    <w:p w:rsidR="00505C64" w:rsidRDefault="00505C64" w:rsidP="00CC3CE0">
      <w:pPr>
        <w:spacing w:after="0" w:line="288" w:lineRule="auto"/>
        <w:ind w:firstLine="720"/>
        <w:jc w:val="both"/>
      </w:pPr>
    </w:p>
    <w:p w:rsidR="00664E1D" w:rsidRDefault="00664E1D" w:rsidP="00CC3CE0">
      <w:pPr>
        <w:spacing w:after="0" w:line="288" w:lineRule="auto"/>
        <w:ind w:firstLine="720"/>
        <w:jc w:val="both"/>
      </w:pPr>
    </w:p>
    <w:p w:rsidR="00EE5514" w:rsidRDefault="00EE5514" w:rsidP="005F75C7">
      <w:pPr>
        <w:jc w:val="center"/>
        <w:rPr>
          <w:b/>
          <w:bCs/>
        </w:rPr>
      </w:pPr>
      <w:r w:rsidRPr="00E473C1">
        <w:rPr>
          <w:b/>
          <w:bCs/>
        </w:rPr>
        <w:t>Table 5: Panel Regression Cash Transfer Coefficients for Poverty Measures’ Models</w:t>
      </w:r>
    </w:p>
    <w:tbl>
      <w:tblPr>
        <w:tblStyle w:val="TableGridLight"/>
        <w:tblW w:w="9067"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781"/>
        <w:gridCol w:w="2289"/>
        <w:gridCol w:w="1405"/>
        <w:gridCol w:w="1205"/>
        <w:gridCol w:w="1181"/>
        <w:gridCol w:w="1206"/>
      </w:tblGrid>
      <w:tr w:rsidR="00EE5514" w:rsidRPr="005F75C7" w:rsidTr="005F75C7">
        <w:trPr>
          <w:trHeight w:val="170"/>
        </w:trPr>
        <w:tc>
          <w:tcPr>
            <w:tcW w:w="1134" w:type="dxa"/>
            <w:tcBorders>
              <w:top w:val="single" w:sz="4" w:space="0" w:color="auto"/>
              <w:bottom w:val="single" w:sz="4" w:space="0" w:color="auto"/>
            </w:tcBorders>
          </w:tcPr>
          <w:p w:rsidR="00EE5514" w:rsidRPr="005F75C7" w:rsidRDefault="00EE5514" w:rsidP="009553BA">
            <w:pPr>
              <w:pStyle w:val="NoSpacing"/>
              <w:rPr>
                <w:rFonts w:asciiTheme="majorBidi" w:hAnsiTheme="majorBidi" w:cstheme="majorBidi"/>
              </w:rPr>
            </w:pPr>
          </w:p>
        </w:tc>
        <w:tc>
          <w:tcPr>
            <w:tcW w:w="2513" w:type="dxa"/>
            <w:tcBorders>
              <w:top w:val="single" w:sz="4" w:space="0" w:color="auto"/>
              <w:bottom w:val="single" w:sz="4" w:space="0" w:color="auto"/>
            </w:tcBorders>
          </w:tcPr>
          <w:p w:rsidR="00EE5514" w:rsidRPr="005F75C7" w:rsidRDefault="00EE5514" w:rsidP="009553BA">
            <w:pPr>
              <w:pStyle w:val="NoSpacing"/>
              <w:rPr>
                <w:rFonts w:asciiTheme="majorBidi" w:hAnsiTheme="majorBidi" w:cstheme="majorBidi"/>
              </w:rPr>
            </w:pPr>
          </w:p>
        </w:tc>
        <w:tc>
          <w:tcPr>
            <w:tcW w:w="1598" w:type="dxa"/>
            <w:tcBorders>
              <w:top w:val="single" w:sz="4" w:space="0" w:color="auto"/>
              <w:bottom w:val="single" w:sz="4" w:space="0" w:color="auto"/>
            </w:tcBorders>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Model 1</w:t>
            </w:r>
          </w:p>
        </w:tc>
        <w:tc>
          <w:tcPr>
            <w:tcW w:w="3822" w:type="dxa"/>
            <w:gridSpan w:val="3"/>
            <w:tcBorders>
              <w:top w:val="single" w:sz="4" w:space="0" w:color="auto"/>
              <w:bottom w:val="single" w:sz="4" w:space="0" w:color="auto"/>
            </w:tcBorders>
            <w:shd w:val="clear" w:color="auto" w:fill="BFBFBF" w:themeFill="background1" w:themeFillShade="BF"/>
            <w:hideMark/>
          </w:tcPr>
          <w:p w:rsidR="00EE5514" w:rsidRPr="005F75C7" w:rsidRDefault="00EE5514" w:rsidP="009553BA">
            <w:pPr>
              <w:pStyle w:val="NoSpacing"/>
              <w:ind w:firstLine="17"/>
              <w:jc w:val="center"/>
              <w:rPr>
                <w:rFonts w:asciiTheme="majorBidi" w:hAnsiTheme="majorBidi" w:cstheme="majorBidi"/>
                <w:highlight w:val="lightGray"/>
              </w:rPr>
            </w:pPr>
            <w:r w:rsidRPr="005F75C7">
              <w:rPr>
                <w:rFonts w:asciiTheme="majorBidi" w:hAnsiTheme="majorBidi" w:cstheme="majorBidi"/>
              </w:rPr>
              <w:t>Model 2</w:t>
            </w:r>
          </w:p>
        </w:tc>
      </w:tr>
      <w:tr w:rsidR="00EE5514" w:rsidRPr="005F75C7" w:rsidTr="005F75C7">
        <w:trPr>
          <w:trHeight w:val="170"/>
        </w:trPr>
        <w:tc>
          <w:tcPr>
            <w:tcW w:w="1134" w:type="dxa"/>
            <w:tcBorders>
              <w:top w:val="single" w:sz="4" w:space="0" w:color="auto"/>
            </w:tcBorders>
          </w:tcPr>
          <w:p w:rsidR="00EE5514" w:rsidRPr="005F75C7" w:rsidRDefault="00EE5514" w:rsidP="009553BA">
            <w:pPr>
              <w:pStyle w:val="NoSpacing"/>
              <w:rPr>
                <w:rFonts w:asciiTheme="majorBidi" w:hAnsiTheme="majorBidi" w:cstheme="majorBidi"/>
              </w:rPr>
            </w:pPr>
          </w:p>
        </w:tc>
        <w:tc>
          <w:tcPr>
            <w:tcW w:w="2513" w:type="dxa"/>
            <w:tcBorders>
              <w:top w:val="single" w:sz="4" w:space="0" w:color="auto"/>
            </w:tcBorders>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Poverty Measures</w:t>
            </w:r>
          </w:p>
        </w:tc>
        <w:tc>
          <w:tcPr>
            <w:tcW w:w="1598" w:type="dxa"/>
            <w:tcBorders>
              <w:top w:val="single" w:sz="4" w:space="0" w:color="auto"/>
            </w:tcBorders>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Log Cash Transfer</w:t>
            </w:r>
          </w:p>
        </w:tc>
        <w:tc>
          <w:tcPr>
            <w:tcW w:w="1276" w:type="dxa"/>
            <w:tcBorders>
              <w:top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Log Cash Transfer</w:t>
            </w:r>
          </w:p>
        </w:tc>
        <w:tc>
          <w:tcPr>
            <w:tcW w:w="1276" w:type="dxa"/>
            <w:tcBorders>
              <w:top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 xml:space="preserve">Log Cash Transfer </w:t>
            </w:r>
            <m:oMath>
              <m:r>
                <w:rPr>
                  <w:rFonts w:ascii="Cambria Math" w:hAnsi="Cambria Math" w:cstheme="majorBidi"/>
                </w:rPr>
                <m:t>×</m:t>
              </m:r>
            </m:oMath>
            <w:r w:rsidRPr="005F75C7">
              <w:rPr>
                <w:rFonts w:asciiTheme="majorBidi" w:hAnsiTheme="majorBidi" w:cstheme="majorBidi"/>
              </w:rPr>
              <w:t xml:space="preserve"> Phase I</w:t>
            </w:r>
          </w:p>
        </w:tc>
        <w:tc>
          <w:tcPr>
            <w:tcW w:w="1270" w:type="dxa"/>
            <w:tcBorders>
              <w:top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Phase</w:t>
            </w:r>
          </w:p>
        </w:tc>
      </w:tr>
      <w:tr w:rsidR="00EE5514" w:rsidRPr="005F75C7" w:rsidTr="005F75C7">
        <w:trPr>
          <w:trHeight w:val="170"/>
        </w:trPr>
        <w:tc>
          <w:tcPr>
            <w:tcW w:w="1134" w:type="dxa"/>
            <w:vMerge w:val="restart"/>
            <w:shd w:val="clear" w:color="auto" w:fill="auto"/>
            <w:vAlign w:val="center"/>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Money Metric</w:t>
            </w:r>
          </w:p>
        </w:tc>
        <w:tc>
          <w:tcPr>
            <w:tcW w:w="7933" w:type="dxa"/>
            <w:gridSpan w:val="5"/>
            <w:shd w:val="clear" w:color="auto" w:fill="FFFFFF" w:themeFill="background1"/>
          </w:tcPr>
          <w:p w:rsidR="00EE5514" w:rsidRPr="005F75C7" w:rsidRDefault="00EE5514" w:rsidP="009553BA">
            <w:pPr>
              <w:pStyle w:val="NoSpacing"/>
              <w:ind w:firstLine="17"/>
              <w:jc w:val="center"/>
              <w:rPr>
                <w:rFonts w:asciiTheme="majorBidi" w:hAnsiTheme="majorBidi" w:cstheme="majorBidi"/>
              </w:rPr>
            </w:pPr>
            <w:r w:rsidRPr="005F75C7">
              <w:rPr>
                <w:rFonts w:asciiTheme="majorBidi" w:hAnsiTheme="majorBidi" w:cstheme="majorBidi"/>
              </w:rPr>
              <w:t>Distribution Insensitive</w:t>
            </w:r>
          </w:p>
        </w:tc>
      </w:tr>
      <w:tr w:rsidR="00EE5514" w:rsidRPr="005F75C7" w:rsidTr="005F75C7">
        <w:trPr>
          <w:trHeight w:val="170"/>
        </w:trPr>
        <w:tc>
          <w:tcPr>
            <w:tcW w:w="1134" w:type="dxa"/>
            <w:vMerge/>
            <w:hideMark/>
          </w:tcPr>
          <w:p w:rsidR="00EE5514" w:rsidRPr="005F75C7" w:rsidRDefault="00EE5514" w:rsidP="009553BA">
            <w:pPr>
              <w:pStyle w:val="NoSpacing"/>
              <w:rPr>
                <w:rFonts w:asciiTheme="majorBidi" w:hAnsiTheme="majorBidi" w:cstheme="majorBidi"/>
              </w:rPr>
            </w:pPr>
          </w:p>
        </w:tc>
        <w:tc>
          <w:tcPr>
            <w:tcW w:w="2513" w:type="dxa"/>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Headcount Index - HH</w:t>
            </w:r>
          </w:p>
        </w:tc>
        <w:tc>
          <w:tcPr>
            <w:tcW w:w="1598" w:type="dxa"/>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-10.8***</w:t>
            </w:r>
          </w:p>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(1.38)</w:t>
            </w:r>
          </w:p>
        </w:tc>
        <w:tc>
          <w:tcPr>
            <w:tcW w:w="1276" w:type="dxa"/>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-11.25***</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(1.59)</w:t>
            </w:r>
          </w:p>
        </w:tc>
        <w:tc>
          <w:tcPr>
            <w:tcW w:w="1276" w:type="dxa"/>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-2.16*</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(1.28)</w:t>
            </w:r>
          </w:p>
        </w:tc>
        <w:tc>
          <w:tcPr>
            <w:tcW w:w="1270" w:type="dxa"/>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40.82*</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(24.43)</w:t>
            </w:r>
          </w:p>
        </w:tc>
      </w:tr>
      <w:tr w:rsidR="00EE5514" w:rsidRPr="005F75C7" w:rsidTr="005F75C7">
        <w:trPr>
          <w:trHeight w:val="170"/>
        </w:trPr>
        <w:tc>
          <w:tcPr>
            <w:tcW w:w="1134" w:type="dxa"/>
            <w:vMerge/>
            <w:hideMark/>
          </w:tcPr>
          <w:p w:rsidR="00EE5514" w:rsidRPr="005F75C7" w:rsidRDefault="00EE5514" w:rsidP="009553BA">
            <w:pPr>
              <w:pStyle w:val="NoSpacing"/>
              <w:rPr>
                <w:rFonts w:asciiTheme="majorBidi" w:hAnsiTheme="majorBidi" w:cstheme="majorBidi"/>
              </w:rPr>
            </w:pPr>
          </w:p>
        </w:tc>
        <w:tc>
          <w:tcPr>
            <w:tcW w:w="2513" w:type="dxa"/>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Poverty Gap Index - PG</w:t>
            </w:r>
          </w:p>
        </w:tc>
        <w:tc>
          <w:tcPr>
            <w:tcW w:w="1598" w:type="dxa"/>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-1.93 ***</w:t>
            </w:r>
          </w:p>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(0.34)</w:t>
            </w:r>
          </w:p>
        </w:tc>
        <w:tc>
          <w:tcPr>
            <w:tcW w:w="1276" w:type="dxa"/>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-1.79***</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(0.39)</w:t>
            </w:r>
          </w:p>
        </w:tc>
        <w:tc>
          <w:tcPr>
            <w:tcW w:w="1276" w:type="dxa"/>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-0.98***</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(0.32)</w:t>
            </w:r>
          </w:p>
        </w:tc>
        <w:tc>
          <w:tcPr>
            <w:tcW w:w="1270" w:type="dxa"/>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18.70***</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(6.15)</w:t>
            </w:r>
          </w:p>
        </w:tc>
      </w:tr>
      <w:tr w:rsidR="00EE5514" w:rsidRPr="005F75C7" w:rsidTr="005F75C7">
        <w:trPr>
          <w:trHeight w:val="170"/>
        </w:trPr>
        <w:tc>
          <w:tcPr>
            <w:tcW w:w="1134" w:type="dxa"/>
            <w:vMerge/>
          </w:tcPr>
          <w:p w:rsidR="00EE5514" w:rsidRPr="005F75C7" w:rsidRDefault="00EE5514" w:rsidP="009553BA">
            <w:pPr>
              <w:pStyle w:val="NoSpacing"/>
              <w:rPr>
                <w:rFonts w:asciiTheme="majorBidi" w:hAnsiTheme="majorBidi" w:cstheme="majorBidi"/>
              </w:rPr>
            </w:pPr>
          </w:p>
        </w:tc>
        <w:tc>
          <w:tcPr>
            <w:tcW w:w="7933" w:type="dxa"/>
            <w:gridSpan w:val="5"/>
            <w:shd w:val="clear" w:color="auto" w:fill="FFFFFF" w:themeFill="background1"/>
          </w:tcPr>
          <w:p w:rsidR="00EE5514" w:rsidRPr="005F75C7" w:rsidRDefault="00EE5514" w:rsidP="009553BA">
            <w:pPr>
              <w:pStyle w:val="NoSpacing"/>
              <w:ind w:firstLine="17"/>
              <w:jc w:val="center"/>
              <w:rPr>
                <w:rFonts w:asciiTheme="majorBidi" w:hAnsiTheme="majorBidi" w:cstheme="majorBidi"/>
              </w:rPr>
            </w:pPr>
            <w:r w:rsidRPr="005F75C7">
              <w:rPr>
                <w:rFonts w:asciiTheme="majorBidi" w:hAnsiTheme="majorBidi" w:cstheme="majorBidi"/>
              </w:rPr>
              <w:t>Distribution Sensitive</w:t>
            </w:r>
          </w:p>
        </w:tc>
      </w:tr>
      <w:tr w:rsidR="00EE5514" w:rsidRPr="005F75C7" w:rsidTr="005F75C7">
        <w:trPr>
          <w:trHeight w:val="170"/>
        </w:trPr>
        <w:tc>
          <w:tcPr>
            <w:tcW w:w="1134" w:type="dxa"/>
            <w:vMerge/>
            <w:tcBorders>
              <w:bottom w:val="single" w:sz="4" w:space="0" w:color="auto"/>
            </w:tcBorders>
            <w:hideMark/>
          </w:tcPr>
          <w:p w:rsidR="00EE5514" w:rsidRPr="005F75C7" w:rsidRDefault="00EE5514" w:rsidP="009553BA">
            <w:pPr>
              <w:pStyle w:val="NoSpacing"/>
              <w:rPr>
                <w:rFonts w:asciiTheme="majorBidi" w:hAnsiTheme="majorBidi" w:cstheme="majorBidi"/>
              </w:rPr>
            </w:pPr>
          </w:p>
        </w:tc>
        <w:tc>
          <w:tcPr>
            <w:tcW w:w="2513" w:type="dxa"/>
            <w:tcBorders>
              <w:bottom w:val="single" w:sz="4" w:space="0" w:color="auto"/>
            </w:tcBorders>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Squared Poverty Gap Index - SPG</w:t>
            </w:r>
          </w:p>
        </w:tc>
        <w:tc>
          <w:tcPr>
            <w:tcW w:w="1598" w:type="dxa"/>
            <w:tcBorders>
              <w:bottom w:val="single" w:sz="4" w:space="0" w:color="auto"/>
            </w:tcBorders>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-0.49 ***</w:t>
            </w:r>
          </w:p>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(0.10)</w:t>
            </w:r>
          </w:p>
        </w:tc>
        <w:tc>
          <w:tcPr>
            <w:tcW w:w="1276" w:type="dxa"/>
            <w:tcBorders>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-0.44***</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(0.12)</w:t>
            </w:r>
          </w:p>
        </w:tc>
        <w:tc>
          <w:tcPr>
            <w:tcW w:w="1276" w:type="dxa"/>
            <w:tcBorders>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-0.30***</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(0.09)</w:t>
            </w:r>
          </w:p>
        </w:tc>
        <w:tc>
          <w:tcPr>
            <w:tcW w:w="1270" w:type="dxa"/>
            <w:tcBorders>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5.69***</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(0.12)</w:t>
            </w:r>
          </w:p>
        </w:tc>
      </w:tr>
      <w:tr w:rsidR="00EE5514" w:rsidRPr="005F75C7" w:rsidTr="005F75C7">
        <w:trPr>
          <w:trHeight w:val="170"/>
        </w:trPr>
        <w:tc>
          <w:tcPr>
            <w:tcW w:w="1134" w:type="dxa"/>
            <w:vMerge w:val="restart"/>
            <w:tcBorders>
              <w:top w:val="single" w:sz="4" w:space="0" w:color="auto"/>
              <w:bottom w:val="single" w:sz="4" w:space="0" w:color="auto"/>
            </w:tcBorders>
            <w:shd w:val="clear" w:color="auto" w:fill="FFFFFF" w:themeFill="background1"/>
            <w:vAlign w:val="center"/>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Multidimensional</w:t>
            </w:r>
          </w:p>
        </w:tc>
        <w:tc>
          <w:tcPr>
            <w:tcW w:w="7933" w:type="dxa"/>
            <w:gridSpan w:val="5"/>
            <w:tcBorders>
              <w:top w:val="single" w:sz="4" w:space="0" w:color="auto"/>
              <w:bottom w:val="single" w:sz="4" w:space="0" w:color="auto"/>
            </w:tcBorders>
            <w:shd w:val="clear" w:color="auto" w:fill="FFFFFF" w:themeFill="background1"/>
          </w:tcPr>
          <w:p w:rsidR="00EE5514" w:rsidRPr="005F75C7" w:rsidRDefault="00EE5514" w:rsidP="009553BA">
            <w:pPr>
              <w:pStyle w:val="NoSpacing"/>
              <w:ind w:firstLine="17"/>
              <w:jc w:val="center"/>
              <w:rPr>
                <w:rFonts w:asciiTheme="majorBidi" w:hAnsiTheme="majorBidi" w:cstheme="majorBidi"/>
              </w:rPr>
            </w:pPr>
            <w:r w:rsidRPr="005F75C7">
              <w:rPr>
                <w:rFonts w:asciiTheme="majorBidi" w:hAnsiTheme="majorBidi" w:cstheme="majorBidi"/>
              </w:rPr>
              <w:t>Distribution Insensitive</w:t>
            </w:r>
          </w:p>
        </w:tc>
      </w:tr>
      <w:tr w:rsidR="00EE5514" w:rsidRPr="005F75C7" w:rsidTr="005F75C7">
        <w:trPr>
          <w:trHeight w:val="170"/>
        </w:trPr>
        <w:tc>
          <w:tcPr>
            <w:tcW w:w="1134" w:type="dxa"/>
            <w:vMerge/>
            <w:tcBorders>
              <w:top w:val="single" w:sz="4" w:space="0" w:color="auto"/>
              <w:bottom w:val="single" w:sz="4" w:space="0" w:color="auto"/>
            </w:tcBorders>
            <w:hideMark/>
          </w:tcPr>
          <w:p w:rsidR="00EE5514" w:rsidRPr="005F75C7" w:rsidRDefault="00EE5514" w:rsidP="009553BA">
            <w:pPr>
              <w:pStyle w:val="NoSpacing"/>
              <w:rPr>
                <w:rFonts w:asciiTheme="majorBidi" w:hAnsiTheme="majorBidi" w:cstheme="majorBidi"/>
              </w:rPr>
            </w:pPr>
          </w:p>
        </w:tc>
        <w:tc>
          <w:tcPr>
            <w:tcW w:w="2513" w:type="dxa"/>
            <w:tcBorders>
              <w:top w:val="single" w:sz="4" w:space="0" w:color="auto"/>
              <w:bottom w:val="single" w:sz="4" w:space="0" w:color="auto"/>
            </w:tcBorders>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Multidimensional Poverty Index - MPI</w:t>
            </w:r>
          </w:p>
        </w:tc>
        <w:tc>
          <w:tcPr>
            <w:tcW w:w="1598" w:type="dxa"/>
            <w:tcBorders>
              <w:top w:val="single" w:sz="4" w:space="0" w:color="auto"/>
              <w:bottom w:val="single" w:sz="4" w:space="0" w:color="auto"/>
            </w:tcBorders>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-0.98 **</w:t>
            </w:r>
          </w:p>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(0.01)</w:t>
            </w:r>
          </w:p>
        </w:tc>
        <w:tc>
          <w:tcPr>
            <w:tcW w:w="1276"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-1.58***</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(0.42)</w:t>
            </w:r>
          </w:p>
        </w:tc>
        <w:tc>
          <w:tcPr>
            <w:tcW w:w="1276"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1.34***</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(0.34)</w:t>
            </w:r>
          </w:p>
        </w:tc>
        <w:tc>
          <w:tcPr>
            <w:tcW w:w="1270"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-24.62***</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(6.57)</w:t>
            </w:r>
          </w:p>
        </w:tc>
      </w:tr>
      <w:tr w:rsidR="00EE5514" w:rsidRPr="005F75C7" w:rsidTr="005F75C7">
        <w:trPr>
          <w:trHeight w:val="170"/>
        </w:trPr>
        <w:tc>
          <w:tcPr>
            <w:tcW w:w="1134" w:type="dxa"/>
            <w:vMerge/>
            <w:tcBorders>
              <w:top w:val="single" w:sz="4" w:space="0" w:color="auto"/>
              <w:bottom w:val="single" w:sz="4" w:space="0" w:color="auto"/>
            </w:tcBorders>
          </w:tcPr>
          <w:p w:rsidR="00EE5514" w:rsidRPr="005F75C7" w:rsidRDefault="00EE5514" w:rsidP="009553BA">
            <w:pPr>
              <w:pStyle w:val="NoSpacing"/>
              <w:rPr>
                <w:rFonts w:asciiTheme="majorBidi" w:hAnsiTheme="majorBidi" w:cstheme="majorBidi"/>
              </w:rPr>
            </w:pPr>
          </w:p>
        </w:tc>
        <w:tc>
          <w:tcPr>
            <w:tcW w:w="2513" w:type="dxa"/>
            <w:tcBorders>
              <w:top w:val="single" w:sz="4" w:space="0" w:color="auto"/>
              <w:bottom w:val="single" w:sz="4" w:space="0" w:color="auto"/>
            </w:tcBorders>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Headcount MPI</w:t>
            </w:r>
          </w:p>
        </w:tc>
        <w:tc>
          <w:tcPr>
            <w:tcW w:w="1598" w:type="dxa"/>
            <w:tcBorders>
              <w:top w:val="single" w:sz="4" w:space="0" w:color="auto"/>
              <w:bottom w:val="single" w:sz="4" w:space="0" w:color="auto"/>
            </w:tcBorders>
            <w:shd w:val="clear" w:color="auto" w:fill="F2F2F2" w:themeFill="background1" w:themeFillShade="F2"/>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-0.96 *</w:t>
            </w:r>
          </w:p>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(0.55)</w:t>
            </w:r>
          </w:p>
        </w:tc>
        <w:tc>
          <w:tcPr>
            <w:tcW w:w="1276" w:type="dxa"/>
            <w:tcBorders>
              <w:top w:val="single" w:sz="4" w:space="0" w:color="auto"/>
              <w:bottom w:val="single" w:sz="4" w:space="0" w:color="auto"/>
            </w:tcBorders>
            <w:shd w:val="clear" w:color="auto" w:fill="D9D9D9" w:themeFill="background1" w:themeFillShade="D9"/>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-1.81**</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(0.55)</w:t>
            </w:r>
          </w:p>
        </w:tc>
        <w:tc>
          <w:tcPr>
            <w:tcW w:w="1276" w:type="dxa"/>
            <w:tcBorders>
              <w:top w:val="single" w:sz="4" w:space="0" w:color="auto"/>
              <w:bottom w:val="single" w:sz="4" w:space="0" w:color="auto"/>
            </w:tcBorders>
            <w:shd w:val="clear" w:color="auto" w:fill="D9D9D9" w:themeFill="background1" w:themeFillShade="D9"/>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1.79***</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(0.45)</w:t>
            </w:r>
          </w:p>
        </w:tc>
        <w:tc>
          <w:tcPr>
            <w:tcW w:w="1270" w:type="dxa"/>
            <w:tcBorders>
              <w:top w:val="single" w:sz="4" w:space="0" w:color="auto"/>
              <w:bottom w:val="single" w:sz="4" w:space="0" w:color="auto"/>
            </w:tcBorders>
            <w:shd w:val="clear" w:color="auto" w:fill="D9D9D9" w:themeFill="background1" w:themeFillShade="D9"/>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-31.47***</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(8.52)</w:t>
            </w:r>
          </w:p>
        </w:tc>
      </w:tr>
      <w:tr w:rsidR="00EE5514" w:rsidRPr="005F75C7" w:rsidTr="005F75C7">
        <w:trPr>
          <w:trHeight w:val="170"/>
        </w:trPr>
        <w:tc>
          <w:tcPr>
            <w:tcW w:w="1134" w:type="dxa"/>
            <w:vMerge/>
            <w:tcBorders>
              <w:top w:val="single" w:sz="4" w:space="0" w:color="auto"/>
              <w:bottom w:val="single" w:sz="4" w:space="0" w:color="auto"/>
            </w:tcBorders>
          </w:tcPr>
          <w:p w:rsidR="00EE5514" w:rsidRPr="005F75C7" w:rsidRDefault="00EE5514" w:rsidP="009553BA">
            <w:pPr>
              <w:pStyle w:val="NoSpacing"/>
              <w:rPr>
                <w:rFonts w:asciiTheme="majorBidi" w:hAnsiTheme="majorBidi" w:cstheme="majorBidi"/>
              </w:rPr>
            </w:pPr>
          </w:p>
        </w:tc>
        <w:tc>
          <w:tcPr>
            <w:tcW w:w="7933" w:type="dxa"/>
            <w:gridSpan w:val="5"/>
            <w:tcBorders>
              <w:top w:val="single" w:sz="4" w:space="0" w:color="auto"/>
              <w:bottom w:val="single" w:sz="4" w:space="0" w:color="auto"/>
            </w:tcBorders>
            <w:shd w:val="clear" w:color="auto" w:fill="FFFFFF" w:themeFill="background1"/>
          </w:tcPr>
          <w:p w:rsidR="00EE5514" w:rsidRPr="005F75C7" w:rsidRDefault="00EE5514" w:rsidP="009553BA">
            <w:pPr>
              <w:pStyle w:val="NoSpacing"/>
              <w:ind w:firstLine="17"/>
              <w:jc w:val="center"/>
              <w:rPr>
                <w:rFonts w:asciiTheme="majorBidi" w:hAnsiTheme="majorBidi" w:cstheme="majorBidi"/>
              </w:rPr>
            </w:pPr>
            <w:r w:rsidRPr="005F75C7">
              <w:rPr>
                <w:rFonts w:asciiTheme="majorBidi" w:hAnsiTheme="majorBidi" w:cstheme="majorBidi"/>
              </w:rPr>
              <w:t>Distribution Sensitive</w:t>
            </w:r>
          </w:p>
        </w:tc>
      </w:tr>
      <w:tr w:rsidR="00EE5514" w:rsidRPr="005F75C7" w:rsidTr="005F75C7">
        <w:trPr>
          <w:trHeight w:val="170"/>
        </w:trPr>
        <w:tc>
          <w:tcPr>
            <w:tcW w:w="1134" w:type="dxa"/>
            <w:vMerge/>
            <w:tcBorders>
              <w:top w:val="single" w:sz="4" w:space="0" w:color="auto"/>
              <w:bottom w:val="single" w:sz="4" w:space="0" w:color="auto"/>
            </w:tcBorders>
            <w:hideMark/>
          </w:tcPr>
          <w:p w:rsidR="00EE5514" w:rsidRPr="005F75C7" w:rsidRDefault="00EE5514" w:rsidP="009553BA">
            <w:pPr>
              <w:pStyle w:val="NoSpacing"/>
              <w:rPr>
                <w:rFonts w:asciiTheme="majorBidi" w:hAnsiTheme="majorBidi" w:cstheme="majorBidi"/>
              </w:rPr>
            </w:pPr>
          </w:p>
        </w:tc>
        <w:tc>
          <w:tcPr>
            <w:tcW w:w="2513" w:type="dxa"/>
            <w:tcBorders>
              <w:top w:val="single" w:sz="4" w:space="0" w:color="auto"/>
              <w:bottom w:val="single" w:sz="4" w:space="0" w:color="auto"/>
            </w:tcBorders>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Multidimensional Distribution-sensitive Poverty Index - MDPI</w:t>
            </w:r>
          </w:p>
        </w:tc>
        <w:tc>
          <w:tcPr>
            <w:tcW w:w="1598" w:type="dxa"/>
            <w:tcBorders>
              <w:top w:val="single" w:sz="4" w:space="0" w:color="auto"/>
              <w:bottom w:val="single" w:sz="4" w:space="0" w:color="auto"/>
            </w:tcBorders>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-0.82 ***</w:t>
            </w:r>
          </w:p>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(0.26)</w:t>
            </w:r>
          </w:p>
        </w:tc>
        <w:tc>
          <w:tcPr>
            <w:tcW w:w="1276"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-1.21***</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(0.27)</w:t>
            </w:r>
          </w:p>
        </w:tc>
        <w:tc>
          <w:tcPr>
            <w:tcW w:w="1276"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0.35***</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(0.32)</w:t>
            </w:r>
          </w:p>
        </w:tc>
        <w:tc>
          <w:tcPr>
            <w:tcW w:w="1270"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-7.95</w:t>
            </w:r>
          </w:p>
          <w:p w:rsidR="00EE5514" w:rsidRPr="005F75C7" w:rsidRDefault="00EE5514" w:rsidP="009553BA">
            <w:pPr>
              <w:pStyle w:val="NoSpacing"/>
              <w:ind w:firstLine="17"/>
              <w:rPr>
                <w:rFonts w:asciiTheme="majorBidi" w:hAnsiTheme="majorBidi" w:cstheme="majorBidi"/>
                <w:b/>
                <w:bCs/>
              </w:rPr>
            </w:pPr>
            <w:r w:rsidRPr="005F75C7">
              <w:rPr>
                <w:rFonts w:asciiTheme="majorBidi" w:hAnsiTheme="majorBidi" w:cstheme="majorBidi"/>
              </w:rPr>
              <w:t>(6.10</w:t>
            </w:r>
            <w:r w:rsidRPr="005F75C7">
              <w:rPr>
                <w:rFonts w:asciiTheme="majorBidi" w:hAnsiTheme="majorBidi" w:cstheme="majorBidi"/>
                <w:b/>
                <w:bCs/>
              </w:rPr>
              <w:t>)</w:t>
            </w:r>
          </w:p>
        </w:tc>
      </w:tr>
      <w:tr w:rsidR="00EE5514" w:rsidRPr="005F75C7" w:rsidTr="005F75C7">
        <w:trPr>
          <w:trHeight w:val="170"/>
        </w:trPr>
        <w:tc>
          <w:tcPr>
            <w:tcW w:w="1134" w:type="dxa"/>
            <w:vMerge/>
            <w:tcBorders>
              <w:top w:val="single" w:sz="4" w:space="0" w:color="auto"/>
              <w:bottom w:val="single" w:sz="4" w:space="0" w:color="auto"/>
            </w:tcBorders>
            <w:hideMark/>
          </w:tcPr>
          <w:p w:rsidR="00EE5514" w:rsidRPr="005F75C7" w:rsidRDefault="00EE5514" w:rsidP="009553BA">
            <w:pPr>
              <w:pStyle w:val="NoSpacing"/>
              <w:rPr>
                <w:rFonts w:asciiTheme="majorBidi" w:hAnsiTheme="majorBidi" w:cstheme="majorBidi"/>
              </w:rPr>
            </w:pPr>
          </w:p>
        </w:tc>
        <w:tc>
          <w:tcPr>
            <w:tcW w:w="2513" w:type="dxa"/>
            <w:tcBorders>
              <w:top w:val="single" w:sz="4" w:space="0" w:color="auto"/>
              <w:bottom w:val="single" w:sz="4" w:space="0" w:color="auto"/>
            </w:tcBorders>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Headcount MDPI</w:t>
            </w:r>
          </w:p>
        </w:tc>
        <w:tc>
          <w:tcPr>
            <w:tcW w:w="1598" w:type="dxa"/>
            <w:tcBorders>
              <w:top w:val="single" w:sz="4" w:space="0" w:color="auto"/>
              <w:bottom w:val="single" w:sz="4" w:space="0" w:color="auto"/>
            </w:tcBorders>
            <w:shd w:val="clear" w:color="auto" w:fill="F2F2F2" w:themeFill="background1" w:themeFillShade="F2"/>
            <w:hideMark/>
          </w:tcPr>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-0.28 *</w:t>
            </w:r>
          </w:p>
          <w:p w:rsidR="00EE5514" w:rsidRPr="005F75C7" w:rsidRDefault="00EE5514" w:rsidP="009553BA">
            <w:pPr>
              <w:pStyle w:val="NoSpacing"/>
              <w:rPr>
                <w:rFonts w:asciiTheme="majorBidi" w:hAnsiTheme="majorBidi" w:cstheme="majorBidi"/>
              </w:rPr>
            </w:pPr>
            <w:r w:rsidRPr="005F75C7">
              <w:rPr>
                <w:rFonts w:asciiTheme="majorBidi" w:hAnsiTheme="majorBidi" w:cstheme="majorBidi"/>
              </w:rPr>
              <w:t>(0.16)</w:t>
            </w:r>
          </w:p>
        </w:tc>
        <w:tc>
          <w:tcPr>
            <w:tcW w:w="1276"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-0.19</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(0.19)</w:t>
            </w:r>
          </w:p>
        </w:tc>
        <w:tc>
          <w:tcPr>
            <w:tcW w:w="1276"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0.26</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(0.18)</w:t>
            </w:r>
          </w:p>
        </w:tc>
        <w:tc>
          <w:tcPr>
            <w:tcW w:w="1270" w:type="dxa"/>
            <w:tcBorders>
              <w:top w:val="single" w:sz="4" w:space="0" w:color="auto"/>
              <w:bottom w:val="single" w:sz="4" w:space="0" w:color="auto"/>
            </w:tcBorders>
            <w:shd w:val="clear" w:color="auto" w:fill="D9D9D9" w:themeFill="background1" w:themeFillShade="D9"/>
            <w:hideMark/>
          </w:tcPr>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-4.59</w:t>
            </w:r>
          </w:p>
          <w:p w:rsidR="00EE5514" w:rsidRPr="005F75C7" w:rsidRDefault="00EE5514" w:rsidP="009553BA">
            <w:pPr>
              <w:pStyle w:val="NoSpacing"/>
              <w:ind w:firstLine="17"/>
              <w:rPr>
                <w:rFonts w:asciiTheme="majorBidi" w:hAnsiTheme="majorBidi" w:cstheme="majorBidi"/>
              </w:rPr>
            </w:pPr>
            <w:r w:rsidRPr="005F75C7">
              <w:rPr>
                <w:rFonts w:asciiTheme="majorBidi" w:hAnsiTheme="majorBidi" w:cstheme="majorBidi"/>
              </w:rPr>
              <w:t>(3.44)</w:t>
            </w:r>
          </w:p>
        </w:tc>
      </w:tr>
      <w:tr w:rsidR="00EE5514" w:rsidRPr="005F75C7" w:rsidTr="009553BA">
        <w:trPr>
          <w:trHeight w:val="170"/>
        </w:trPr>
        <w:tc>
          <w:tcPr>
            <w:tcW w:w="9067" w:type="dxa"/>
            <w:gridSpan w:val="6"/>
            <w:tcBorders>
              <w:top w:val="single" w:sz="4" w:space="0" w:color="auto"/>
              <w:bottom w:val="nil"/>
            </w:tcBorders>
          </w:tcPr>
          <w:p w:rsidR="00EE5514" w:rsidRPr="005F75C7" w:rsidRDefault="00EE5514" w:rsidP="009553BA">
            <w:pPr>
              <w:rPr>
                <w:rFonts w:asciiTheme="majorBidi" w:hAnsiTheme="majorBidi" w:cstheme="majorBidi"/>
              </w:rPr>
            </w:pPr>
            <w:r w:rsidRPr="005F75C7">
              <w:rPr>
                <w:rFonts w:asciiTheme="majorBidi" w:hAnsiTheme="majorBidi" w:cstheme="majorBidi"/>
                <w:i/>
                <w:iCs/>
                <w:sz w:val="21"/>
                <w:szCs w:val="21"/>
              </w:rPr>
              <w:t>Notes:</w:t>
            </w:r>
            <w:r w:rsidRPr="005F75C7">
              <w:rPr>
                <w:rFonts w:asciiTheme="majorBidi" w:hAnsiTheme="majorBidi" w:cstheme="majorBidi"/>
                <w:sz w:val="21"/>
                <w:szCs w:val="21"/>
              </w:rPr>
              <w:t xml:space="preserve"> Standard errors in () with ***, **, * denoting statistical significance at the 1%, 5% and 10% level.</w:t>
            </w:r>
          </w:p>
        </w:tc>
      </w:tr>
    </w:tbl>
    <w:p w:rsidR="00EE5514" w:rsidRPr="00E473C1" w:rsidRDefault="00EE5514" w:rsidP="00EE5514">
      <w:pPr>
        <w:rPr>
          <w:b/>
          <w:bCs/>
        </w:rPr>
      </w:pPr>
    </w:p>
    <w:p w:rsidR="00EE5514" w:rsidRDefault="00EE5514" w:rsidP="00CC3CE0">
      <w:pPr>
        <w:spacing w:after="100" w:afterAutospacing="1" w:line="288" w:lineRule="auto"/>
        <w:ind w:firstLine="720"/>
        <w:jc w:val="both"/>
      </w:pPr>
      <w:r>
        <w:t>All the poverty measures except MDPI have taken the form of fixed effect panel regression (</w:t>
      </w:r>
      <w:r w:rsidR="00505C64">
        <w:t xml:space="preserve">based on </w:t>
      </w:r>
      <w:r>
        <w:t xml:space="preserve">Hausman test results). MDPI which is distribution sensitive has taken the form of random effect panel model. The random effect is plausible when there is influence of entities (districts) on the dependent variable. In our case there is a plausible influence of districts on the distribution sensitive MDPI as </w:t>
      </w:r>
      <w:r w:rsidRPr="002B46FD">
        <w:t xml:space="preserve">Khan </w:t>
      </w:r>
      <w:r w:rsidR="00505C64">
        <w:t>and</w:t>
      </w:r>
      <w:r w:rsidRPr="002B46FD">
        <w:t xml:space="preserve"> Sasaki (2003) </w:t>
      </w:r>
      <w:r>
        <w:t xml:space="preserve">identified the </w:t>
      </w:r>
      <w:r>
        <w:lastRenderedPageBreak/>
        <w:t xml:space="preserve">polarisation of development priorities in Pakistan. The development projects are concentrated on certain regions and </w:t>
      </w:r>
      <w:proofErr w:type="gramStart"/>
      <w:r>
        <w:t>constituencies</w:t>
      </w:r>
      <w:r w:rsidR="009F56F6">
        <w:t>,</w:t>
      </w:r>
      <w:proofErr w:type="gramEnd"/>
      <w:r>
        <w:t xml:space="preserve"> therefore, multidimensional poverty estimates which </w:t>
      </w:r>
      <w:r w:rsidR="009F56F6">
        <w:t xml:space="preserve">are </w:t>
      </w:r>
      <w:r>
        <w:t xml:space="preserve">distribution sensitive </w:t>
      </w:r>
      <w:r w:rsidR="009F56F6">
        <w:t>are</w:t>
      </w:r>
      <w:r>
        <w:t xml:space="preserve"> affected by development status of the districts (Najam, 2020). </w:t>
      </w:r>
    </w:p>
    <w:p w:rsidR="00EE5514" w:rsidRDefault="00EE5514" w:rsidP="00CC3CE0">
      <w:pPr>
        <w:spacing w:after="100" w:afterAutospacing="1" w:line="288" w:lineRule="auto"/>
        <w:ind w:firstLine="720"/>
        <w:jc w:val="both"/>
      </w:pPr>
      <w:r>
        <w:t xml:space="preserve">Two models are estimated. The second model </w:t>
      </w:r>
      <w:r w:rsidR="00505C64">
        <w:t xml:space="preserve">considers </w:t>
      </w:r>
      <w:r>
        <w:t>differ</w:t>
      </w:r>
      <w:r w:rsidR="00505C64">
        <w:t xml:space="preserve">ent </w:t>
      </w:r>
      <w:r>
        <w:t xml:space="preserve">targeting </w:t>
      </w:r>
      <w:r w:rsidR="00505C64">
        <w:t>regime</w:t>
      </w:r>
      <w:r w:rsidR="004F4504">
        <w:t>s</w:t>
      </w:r>
      <w:r>
        <w:t xml:space="preserve">, which </w:t>
      </w:r>
      <w:r w:rsidR="00505C64">
        <w:t>changed</w:t>
      </w:r>
      <w:r>
        <w:t xml:space="preserve"> from </w:t>
      </w:r>
      <w:r w:rsidR="00664E1D">
        <w:t xml:space="preserve">the </w:t>
      </w:r>
      <w:r>
        <w:t xml:space="preserve">CBT to PMT after 2010. For both models, cash transfers for money-metric as well as multidimensional poverty measures are shown to have poverty reducing impact. </w:t>
      </w:r>
      <w:r w:rsidR="009F56F6">
        <w:t>T</w:t>
      </w:r>
      <w:r>
        <w:t xml:space="preserve">he impact is stronger for conventional poverty measures. In the second model, the dummy variable is included to factor in the switch from the CBT to PMT. The results show that CBT process was stronger in reducing poverty when the poverty is estimated using conventional poverty measures. But if the researchers relied on non-conventional poverty measures they are going to infer that the PMT targeting process was more effective in reducing poverty than the CBT.  The reason for the stronger effect of BISP in reducing multidimensional poverty in the second targeting phase is because the Poverty Score Card used for screening and identifying poor households asked questions which are related to assets/ services/ facilities available to the individuals. Those are the variables used in constructing multidimensional poverty measures. That means if the screening and identification have questions related to consumption or income, it will closely target poor households which would also be identified using money-metric poverty measures. </w:t>
      </w:r>
    </w:p>
    <w:p w:rsidR="00EE5514" w:rsidRDefault="00EE5514" w:rsidP="00CC3CE0">
      <w:pPr>
        <w:spacing w:after="100" w:afterAutospacing="1" w:line="288" w:lineRule="auto"/>
        <w:ind w:firstLine="720"/>
        <w:jc w:val="both"/>
      </w:pPr>
      <w:r>
        <w:t xml:space="preserve">However, if we just consider the impact of cash transfers in reducing poverty, the impact is significant for money-metric and multidimensional poverty measures except for the Multidimension Distribution-sensitive Poverty Headcount. One thing to note here is that the unconditional cash transfers is not just reducing the poverty through increasing consumption but also through uplifting living standards. </w:t>
      </w:r>
      <w:r w:rsidRPr="00251DDD">
        <w:t>Dietrich</w:t>
      </w:r>
      <w:r w:rsidR="00664E1D">
        <w:t xml:space="preserve"> et al.</w:t>
      </w:r>
      <w:r w:rsidRPr="00251DDD">
        <w:t xml:space="preserve"> (2020)</w:t>
      </w:r>
      <w:r>
        <w:t xml:space="preserve"> in their study on Uganda showed that there is positive impact of cash transfers on human capital. </w:t>
      </w:r>
      <w:r w:rsidR="009F56F6">
        <w:t>I</w:t>
      </w:r>
      <w:r>
        <w:t>n our case</w:t>
      </w:r>
      <w:r w:rsidR="00664E1D">
        <w:t>,</w:t>
      </w:r>
      <w:r>
        <w:t xml:space="preserve"> the plausible explanation is that the improved financial conditions help the households to invest in not just human capital but also in other facilities which help in reducing multidimensional poverty estimates. There has been a criticism on the unconditional cash transfer programmes </w:t>
      </w:r>
      <w:r w:rsidR="009F56F6">
        <w:t xml:space="preserve">in </w:t>
      </w:r>
      <w:r>
        <w:t xml:space="preserve">that they fail to provide sustained means of </w:t>
      </w:r>
      <w:r w:rsidRPr="00834983">
        <w:t>livelihood to the beneficiaries</w:t>
      </w:r>
      <w:r>
        <w:t xml:space="preserve"> </w:t>
      </w:r>
      <w:r w:rsidRPr="00834983">
        <w:t>(Molyneux</w:t>
      </w:r>
      <w:r w:rsidR="00664E1D">
        <w:t xml:space="preserve"> et al., </w:t>
      </w:r>
      <w:r>
        <w:t>2016</w:t>
      </w:r>
      <w:r w:rsidRPr="00834983">
        <w:t>).</w:t>
      </w:r>
      <w:r>
        <w:t xml:space="preserve"> Multidimensional poverty measures which are calculated using indicators/variables which are responsible to provide sustainable means of likelihood to the individuals have shown improvement after the unconditional cash transfers were made. </w:t>
      </w:r>
      <w:r w:rsidR="00664E1D">
        <w:t>This analysis</w:t>
      </w:r>
      <w:r>
        <w:t xml:space="preserve"> helped in putting aside the concern of researchers that unconditional cash transfers does not help in promoting sustainable consumption/investment decisions.</w:t>
      </w:r>
    </w:p>
    <w:p w:rsidR="00EE5514" w:rsidRDefault="00EE5514" w:rsidP="00CC3CE0">
      <w:pPr>
        <w:spacing w:after="100" w:afterAutospacing="1" w:line="288" w:lineRule="auto"/>
        <w:ind w:firstLine="720"/>
        <w:jc w:val="both"/>
      </w:pPr>
      <w:r>
        <w:t xml:space="preserve">It follows that anti-poverty programmes which involve unconditional financial support to poor families also have an influence on enhancing capabilities of individuals. Multidimensional poverty measures which are developed on capability approach have shown reduction due to increase in cash transfers. There is one more point that needs attention. In </w:t>
      </w:r>
      <w:r w:rsidR="00664E1D">
        <w:t xml:space="preserve">this analysis, </w:t>
      </w:r>
      <w:r>
        <w:t xml:space="preserve">the distribution sensitive multidimensional poverty measure has taken the random effect form which means that district characteristics could have influence on MDPI. </w:t>
      </w:r>
      <w:r>
        <w:lastRenderedPageBreak/>
        <w:t>The polarisation of infrastructure development in certain districts have deteriorated the capabilities set of individuals in deprived districts. Hence, the concentration of high MDPI estimates in less developed districts is observed. Therefore, the depolarisation of development priorities in districts is crucial for increasing the access to services and facilities and for the effects of cash transfers to spread across.</w:t>
      </w:r>
    </w:p>
    <w:p w:rsidR="00EE5514" w:rsidRPr="00EE5514" w:rsidRDefault="00EE5514" w:rsidP="0012512A">
      <w:pPr>
        <w:spacing w:after="100" w:afterAutospacing="1" w:line="288" w:lineRule="auto"/>
        <w:jc w:val="both"/>
        <w:rPr>
          <w:rFonts w:asciiTheme="majorBidi" w:hAnsiTheme="majorBidi" w:cstheme="majorBidi"/>
          <w:b/>
          <w:bCs/>
        </w:rPr>
      </w:pPr>
      <w:r>
        <w:rPr>
          <w:rFonts w:asciiTheme="majorBidi" w:hAnsiTheme="majorBidi" w:cstheme="majorBidi"/>
          <w:b/>
          <w:bCs/>
        </w:rPr>
        <w:t>6</w:t>
      </w:r>
      <w:r w:rsidRPr="00EE5514">
        <w:rPr>
          <w:rFonts w:asciiTheme="majorBidi" w:hAnsiTheme="majorBidi" w:cstheme="majorBidi"/>
          <w:b/>
          <w:bCs/>
        </w:rPr>
        <w:t>. Conclusions</w:t>
      </w:r>
    </w:p>
    <w:p w:rsidR="00EE5514" w:rsidRDefault="00EE5514" w:rsidP="00637834">
      <w:pPr>
        <w:spacing w:after="100" w:afterAutospacing="1" w:line="288" w:lineRule="auto"/>
        <w:jc w:val="both"/>
        <w:rPr>
          <w:color w:val="000000" w:themeColor="text1"/>
        </w:rPr>
      </w:pPr>
      <w:r w:rsidRPr="009444E9">
        <w:rPr>
          <w:color w:val="000000" w:themeColor="text1"/>
        </w:rPr>
        <w:t>To ensure th</w:t>
      </w:r>
      <w:r>
        <w:rPr>
          <w:color w:val="000000" w:themeColor="text1"/>
        </w:rPr>
        <w:t xml:space="preserve">at </w:t>
      </w:r>
      <w:r w:rsidRPr="009444E9">
        <w:rPr>
          <w:color w:val="000000" w:themeColor="text1"/>
        </w:rPr>
        <w:t>social safety net programs</w:t>
      </w:r>
      <w:r>
        <w:rPr>
          <w:color w:val="000000" w:themeColor="text1"/>
        </w:rPr>
        <w:t xml:space="preserve"> reach</w:t>
      </w:r>
      <w:r w:rsidRPr="009444E9">
        <w:rPr>
          <w:color w:val="000000" w:themeColor="text1"/>
        </w:rPr>
        <w:t xml:space="preserve"> the poorest segment of the society</w:t>
      </w:r>
      <w:r>
        <w:rPr>
          <w:color w:val="000000" w:themeColor="text1"/>
        </w:rPr>
        <w:t>,</w:t>
      </w:r>
      <w:r w:rsidRPr="009444E9">
        <w:rPr>
          <w:color w:val="000000" w:themeColor="text1"/>
        </w:rPr>
        <w:t xml:space="preserve"> analysis is required to observe how effective those programs are in alleviating poverty over time.</w:t>
      </w:r>
      <w:r>
        <w:rPr>
          <w:color w:val="000000" w:themeColor="text1"/>
        </w:rPr>
        <w:t xml:space="preserve"> Given that there is evidence of poverty trends across time </w:t>
      </w:r>
      <w:r w:rsidR="00AF31AC">
        <w:rPr>
          <w:color w:val="000000" w:themeColor="text1"/>
        </w:rPr>
        <w:t xml:space="preserve">being </w:t>
      </w:r>
      <w:r>
        <w:rPr>
          <w:color w:val="000000" w:themeColor="text1"/>
        </w:rPr>
        <w:t xml:space="preserve">sensitive to the choice of poverty measure, it is </w:t>
      </w:r>
      <w:r w:rsidR="00AF31AC">
        <w:rPr>
          <w:color w:val="000000" w:themeColor="text1"/>
        </w:rPr>
        <w:t xml:space="preserve">thus </w:t>
      </w:r>
      <w:r>
        <w:rPr>
          <w:color w:val="000000" w:themeColor="text1"/>
        </w:rPr>
        <w:t xml:space="preserve">necessary to check for the sensitivity of the effect of cash transfer in alleviating poverty. </w:t>
      </w:r>
    </w:p>
    <w:p w:rsidR="00EE5514" w:rsidRPr="00E37353" w:rsidRDefault="00EE5514" w:rsidP="00CC3CE0">
      <w:pPr>
        <w:spacing w:after="100" w:afterAutospacing="1" w:line="288" w:lineRule="auto"/>
        <w:ind w:firstLine="720"/>
        <w:jc w:val="both"/>
        <w:rPr>
          <w:color w:val="FF0000"/>
        </w:rPr>
      </w:pPr>
      <w:r>
        <w:rPr>
          <w:bCs/>
          <w:lang w:val="en-US"/>
        </w:rPr>
        <w:t>In this paper, we use five poverty measures, calculated biennially from 2008 to 2014 for 100 districts in Pakistan to assess the effectiveness of the BISP in alleviating poverty. We also examine whether the impact of the cash transfer programs on poverty is sensitive to the choice of poverty measure. Our results show that</w:t>
      </w:r>
      <w:r>
        <w:t xml:space="preserve"> poverty reducing effects of BISP </w:t>
      </w:r>
      <w:r w:rsidR="00664E1D">
        <w:t xml:space="preserve">is </w:t>
      </w:r>
      <w:r>
        <w:t>not just money metric but also multidimensional poverty measures. However, the effect of BISP is stronger in reducing conventional poverty estimates as compared to the non-conventional poverty estimates.</w:t>
      </w:r>
      <w:r w:rsidRPr="00E37353">
        <w:t xml:space="preserve"> </w:t>
      </w:r>
      <w:r>
        <w:t>One important thing to conclude from the results is that if we consider the concept of depth, intensity and distribution sensitivity in quantifying poverty, more support in terms of cash transfers is required to eradicate poverty.</w:t>
      </w:r>
      <w:r w:rsidRPr="008017BA">
        <w:t xml:space="preserve"> </w:t>
      </w:r>
      <w:r>
        <w:t xml:space="preserve">Our findings also support that households are using the cash received </w:t>
      </w:r>
      <w:r w:rsidR="00CA2717">
        <w:t xml:space="preserve">not </w:t>
      </w:r>
      <w:r>
        <w:t xml:space="preserve">for consumption only, but also use the cash in improving their living standards. </w:t>
      </w:r>
    </w:p>
    <w:p w:rsidR="00EE5514" w:rsidRDefault="00EE5514" w:rsidP="00CC3CE0">
      <w:pPr>
        <w:spacing w:after="100" w:afterAutospacing="1" w:line="288" w:lineRule="auto"/>
        <w:ind w:firstLine="720"/>
        <w:jc w:val="both"/>
      </w:pPr>
      <w:r>
        <w:t>Under the current BISP system, a set amount</w:t>
      </w:r>
      <w:r w:rsidR="007E6B91">
        <w:t xml:space="preserve"> of cash</w:t>
      </w:r>
      <w:r>
        <w:t xml:space="preserve"> is paid to the eligible households irrespective of how many people are living in the household or how deprived the household is. In order to reach out to the poorest households with the sufficient support, the distribution sensitive poverty measures should be considered in identifying and targeting the households. Increasing the amount of cash transfers on the basis of the depth/intensity of deprivation should be considered by policy makers. </w:t>
      </w:r>
    </w:p>
    <w:p w:rsidR="00EE5514" w:rsidRDefault="00EE5514" w:rsidP="00CC3CE0">
      <w:pPr>
        <w:spacing w:after="100" w:afterAutospacing="1" w:line="288" w:lineRule="auto"/>
        <w:ind w:firstLine="720"/>
        <w:jc w:val="both"/>
      </w:pPr>
      <w:r>
        <w:t xml:space="preserve">In terms of comparison between </w:t>
      </w:r>
      <w:r w:rsidR="00664E1D">
        <w:t xml:space="preserve">the </w:t>
      </w:r>
      <w:r>
        <w:t xml:space="preserve">two targeting approaches used, </w:t>
      </w:r>
      <w:r w:rsidR="00664E1D">
        <w:t>the results</w:t>
      </w:r>
      <w:r>
        <w:t xml:space="preserve"> showed that CBT was more effective in reducing money-metric poverty estimates whereas PMT was better in reducing multidimensional poverty estimates. It is recommended here that the poverty score card which is used to identify the poor households should at least include some information on consumption/income component in the survey. It is important to add these aspects into the identification survey because from the study by Saleem (2020) on a district in the </w:t>
      </w:r>
      <w:r w:rsidRPr="001E2933">
        <w:rPr>
          <w:i/>
          <w:iCs/>
        </w:rPr>
        <w:t xml:space="preserve">Khyber </w:t>
      </w:r>
      <w:proofErr w:type="spellStart"/>
      <w:r w:rsidR="00664E1D">
        <w:rPr>
          <w:i/>
          <w:iCs/>
        </w:rPr>
        <w:t>Pakhtunkwa</w:t>
      </w:r>
      <w:proofErr w:type="spellEnd"/>
      <w:r w:rsidR="00664E1D">
        <w:rPr>
          <w:i/>
          <w:iCs/>
        </w:rPr>
        <w:t xml:space="preserve"> </w:t>
      </w:r>
      <w:r>
        <w:t xml:space="preserve">Province, there </w:t>
      </w:r>
      <w:r w:rsidR="00CA2717">
        <w:t xml:space="preserve">were </w:t>
      </w:r>
      <w:r>
        <w:t>a few households which were struggling financially and yet did not meet the PMT criterion. Consequently, if a household has basic assets and facilities listed under Poverty Score Card but is struggling to meet its end</w:t>
      </w:r>
      <w:r w:rsidR="00CA2717">
        <w:t>s</w:t>
      </w:r>
      <w:r>
        <w:t xml:space="preserve">, it will not make the eligibility criterion. The point is that the households which are financially </w:t>
      </w:r>
      <w:r w:rsidR="00CA2717">
        <w:lastRenderedPageBreak/>
        <w:t xml:space="preserve">constrained </w:t>
      </w:r>
      <w:r>
        <w:t xml:space="preserve">may not be eligible for the benefit because they are evaluated on a totally different criterion which only consider assets, access to services and facilities but not consumption. In Pakistan, it is difficult to sell the assets to meet the consumption needs hence in the Poverty Score Card surveys we can observe the presence of few assets but not necessarily have the means to meet the consumption.  </w:t>
      </w:r>
    </w:p>
    <w:p w:rsidR="00511731" w:rsidRDefault="00511731" w:rsidP="0012512A">
      <w:pPr>
        <w:spacing w:after="100" w:afterAutospacing="1" w:line="288" w:lineRule="auto"/>
        <w:jc w:val="both"/>
      </w:pPr>
    </w:p>
    <w:p w:rsidR="00EE5514" w:rsidRPr="00EE5514" w:rsidRDefault="00EE5514" w:rsidP="00637834">
      <w:pPr>
        <w:spacing w:before="240" w:after="240"/>
        <w:rPr>
          <w:rFonts w:asciiTheme="majorBidi" w:hAnsiTheme="majorBidi" w:cstheme="majorBidi"/>
          <w:b/>
          <w:bCs/>
        </w:rPr>
      </w:pPr>
      <w:bookmarkStart w:id="2" w:name="p._158"/>
      <w:bookmarkStart w:id="3" w:name="p._159"/>
      <w:bookmarkEnd w:id="1"/>
      <w:bookmarkEnd w:id="2"/>
      <w:bookmarkEnd w:id="3"/>
      <w:r w:rsidRPr="00EE5514">
        <w:rPr>
          <w:rFonts w:asciiTheme="majorBidi" w:hAnsiTheme="majorBidi" w:cstheme="majorBidi"/>
          <w:b/>
          <w:bCs/>
        </w:rPr>
        <w:t>References</w:t>
      </w:r>
    </w:p>
    <w:p w:rsidR="00EE5514" w:rsidRPr="00EE5514" w:rsidRDefault="00EE5514" w:rsidP="00EE5514">
      <w:pPr>
        <w:rPr>
          <w:lang w:val="es-ES" w:eastAsia="zh-CN"/>
        </w:rPr>
      </w:pP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lang w:val="es-ES"/>
        </w:rPr>
        <w:t xml:space="preserve">Acosta, P. A., </w:t>
      </w:r>
      <w:proofErr w:type="gramStart"/>
      <w:r w:rsidRPr="00DF1F59">
        <w:rPr>
          <w:rFonts w:eastAsia="DengXian"/>
          <w:color w:val="000000"/>
          <w:sz w:val="22"/>
          <w:szCs w:val="22"/>
          <w:lang w:val="es-ES"/>
        </w:rPr>
        <w:t>&amp;  Velarde</w:t>
      </w:r>
      <w:proofErr w:type="gramEnd"/>
      <w:r w:rsidRPr="00DF1F59">
        <w:rPr>
          <w:rFonts w:eastAsia="DengXian"/>
          <w:color w:val="000000"/>
          <w:sz w:val="22"/>
          <w:szCs w:val="22"/>
          <w:lang w:val="es-ES"/>
        </w:rPr>
        <w:t xml:space="preserve">, R. B. (2015). </w:t>
      </w:r>
      <w:r w:rsidRPr="00DF1F59">
        <w:rPr>
          <w:rFonts w:eastAsia="DengXian"/>
          <w:i/>
          <w:iCs/>
          <w:color w:val="000000"/>
          <w:sz w:val="22"/>
          <w:szCs w:val="22"/>
        </w:rPr>
        <w:t xml:space="preserve">An update of the Philippine conditional cash transfer’s implementation performance </w:t>
      </w:r>
      <w:r w:rsidRPr="00DF1F59">
        <w:rPr>
          <w:rFonts w:eastAsia="DengXian"/>
          <w:color w:val="000000"/>
          <w:sz w:val="22"/>
          <w:szCs w:val="22"/>
        </w:rPr>
        <w:t>(Social Protection Policy note No. 8).  Washington, D.C.: World Bank Group.</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Afzal, A., </w:t>
      </w:r>
      <w:proofErr w:type="spellStart"/>
      <w:r w:rsidRPr="00DF1F59">
        <w:rPr>
          <w:rFonts w:eastAsia="DengXian"/>
          <w:color w:val="000000"/>
          <w:sz w:val="22"/>
          <w:szCs w:val="22"/>
        </w:rPr>
        <w:t>Nawazish</w:t>
      </w:r>
      <w:proofErr w:type="spellEnd"/>
      <w:r w:rsidRPr="00DF1F59">
        <w:rPr>
          <w:rFonts w:eastAsia="DengXian"/>
          <w:color w:val="000000"/>
          <w:sz w:val="22"/>
          <w:szCs w:val="22"/>
        </w:rPr>
        <w:t xml:space="preserve">, M., &amp; Arshad, F. (2019). Conditional vs unconditional cash transfers: a study of poverty demographics in Pakistan. </w:t>
      </w:r>
      <w:r w:rsidRPr="00DF1F59">
        <w:rPr>
          <w:rFonts w:eastAsia="DengXian"/>
          <w:i/>
          <w:iCs/>
          <w:color w:val="000000"/>
          <w:sz w:val="22"/>
          <w:szCs w:val="22"/>
        </w:rPr>
        <w:t xml:space="preserve">Economic research - </w:t>
      </w:r>
      <w:proofErr w:type="spellStart"/>
      <w:r w:rsidRPr="00DF1F59">
        <w:rPr>
          <w:rFonts w:eastAsia="DengXian"/>
          <w:i/>
          <w:iCs/>
          <w:color w:val="000000"/>
          <w:sz w:val="22"/>
          <w:szCs w:val="22"/>
        </w:rPr>
        <w:t>Ekonomska</w:t>
      </w:r>
      <w:proofErr w:type="spellEnd"/>
      <w:r w:rsidRPr="00DF1F59">
        <w:rPr>
          <w:rFonts w:eastAsia="DengXian"/>
          <w:i/>
          <w:iCs/>
          <w:color w:val="000000"/>
          <w:sz w:val="22"/>
          <w:szCs w:val="22"/>
        </w:rPr>
        <w:t xml:space="preserve"> </w:t>
      </w:r>
      <w:proofErr w:type="spellStart"/>
      <w:r w:rsidRPr="00DF1F59">
        <w:rPr>
          <w:rFonts w:eastAsia="DengXian"/>
          <w:i/>
          <w:iCs/>
          <w:color w:val="000000"/>
          <w:sz w:val="22"/>
          <w:szCs w:val="22"/>
        </w:rPr>
        <w:t>istraživanja</w:t>
      </w:r>
      <w:proofErr w:type="spellEnd"/>
      <w:r w:rsidRPr="00DF1F59">
        <w:rPr>
          <w:rFonts w:eastAsia="DengXian"/>
          <w:i/>
          <w:iCs/>
          <w:color w:val="000000"/>
          <w:sz w:val="22"/>
          <w:szCs w:val="22"/>
        </w:rPr>
        <w:t>, 32</w:t>
      </w:r>
      <w:r w:rsidRPr="00DF1F59">
        <w:rPr>
          <w:rFonts w:eastAsia="DengXian"/>
          <w:color w:val="000000"/>
          <w:sz w:val="22"/>
          <w:szCs w:val="22"/>
        </w:rPr>
        <w:t xml:space="preserve"> (1), 3360-3377.</w:t>
      </w:r>
    </w:p>
    <w:p w:rsidR="00EE5514" w:rsidRPr="00DF1F59" w:rsidRDefault="00EE5514" w:rsidP="00EE5514">
      <w:pPr>
        <w:numPr>
          <w:ilvl w:val="1"/>
          <w:numId w:val="0"/>
        </w:numPr>
        <w:spacing w:line="240" w:lineRule="auto"/>
        <w:ind w:left="720" w:hanging="720"/>
        <w:rPr>
          <w:rFonts w:eastAsia="DengXian"/>
          <w:color w:val="000000"/>
          <w:sz w:val="22"/>
          <w:szCs w:val="22"/>
        </w:rPr>
      </w:pPr>
      <w:r w:rsidRPr="009553BA">
        <w:rPr>
          <w:rFonts w:eastAsia="DengXian"/>
          <w:color w:val="000000"/>
          <w:sz w:val="22"/>
          <w:szCs w:val="22"/>
          <w:lang w:val="nl-NL"/>
        </w:rPr>
        <w:t xml:space="preserve">Akresh, R., De Walque, D., &amp; Kazianga, H. (2013). </w:t>
      </w:r>
      <w:r w:rsidRPr="00DF1F59">
        <w:rPr>
          <w:rFonts w:eastAsia="DengXian"/>
          <w:i/>
          <w:iCs/>
          <w:color w:val="000000"/>
          <w:sz w:val="22"/>
          <w:szCs w:val="22"/>
        </w:rPr>
        <w:t xml:space="preserve">Cash Transfers and Child </w:t>
      </w:r>
      <w:proofErr w:type="gramStart"/>
      <w:r w:rsidRPr="00DF1F59">
        <w:rPr>
          <w:rFonts w:eastAsia="DengXian"/>
          <w:i/>
          <w:iCs/>
          <w:color w:val="000000"/>
          <w:sz w:val="22"/>
          <w:szCs w:val="22"/>
        </w:rPr>
        <w:t>Schooling :</w:t>
      </w:r>
      <w:proofErr w:type="gramEnd"/>
      <w:r w:rsidRPr="00DF1F59">
        <w:rPr>
          <w:rFonts w:eastAsia="DengXian"/>
          <w:i/>
          <w:iCs/>
          <w:color w:val="000000"/>
          <w:sz w:val="22"/>
          <w:szCs w:val="22"/>
        </w:rPr>
        <w:t xml:space="preserve"> Evidence from a Randomized Evaluation of the Role of Conditionality </w:t>
      </w:r>
      <w:r w:rsidRPr="00DF1F59">
        <w:rPr>
          <w:rFonts w:eastAsia="DengXian"/>
          <w:color w:val="000000"/>
          <w:sz w:val="22"/>
          <w:szCs w:val="22"/>
        </w:rPr>
        <w:t>(Policy Research Working Paper No. 6340). Washington, D.C.: World Bank.</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Alkire</w:t>
      </w:r>
      <w:proofErr w:type="spellEnd"/>
      <w:r w:rsidRPr="00DF1F59">
        <w:rPr>
          <w:rFonts w:eastAsia="DengXian"/>
          <w:color w:val="000000"/>
          <w:sz w:val="22"/>
          <w:szCs w:val="22"/>
        </w:rPr>
        <w:t xml:space="preserve">, S., &amp; Foster, J. (2011). Counting and multidimensional poverty measurement. </w:t>
      </w:r>
      <w:r w:rsidRPr="00DF1F59">
        <w:rPr>
          <w:rFonts w:eastAsia="DengXian"/>
          <w:i/>
          <w:iCs/>
          <w:color w:val="000000"/>
          <w:sz w:val="22"/>
          <w:szCs w:val="22"/>
        </w:rPr>
        <w:t>Journal of Public Economics,</w:t>
      </w:r>
      <w:r w:rsidRPr="00DF1F59">
        <w:rPr>
          <w:rFonts w:eastAsia="DengXian"/>
          <w:color w:val="000000"/>
          <w:sz w:val="22"/>
          <w:szCs w:val="22"/>
        </w:rPr>
        <w:t xml:space="preserve"> 95(7), 476-487.</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Alkire</w:t>
      </w:r>
      <w:proofErr w:type="spellEnd"/>
      <w:r w:rsidRPr="00DF1F59">
        <w:rPr>
          <w:rFonts w:eastAsia="DengXian"/>
          <w:color w:val="000000"/>
          <w:sz w:val="22"/>
          <w:szCs w:val="22"/>
        </w:rPr>
        <w:t xml:space="preserve">, S., &amp; Jahan, S. (2018). </w:t>
      </w:r>
      <w:r w:rsidRPr="00DF1F59">
        <w:rPr>
          <w:rFonts w:eastAsia="DengXian"/>
          <w:i/>
          <w:iCs/>
          <w:color w:val="000000"/>
          <w:sz w:val="22"/>
          <w:szCs w:val="22"/>
        </w:rPr>
        <w:t>The new global MPI 2018: Aligning with the Sustainable Development Goals</w:t>
      </w:r>
      <w:r w:rsidRPr="00DF1F59">
        <w:rPr>
          <w:rFonts w:eastAsia="DengXian"/>
          <w:color w:val="000000"/>
          <w:sz w:val="22"/>
          <w:szCs w:val="22"/>
        </w:rPr>
        <w:t xml:space="preserve"> (OPHI Working Paper No. 121). University of Oxford.</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Alkire</w:t>
      </w:r>
      <w:proofErr w:type="spellEnd"/>
      <w:r w:rsidRPr="00DF1F59">
        <w:rPr>
          <w:rFonts w:eastAsia="DengXian"/>
          <w:color w:val="000000"/>
          <w:sz w:val="22"/>
          <w:szCs w:val="22"/>
        </w:rPr>
        <w:t xml:space="preserve">, S., Roche, J. M., </w:t>
      </w:r>
      <w:proofErr w:type="spellStart"/>
      <w:r w:rsidRPr="00DF1F59">
        <w:rPr>
          <w:rFonts w:eastAsia="DengXian"/>
          <w:color w:val="000000"/>
          <w:sz w:val="22"/>
          <w:szCs w:val="22"/>
        </w:rPr>
        <w:t>Ballon</w:t>
      </w:r>
      <w:proofErr w:type="spellEnd"/>
      <w:r w:rsidRPr="00DF1F59">
        <w:rPr>
          <w:rFonts w:eastAsia="DengXian"/>
          <w:color w:val="000000"/>
          <w:sz w:val="22"/>
          <w:szCs w:val="22"/>
        </w:rPr>
        <w:t xml:space="preserve">, P., Foster, J., Santos, M. E., &amp; Seth, S. (2015). </w:t>
      </w:r>
      <w:r w:rsidRPr="00DF1F59">
        <w:rPr>
          <w:rFonts w:eastAsia="DengXian"/>
          <w:i/>
          <w:iCs/>
          <w:color w:val="000000"/>
          <w:sz w:val="22"/>
          <w:szCs w:val="22"/>
        </w:rPr>
        <w:t>Multidimensional Poverty Measurement and Analysis.</w:t>
      </w:r>
      <w:r w:rsidRPr="00DF1F59">
        <w:rPr>
          <w:rFonts w:eastAsia="DengXian"/>
          <w:color w:val="000000"/>
          <w:sz w:val="22"/>
          <w:szCs w:val="22"/>
        </w:rPr>
        <w:t xml:space="preserve"> Oxford University Press, USA.</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Amrin</w:t>
      </w:r>
      <w:proofErr w:type="spellEnd"/>
      <w:r w:rsidRPr="00DF1F59">
        <w:rPr>
          <w:rFonts w:eastAsia="DengXian"/>
          <w:color w:val="000000"/>
          <w:sz w:val="22"/>
          <w:szCs w:val="22"/>
        </w:rPr>
        <w:t xml:space="preserve">, S., &amp; Ashfaq, M. (2020). The impact of Benazir Income Support Program BISP on household food expenditures in </w:t>
      </w:r>
      <w:proofErr w:type="spellStart"/>
      <w:r w:rsidRPr="00DF1F59">
        <w:rPr>
          <w:rFonts w:eastAsia="DengXian"/>
          <w:color w:val="000000"/>
          <w:sz w:val="22"/>
          <w:szCs w:val="22"/>
        </w:rPr>
        <w:t>Faislabad</w:t>
      </w:r>
      <w:proofErr w:type="spellEnd"/>
      <w:r w:rsidRPr="00DF1F59">
        <w:rPr>
          <w:rFonts w:eastAsia="DengXian"/>
          <w:color w:val="000000"/>
          <w:sz w:val="22"/>
          <w:szCs w:val="22"/>
        </w:rPr>
        <w:t xml:space="preserve">. </w:t>
      </w:r>
      <w:r w:rsidRPr="00DF1F59">
        <w:rPr>
          <w:rFonts w:eastAsia="DengXian"/>
          <w:i/>
          <w:iCs/>
          <w:color w:val="000000"/>
          <w:sz w:val="22"/>
          <w:szCs w:val="22"/>
        </w:rPr>
        <w:t>Pakistan Journal of Agricultural Sciences</w:t>
      </w:r>
      <w:r w:rsidRPr="00DF1F59">
        <w:rPr>
          <w:rFonts w:eastAsia="DengXian"/>
          <w:color w:val="000000"/>
          <w:sz w:val="22"/>
          <w:szCs w:val="22"/>
        </w:rPr>
        <w:t xml:space="preserve">, </w:t>
      </w:r>
      <w:r w:rsidRPr="00DF1F59">
        <w:rPr>
          <w:rFonts w:eastAsia="DengXian"/>
          <w:i/>
          <w:iCs/>
          <w:color w:val="000000"/>
          <w:sz w:val="22"/>
          <w:szCs w:val="22"/>
        </w:rPr>
        <w:t>57</w:t>
      </w:r>
      <w:r w:rsidRPr="00DF1F59">
        <w:rPr>
          <w:rFonts w:eastAsia="DengXian"/>
          <w:color w:val="000000"/>
          <w:sz w:val="22"/>
          <w:szCs w:val="22"/>
        </w:rPr>
        <w:t>(1), 275-279.</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Attanasio</w:t>
      </w:r>
      <w:proofErr w:type="spellEnd"/>
      <w:r w:rsidRPr="00DF1F59">
        <w:rPr>
          <w:rFonts w:eastAsia="DengXian"/>
          <w:color w:val="000000"/>
          <w:sz w:val="22"/>
          <w:szCs w:val="22"/>
        </w:rPr>
        <w:t xml:space="preserve">, O. P., </w:t>
      </w:r>
      <w:proofErr w:type="spellStart"/>
      <w:r w:rsidRPr="00DF1F59">
        <w:rPr>
          <w:rFonts w:eastAsia="DengXian"/>
          <w:color w:val="000000"/>
          <w:sz w:val="22"/>
          <w:szCs w:val="22"/>
        </w:rPr>
        <w:t>Meghir</w:t>
      </w:r>
      <w:proofErr w:type="spellEnd"/>
      <w:r w:rsidRPr="00DF1F59">
        <w:rPr>
          <w:rFonts w:eastAsia="DengXian"/>
          <w:color w:val="000000"/>
          <w:sz w:val="22"/>
          <w:szCs w:val="22"/>
        </w:rPr>
        <w:t xml:space="preserve">, C. &amp; Santiago, A. (2011). Education choices in Mexico:  Using a structural model and a randomized experiment to evaluate </w:t>
      </w:r>
      <w:proofErr w:type="spellStart"/>
      <w:r w:rsidRPr="00DF1F59">
        <w:rPr>
          <w:rFonts w:eastAsia="DengXian"/>
          <w:color w:val="000000"/>
          <w:sz w:val="22"/>
          <w:szCs w:val="22"/>
        </w:rPr>
        <w:t>Progresa</w:t>
      </w:r>
      <w:proofErr w:type="spellEnd"/>
      <w:r w:rsidRPr="00DF1F59">
        <w:rPr>
          <w:rFonts w:eastAsia="DengXian"/>
          <w:color w:val="000000"/>
          <w:sz w:val="22"/>
          <w:szCs w:val="22"/>
        </w:rPr>
        <w:t xml:space="preserve">.  </w:t>
      </w:r>
      <w:r w:rsidRPr="00DF1F59">
        <w:rPr>
          <w:rFonts w:eastAsia="DengXian"/>
          <w:i/>
          <w:iCs/>
          <w:color w:val="000000"/>
          <w:sz w:val="22"/>
          <w:szCs w:val="22"/>
        </w:rPr>
        <w:t>The Review of Economic Studies, 79</w:t>
      </w:r>
      <w:r w:rsidRPr="00DF1F59">
        <w:rPr>
          <w:rFonts w:eastAsia="DengXian"/>
          <w:color w:val="000000"/>
          <w:sz w:val="22"/>
          <w:szCs w:val="22"/>
        </w:rPr>
        <w:t>(1), 37-66.</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Azeem, M. M., </w:t>
      </w:r>
      <w:proofErr w:type="spellStart"/>
      <w:r w:rsidRPr="00DF1F59">
        <w:rPr>
          <w:rFonts w:eastAsia="DengXian"/>
          <w:color w:val="000000"/>
          <w:sz w:val="22"/>
          <w:szCs w:val="22"/>
        </w:rPr>
        <w:t>Mugera</w:t>
      </w:r>
      <w:proofErr w:type="spellEnd"/>
      <w:r w:rsidRPr="00DF1F59">
        <w:rPr>
          <w:rFonts w:eastAsia="DengXian"/>
          <w:color w:val="000000"/>
          <w:sz w:val="22"/>
          <w:szCs w:val="22"/>
        </w:rPr>
        <w:t xml:space="preserve">, A. W., &amp; </w:t>
      </w:r>
      <w:proofErr w:type="spellStart"/>
      <w:r w:rsidRPr="00DF1F59">
        <w:rPr>
          <w:rFonts w:eastAsia="DengXian"/>
          <w:color w:val="000000"/>
          <w:sz w:val="22"/>
          <w:szCs w:val="22"/>
        </w:rPr>
        <w:t>Schilizzi</w:t>
      </w:r>
      <w:proofErr w:type="spellEnd"/>
      <w:r w:rsidRPr="00DF1F59">
        <w:rPr>
          <w:rFonts w:eastAsia="DengXian"/>
          <w:color w:val="000000"/>
          <w:sz w:val="22"/>
          <w:szCs w:val="22"/>
        </w:rPr>
        <w:t xml:space="preserve">, S. (2019). Do Social Protection Transfers Reduce Poverty and Vulnerability to Poverty in Pakistan? Household Level Evidence from Punjab. </w:t>
      </w:r>
      <w:r w:rsidRPr="00DF1F59">
        <w:rPr>
          <w:rFonts w:eastAsia="DengXian"/>
          <w:i/>
          <w:iCs/>
          <w:color w:val="000000"/>
          <w:sz w:val="22"/>
          <w:szCs w:val="22"/>
        </w:rPr>
        <w:t>The Journal of Development Studies, 55</w:t>
      </w:r>
      <w:r w:rsidRPr="00DF1F59">
        <w:rPr>
          <w:rFonts w:eastAsia="DengXian"/>
          <w:color w:val="000000"/>
          <w:sz w:val="22"/>
          <w:szCs w:val="22"/>
        </w:rPr>
        <w:t>(8), 1757-1783.</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Benazir Income Support Programme (n.d.). </w:t>
      </w:r>
      <w:r w:rsidRPr="00DF1F59">
        <w:rPr>
          <w:rFonts w:eastAsia="DengXian"/>
          <w:i/>
          <w:iCs/>
          <w:color w:val="000000"/>
          <w:sz w:val="22"/>
          <w:szCs w:val="22"/>
        </w:rPr>
        <w:t>Unconditional Cash Transfer (UCT) Programme</w:t>
      </w:r>
      <w:r w:rsidRPr="00DF1F59">
        <w:rPr>
          <w:rFonts w:eastAsia="DengXian"/>
          <w:color w:val="000000"/>
          <w:sz w:val="22"/>
          <w:szCs w:val="22"/>
        </w:rPr>
        <w:t xml:space="preserve">. Accessed from, </w:t>
      </w:r>
      <w:hyperlink r:id="rId18" w:history="1">
        <w:r w:rsidRPr="00DF1F59">
          <w:rPr>
            <w:rFonts w:eastAsia="DengXian"/>
            <w:color w:val="000000"/>
            <w:sz w:val="22"/>
            <w:szCs w:val="22"/>
            <w:u w:val="single"/>
          </w:rPr>
          <w:t>https://www.bisp.gov.pk/Detail/ZTljNWY2NWUtODYwNC00MjVjLWFiODUtMDRhOGI0OTI5NzUw</w:t>
        </w:r>
      </w:hyperlink>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BISP (Benazir Income Support Programme). (2016). Benazir Income Support Programme website. Accessible at: </w:t>
      </w:r>
      <w:hyperlink r:id="rId19" w:history="1">
        <w:r w:rsidRPr="00DF1F59">
          <w:rPr>
            <w:rFonts w:eastAsia="DengXian"/>
            <w:color w:val="000000"/>
            <w:sz w:val="22"/>
            <w:szCs w:val="22"/>
            <w:u w:val="single"/>
          </w:rPr>
          <w:t>http://www.bisp.gov.pk/</w:t>
        </w:r>
      </w:hyperlink>
      <w:r w:rsidRPr="00DF1F59">
        <w:rPr>
          <w:rFonts w:eastAsia="DengXian"/>
          <w:color w:val="000000"/>
          <w:sz w:val="22"/>
          <w:szCs w:val="22"/>
        </w:rPr>
        <w:t> </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Cheema, I., Farhat, M., Hunt, S., Javeed, S., Keck, K., &amp; O’Leary, S. (2015). </w:t>
      </w:r>
      <w:r w:rsidRPr="00DF1F59">
        <w:rPr>
          <w:rFonts w:eastAsia="DengXian"/>
          <w:i/>
          <w:iCs/>
          <w:color w:val="000000"/>
          <w:sz w:val="22"/>
          <w:szCs w:val="22"/>
        </w:rPr>
        <w:t>Benazir income support programme: Second impact evaluation report</w:t>
      </w:r>
      <w:r w:rsidRPr="00DF1F59">
        <w:rPr>
          <w:rFonts w:eastAsia="DengXian"/>
          <w:color w:val="000000"/>
          <w:sz w:val="22"/>
          <w:szCs w:val="22"/>
        </w:rPr>
        <w:t>. Oxford, UK: Oxford Policy Management. </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lastRenderedPageBreak/>
        <w:t>Datt</w:t>
      </w:r>
      <w:proofErr w:type="spellEnd"/>
      <w:r w:rsidRPr="00DF1F59">
        <w:rPr>
          <w:rFonts w:eastAsia="DengXian"/>
          <w:color w:val="000000"/>
          <w:sz w:val="22"/>
          <w:szCs w:val="22"/>
        </w:rPr>
        <w:t xml:space="preserve">, G. (2019). Distribution-sensitive multidimensional poverty measures. </w:t>
      </w:r>
      <w:r w:rsidRPr="00DF1F59">
        <w:rPr>
          <w:rFonts w:eastAsia="DengXian"/>
          <w:i/>
          <w:iCs/>
          <w:color w:val="000000"/>
          <w:sz w:val="22"/>
          <w:szCs w:val="22"/>
        </w:rPr>
        <w:t>The World Bank Economic Review,</w:t>
      </w:r>
      <w:r w:rsidRPr="00DF1F59">
        <w:rPr>
          <w:rFonts w:eastAsia="DengXian"/>
          <w:color w:val="000000"/>
          <w:sz w:val="22"/>
          <w:szCs w:val="22"/>
        </w:rPr>
        <w:t xml:space="preserve"> </w:t>
      </w:r>
      <w:r w:rsidRPr="00DF1F59">
        <w:rPr>
          <w:rFonts w:eastAsia="DengXian"/>
          <w:i/>
          <w:iCs/>
          <w:color w:val="000000"/>
          <w:sz w:val="22"/>
          <w:szCs w:val="22"/>
        </w:rPr>
        <w:t>33</w:t>
      </w:r>
      <w:r w:rsidRPr="00DF1F59">
        <w:rPr>
          <w:rFonts w:eastAsia="DengXian"/>
          <w:color w:val="000000"/>
          <w:sz w:val="22"/>
          <w:szCs w:val="22"/>
        </w:rPr>
        <w:t>(3), 551-572.</w:t>
      </w:r>
      <w:hyperlink r:id="rId20" w:history="1">
        <w:r w:rsidRPr="00DF1F59">
          <w:rPr>
            <w:rFonts w:eastAsia="DengXian"/>
            <w:color w:val="000000"/>
            <w:sz w:val="22"/>
            <w:szCs w:val="22"/>
            <w:u w:val="single"/>
          </w:rPr>
          <w:t xml:space="preserve"> https://doi.org/10.1093/wber/lhx017</w:t>
        </w:r>
      </w:hyperlink>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De </w:t>
      </w:r>
      <w:proofErr w:type="spellStart"/>
      <w:r w:rsidRPr="00DF1F59">
        <w:rPr>
          <w:rFonts w:eastAsia="DengXian"/>
          <w:color w:val="000000"/>
          <w:sz w:val="22"/>
          <w:szCs w:val="22"/>
        </w:rPr>
        <w:t>Brauw</w:t>
      </w:r>
      <w:proofErr w:type="spellEnd"/>
      <w:r w:rsidRPr="00DF1F59">
        <w:rPr>
          <w:rFonts w:eastAsia="DengXian"/>
          <w:color w:val="000000"/>
          <w:sz w:val="22"/>
          <w:szCs w:val="22"/>
        </w:rPr>
        <w:t xml:space="preserve">, A., &amp; </w:t>
      </w:r>
      <w:proofErr w:type="spellStart"/>
      <w:r w:rsidRPr="00DF1F59">
        <w:rPr>
          <w:rFonts w:eastAsia="DengXian"/>
          <w:color w:val="000000"/>
          <w:sz w:val="22"/>
          <w:szCs w:val="22"/>
        </w:rPr>
        <w:t>Hoddinott</w:t>
      </w:r>
      <w:proofErr w:type="spellEnd"/>
      <w:r w:rsidRPr="00DF1F59">
        <w:rPr>
          <w:rFonts w:eastAsia="DengXian"/>
          <w:color w:val="000000"/>
          <w:sz w:val="22"/>
          <w:szCs w:val="22"/>
        </w:rPr>
        <w:t xml:space="preserve">, J. (2011). Must Conditional Cash Transfer Programs be </w:t>
      </w:r>
      <w:proofErr w:type="spellStart"/>
      <w:r w:rsidRPr="00DF1F59">
        <w:rPr>
          <w:rFonts w:eastAsia="DengXian"/>
          <w:color w:val="000000"/>
          <w:sz w:val="22"/>
          <w:szCs w:val="22"/>
        </w:rPr>
        <w:t>Conditionedto</w:t>
      </w:r>
      <w:proofErr w:type="spellEnd"/>
      <w:r w:rsidRPr="00DF1F59">
        <w:rPr>
          <w:rFonts w:eastAsia="DengXian"/>
          <w:color w:val="000000"/>
          <w:sz w:val="22"/>
          <w:szCs w:val="22"/>
        </w:rPr>
        <w:t xml:space="preserve"> be Effective? The Impact of Conditioning Transfers on School Enrolment in Mexico. </w:t>
      </w:r>
      <w:r w:rsidRPr="00DF1F59">
        <w:rPr>
          <w:rFonts w:eastAsia="DengXian"/>
          <w:i/>
          <w:iCs/>
          <w:color w:val="000000"/>
          <w:sz w:val="22"/>
          <w:szCs w:val="22"/>
        </w:rPr>
        <w:t>Journal of Development Economics, 96</w:t>
      </w:r>
      <w:r w:rsidRPr="00DF1F59">
        <w:rPr>
          <w:rFonts w:eastAsia="DengXian"/>
          <w:color w:val="000000"/>
          <w:sz w:val="22"/>
          <w:szCs w:val="22"/>
        </w:rPr>
        <w:t>(2), 359-370.</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Devereux, S. (2002). Can Social Safety Nets Reduce Chronic </w:t>
      </w:r>
      <w:proofErr w:type="gramStart"/>
      <w:r w:rsidRPr="00DF1F59">
        <w:rPr>
          <w:rFonts w:eastAsia="DengXian"/>
          <w:color w:val="000000"/>
          <w:sz w:val="22"/>
          <w:szCs w:val="22"/>
        </w:rPr>
        <w:t>Poverty?.</w:t>
      </w:r>
      <w:proofErr w:type="gramEnd"/>
      <w:r w:rsidRPr="00DF1F59">
        <w:rPr>
          <w:rFonts w:eastAsia="DengXian"/>
          <w:color w:val="000000"/>
          <w:sz w:val="22"/>
          <w:szCs w:val="22"/>
        </w:rPr>
        <w:t xml:space="preserve"> </w:t>
      </w:r>
      <w:r w:rsidRPr="00DF1F59">
        <w:rPr>
          <w:rFonts w:eastAsia="DengXian"/>
          <w:i/>
          <w:iCs/>
          <w:color w:val="000000"/>
          <w:sz w:val="22"/>
          <w:szCs w:val="22"/>
        </w:rPr>
        <w:t>Development Policy Review, 20</w:t>
      </w:r>
      <w:r w:rsidRPr="00DF1F59">
        <w:rPr>
          <w:rFonts w:eastAsia="DengXian"/>
          <w:color w:val="000000"/>
          <w:sz w:val="22"/>
          <w:szCs w:val="22"/>
        </w:rPr>
        <w:t xml:space="preserve">(5), 657-675. </w:t>
      </w:r>
      <w:proofErr w:type="spellStart"/>
      <w:proofErr w:type="gramStart"/>
      <w:r w:rsidRPr="00DF1F59">
        <w:rPr>
          <w:rFonts w:eastAsia="DengXian"/>
          <w:color w:val="000000"/>
          <w:sz w:val="22"/>
          <w:szCs w:val="22"/>
        </w:rPr>
        <w:t>doi:https</w:t>
      </w:r>
      <w:proofErr w:type="spellEnd"/>
      <w:r w:rsidRPr="00DF1F59">
        <w:rPr>
          <w:rFonts w:eastAsia="DengXian"/>
          <w:color w:val="000000"/>
          <w:sz w:val="22"/>
          <w:szCs w:val="22"/>
        </w:rPr>
        <w:t>://doi.org/10.1111/1467-7679.00194</w:t>
      </w:r>
      <w:proofErr w:type="gramEnd"/>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Dietrich, S., </w:t>
      </w:r>
      <w:proofErr w:type="spellStart"/>
      <w:r w:rsidRPr="00DF1F59">
        <w:rPr>
          <w:rFonts w:eastAsia="DengXian"/>
          <w:color w:val="000000"/>
          <w:sz w:val="22"/>
          <w:szCs w:val="22"/>
        </w:rPr>
        <w:t>Malerba</w:t>
      </w:r>
      <w:proofErr w:type="spellEnd"/>
      <w:r w:rsidRPr="00DF1F59">
        <w:rPr>
          <w:rFonts w:eastAsia="DengXian"/>
          <w:color w:val="000000"/>
          <w:sz w:val="22"/>
          <w:szCs w:val="22"/>
        </w:rPr>
        <w:t xml:space="preserve">, D., Barrientos, A., Gassmann, F., Mohnen, P., &amp; </w:t>
      </w:r>
      <w:proofErr w:type="spellStart"/>
      <w:r w:rsidRPr="00DF1F59">
        <w:rPr>
          <w:rFonts w:eastAsia="DengXian"/>
          <w:color w:val="000000"/>
          <w:sz w:val="22"/>
          <w:szCs w:val="22"/>
        </w:rPr>
        <w:t>Tirivayi</w:t>
      </w:r>
      <w:proofErr w:type="spellEnd"/>
      <w:r w:rsidRPr="00DF1F59">
        <w:rPr>
          <w:rFonts w:eastAsia="DengXian"/>
          <w:color w:val="000000"/>
          <w:sz w:val="22"/>
          <w:szCs w:val="22"/>
        </w:rPr>
        <w:t xml:space="preserve">, N. (2020). Human capital returns to cash transfers in Uganda: does it matter in the long </w:t>
      </w:r>
      <w:proofErr w:type="gramStart"/>
      <w:r w:rsidRPr="00DF1F59">
        <w:rPr>
          <w:rFonts w:eastAsia="DengXian"/>
          <w:color w:val="000000"/>
          <w:sz w:val="22"/>
          <w:szCs w:val="22"/>
        </w:rPr>
        <w:t>run?.</w:t>
      </w:r>
      <w:proofErr w:type="gramEnd"/>
      <w:r w:rsidRPr="00DF1F59">
        <w:rPr>
          <w:rFonts w:eastAsia="DengXian"/>
          <w:color w:val="000000"/>
          <w:sz w:val="22"/>
          <w:szCs w:val="22"/>
        </w:rPr>
        <w:t xml:space="preserve"> </w:t>
      </w:r>
      <w:r w:rsidRPr="00DF1F59">
        <w:rPr>
          <w:rFonts w:eastAsia="DengXian"/>
          <w:i/>
          <w:iCs/>
          <w:color w:val="000000"/>
          <w:sz w:val="22"/>
          <w:szCs w:val="22"/>
        </w:rPr>
        <w:t>Journal of Development Effectiveness, 12</w:t>
      </w:r>
      <w:r w:rsidRPr="00DF1F59">
        <w:rPr>
          <w:rFonts w:eastAsia="DengXian"/>
          <w:color w:val="000000"/>
          <w:sz w:val="22"/>
          <w:szCs w:val="22"/>
        </w:rPr>
        <w:t>(1), 54-73.</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Elbers</w:t>
      </w:r>
      <w:proofErr w:type="spellEnd"/>
      <w:r w:rsidRPr="00DF1F59">
        <w:rPr>
          <w:rFonts w:eastAsia="DengXian"/>
          <w:color w:val="000000"/>
          <w:sz w:val="22"/>
          <w:szCs w:val="22"/>
        </w:rPr>
        <w:t xml:space="preserve">, C., </w:t>
      </w:r>
      <w:proofErr w:type="spellStart"/>
      <w:r w:rsidRPr="00DF1F59">
        <w:rPr>
          <w:rFonts w:eastAsia="DengXian"/>
          <w:color w:val="000000"/>
          <w:sz w:val="22"/>
          <w:szCs w:val="22"/>
        </w:rPr>
        <w:t>Lanjouw</w:t>
      </w:r>
      <w:proofErr w:type="spellEnd"/>
      <w:r w:rsidRPr="00DF1F59">
        <w:rPr>
          <w:rFonts w:eastAsia="DengXian"/>
          <w:color w:val="000000"/>
          <w:sz w:val="22"/>
          <w:szCs w:val="22"/>
        </w:rPr>
        <w:t xml:space="preserve">, J. O., &amp; </w:t>
      </w:r>
      <w:proofErr w:type="spellStart"/>
      <w:r w:rsidRPr="00DF1F59">
        <w:rPr>
          <w:rFonts w:eastAsia="DengXian"/>
          <w:color w:val="000000"/>
          <w:sz w:val="22"/>
          <w:szCs w:val="22"/>
        </w:rPr>
        <w:t>Lanjouw</w:t>
      </w:r>
      <w:proofErr w:type="spellEnd"/>
      <w:r w:rsidRPr="00DF1F59">
        <w:rPr>
          <w:rFonts w:eastAsia="DengXian"/>
          <w:color w:val="000000"/>
          <w:sz w:val="22"/>
          <w:szCs w:val="22"/>
        </w:rPr>
        <w:t xml:space="preserve">, P. (2003). Micro-Level Estimation of Poverty and Inequality. </w:t>
      </w:r>
      <w:proofErr w:type="spellStart"/>
      <w:r w:rsidRPr="00DF1F59">
        <w:rPr>
          <w:rFonts w:eastAsia="DengXian"/>
          <w:i/>
          <w:iCs/>
          <w:color w:val="000000"/>
          <w:sz w:val="22"/>
          <w:szCs w:val="22"/>
        </w:rPr>
        <w:t>Econometrica</w:t>
      </w:r>
      <w:proofErr w:type="spellEnd"/>
      <w:r w:rsidRPr="00DF1F59">
        <w:rPr>
          <w:rFonts w:eastAsia="DengXian"/>
          <w:color w:val="000000"/>
          <w:sz w:val="22"/>
          <w:szCs w:val="22"/>
        </w:rPr>
        <w:t xml:space="preserve">, </w:t>
      </w:r>
      <w:r w:rsidRPr="00DF1F59">
        <w:rPr>
          <w:rFonts w:eastAsia="DengXian"/>
          <w:i/>
          <w:iCs/>
          <w:color w:val="000000"/>
          <w:sz w:val="22"/>
          <w:szCs w:val="22"/>
        </w:rPr>
        <w:t>71</w:t>
      </w:r>
      <w:r w:rsidRPr="00DF1F59">
        <w:rPr>
          <w:rFonts w:eastAsia="DengXian"/>
          <w:color w:val="000000"/>
          <w:sz w:val="22"/>
          <w:szCs w:val="22"/>
        </w:rPr>
        <w:t>(1), 355-364. Retrieved from www.jstor.org/stable/3082050</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Fiszbein</w:t>
      </w:r>
      <w:proofErr w:type="spellEnd"/>
      <w:r w:rsidRPr="00DF1F59">
        <w:rPr>
          <w:rFonts w:eastAsia="DengXian"/>
          <w:color w:val="000000"/>
          <w:sz w:val="22"/>
          <w:szCs w:val="22"/>
        </w:rPr>
        <w:t xml:space="preserve">, A., </w:t>
      </w:r>
      <w:proofErr w:type="spellStart"/>
      <w:r w:rsidRPr="00DF1F59">
        <w:rPr>
          <w:rFonts w:eastAsia="DengXian"/>
          <w:color w:val="000000"/>
          <w:sz w:val="22"/>
          <w:szCs w:val="22"/>
        </w:rPr>
        <w:t>Schady</w:t>
      </w:r>
      <w:proofErr w:type="spellEnd"/>
      <w:r w:rsidRPr="00DF1F59">
        <w:rPr>
          <w:rFonts w:eastAsia="DengXian"/>
          <w:color w:val="000000"/>
          <w:sz w:val="22"/>
          <w:szCs w:val="22"/>
        </w:rPr>
        <w:t xml:space="preserve">, </w:t>
      </w:r>
      <w:proofErr w:type="gramStart"/>
      <w:r w:rsidRPr="00DF1F59">
        <w:rPr>
          <w:rFonts w:eastAsia="DengXian"/>
          <w:color w:val="000000"/>
          <w:sz w:val="22"/>
          <w:szCs w:val="22"/>
        </w:rPr>
        <w:t>N. ,</w:t>
      </w:r>
      <w:proofErr w:type="gramEnd"/>
      <w:r w:rsidRPr="00DF1F59">
        <w:rPr>
          <w:rFonts w:eastAsia="DengXian"/>
          <w:color w:val="000000"/>
          <w:sz w:val="22"/>
          <w:szCs w:val="22"/>
        </w:rPr>
        <w:t xml:space="preserve"> Ferreira, F. H. G., </w:t>
      </w:r>
      <w:proofErr w:type="spellStart"/>
      <w:r w:rsidRPr="00DF1F59">
        <w:rPr>
          <w:rFonts w:eastAsia="DengXian"/>
          <w:color w:val="000000"/>
          <w:sz w:val="22"/>
          <w:szCs w:val="22"/>
        </w:rPr>
        <w:t>Grosh</w:t>
      </w:r>
      <w:proofErr w:type="spellEnd"/>
      <w:r w:rsidRPr="00DF1F59">
        <w:rPr>
          <w:rFonts w:eastAsia="DengXian"/>
          <w:color w:val="000000"/>
          <w:sz w:val="22"/>
          <w:szCs w:val="22"/>
        </w:rPr>
        <w:t xml:space="preserve">, M., </w:t>
      </w:r>
      <w:proofErr w:type="spellStart"/>
      <w:r w:rsidRPr="00DF1F59">
        <w:rPr>
          <w:rFonts w:eastAsia="DengXian"/>
          <w:color w:val="000000"/>
          <w:sz w:val="22"/>
          <w:szCs w:val="22"/>
        </w:rPr>
        <w:t>Keleher</w:t>
      </w:r>
      <w:proofErr w:type="spellEnd"/>
      <w:r w:rsidRPr="00DF1F59">
        <w:rPr>
          <w:rFonts w:eastAsia="DengXian"/>
          <w:color w:val="000000"/>
          <w:sz w:val="22"/>
          <w:szCs w:val="22"/>
        </w:rPr>
        <w:t xml:space="preserve">, N., </w:t>
      </w:r>
      <w:proofErr w:type="spellStart"/>
      <w:r w:rsidRPr="00DF1F59">
        <w:rPr>
          <w:rFonts w:eastAsia="DengXian"/>
          <w:color w:val="000000"/>
          <w:sz w:val="22"/>
          <w:szCs w:val="22"/>
        </w:rPr>
        <w:t>Olinto</w:t>
      </w:r>
      <w:proofErr w:type="spellEnd"/>
      <w:r w:rsidRPr="00DF1F59">
        <w:rPr>
          <w:rFonts w:eastAsia="DengXian"/>
          <w:color w:val="000000"/>
          <w:sz w:val="22"/>
          <w:szCs w:val="22"/>
        </w:rPr>
        <w:t xml:space="preserve">, P.,  &amp; </w:t>
      </w:r>
      <w:proofErr w:type="spellStart"/>
      <w:r w:rsidRPr="00DF1F59">
        <w:rPr>
          <w:rFonts w:eastAsia="DengXian"/>
          <w:color w:val="000000"/>
          <w:sz w:val="22"/>
          <w:szCs w:val="22"/>
        </w:rPr>
        <w:t>Skoufias</w:t>
      </w:r>
      <w:proofErr w:type="spellEnd"/>
      <w:r w:rsidRPr="00DF1F59">
        <w:rPr>
          <w:rFonts w:eastAsia="DengXian"/>
          <w:color w:val="000000"/>
          <w:sz w:val="22"/>
          <w:szCs w:val="22"/>
        </w:rPr>
        <w:t>, E. (2009)</w:t>
      </w:r>
      <w:r w:rsidRPr="00DF1F59">
        <w:rPr>
          <w:rFonts w:eastAsia="DengXian"/>
          <w:i/>
          <w:iCs/>
          <w:color w:val="000000"/>
          <w:sz w:val="22"/>
          <w:szCs w:val="22"/>
        </w:rPr>
        <w:t>. Conditional Cash Transfers: Reducing Present and Future Poverty</w:t>
      </w:r>
      <w:r w:rsidRPr="00DF1F59">
        <w:rPr>
          <w:rFonts w:eastAsia="DengXian"/>
          <w:color w:val="000000"/>
          <w:sz w:val="22"/>
          <w:szCs w:val="22"/>
        </w:rPr>
        <w:t>. Washington, DC: World Bank.</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Fosu</w:t>
      </w:r>
      <w:proofErr w:type="spellEnd"/>
      <w:r w:rsidRPr="00DF1F59">
        <w:rPr>
          <w:rFonts w:eastAsia="DengXian"/>
          <w:color w:val="000000"/>
          <w:sz w:val="22"/>
          <w:szCs w:val="22"/>
        </w:rPr>
        <w:t xml:space="preserve">, A. (2011). Growth, inequality, and poverty reduction in developing countries: Recent global evidence. </w:t>
      </w:r>
      <w:r w:rsidRPr="00DF1F59">
        <w:rPr>
          <w:rFonts w:eastAsia="DengXian"/>
          <w:i/>
          <w:iCs/>
          <w:color w:val="000000"/>
          <w:sz w:val="22"/>
          <w:szCs w:val="22"/>
        </w:rPr>
        <w:t>SSRN Electronic Journal</w:t>
      </w:r>
      <w:r w:rsidRPr="00DF1F59">
        <w:rPr>
          <w:rFonts w:eastAsia="DengXian"/>
          <w:color w:val="000000"/>
          <w:sz w:val="22"/>
          <w:szCs w:val="22"/>
        </w:rPr>
        <w:t xml:space="preserve">, </w:t>
      </w:r>
      <w:r w:rsidRPr="00DF1F59">
        <w:rPr>
          <w:rFonts w:eastAsia="DengXian"/>
          <w:i/>
          <w:iCs/>
          <w:color w:val="000000"/>
          <w:sz w:val="22"/>
          <w:szCs w:val="22"/>
        </w:rPr>
        <w:t>43</w:t>
      </w:r>
      <w:r w:rsidRPr="00DF1F59">
        <w:rPr>
          <w:rFonts w:eastAsia="DengXian"/>
          <w:color w:val="000000"/>
          <w:sz w:val="22"/>
          <w:szCs w:val="22"/>
        </w:rPr>
        <w:t>(1), 44–59.</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Gazdar</w:t>
      </w:r>
      <w:proofErr w:type="spellEnd"/>
      <w:r w:rsidRPr="00DF1F59">
        <w:rPr>
          <w:rFonts w:eastAsia="DengXian"/>
          <w:color w:val="000000"/>
          <w:sz w:val="22"/>
          <w:szCs w:val="22"/>
        </w:rPr>
        <w:t xml:space="preserve">, H., &amp; </w:t>
      </w:r>
      <w:proofErr w:type="spellStart"/>
      <w:r w:rsidRPr="00DF1F59">
        <w:rPr>
          <w:rFonts w:eastAsia="DengXian"/>
          <w:color w:val="000000"/>
          <w:sz w:val="22"/>
          <w:szCs w:val="22"/>
        </w:rPr>
        <w:t>Zuberi</w:t>
      </w:r>
      <w:proofErr w:type="spellEnd"/>
      <w:r w:rsidRPr="00DF1F59">
        <w:rPr>
          <w:rFonts w:eastAsia="DengXian"/>
          <w:color w:val="000000"/>
          <w:sz w:val="22"/>
          <w:szCs w:val="22"/>
        </w:rPr>
        <w:t xml:space="preserve">, S. (2014). Final Report of the Beneficiary Feedback Survey, National Cash Transfer Programme–Pakistan. Karachi: Collective for Social Science Research. Available at: </w:t>
      </w:r>
      <w:hyperlink r:id="rId21" w:history="1">
        <w:r w:rsidRPr="00DF1F59">
          <w:rPr>
            <w:rFonts w:eastAsia="DengXian"/>
            <w:color w:val="000000"/>
            <w:sz w:val="22"/>
            <w:szCs w:val="22"/>
            <w:u w:val="single"/>
          </w:rPr>
          <w:t>http://www.researchcollective.org/Documents/Updated_Anonymised_BFS_Final_Report_03022014.pdf</w:t>
        </w:r>
      </w:hyperlink>
      <w:r w:rsidRPr="00DF1F59">
        <w:rPr>
          <w:rFonts w:eastAsia="DengXian"/>
          <w:color w:val="000000"/>
          <w:sz w:val="22"/>
          <w:szCs w:val="22"/>
        </w:rPr>
        <w:t> </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Gertler, P., &amp; Boyce, S. (2003). </w:t>
      </w:r>
      <w:r w:rsidRPr="00BA01F3">
        <w:rPr>
          <w:rFonts w:eastAsia="DengXian"/>
          <w:color w:val="000000"/>
          <w:sz w:val="22"/>
          <w:szCs w:val="22"/>
        </w:rPr>
        <w:t>An Experiment in Incentive-Based Welfare: The Impact of PROGRESA on Health in Mexico</w:t>
      </w:r>
      <w:r w:rsidR="00BA01F3">
        <w:rPr>
          <w:rFonts w:eastAsia="DengXian"/>
          <w:color w:val="000000"/>
          <w:sz w:val="22"/>
          <w:szCs w:val="22"/>
        </w:rPr>
        <w:t xml:space="preserve">, </w:t>
      </w:r>
      <w:r w:rsidRPr="00DF1F59">
        <w:rPr>
          <w:rFonts w:eastAsia="DengXian"/>
          <w:color w:val="000000"/>
          <w:sz w:val="22"/>
          <w:szCs w:val="22"/>
        </w:rPr>
        <w:t>Working Paper. University of California Berkeley, CA. </w:t>
      </w:r>
    </w:p>
    <w:p w:rsidR="00BA01F3" w:rsidRDefault="00EE5514" w:rsidP="00BA01F3">
      <w:pPr>
        <w:numPr>
          <w:ilvl w:val="1"/>
          <w:numId w:val="0"/>
        </w:numPr>
        <w:spacing w:line="240" w:lineRule="auto"/>
        <w:ind w:left="720" w:hanging="720"/>
        <w:rPr>
          <w:rFonts w:eastAsia="DengXian"/>
          <w:i/>
          <w:iCs/>
          <w:color w:val="000000"/>
          <w:sz w:val="22"/>
          <w:szCs w:val="22"/>
        </w:rPr>
      </w:pPr>
      <w:r w:rsidRPr="009553BA">
        <w:rPr>
          <w:rFonts w:eastAsia="DengXian"/>
          <w:color w:val="000000"/>
          <w:sz w:val="22"/>
          <w:szCs w:val="22"/>
          <w:lang w:val="it-IT"/>
        </w:rPr>
        <w:t>Grosh, M., Del Ninno, C., Tesliuc, E.,</w:t>
      </w:r>
      <w:r w:rsidR="00BA01F3">
        <w:rPr>
          <w:rFonts w:eastAsia="DengXian"/>
          <w:color w:val="000000"/>
          <w:sz w:val="22"/>
          <w:szCs w:val="22"/>
          <w:lang w:val="it-IT"/>
        </w:rPr>
        <w:t xml:space="preserve"> &amp;</w:t>
      </w:r>
      <w:r w:rsidRPr="009553BA">
        <w:rPr>
          <w:rFonts w:eastAsia="DengXian"/>
          <w:color w:val="000000"/>
          <w:sz w:val="22"/>
          <w:szCs w:val="22"/>
          <w:lang w:val="it-IT"/>
        </w:rPr>
        <w:t xml:space="preserve"> Ouerghi, A. (2008).</w:t>
      </w:r>
      <w:r w:rsidRPr="009553BA">
        <w:rPr>
          <w:rFonts w:eastAsia="DengXian"/>
          <w:i/>
          <w:iCs/>
          <w:color w:val="000000"/>
          <w:sz w:val="22"/>
          <w:szCs w:val="22"/>
          <w:lang w:val="it-IT"/>
        </w:rPr>
        <w:t xml:space="preserve"> </w:t>
      </w:r>
      <w:r w:rsidRPr="00DF1F59">
        <w:rPr>
          <w:rFonts w:eastAsia="DengXian"/>
          <w:i/>
          <w:iCs/>
          <w:color w:val="000000"/>
          <w:sz w:val="22"/>
          <w:szCs w:val="22"/>
        </w:rPr>
        <w:t xml:space="preserve">For Protection and </w:t>
      </w:r>
      <w:proofErr w:type="gramStart"/>
      <w:r w:rsidRPr="00DF1F59">
        <w:rPr>
          <w:rFonts w:eastAsia="DengXian"/>
          <w:i/>
          <w:iCs/>
          <w:color w:val="000000"/>
          <w:sz w:val="22"/>
          <w:szCs w:val="22"/>
        </w:rPr>
        <w:t>Promotion :</w:t>
      </w:r>
      <w:proofErr w:type="gramEnd"/>
      <w:r w:rsidRPr="00DF1F59">
        <w:rPr>
          <w:rFonts w:eastAsia="DengXian"/>
          <w:i/>
          <w:iCs/>
          <w:color w:val="000000"/>
          <w:sz w:val="22"/>
          <w:szCs w:val="22"/>
        </w:rPr>
        <w:t xml:space="preserve"> The Design and Implementation of Effective Safety Nets. </w:t>
      </w:r>
      <w:r w:rsidRPr="00DF1F59">
        <w:rPr>
          <w:rFonts w:eastAsia="DengXian"/>
          <w:color w:val="000000"/>
          <w:sz w:val="22"/>
          <w:szCs w:val="22"/>
        </w:rPr>
        <w:t xml:space="preserve">Washington, </w:t>
      </w:r>
      <w:proofErr w:type="gramStart"/>
      <w:r w:rsidRPr="00DF1F59">
        <w:rPr>
          <w:rFonts w:eastAsia="DengXian"/>
          <w:color w:val="000000"/>
          <w:sz w:val="22"/>
          <w:szCs w:val="22"/>
        </w:rPr>
        <w:t>DC :</w:t>
      </w:r>
      <w:proofErr w:type="gramEnd"/>
      <w:r w:rsidRPr="00DF1F59">
        <w:rPr>
          <w:rFonts w:eastAsia="DengXian"/>
          <w:color w:val="000000"/>
          <w:sz w:val="22"/>
          <w:szCs w:val="22"/>
        </w:rPr>
        <w:t xml:space="preserve"> World Bank.</w:t>
      </w:r>
      <w:r w:rsidRPr="00DF1F59">
        <w:rPr>
          <w:rFonts w:eastAsia="DengXian"/>
          <w:i/>
          <w:iCs/>
          <w:color w:val="000000"/>
          <w:sz w:val="22"/>
          <w:szCs w:val="22"/>
        </w:rPr>
        <w:t xml:space="preserve"> </w:t>
      </w:r>
    </w:p>
    <w:p w:rsidR="00EE5514" w:rsidRPr="00DF1F59" w:rsidRDefault="00EE5514" w:rsidP="00BA01F3">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Harrison, C. (2019). </w:t>
      </w:r>
      <w:r w:rsidRPr="00DF1F59">
        <w:rPr>
          <w:rFonts w:eastAsia="DengXian"/>
          <w:i/>
          <w:iCs/>
          <w:color w:val="000000"/>
          <w:sz w:val="22"/>
          <w:szCs w:val="22"/>
        </w:rPr>
        <w:t xml:space="preserve">Do Cash Transfers Increase Savings by the Poor? Evidence from Mexico's </w:t>
      </w:r>
      <w:proofErr w:type="spellStart"/>
      <w:r w:rsidRPr="00DF1F59">
        <w:rPr>
          <w:rFonts w:eastAsia="DengXian"/>
          <w:i/>
          <w:iCs/>
          <w:color w:val="000000"/>
          <w:sz w:val="22"/>
          <w:szCs w:val="22"/>
        </w:rPr>
        <w:t>Progresa</w:t>
      </w:r>
      <w:proofErr w:type="spellEnd"/>
      <w:r w:rsidRPr="00DF1F59">
        <w:rPr>
          <w:rFonts w:eastAsia="DengXian"/>
          <w:i/>
          <w:iCs/>
          <w:color w:val="000000"/>
          <w:sz w:val="22"/>
          <w:szCs w:val="22"/>
        </w:rPr>
        <w:t>/</w:t>
      </w:r>
      <w:proofErr w:type="spellStart"/>
      <w:r w:rsidRPr="00DF1F59">
        <w:rPr>
          <w:rFonts w:eastAsia="DengXian"/>
          <w:i/>
          <w:iCs/>
          <w:color w:val="000000"/>
          <w:sz w:val="22"/>
          <w:szCs w:val="22"/>
        </w:rPr>
        <w:t>Oportunidades</w:t>
      </w:r>
      <w:proofErr w:type="spellEnd"/>
      <w:r w:rsidRPr="00DF1F59">
        <w:rPr>
          <w:rFonts w:eastAsia="DengXian"/>
          <w:i/>
          <w:iCs/>
          <w:color w:val="000000"/>
          <w:sz w:val="22"/>
          <w:szCs w:val="22"/>
        </w:rPr>
        <w:t xml:space="preserve"> Program.</w:t>
      </w:r>
      <w:r w:rsidRPr="00DF1F59">
        <w:rPr>
          <w:rFonts w:eastAsia="DengXian"/>
          <w:color w:val="000000"/>
          <w:sz w:val="22"/>
          <w:szCs w:val="22"/>
        </w:rPr>
        <w:t xml:space="preserve"> Georgetown University.</w:t>
      </w:r>
    </w:p>
    <w:p w:rsidR="00EE5514"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Haushofer, J., &amp; Shapiro, J. (2016). The Short-term Impact of Unconditional Cash Transfers to the Poor: Experimental Evidence from Kenya. </w:t>
      </w:r>
      <w:r w:rsidRPr="00DF1F59">
        <w:rPr>
          <w:rFonts w:eastAsia="DengXian"/>
          <w:i/>
          <w:iCs/>
          <w:color w:val="000000"/>
          <w:sz w:val="22"/>
          <w:szCs w:val="22"/>
        </w:rPr>
        <w:t>The Quarterly Journal of Economics,</w:t>
      </w:r>
      <w:r w:rsidRPr="00DF1F59">
        <w:rPr>
          <w:rFonts w:eastAsia="DengXian"/>
          <w:color w:val="000000"/>
          <w:sz w:val="22"/>
          <w:szCs w:val="22"/>
        </w:rPr>
        <w:t xml:space="preserve"> </w:t>
      </w:r>
      <w:r w:rsidRPr="00DF1F59">
        <w:rPr>
          <w:rFonts w:eastAsia="DengXian"/>
          <w:i/>
          <w:iCs/>
          <w:color w:val="000000"/>
          <w:sz w:val="22"/>
          <w:szCs w:val="22"/>
        </w:rPr>
        <w:t>131</w:t>
      </w:r>
      <w:r w:rsidRPr="00DF1F59">
        <w:rPr>
          <w:rFonts w:eastAsia="DengXian"/>
          <w:color w:val="000000"/>
          <w:sz w:val="22"/>
          <w:szCs w:val="22"/>
        </w:rPr>
        <w:t>(4), 1973–2042.</w:t>
      </w:r>
    </w:p>
    <w:p w:rsidR="002224BF" w:rsidRPr="002224BF" w:rsidRDefault="002224BF" w:rsidP="002224BF">
      <w:pPr>
        <w:spacing w:after="0" w:line="288" w:lineRule="auto"/>
        <w:jc w:val="both"/>
        <w:rPr>
          <w:sz w:val="22"/>
          <w:szCs w:val="22"/>
        </w:rPr>
      </w:pPr>
      <w:r w:rsidRPr="002224BF">
        <w:rPr>
          <w:sz w:val="22"/>
          <w:szCs w:val="22"/>
        </w:rPr>
        <w:t xml:space="preserve">Hwang, J. </w:t>
      </w:r>
      <w:proofErr w:type="gramStart"/>
      <w:r w:rsidR="00BA01F3">
        <w:rPr>
          <w:sz w:val="22"/>
          <w:szCs w:val="22"/>
        </w:rPr>
        <w:t>&amp;</w:t>
      </w:r>
      <w:r w:rsidRPr="002224BF">
        <w:rPr>
          <w:sz w:val="22"/>
          <w:szCs w:val="22"/>
        </w:rPr>
        <w:t xml:space="preserve">  Lee</w:t>
      </w:r>
      <w:proofErr w:type="gramEnd"/>
      <w:r w:rsidRPr="002224BF">
        <w:rPr>
          <w:sz w:val="22"/>
          <w:szCs w:val="22"/>
        </w:rPr>
        <w:t xml:space="preserve">, S. (2015).  The Effect of the Rural Tourism Policy on Non-farm Income </w:t>
      </w:r>
    </w:p>
    <w:p w:rsidR="002224BF" w:rsidRPr="002224BF" w:rsidRDefault="002224BF" w:rsidP="002224BF">
      <w:pPr>
        <w:spacing w:after="0" w:line="288" w:lineRule="auto"/>
        <w:ind w:firstLine="720"/>
        <w:jc w:val="both"/>
        <w:rPr>
          <w:sz w:val="22"/>
          <w:szCs w:val="22"/>
        </w:rPr>
      </w:pPr>
      <w:r w:rsidRPr="002224BF">
        <w:rPr>
          <w:sz w:val="22"/>
          <w:szCs w:val="22"/>
        </w:rPr>
        <w:t xml:space="preserve">in South Korea. </w:t>
      </w:r>
      <w:r w:rsidRPr="002224BF">
        <w:rPr>
          <w:i/>
          <w:iCs/>
          <w:sz w:val="22"/>
          <w:szCs w:val="22"/>
        </w:rPr>
        <w:t>Tourism Management</w:t>
      </w:r>
      <w:r w:rsidRPr="002224BF">
        <w:rPr>
          <w:sz w:val="22"/>
          <w:szCs w:val="22"/>
        </w:rPr>
        <w:t>, 46, 501–513</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Junaid Z., &amp; Mohsin K., (2017). </w:t>
      </w:r>
      <w:hyperlink r:id="rId22" w:history="1">
        <w:r w:rsidRPr="00DF1F59">
          <w:rPr>
            <w:rFonts w:eastAsia="DengXian"/>
            <w:i/>
            <w:iCs/>
            <w:color w:val="000000"/>
            <w:sz w:val="22"/>
            <w:szCs w:val="22"/>
            <w:u w:val="single"/>
          </w:rPr>
          <w:t xml:space="preserve">How Government Funds Help To Reduce </w:t>
        </w:r>
        <w:proofErr w:type="gramStart"/>
        <w:r w:rsidRPr="00DF1F59">
          <w:rPr>
            <w:rFonts w:eastAsia="DengXian"/>
            <w:i/>
            <w:iCs/>
            <w:color w:val="000000"/>
            <w:sz w:val="22"/>
            <w:szCs w:val="22"/>
            <w:u w:val="single"/>
          </w:rPr>
          <w:t>Poverty?:</w:t>
        </w:r>
        <w:proofErr w:type="gramEnd"/>
        <w:r w:rsidRPr="00DF1F59">
          <w:rPr>
            <w:rFonts w:eastAsia="DengXian"/>
            <w:i/>
            <w:iCs/>
            <w:color w:val="000000"/>
            <w:sz w:val="22"/>
            <w:szCs w:val="22"/>
            <w:u w:val="single"/>
          </w:rPr>
          <w:t xml:space="preserve"> A Case Study of CIF &amp; BISP in Sindh</w:t>
        </w:r>
      </w:hyperlink>
      <w:r w:rsidRPr="00DF1F59">
        <w:rPr>
          <w:rFonts w:eastAsia="DengXian"/>
          <w:color w:val="000000"/>
          <w:sz w:val="22"/>
          <w:szCs w:val="22"/>
        </w:rPr>
        <w:t xml:space="preserve"> </w:t>
      </w:r>
      <w:r w:rsidRPr="00DF1F59">
        <w:rPr>
          <w:rFonts w:eastAsia="DengXian"/>
          <w:i/>
          <w:iCs/>
          <w:color w:val="000000"/>
          <w:sz w:val="22"/>
          <w:szCs w:val="22"/>
        </w:rPr>
        <w:t>(</w:t>
      </w:r>
      <w:hyperlink r:id="rId23" w:history="1">
        <w:r w:rsidRPr="00DF1F59">
          <w:rPr>
            <w:rFonts w:eastAsia="DengXian"/>
            <w:i/>
            <w:iCs/>
            <w:color w:val="000000"/>
            <w:sz w:val="22"/>
            <w:szCs w:val="22"/>
            <w:u w:val="single"/>
          </w:rPr>
          <w:t>Working Papers</w:t>
        </w:r>
      </w:hyperlink>
      <w:r w:rsidRPr="00DF1F59">
        <w:rPr>
          <w:rFonts w:eastAsia="DengXian"/>
          <w:i/>
          <w:iCs/>
          <w:color w:val="000000"/>
          <w:sz w:val="22"/>
          <w:szCs w:val="22"/>
        </w:rPr>
        <w:t xml:space="preserve"> No. 161). </w:t>
      </w:r>
      <w:r w:rsidRPr="00DF1F59">
        <w:rPr>
          <w:rFonts w:eastAsia="DengXian"/>
          <w:color w:val="000000"/>
          <w:sz w:val="22"/>
          <w:szCs w:val="22"/>
        </w:rPr>
        <w:t>SDPI.</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Khan, M. T. Y., &amp; Sasaki, K. (2003). Regional Disparity in Pakistan’s Economy: Regional Econometric Analysis of Causes and Remedies. </w:t>
      </w:r>
      <w:r w:rsidRPr="00DF1F59">
        <w:rPr>
          <w:rFonts w:eastAsia="DengXian"/>
          <w:i/>
          <w:iCs/>
          <w:color w:val="000000"/>
          <w:sz w:val="22"/>
          <w:szCs w:val="22"/>
        </w:rPr>
        <w:t>Interdisciplinary Information Sciences, 9</w:t>
      </w:r>
      <w:r w:rsidRPr="00DF1F59">
        <w:rPr>
          <w:rFonts w:eastAsia="DengXian"/>
          <w:color w:val="000000"/>
          <w:sz w:val="22"/>
          <w:szCs w:val="22"/>
        </w:rPr>
        <w:t>(2), 293-308.</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Kidd, S., &amp; </w:t>
      </w:r>
      <w:proofErr w:type="spellStart"/>
      <w:r w:rsidRPr="00DF1F59">
        <w:rPr>
          <w:rFonts w:eastAsia="DengXian"/>
          <w:color w:val="000000"/>
          <w:sz w:val="22"/>
          <w:szCs w:val="22"/>
        </w:rPr>
        <w:t>Wylde</w:t>
      </w:r>
      <w:proofErr w:type="spellEnd"/>
      <w:r w:rsidRPr="00DF1F59">
        <w:rPr>
          <w:rFonts w:eastAsia="DengXian"/>
          <w:color w:val="000000"/>
          <w:sz w:val="22"/>
          <w:szCs w:val="22"/>
        </w:rPr>
        <w:t xml:space="preserve">, E. (2011). </w:t>
      </w:r>
      <w:r w:rsidRPr="00DF1F59">
        <w:rPr>
          <w:rFonts w:eastAsia="DengXian"/>
          <w:i/>
          <w:iCs/>
          <w:color w:val="000000"/>
          <w:sz w:val="22"/>
          <w:szCs w:val="22"/>
        </w:rPr>
        <w:t>Targeting the Poorest: An Assessment of the Proxy Means Test Methodology</w:t>
      </w:r>
      <w:r w:rsidRPr="00DF1F59">
        <w:rPr>
          <w:rFonts w:eastAsia="DengXian"/>
          <w:color w:val="000000"/>
          <w:sz w:val="22"/>
          <w:szCs w:val="22"/>
        </w:rPr>
        <w:t xml:space="preserve"> (</w:t>
      </w:r>
      <w:proofErr w:type="spellStart"/>
      <w:r w:rsidRPr="00DF1F59">
        <w:rPr>
          <w:rFonts w:eastAsia="DengXian"/>
          <w:color w:val="000000"/>
          <w:sz w:val="22"/>
          <w:szCs w:val="22"/>
        </w:rPr>
        <w:t>AusAID</w:t>
      </w:r>
      <w:proofErr w:type="spellEnd"/>
      <w:r w:rsidRPr="00DF1F59">
        <w:rPr>
          <w:rFonts w:eastAsia="DengXian"/>
          <w:color w:val="000000"/>
          <w:sz w:val="22"/>
          <w:szCs w:val="22"/>
        </w:rPr>
        <w:t xml:space="preserve"> Research Paper)</w:t>
      </w:r>
      <w:r w:rsidRPr="00DF1F59">
        <w:rPr>
          <w:rFonts w:eastAsia="DengXian"/>
          <w:i/>
          <w:iCs/>
          <w:color w:val="000000"/>
          <w:sz w:val="22"/>
          <w:szCs w:val="22"/>
        </w:rPr>
        <w:t xml:space="preserve">. </w:t>
      </w:r>
      <w:r w:rsidRPr="00DF1F59">
        <w:rPr>
          <w:rFonts w:eastAsia="DengXian"/>
          <w:color w:val="000000"/>
          <w:sz w:val="22"/>
          <w:szCs w:val="22"/>
        </w:rPr>
        <w:t xml:space="preserve">Canberra, Australia: Australian Agency for International </w:t>
      </w:r>
      <w:proofErr w:type="gramStart"/>
      <w:r w:rsidRPr="00DF1F59">
        <w:rPr>
          <w:rFonts w:eastAsia="DengXian"/>
          <w:color w:val="000000"/>
          <w:sz w:val="22"/>
          <w:szCs w:val="22"/>
        </w:rPr>
        <w:t>Development .</w:t>
      </w:r>
      <w:proofErr w:type="gramEnd"/>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Kremer, M., Brannen, C., &amp; </w:t>
      </w:r>
      <w:proofErr w:type="spellStart"/>
      <w:r w:rsidRPr="00DF1F59">
        <w:rPr>
          <w:rFonts w:eastAsia="DengXian"/>
          <w:color w:val="000000"/>
          <w:sz w:val="22"/>
          <w:szCs w:val="22"/>
        </w:rPr>
        <w:t>Glennerster</w:t>
      </w:r>
      <w:proofErr w:type="spellEnd"/>
      <w:r w:rsidRPr="00DF1F59">
        <w:rPr>
          <w:rFonts w:eastAsia="DengXian"/>
          <w:color w:val="000000"/>
          <w:sz w:val="22"/>
          <w:szCs w:val="22"/>
        </w:rPr>
        <w:t xml:space="preserve">, R. (2013). The Challenge of Education and Learning in the Developing World. </w:t>
      </w:r>
      <w:r w:rsidRPr="00DF1F59">
        <w:rPr>
          <w:rFonts w:eastAsia="DengXian"/>
          <w:i/>
          <w:iCs/>
          <w:color w:val="000000"/>
          <w:sz w:val="22"/>
          <w:szCs w:val="22"/>
        </w:rPr>
        <w:t xml:space="preserve">Science, </w:t>
      </w:r>
      <w:r w:rsidRPr="00DF1F59">
        <w:rPr>
          <w:rFonts w:eastAsia="DengXian"/>
          <w:color w:val="000000"/>
          <w:sz w:val="22"/>
          <w:szCs w:val="22"/>
        </w:rPr>
        <w:t>340 (6130), 297–300.</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lastRenderedPageBreak/>
        <w:t xml:space="preserve">Lee, K. W., &amp; Park, C. (2002). Globalization, growth, inequality, and social safety nets in APEC Economics. </w:t>
      </w:r>
      <w:r w:rsidRPr="00DF1F59">
        <w:rPr>
          <w:rFonts w:eastAsia="DengXian"/>
          <w:i/>
          <w:iCs/>
          <w:color w:val="000000"/>
          <w:sz w:val="22"/>
          <w:szCs w:val="22"/>
        </w:rPr>
        <w:t>Asian Development Review</w:t>
      </w:r>
      <w:r w:rsidRPr="00DF1F59">
        <w:rPr>
          <w:rFonts w:eastAsia="DengXian"/>
          <w:color w:val="000000"/>
          <w:sz w:val="22"/>
          <w:szCs w:val="22"/>
        </w:rPr>
        <w:t xml:space="preserve">, </w:t>
      </w:r>
      <w:r w:rsidRPr="00DF1F59">
        <w:rPr>
          <w:rFonts w:eastAsia="DengXian"/>
          <w:i/>
          <w:iCs/>
          <w:color w:val="000000"/>
          <w:sz w:val="22"/>
          <w:szCs w:val="22"/>
        </w:rPr>
        <w:t>19</w:t>
      </w:r>
      <w:r w:rsidRPr="00DF1F59">
        <w:rPr>
          <w:rFonts w:eastAsia="DengXian"/>
          <w:color w:val="000000"/>
          <w:sz w:val="22"/>
          <w:szCs w:val="22"/>
        </w:rPr>
        <w:t>(2), 47-66.</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Merttens</w:t>
      </w:r>
      <w:proofErr w:type="spellEnd"/>
      <w:r w:rsidRPr="00DF1F59">
        <w:rPr>
          <w:rFonts w:eastAsia="DengXian"/>
          <w:color w:val="000000"/>
          <w:sz w:val="22"/>
          <w:szCs w:val="22"/>
        </w:rPr>
        <w:t xml:space="preserve">, F., </w:t>
      </w:r>
      <w:proofErr w:type="spellStart"/>
      <w:r w:rsidRPr="00DF1F59">
        <w:rPr>
          <w:rFonts w:eastAsia="DengXian"/>
          <w:color w:val="000000"/>
          <w:sz w:val="22"/>
          <w:szCs w:val="22"/>
        </w:rPr>
        <w:t>Sindou</w:t>
      </w:r>
      <w:proofErr w:type="spellEnd"/>
      <w:r w:rsidRPr="00DF1F59">
        <w:rPr>
          <w:rFonts w:eastAsia="DengXian"/>
          <w:color w:val="000000"/>
          <w:sz w:val="22"/>
          <w:szCs w:val="22"/>
        </w:rPr>
        <w:t xml:space="preserve">, E., </w:t>
      </w:r>
      <w:proofErr w:type="spellStart"/>
      <w:r w:rsidRPr="00DF1F59">
        <w:rPr>
          <w:rFonts w:eastAsia="DengXian"/>
          <w:color w:val="000000"/>
          <w:sz w:val="22"/>
          <w:szCs w:val="22"/>
        </w:rPr>
        <w:t>Lipcan</w:t>
      </w:r>
      <w:proofErr w:type="spellEnd"/>
      <w:r w:rsidRPr="00DF1F59">
        <w:rPr>
          <w:rFonts w:eastAsia="DengXian"/>
          <w:color w:val="000000"/>
          <w:sz w:val="22"/>
          <w:szCs w:val="22"/>
        </w:rPr>
        <w:t>, A.</w:t>
      </w:r>
      <w:proofErr w:type="gramStart"/>
      <w:r w:rsidRPr="00DF1F59">
        <w:rPr>
          <w:rFonts w:eastAsia="DengXian"/>
          <w:color w:val="000000"/>
          <w:sz w:val="22"/>
          <w:szCs w:val="22"/>
        </w:rPr>
        <w:t xml:space="preserve">,  </w:t>
      </w:r>
      <w:proofErr w:type="spellStart"/>
      <w:r w:rsidRPr="00DF1F59">
        <w:rPr>
          <w:rFonts w:eastAsia="DengXian"/>
          <w:color w:val="000000"/>
          <w:sz w:val="22"/>
          <w:szCs w:val="22"/>
        </w:rPr>
        <w:t>Pellerano</w:t>
      </w:r>
      <w:proofErr w:type="spellEnd"/>
      <w:proofErr w:type="gramEnd"/>
      <w:r w:rsidRPr="00DF1F59">
        <w:rPr>
          <w:rFonts w:eastAsia="DengXian"/>
          <w:color w:val="000000"/>
          <w:sz w:val="22"/>
          <w:szCs w:val="22"/>
        </w:rPr>
        <w:t xml:space="preserve">, L.,  </w:t>
      </w:r>
      <w:proofErr w:type="spellStart"/>
      <w:r w:rsidRPr="00DF1F59">
        <w:rPr>
          <w:rFonts w:eastAsia="DengXian"/>
          <w:color w:val="000000"/>
          <w:sz w:val="22"/>
          <w:szCs w:val="22"/>
        </w:rPr>
        <w:t>Binci</w:t>
      </w:r>
      <w:proofErr w:type="spellEnd"/>
      <w:r w:rsidRPr="00DF1F59">
        <w:rPr>
          <w:rFonts w:eastAsia="DengXian"/>
          <w:color w:val="000000"/>
          <w:sz w:val="22"/>
          <w:szCs w:val="22"/>
        </w:rPr>
        <w:t xml:space="preserve">, M., </w:t>
      </w:r>
      <w:proofErr w:type="spellStart"/>
      <w:r w:rsidRPr="00DF1F59">
        <w:rPr>
          <w:rFonts w:eastAsia="DengXian"/>
          <w:color w:val="000000"/>
          <w:sz w:val="22"/>
          <w:szCs w:val="22"/>
        </w:rPr>
        <w:t>Ssewanyana</w:t>
      </w:r>
      <w:proofErr w:type="spellEnd"/>
      <w:r w:rsidRPr="00DF1F59">
        <w:rPr>
          <w:rFonts w:eastAsia="DengXian"/>
          <w:color w:val="000000"/>
          <w:sz w:val="22"/>
          <w:szCs w:val="22"/>
        </w:rPr>
        <w:t xml:space="preserve">, S., &amp; </w:t>
      </w:r>
      <w:proofErr w:type="spellStart"/>
      <w:r w:rsidRPr="00DF1F59">
        <w:rPr>
          <w:rFonts w:eastAsia="DengXian"/>
          <w:color w:val="000000"/>
          <w:sz w:val="22"/>
          <w:szCs w:val="22"/>
        </w:rPr>
        <w:t>Neema</w:t>
      </w:r>
      <w:proofErr w:type="spellEnd"/>
      <w:r w:rsidRPr="00DF1F59">
        <w:rPr>
          <w:rFonts w:eastAsia="DengXian"/>
          <w:color w:val="000000"/>
          <w:sz w:val="22"/>
          <w:szCs w:val="22"/>
        </w:rPr>
        <w:t xml:space="preserve">,  S. (2016). Uganda - Social Assistance Grants for Empowerment Programme 2014, </w:t>
      </w:r>
      <w:proofErr w:type="spellStart"/>
      <w:r w:rsidRPr="00DF1F59">
        <w:rPr>
          <w:rFonts w:eastAsia="DengXian"/>
          <w:color w:val="000000"/>
          <w:sz w:val="22"/>
          <w:szCs w:val="22"/>
        </w:rPr>
        <w:t>Endline</w:t>
      </w:r>
      <w:proofErr w:type="spellEnd"/>
      <w:r w:rsidRPr="00DF1F59">
        <w:rPr>
          <w:rFonts w:eastAsia="DengXian"/>
          <w:color w:val="000000"/>
          <w:sz w:val="22"/>
          <w:szCs w:val="22"/>
        </w:rPr>
        <w:t>: Impact After Two Years of Programme Operations. London: Oxford Policy management.</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Ministry of Finance (</w:t>
      </w:r>
      <w:proofErr w:type="spellStart"/>
      <w:r w:rsidRPr="00DF1F59">
        <w:rPr>
          <w:rFonts w:eastAsia="DengXian"/>
          <w:color w:val="000000"/>
          <w:sz w:val="22"/>
          <w:szCs w:val="22"/>
        </w:rPr>
        <w:t>MoF</w:t>
      </w:r>
      <w:proofErr w:type="spellEnd"/>
      <w:r w:rsidRPr="00DF1F59">
        <w:rPr>
          <w:rFonts w:eastAsia="DengXian"/>
          <w:color w:val="000000"/>
          <w:sz w:val="22"/>
          <w:szCs w:val="22"/>
        </w:rPr>
        <w:t xml:space="preserve">). (2018). </w:t>
      </w:r>
      <w:r w:rsidRPr="00DF1F59">
        <w:rPr>
          <w:rFonts w:eastAsia="DengXian"/>
          <w:i/>
          <w:iCs/>
          <w:color w:val="000000"/>
          <w:sz w:val="22"/>
          <w:szCs w:val="22"/>
        </w:rPr>
        <w:t xml:space="preserve">The </w:t>
      </w:r>
      <w:r w:rsidR="00251676">
        <w:rPr>
          <w:rFonts w:eastAsia="DengXian"/>
          <w:i/>
          <w:iCs/>
          <w:color w:val="000000"/>
          <w:sz w:val="22"/>
          <w:szCs w:val="22"/>
        </w:rPr>
        <w:t>E</w:t>
      </w:r>
      <w:r w:rsidRPr="00DF1F59">
        <w:rPr>
          <w:rFonts w:eastAsia="DengXian"/>
          <w:i/>
          <w:iCs/>
          <w:color w:val="000000"/>
          <w:sz w:val="22"/>
          <w:szCs w:val="22"/>
        </w:rPr>
        <w:t xml:space="preserve">conomic </w:t>
      </w:r>
      <w:r w:rsidR="00251676">
        <w:rPr>
          <w:rFonts w:eastAsia="DengXian"/>
          <w:i/>
          <w:iCs/>
          <w:color w:val="000000"/>
          <w:sz w:val="22"/>
          <w:szCs w:val="22"/>
        </w:rPr>
        <w:t>S</w:t>
      </w:r>
      <w:r w:rsidRPr="00DF1F59">
        <w:rPr>
          <w:rFonts w:eastAsia="DengXian"/>
          <w:i/>
          <w:iCs/>
          <w:color w:val="000000"/>
          <w:sz w:val="22"/>
          <w:szCs w:val="22"/>
        </w:rPr>
        <w:t>urvey of Pakistan 2018</w:t>
      </w:r>
      <w:r w:rsidRPr="00DF1F59">
        <w:rPr>
          <w:rFonts w:eastAsia="DengXian"/>
          <w:color w:val="000000"/>
          <w:sz w:val="22"/>
          <w:szCs w:val="22"/>
        </w:rPr>
        <w:t>. Government of Pakistan.</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9553BA">
        <w:rPr>
          <w:rFonts w:eastAsia="DengXian"/>
          <w:color w:val="000000"/>
          <w:sz w:val="22"/>
          <w:szCs w:val="22"/>
          <w:lang w:val="fr-FR"/>
        </w:rPr>
        <w:t>Molyneux</w:t>
      </w:r>
      <w:proofErr w:type="spellEnd"/>
      <w:r w:rsidRPr="009553BA">
        <w:rPr>
          <w:rFonts w:eastAsia="DengXian"/>
          <w:color w:val="000000"/>
          <w:sz w:val="22"/>
          <w:szCs w:val="22"/>
          <w:lang w:val="fr-FR"/>
        </w:rPr>
        <w:t xml:space="preserve">, M., Jones, W., &amp; </w:t>
      </w:r>
      <w:proofErr w:type="spellStart"/>
      <w:r w:rsidRPr="009553BA">
        <w:rPr>
          <w:rFonts w:eastAsia="DengXian"/>
          <w:color w:val="000000"/>
          <w:sz w:val="22"/>
          <w:szCs w:val="22"/>
          <w:lang w:val="fr-FR"/>
        </w:rPr>
        <w:t>Samuels</w:t>
      </w:r>
      <w:proofErr w:type="spellEnd"/>
      <w:r w:rsidRPr="009553BA">
        <w:rPr>
          <w:rFonts w:eastAsia="DengXian"/>
          <w:color w:val="000000"/>
          <w:sz w:val="22"/>
          <w:szCs w:val="22"/>
          <w:lang w:val="fr-FR"/>
        </w:rPr>
        <w:t xml:space="preserve">, F. (2016). </w:t>
      </w:r>
      <w:r w:rsidRPr="00DF1F59">
        <w:rPr>
          <w:rFonts w:eastAsia="DengXian"/>
          <w:color w:val="000000"/>
          <w:sz w:val="22"/>
          <w:szCs w:val="22"/>
        </w:rPr>
        <w:t xml:space="preserve">Can cash transfer programmes have ‘transformative’ </w:t>
      </w:r>
      <w:proofErr w:type="gramStart"/>
      <w:r w:rsidRPr="00DF1F59">
        <w:rPr>
          <w:rFonts w:eastAsia="DengXian"/>
          <w:color w:val="000000"/>
          <w:sz w:val="22"/>
          <w:szCs w:val="22"/>
        </w:rPr>
        <w:t>effects?.</w:t>
      </w:r>
      <w:proofErr w:type="gramEnd"/>
      <w:r w:rsidRPr="00DF1F59">
        <w:rPr>
          <w:rFonts w:eastAsia="DengXian"/>
          <w:color w:val="000000"/>
          <w:sz w:val="22"/>
          <w:szCs w:val="22"/>
        </w:rPr>
        <w:t xml:space="preserve"> </w:t>
      </w:r>
      <w:r w:rsidRPr="00DF1F59">
        <w:rPr>
          <w:rFonts w:eastAsia="DengXian"/>
          <w:i/>
          <w:iCs/>
          <w:color w:val="000000"/>
          <w:sz w:val="22"/>
          <w:szCs w:val="22"/>
        </w:rPr>
        <w:t>The Journal of Development Studies</w:t>
      </w:r>
      <w:r w:rsidRPr="00DF1F59">
        <w:rPr>
          <w:rFonts w:eastAsia="DengXian"/>
          <w:color w:val="000000"/>
          <w:sz w:val="22"/>
          <w:szCs w:val="22"/>
        </w:rPr>
        <w:t xml:space="preserve">, </w:t>
      </w:r>
      <w:r w:rsidRPr="00DF1F59">
        <w:rPr>
          <w:rFonts w:eastAsia="DengXian"/>
          <w:i/>
          <w:iCs/>
          <w:color w:val="000000"/>
          <w:sz w:val="22"/>
          <w:szCs w:val="22"/>
        </w:rPr>
        <w:t>52</w:t>
      </w:r>
      <w:r w:rsidRPr="00DF1F59">
        <w:rPr>
          <w:rFonts w:eastAsia="DengXian"/>
          <w:color w:val="000000"/>
          <w:sz w:val="22"/>
          <w:szCs w:val="22"/>
        </w:rPr>
        <w:t>(8), 1087–1098.</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Najam, Z. (2020). </w:t>
      </w:r>
      <w:r w:rsidRPr="00DF1F59">
        <w:rPr>
          <w:rFonts w:eastAsia="DengXian"/>
          <w:i/>
          <w:iCs/>
          <w:color w:val="000000"/>
          <w:sz w:val="22"/>
          <w:szCs w:val="22"/>
        </w:rPr>
        <w:t>The Sensitivity of Poverty Trends to Dimensionality and Distribution Sensitivity in Poverty Measures – District level Analysis for Pakistan</w:t>
      </w:r>
      <w:r w:rsidRPr="00DF1F59">
        <w:rPr>
          <w:rFonts w:eastAsia="DengXian"/>
          <w:color w:val="000000"/>
          <w:sz w:val="22"/>
          <w:szCs w:val="22"/>
        </w:rPr>
        <w:t>. Retrieved from</w:t>
      </w:r>
      <w:hyperlink r:id="rId24" w:history="1">
        <w:r w:rsidRPr="00DF1F59">
          <w:rPr>
            <w:rFonts w:eastAsia="DengXian"/>
            <w:color w:val="000000"/>
            <w:sz w:val="22"/>
            <w:szCs w:val="22"/>
            <w:u w:val="single"/>
          </w:rPr>
          <w:t xml:space="preserve"> https://EconPapers.repec.org/RePEc:pra:mprapa:102383</w:t>
        </w:r>
      </w:hyperlink>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Nayab</w:t>
      </w:r>
      <w:proofErr w:type="spellEnd"/>
      <w:r w:rsidRPr="00DF1F59">
        <w:rPr>
          <w:rFonts w:eastAsia="DengXian"/>
          <w:color w:val="000000"/>
          <w:sz w:val="22"/>
          <w:szCs w:val="22"/>
        </w:rPr>
        <w:t xml:space="preserve">, D., &amp; Farooq, S. (2014). Effectiveness of cash transfer programmes for household welfare in Pakistan: The case of the Benazir Income Support Programme. </w:t>
      </w:r>
      <w:r w:rsidRPr="00DF1F59">
        <w:rPr>
          <w:rFonts w:eastAsia="DengXian"/>
          <w:i/>
          <w:iCs/>
          <w:color w:val="000000"/>
          <w:sz w:val="22"/>
          <w:szCs w:val="22"/>
        </w:rPr>
        <w:t>Pakistan Development Review</w:t>
      </w:r>
      <w:r w:rsidRPr="00DF1F59">
        <w:rPr>
          <w:rFonts w:eastAsia="DengXian"/>
          <w:color w:val="000000"/>
          <w:sz w:val="22"/>
          <w:szCs w:val="22"/>
        </w:rPr>
        <w:t>, 53(2), 145. </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Pasha, M. A., Shah, P., &amp; </w:t>
      </w:r>
      <w:proofErr w:type="spellStart"/>
      <w:r w:rsidRPr="00DF1F59">
        <w:rPr>
          <w:rFonts w:eastAsia="DengXian"/>
          <w:color w:val="000000"/>
          <w:sz w:val="22"/>
          <w:szCs w:val="22"/>
        </w:rPr>
        <w:t>Rahpoto</w:t>
      </w:r>
      <w:proofErr w:type="spellEnd"/>
      <w:r w:rsidRPr="00DF1F59">
        <w:rPr>
          <w:rFonts w:eastAsia="DengXian"/>
          <w:color w:val="000000"/>
          <w:sz w:val="22"/>
          <w:szCs w:val="22"/>
        </w:rPr>
        <w:t xml:space="preserve">, M. S. (2018). Effectiveness of Benazir Income Support Program for Poverty Reduction. </w:t>
      </w:r>
      <w:r w:rsidRPr="00DF1F59">
        <w:rPr>
          <w:rFonts w:eastAsia="DengXian"/>
          <w:i/>
          <w:iCs/>
          <w:color w:val="000000"/>
          <w:sz w:val="22"/>
          <w:szCs w:val="22"/>
        </w:rPr>
        <w:t>Global Management Journal for Academic &amp; Corporate Studies</w:t>
      </w:r>
      <w:r w:rsidRPr="00DF1F59">
        <w:rPr>
          <w:rFonts w:eastAsia="DengXian"/>
          <w:color w:val="000000"/>
          <w:sz w:val="22"/>
          <w:szCs w:val="22"/>
        </w:rPr>
        <w:t xml:space="preserve">, </w:t>
      </w:r>
      <w:r w:rsidRPr="00DF1F59">
        <w:rPr>
          <w:rFonts w:eastAsia="DengXian"/>
          <w:i/>
          <w:iCs/>
          <w:color w:val="000000"/>
          <w:sz w:val="22"/>
          <w:szCs w:val="22"/>
        </w:rPr>
        <w:t>8</w:t>
      </w:r>
      <w:r w:rsidRPr="00DF1F59">
        <w:rPr>
          <w:rFonts w:eastAsia="DengXian"/>
          <w:color w:val="000000"/>
          <w:sz w:val="22"/>
          <w:szCs w:val="22"/>
        </w:rPr>
        <w:t>(2), 144-149.</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Pritchard, B., </w:t>
      </w:r>
      <w:proofErr w:type="spellStart"/>
      <w:r w:rsidRPr="00DF1F59">
        <w:rPr>
          <w:rFonts w:eastAsia="DengXian"/>
          <w:color w:val="000000"/>
          <w:sz w:val="22"/>
          <w:szCs w:val="22"/>
        </w:rPr>
        <w:t>Rammohan</w:t>
      </w:r>
      <w:proofErr w:type="spellEnd"/>
      <w:r w:rsidRPr="00DF1F59">
        <w:rPr>
          <w:rFonts w:eastAsia="DengXian"/>
          <w:color w:val="000000"/>
          <w:sz w:val="22"/>
          <w:szCs w:val="22"/>
        </w:rPr>
        <w:t xml:space="preserve">, A., </w:t>
      </w:r>
      <w:proofErr w:type="spellStart"/>
      <w:r w:rsidRPr="00DF1F59">
        <w:rPr>
          <w:rFonts w:eastAsia="DengXian"/>
          <w:color w:val="000000"/>
          <w:sz w:val="22"/>
          <w:szCs w:val="22"/>
        </w:rPr>
        <w:t>Sekher</w:t>
      </w:r>
      <w:proofErr w:type="spellEnd"/>
      <w:r w:rsidRPr="00DF1F59">
        <w:rPr>
          <w:rFonts w:eastAsia="DengXian"/>
          <w:color w:val="000000"/>
          <w:sz w:val="22"/>
          <w:szCs w:val="22"/>
        </w:rPr>
        <w:t xml:space="preserve">, M., Parasuraman, S., &amp; </w:t>
      </w:r>
      <w:proofErr w:type="spellStart"/>
      <w:r w:rsidRPr="00DF1F59">
        <w:rPr>
          <w:rFonts w:eastAsia="DengXian"/>
          <w:color w:val="000000"/>
          <w:sz w:val="22"/>
          <w:szCs w:val="22"/>
        </w:rPr>
        <w:t>Choithani</w:t>
      </w:r>
      <w:proofErr w:type="spellEnd"/>
      <w:r w:rsidRPr="00DF1F59">
        <w:rPr>
          <w:rFonts w:eastAsia="DengXian"/>
          <w:color w:val="000000"/>
          <w:sz w:val="22"/>
          <w:szCs w:val="22"/>
        </w:rPr>
        <w:t xml:space="preserve">, C. (2013). </w:t>
      </w:r>
      <w:r w:rsidRPr="00DF1F59">
        <w:rPr>
          <w:rFonts w:eastAsia="DengXian"/>
          <w:i/>
          <w:iCs/>
          <w:color w:val="000000"/>
          <w:sz w:val="22"/>
          <w:szCs w:val="22"/>
        </w:rPr>
        <w:t>Feeding India: Livelihoods, entitlements and capabilities</w:t>
      </w:r>
      <w:r w:rsidRPr="00DF1F59">
        <w:rPr>
          <w:rFonts w:eastAsia="DengXian"/>
          <w:color w:val="000000"/>
          <w:sz w:val="22"/>
          <w:szCs w:val="22"/>
        </w:rPr>
        <w:t>. Routledge.</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Ravallion</w:t>
      </w:r>
      <w:proofErr w:type="spellEnd"/>
      <w:r w:rsidRPr="00DF1F59">
        <w:rPr>
          <w:rFonts w:eastAsia="DengXian"/>
          <w:color w:val="000000"/>
          <w:sz w:val="22"/>
          <w:szCs w:val="22"/>
        </w:rPr>
        <w:t xml:space="preserve">, M. (2001). Growth, inequality and poverty: Looking beyond averages. </w:t>
      </w:r>
      <w:r w:rsidRPr="00DF1F59">
        <w:rPr>
          <w:rFonts w:eastAsia="DengXian"/>
          <w:i/>
          <w:iCs/>
          <w:color w:val="000000"/>
          <w:sz w:val="22"/>
          <w:szCs w:val="22"/>
        </w:rPr>
        <w:t>World Development</w:t>
      </w:r>
      <w:r w:rsidRPr="00DF1F59">
        <w:rPr>
          <w:rFonts w:eastAsia="DengXian"/>
          <w:color w:val="000000"/>
          <w:sz w:val="22"/>
          <w:szCs w:val="22"/>
        </w:rPr>
        <w:t xml:space="preserve">, </w:t>
      </w:r>
      <w:r w:rsidRPr="00DF1F59">
        <w:rPr>
          <w:rFonts w:eastAsia="DengXian"/>
          <w:i/>
          <w:iCs/>
          <w:color w:val="000000"/>
          <w:sz w:val="22"/>
          <w:szCs w:val="22"/>
        </w:rPr>
        <w:t>29</w:t>
      </w:r>
      <w:r w:rsidRPr="00DF1F59">
        <w:rPr>
          <w:rFonts w:eastAsia="DengXian"/>
          <w:color w:val="000000"/>
          <w:sz w:val="22"/>
          <w:szCs w:val="22"/>
        </w:rPr>
        <w:t>(11), 1803–1815.</w:t>
      </w:r>
    </w:p>
    <w:p w:rsidR="00EE5514" w:rsidRPr="00DF1F59" w:rsidRDefault="00EE5514" w:rsidP="00EE5514">
      <w:pPr>
        <w:numPr>
          <w:ilvl w:val="1"/>
          <w:numId w:val="0"/>
        </w:numPr>
        <w:spacing w:line="240" w:lineRule="auto"/>
        <w:ind w:left="720" w:hanging="720"/>
        <w:rPr>
          <w:rFonts w:eastAsia="DengXian"/>
          <w:color w:val="000000"/>
          <w:sz w:val="22"/>
          <w:szCs w:val="22"/>
        </w:rPr>
      </w:pPr>
      <w:proofErr w:type="spellStart"/>
      <w:r w:rsidRPr="00DF1F59">
        <w:rPr>
          <w:rFonts w:eastAsia="DengXian"/>
          <w:color w:val="000000"/>
          <w:sz w:val="22"/>
          <w:szCs w:val="22"/>
        </w:rPr>
        <w:t>Ravallion</w:t>
      </w:r>
      <w:proofErr w:type="spellEnd"/>
      <w:r w:rsidRPr="00DF1F59">
        <w:rPr>
          <w:rFonts w:eastAsia="DengXian"/>
          <w:color w:val="000000"/>
          <w:sz w:val="22"/>
          <w:szCs w:val="22"/>
        </w:rPr>
        <w:t xml:space="preserve">, M. (2004). </w:t>
      </w:r>
      <w:r w:rsidRPr="00DF1F59">
        <w:rPr>
          <w:rFonts w:eastAsia="DengXian"/>
          <w:i/>
          <w:iCs/>
          <w:color w:val="000000"/>
          <w:sz w:val="22"/>
          <w:szCs w:val="22"/>
        </w:rPr>
        <w:t xml:space="preserve">Pro-Poor Growth: A Primer </w:t>
      </w:r>
      <w:r w:rsidRPr="00DF1F59">
        <w:rPr>
          <w:rFonts w:eastAsia="DengXian"/>
          <w:color w:val="000000"/>
          <w:sz w:val="22"/>
          <w:szCs w:val="22"/>
        </w:rPr>
        <w:t>(Working Paper No. 3242). World Bank, Washington, D.C. © World Bank. https://openknowledge.worldbank.org/handle/10986/14116 License: CC BY 3.0 IGO.</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Saleem, M. (2019). Evaluating political capture and targeting performance of the Benazir Income Support Program in Pakistan (Doctoral Dissertation, Erasmus University Rotterdam).</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Schultz, T. P. (2004). School Subsidies for the Poor: Evaluating the Mexican </w:t>
      </w:r>
      <w:proofErr w:type="spellStart"/>
      <w:r w:rsidRPr="00DF1F59">
        <w:rPr>
          <w:rFonts w:eastAsia="DengXian"/>
          <w:color w:val="000000"/>
          <w:sz w:val="22"/>
          <w:szCs w:val="22"/>
        </w:rPr>
        <w:t>Progresa</w:t>
      </w:r>
      <w:proofErr w:type="spellEnd"/>
      <w:r w:rsidRPr="00DF1F59">
        <w:rPr>
          <w:rFonts w:eastAsia="DengXian"/>
          <w:color w:val="000000"/>
          <w:sz w:val="22"/>
          <w:szCs w:val="22"/>
        </w:rPr>
        <w:t xml:space="preserve"> Poverty Program. </w:t>
      </w:r>
      <w:r w:rsidRPr="00DF1F59">
        <w:rPr>
          <w:rFonts w:eastAsia="DengXian"/>
          <w:i/>
          <w:iCs/>
          <w:color w:val="000000"/>
          <w:sz w:val="22"/>
          <w:szCs w:val="22"/>
        </w:rPr>
        <w:t>Journal of Development Economics, 74</w:t>
      </w:r>
      <w:r w:rsidRPr="00DF1F59">
        <w:rPr>
          <w:rFonts w:eastAsia="DengXian"/>
          <w:color w:val="000000"/>
          <w:sz w:val="22"/>
          <w:szCs w:val="22"/>
        </w:rPr>
        <w:t>(1), 199–250.</w:t>
      </w:r>
    </w:p>
    <w:p w:rsidR="00EE5514" w:rsidRPr="00DF1F59" w:rsidRDefault="00EE5514" w:rsidP="00EE5514">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World Bank (2009). </w:t>
      </w:r>
      <w:r w:rsidRPr="00DF1F59">
        <w:rPr>
          <w:rFonts w:eastAsia="DengXian"/>
          <w:i/>
          <w:iCs/>
          <w:color w:val="000000"/>
          <w:sz w:val="22"/>
          <w:szCs w:val="22"/>
        </w:rPr>
        <w:t xml:space="preserve">Project Appraisal Document on a Proposed Credit to the Islamic Republic of Pakistan for a Social Safety Net </w:t>
      </w:r>
      <w:r w:rsidRPr="00DF1F59">
        <w:rPr>
          <w:rFonts w:eastAsia="DengXian"/>
          <w:color w:val="000000"/>
          <w:sz w:val="22"/>
          <w:szCs w:val="22"/>
        </w:rPr>
        <w:t>(Technical Assistance Project No. 47288-PK).</w:t>
      </w:r>
    </w:p>
    <w:p w:rsidR="00C37EA6" w:rsidRDefault="00C37EA6" w:rsidP="00C37EA6">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World Bank (2016). </w:t>
      </w:r>
      <w:r w:rsidRPr="00DF1F59">
        <w:rPr>
          <w:rFonts w:eastAsia="DengXian"/>
          <w:i/>
          <w:iCs/>
          <w:color w:val="000000"/>
          <w:sz w:val="22"/>
          <w:szCs w:val="22"/>
        </w:rPr>
        <w:t xml:space="preserve">Pakistan </w:t>
      </w:r>
      <w:r>
        <w:rPr>
          <w:rFonts w:eastAsia="DengXian"/>
          <w:i/>
          <w:iCs/>
          <w:color w:val="000000"/>
          <w:sz w:val="22"/>
          <w:szCs w:val="22"/>
        </w:rPr>
        <w:t>D</w:t>
      </w:r>
      <w:r w:rsidRPr="00DF1F59">
        <w:rPr>
          <w:rFonts w:eastAsia="DengXian"/>
          <w:i/>
          <w:iCs/>
          <w:color w:val="000000"/>
          <w:sz w:val="22"/>
          <w:szCs w:val="22"/>
        </w:rPr>
        <w:t xml:space="preserve">evelopment </w:t>
      </w:r>
      <w:r>
        <w:rPr>
          <w:rFonts w:eastAsia="DengXian"/>
          <w:i/>
          <w:iCs/>
          <w:color w:val="000000"/>
          <w:sz w:val="22"/>
          <w:szCs w:val="22"/>
        </w:rPr>
        <w:t>U</w:t>
      </w:r>
      <w:r w:rsidRPr="00DF1F59">
        <w:rPr>
          <w:rFonts w:eastAsia="DengXian"/>
          <w:i/>
          <w:iCs/>
          <w:color w:val="000000"/>
          <w:sz w:val="22"/>
          <w:szCs w:val="22"/>
        </w:rPr>
        <w:t>pdate</w:t>
      </w:r>
      <w:r w:rsidRPr="00DF1F59">
        <w:rPr>
          <w:rFonts w:eastAsia="DengXian"/>
          <w:color w:val="000000"/>
          <w:sz w:val="22"/>
          <w:szCs w:val="22"/>
        </w:rPr>
        <w:t xml:space="preserve">. </w:t>
      </w:r>
      <w:r>
        <w:rPr>
          <w:rFonts w:eastAsia="DengXian"/>
          <w:color w:val="000000"/>
          <w:sz w:val="22"/>
          <w:szCs w:val="22"/>
        </w:rPr>
        <w:t xml:space="preserve">Washington, DC: </w:t>
      </w:r>
      <w:r w:rsidRPr="00DF1F59">
        <w:rPr>
          <w:rFonts w:eastAsia="DengXian"/>
          <w:color w:val="000000"/>
          <w:sz w:val="22"/>
          <w:szCs w:val="22"/>
        </w:rPr>
        <w:t xml:space="preserve">World Bank. </w:t>
      </w:r>
    </w:p>
    <w:p w:rsidR="00EE5514" w:rsidRPr="00DF1F59" w:rsidRDefault="00EE5514" w:rsidP="00C37EA6">
      <w:pPr>
        <w:numPr>
          <w:ilvl w:val="1"/>
          <w:numId w:val="0"/>
        </w:numPr>
        <w:spacing w:line="240" w:lineRule="auto"/>
        <w:ind w:left="720" w:hanging="720"/>
        <w:rPr>
          <w:rFonts w:eastAsia="DengXian"/>
          <w:color w:val="000000"/>
          <w:sz w:val="22"/>
          <w:szCs w:val="22"/>
        </w:rPr>
      </w:pPr>
      <w:r w:rsidRPr="00DF1F59">
        <w:rPr>
          <w:rFonts w:eastAsia="DengXian"/>
          <w:color w:val="000000"/>
          <w:sz w:val="22"/>
          <w:szCs w:val="22"/>
        </w:rPr>
        <w:t xml:space="preserve">World Bank (2018). </w:t>
      </w:r>
      <w:r w:rsidRPr="00DF1F59">
        <w:rPr>
          <w:rFonts w:eastAsia="DengXian"/>
          <w:i/>
          <w:iCs/>
          <w:color w:val="000000"/>
          <w:sz w:val="22"/>
          <w:szCs w:val="22"/>
        </w:rPr>
        <w:t>The State of Social Safety Nets 2018</w:t>
      </w:r>
      <w:r w:rsidRPr="00DF1F59">
        <w:rPr>
          <w:rFonts w:eastAsia="DengXian"/>
          <w:color w:val="000000"/>
          <w:sz w:val="22"/>
          <w:szCs w:val="22"/>
        </w:rPr>
        <w:t xml:space="preserve">. Washington, DC: World Bank. </w:t>
      </w:r>
    </w:p>
    <w:p w:rsidR="00EE5514" w:rsidRPr="00DF1F59" w:rsidRDefault="00EE5514" w:rsidP="00EE5514">
      <w:pPr>
        <w:spacing w:before="240" w:after="240" w:line="480" w:lineRule="auto"/>
        <w:rPr>
          <w:rFonts w:eastAsia="Calibri"/>
        </w:rPr>
      </w:pPr>
    </w:p>
    <w:p w:rsidR="00EE5514" w:rsidRPr="00DE7A0C" w:rsidRDefault="00EE5514" w:rsidP="00EE5514">
      <w:pPr>
        <w:spacing w:beforeLines="120" w:before="288" w:afterLines="120" w:after="288" w:line="276" w:lineRule="auto"/>
        <w:ind w:left="851" w:hanging="851"/>
        <w:rPr>
          <w:color w:val="000000" w:themeColor="text1"/>
        </w:rPr>
      </w:pPr>
    </w:p>
    <w:p w:rsidR="00EE5514" w:rsidRDefault="00EE5514" w:rsidP="00EE5514">
      <w:pPr>
        <w:spacing w:before="240" w:after="240"/>
        <w:rPr>
          <w:rFonts w:ascii="Arial" w:hAnsi="Arial" w:cs="Arial"/>
          <w:color w:val="FF0000"/>
          <w:sz w:val="26"/>
          <w:szCs w:val="26"/>
        </w:rPr>
      </w:pPr>
    </w:p>
    <w:p w:rsidR="00EE5514" w:rsidRDefault="00EE5514" w:rsidP="00EE5514">
      <w:pPr>
        <w:spacing w:before="240" w:after="240"/>
        <w:rPr>
          <w:rFonts w:ascii="Arial" w:hAnsi="Arial" w:cs="Arial"/>
          <w:color w:val="FF0000"/>
          <w:sz w:val="26"/>
          <w:szCs w:val="26"/>
        </w:rPr>
      </w:pPr>
      <w:r>
        <w:rPr>
          <w:rFonts w:ascii="Arial" w:hAnsi="Arial" w:cs="Arial"/>
          <w:color w:val="FF0000"/>
          <w:sz w:val="26"/>
          <w:szCs w:val="26"/>
        </w:rPr>
        <w:br w:type="page"/>
      </w:r>
    </w:p>
    <w:p w:rsidR="00EE5514" w:rsidRPr="00961B9F" w:rsidRDefault="00EE5514" w:rsidP="00EE5514">
      <w:pPr>
        <w:pStyle w:val="Heading2"/>
        <w:spacing w:before="60"/>
        <w:ind w:left="120"/>
        <w:rPr>
          <w:rFonts w:ascii="Times New Roman" w:eastAsiaTheme="minorHAnsi" w:hAnsi="Times New Roman" w:cs="Times New Roman"/>
          <w:b/>
          <w:color w:val="auto"/>
          <w:sz w:val="24"/>
          <w:szCs w:val="24"/>
        </w:rPr>
      </w:pPr>
      <w:r w:rsidRPr="00961B9F">
        <w:rPr>
          <w:rFonts w:ascii="Times New Roman" w:eastAsiaTheme="minorHAnsi" w:hAnsi="Times New Roman" w:cs="Times New Roman"/>
          <w:b/>
          <w:color w:val="auto"/>
          <w:sz w:val="24"/>
          <w:szCs w:val="24"/>
        </w:rPr>
        <w:lastRenderedPageBreak/>
        <w:t>Appendix A</w:t>
      </w:r>
    </w:p>
    <w:p w:rsidR="00EE5514" w:rsidRDefault="00EE5514" w:rsidP="00EE5514">
      <w:pPr>
        <w:pStyle w:val="BodyText"/>
        <w:spacing w:before="11"/>
        <w:rPr>
          <w:b/>
          <w:sz w:val="15"/>
        </w:rPr>
      </w:pPr>
    </w:p>
    <w:p w:rsidR="00EE5514" w:rsidRDefault="00EE5514" w:rsidP="00EE5514">
      <w:pPr>
        <w:spacing w:before="91"/>
        <w:ind w:left="1366"/>
        <w:rPr>
          <w:b/>
        </w:rPr>
      </w:pPr>
      <w:r>
        <w:rPr>
          <w:b/>
        </w:rPr>
        <w:t>Table A1: Description of the Five Poverty Measures Used in the Study</w:t>
      </w:r>
    </w:p>
    <w:p w:rsidR="00EE5514" w:rsidRDefault="00EE5514" w:rsidP="00EE5514">
      <w:pPr>
        <w:pStyle w:val="BodyText"/>
        <w:spacing w:before="1"/>
        <w:rPr>
          <w:b/>
          <w:sz w:val="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3"/>
        <w:gridCol w:w="4331"/>
      </w:tblGrid>
      <w:tr w:rsidR="00EE5514" w:rsidTr="009553BA">
        <w:trPr>
          <w:trHeight w:hRule="exact" w:val="263"/>
        </w:trPr>
        <w:tc>
          <w:tcPr>
            <w:tcW w:w="4743" w:type="dxa"/>
            <w:shd w:val="clear" w:color="auto" w:fill="A6A6A6"/>
          </w:tcPr>
          <w:p w:rsidR="00EE5514" w:rsidRDefault="00EE5514" w:rsidP="009553BA">
            <w:pPr>
              <w:pStyle w:val="TableParagraph"/>
              <w:spacing w:line="252" w:lineRule="exact"/>
              <w:ind w:left="1519"/>
              <w:rPr>
                <w:b/>
              </w:rPr>
            </w:pPr>
            <w:r>
              <w:rPr>
                <w:b/>
              </w:rPr>
              <w:t>Poverty Measures</w:t>
            </w:r>
          </w:p>
        </w:tc>
        <w:tc>
          <w:tcPr>
            <w:tcW w:w="4331" w:type="dxa"/>
            <w:shd w:val="clear" w:color="auto" w:fill="A6A6A6"/>
          </w:tcPr>
          <w:p w:rsidR="00EE5514" w:rsidRDefault="00EE5514" w:rsidP="009553BA">
            <w:pPr>
              <w:pStyle w:val="TableParagraph"/>
              <w:spacing w:line="252" w:lineRule="exact"/>
              <w:ind w:left="1477" w:right="1477"/>
              <w:jc w:val="center"/>
              <w:rPr>
                <w:b/>
              </w:rPr>
            </w:pPr>
            <w:r>
              <w:rPr>
                <w:b/>
              </w:rPr>
              <w:t>Description</w:t>
            </w:r>
          </w:p>
        </w:tc>
      </w:tr>
      <w:tr w:rsidR="00EE5514" w:rsidTr="009553BA">
        <w:trPr>
          <w:trHeight w:hRule="exact" w:val="265"/>
        </w:trPr>
        <w:tc>
          <w:tcPr>
            <w:tcW w:w="9074" w:type="dxa"/>
            <w:gridSpan w:val="2"/>
            <w:shd w:val="clear" w:color="auto" w:fill="D9D9D9"/>
          </w:tcPr>
          <w:p w:rsidR="00EE5514" w:rsidRDefault="00EE5514" w:rsidP="009553BA">
            <w:pPr>
              <w:pStyle w:val="TableParagraph"/>
              <w:ind w:left="3872" w:right="3430"/>
              <w:jc w:val="center"/>
              <w:rPr>
                <w:b/>
              </w:rPr>
            </w:pPr>
            <w:r>
              <w:rPr>
                <w:b/>
              </w:rPr>
              <w:t>Money-Metric</w:t>
            </w:r>
          </w:p>
        </w:tc>
      </w:tr>
      <w:tr w:rsidR="00EE5514" w:rsidTr="009553BA">
        <w:trPr>
          <w:trHeight w:hRule="exact" w:val="263"/>
        </w:trPr>
        <w:tc>
          <w:tcPr>
            <w:tcW w:w="9074" w:type="dxa"/>
            <w:gridSpan w:val="2"/>
            <w:shd w:val="clear" w:color="auto" w:fill="D9E1F3"/>
          </w:tcPr>
          <w:p w:rsidR="00EE5514" w:rsidRDefault="00EE5514" w:rsidP="009553BA">
            <w:pPr>
              <w:pStyle w:val="TableParagraph"/>
              <w:spacing w:line="252" w:lineRule="exact"/>
              <w:ind w:left="103"/>
              <w:rPr>
                <w:b/>
              </w:rPr>
            </w:pPr>
            <w:r>
              <w:rPr>
                <w:b/>
              </w:rPr>
              <w:t>Distribution Insensitive</w:t>
            </w:r>
          </w:p>
        </w:tc>
      </w:tr>
      <w:tr w:rsidR="00EE5514" w:rsidTr="009553BA">
        <w:trPr>
          <w:trHeight w:hRule="exact" w:val="1024"/>
        </w:trPr>
        <w:tc>
          <w:tcPr>
            <w:tcW w:w="4743" w:type="dxa"/>
          </w:tcPr>
          <w:p w:rsidR="00EE5514" w:rsidRDefault="00EE5514" w:rsidP="009553BA">
            <w:pPr>
              <w:pStyle w:val="TableParagraph"/>
              <w:spacing w:line="253" w:lineRule="exact"/>
              <w:ind w:left="103"/>
            </w:pPr>
            <w:r>
              <w:t>Headcount Index:</w:t>
            </w:r>
          </w:p>
          <w:p w:rsidR="00EE5514" w:rsidRDefault="00EE5514" w:rsidP="009553BA">
            <w:pPr>
              <w:pStyle w:val="TableParagraph"/>
              <w:ind w:left="652"/>
              <w:rPr>
                <w:rFonts w:ascii="Cambria Math" w:eastAsia="Cambria Math" w:hAnsi="Cambria Math"/>
              </w:rPr>
            </w:pPr>
            <w:r w:rsidRPr="004C48A2">
              <w:rPr>
                <w:i/>
                <w:iCs/>
              </w:rPr>
              <w:t>HH</w:t>
            </w:r>
            <w:r>
              <w:t xml:space="preserve">= </w:t>
            </w:r>
            <w:r>
              <w:rPr>
                <w:rFonts w:ascii="Cambria Math" w:eastAsia="Cambria Math" w:hAnsi="Cambria Math"/>
              </w:rPr>
              <w:t>(</w:t>
            </w:r>
            <w:r w:rsidRPr="001D5F9F">
              <w:rPr>
                <w:rFonts w:ascii="Cambria Math" w:eastAsia="Cambria Math" w:hAnsi="Cambria Math"/>
                <w:i/>
                <w:iCs/>
                <w:position w:val="7"/>
              </w:rPr>
              <w:t>q</w:t>
            </w:r>
            <w:r>
              <w:rPr>
                <w:rFonts w:ascii="Cambria Math" w:eastAsia="Cambria Math" w:hAnsi="Cambria Math"/>
                <w:position w:val="2"/>
              </w:rPr>
              <w:t>⁄</w:t>
            </w:r>
            <w:r w:rsidRPr="001D5F9F">
              <w:rPr>
                <w:rFonts w:ascii="Cambria Math" w:eastAsia="Cambria Math" w:hAnsi="Cambria Math"/>
                <w:i/>
                <w:iCs/>
                <w:position w:val="-4"/>
              </w:rPr>
              <w:t>𝑛</w:t>
            </w:r>
            <w:r>
              <w:rPr>
                <w:rFonts w:ascii="Cambria Math" w:eastAsia="Cambria Math" w:hAnsi="Cambria Math"/>
              </w:rPr>
              <w:t xml:space="preserve">) </w:t>
            </w:r>
            <w:proofErr w:type="gramStart"/>
            <w:r>
              <w:rPr>
                <w:rFonts w:ascii="Cambria Math" w:eastAsia="Cambria Math" w:hAnsi="Cambria Math"/>
              </w:rPr>
              <w:t>×  100</w:t>
            </w:r>
            <w:proofErr w:type="gramEnd"/>
          </w:p>
        </w:tc>
        <w:tc>
          <w:tcPr>
            <w:tcW w:w="4331" w:type="dxa"/>
          </w:tcPr>
          <w:p w:rsidR="00EE5514" w:rsidRDefault="00EE5514" w:rsidP="009553BA">
            <w:pPr>
              <w:pStyle w:val="TableParagraph"/>
              <w:ind w:left="103" w:right="336"/>
            </w:pPr>
            <w:r>
              <w:t xml:space="preserve">where </w:t>
            </w:r>
            <w:r>
              <w:rPr>
                <w:i/>
              </w:rPr>
              <w:t xml:space="preserve">q </w:t>
            </w:r>
            <w:r>
              <w:t xml:space="preserve">is the number of poor people living below the poverty line and </w:t>
            </w:r>
            <w:r w:rsidRPr="001D5F9F">
              <w:rPr>
                <w:i/>
                <w:iCs/>
              </w:rPr>
              <w:t>n</w:t>
            </w:r>
            <w:r>
              <w:t xml:space="preserve"> is the total number of people. </w:t>
            </w:r>
            <w:r w:rsidRPr="004C48A2">
              <w:rPr>
                <w:i/>
                <w:iCs/>
              </w:rPr>
              <w:t>HH</w:t>
            </w:r>
            <w:r>
              <w:t xml:space="preserve"> is the proportion of people living below the poverty line.</w:t>
            </w:r>
          </w:p>
        </w:tc>
      </w:tr>
      <w:tr w:rsidR="00EE5514" w:rsidTr="009553BA">
        <w:trPr>
          <w:trHeight w:hRule="exact" w:val="1027"/>
        </w:trPr>
        <w:tc>
          <w:tcPr>
            <w:tcW w:w="4743" w:type="dxa"/>
          </w:tcPr>
          <w:p w:rsidR="00EE5514" w:rsidRDefault="00EE5514" w:rsidP="009553BA">
            <w:pPr>
              <w:pStyle w:val="TableParagraph"/>
              <w:spacing w:line="244" w:lineRule="exact"/>
              <w:ind w:left="103"/>
              <w:rPr>
                <w:rFonts w:ascii="Cambria Math"/>
              </w:rPr>
            </w:pPr>
            <w:r>
              <w:t>Poverty Gap Index</w:t>
            </w:r>
            <w:r>
              <w:rPr>
                <w:rFonts w:ascii="Cambria Math"/>
              </w:rPr>
              <w:t>:</w:t>
            </w:r>
          </w:p>
          <w:p w:rsidR="00EE5514" w:rsidRPr="00A31BB5" w:rsidRDefault="00EE5514" w:rsidP="009553BA">
            <w:pPr>
              <w:pStyle w:val="NoSpacing"/>
              <w:rPr>
                <w:rFonts w:ascii="Times New Roman" w:hAnsi="Times New Roman" w:cs="Times New Roman"/>
              </w:rPr>
            </w:pPr>
            <m:oMathPara>
              <m:oMath>
                <m:r>
                  <w:rPr>
                    <w:rFonts w:ascii="Cambria Math" w:eastAsia="Times New Roman" w:hAnsi="Cambria Math" w:cs="Times New Roman"/>
                  </w:rPr>
                  <m:t>P</m:t>
                </m:r>
                <m:r>
                  <m:rPr>
                    <m:sty m:val="p"/>
                  </m:rPr>
                  <w:rPr>
                    <w:rFonts w:ascii="Cambria Math" w:hAnsi="Cambria Math" w:cs="Times New Roman"/>
                  </w:rPr>
                  <m:t>G=</m:t>
                </m:r>
                <m:f>
                  <m:fPr>
                    <m:ctrlPr>
                      <w:rPr>
                        <w:rFonts w:ascii="Cambria Math" w:hAnsi="Cambria Math" w:cs="Times New Roman"/>
                      </w:rPr>
                    </m:ctrlPr>
                  </m:fPr>
                  <m:num>
                    <m:d>
                      <m:dPr>
                        <m:ctrlPr>
                          <w:rPr>
                            <w:rFonts w:ascii="Cambria Math" w:hAnsi="Cambria Math" w:cs="Times New Roman"/>
                          </w:rPr>
                        </m:ctrlPr>
                      </m:dPr>
                      <m:e>
                        <m:nary>
                          <m:naryPr>
                            <m:chr m:val="∑"/>
                            <m:limLoc m:val="subSup"/>
                            <m:ctrlPr>
                              <w:rPr>
                                <w:rFonts w:ascii="Cambria Math" w:hAnsi="Cambria Math" w:cs="Times New Roman"/>
                              </w:rPr>
                            </m:ctrlPr>
                          </m:naryPr>
                          <m:sub>
                            <m:r>
                              <m:rPr>
                                <m:sty m:val="p"/>
                              </m:rPr>
                              <w:rPr>
                                <w:rFonts w:ascii="Cambria Math" w:hAnsi="Cambria Math" w:cs="Times New Roman"/>
                              </w:rPr>
                              <m:t>i=1</m:t>
                            </m:r>
                          </m:sub>
                          <m:sup>
                            <m:r>
                              <w:rPr>
                                <w:rFonts w:ascii="Cambria Math" w:hAnsi="Cambria Math" w:cs="Times New Roman"/>
                              </w:rPr>
                              <m:t>n</m:t>
                            </m:r>
                          </m:sup>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Z-Y</m:t>
                                        </m:r>
                                      </m:e>
                                      <m:sub>
                                        <m:r>
                                          <w:rPr>
                                            <w:rFonts w:ascii="Cambria Math" w:hAnsi="Cambria Math" w:cs="Times New Roman"/>
                                          </w:rPr>
                                          <m:t>i</m:t>
                                        </m:r>
                                      </m:sub>
                                    </m:sSub>
                                  </m:num>
                                  <m:den>
                                    <m:r>
                                      <w:rPr>
                                        <w:rFonts w:ascii="Cambria Math" w:hAnsi="Cambria Math" w:cs="Times New Roman"/>
                                      </w:rPr>
                                      <m:t>Z</m:t>
                                    </m:r>
                                  </m:den>
                                </m:f>
                              </m:e>
                            </m:d>
                          </m:e>
                        </m:nary>
                      </m:e>
                    </m:d>
                  </m:num>
                  <m:den>
                    <m:r>
                      <w:rPr>
                        <w:rFonts w:ascii="Cambria Math" w:hAnsi="Cambria Math" w:cs="Times New Roman"/>
                      </w:rPr>
                      <m:t>n</m:t>
                    </m:r>
                  </m:den>
                </m:f>
                <m:r>
                  <m:rPr>
                    <m:sty m:val="p"/>
                  </m:rPr>
                  <w:rPr>
                    <w:rFonts w:ascii="Cambria Math" w:hAnsi="Cambria Math" w:cs="Times New Roman"/>
                  </w:rPr>
                  <m:t>×100</m:t>
                </m:r>
              </m:oMath>
            </m:oMathPara>
          </w:p>
          <w:p w:rsidR="00EE5514" w:rsidRDefault="00EE5514" w:rsidP="009553BA">
            <w:pPr>
              <w:pStyle w:val="TableParagraph"/>
              <w:spacing w:line="203" w:lineRule="exact"/>
              <w:ind w:left="540"/>
              <w:jc w:val="center"/>
              <w:rPr>
                <w:rFonts w:ascii="Cambria Math" w:eastAsia="Cambria Math"/>
              </w:rPr>
            </w:pPr>
          </w:p>
        </w:tc>
        <w:tc>
          <w:tcPr>
            <w:tcW w:w="4331" w:type="dxa"/>
          </w:tcPr>
          <w:p w:rsidR="00EE5514" w:rsidRDefault="00EE5514" w:rsidP="009553BA">
            <w:pPr>
              <w:pStyle w:val="TableParagraph"/>
              <w:spacing w:before="10" w:line="228" w:lineRule="auto"/>
              <w:ind w:left="103" w:right="196"/>
            </w:pPr>
            <w:r>
              <w:t xml:space="preserve">where </w:t>
            </w:r>
            <w:r w:rsidRPr="001D5F9F">
              <w:rPr>
                <w:i/>
                <w:iCs/>
              </w:rPr>
              <w:t>Z</w:t>
            </w:r>
            <w:r>
              <w:t xml:space="preserve"> is the poverty line and </w:t>
            </w:r>
            <w:r>
              <w:rPr>
                <w:rFonts w:ascii="Cambria Math" w:eastAsia="Cambria Math" w:hAnsi="Cambria Math"/>
              </w:rPr>
              <w:t>𝑌</w:t>
            </w:r>
            <w:r>
              <w:rPr>
                <w:rFonts w:ascii="Cambria Math" w:eastAsia="Cambria Math" w:hAnsi="Cambria Math"/>
                <w:position w:val="-4"/>
                <w:sz w:val="16"/>
              </w:rPr>
              <w:t xml:space="preserve">𝑖 </w:t>
            </w:r>
            <w:r>
              <w:t xml:space="preserve">is individual </w:t>
            </w:r>
            <w:r w:rsidRPr="001D5F9F">
              <w:rPr>
                <w:i/>
                <w:iCs/>
              </w:rPr>
              <w:t>i</w:t>
            </w:r>
            <w:r>
              <w:t xml:space="preserve">’s consumption. </w:t>
            </w:r>
            <w:r w:rsidRPr="004C48A2">
              <w:rPr>
                <w:i/>
                <w:iCs/>
              </w:rPr>
              <w:t>PG</w:t>
            </w:r>
            <w:r>
              <w:t xml:space="preserve"> measures the intensity of poverty in a given society. </w:t>
            </w:r>
          </w:p>
        </w:tc>
      </w:tr>
      <w:tr w:rsidR="00EE5514" w:rsidTr="009553BA">
        <w:trPr>
          <w:trHeight w:hRule="exact" w:val="263"/>
        </w:trPr>
        <w:tc>
          <w:tcPr>
            <w:tcW w:w="9074" w:type="dxa"/>
            <w:gridSpan w:val="2"/>
            <w:shd w:val="clear" w:color="auto" w:fill="D9E1F3"/>
          </w:tcPr>
          <w:p w:rsidR="00EE5514" w:rsidRDefault="00EE5514" w:rsidP="009553BA">
            <w:pPr>
              <w:pStyle w:val="TableParagraph"/>
              <w:spacing w:line="252" w:lineRule="exact"/>
              <w:ind w:left="103"/>
              <w:rPr>
                <w:b/>
              </w:rPr>
            </w:pPr>
            <w:r>
              <w:rPr>
                <w:b/>
              </w:rPr>
              <w:t>Distribution Sensitive</w:t>
            </w:r>
          </w:p>
        </w:tc>
      </w:tr>
      <w:tr w:rsidR="00EE5514" w:rsidTr="009553BA">
        <w:trPr>
          <w:trHeight w:hRule="exact" w:val="1339"/>
        </w:trPr>
        <w:tc>
          <w:tcPr>
            <w:tcW w:w="4743" w:type="dxa"/>
          </w:tcPr>
          <w:p w:rsidR="00EE5514" w:rsidRDefault="00EE5514" w:rsidP="009553BA">
            <w:pPr>
              <w:pStyle w:val="TableParagraph"/>
              <w:spacing w:before="1" w:line="255" w:lineRule="exact"/>
              <w:ind w:left="103"/>
              <w:rPr>
                <w:rFonts w:ascii="Cambria Math"/>
              </w:rPr>
            </w:pPr>
            <w:r>
              <w:t>Squared Poverty Gap:</w:t>
            </w:r>
          </w:p>
          <w:p w:rsidR="00EE5514" w:rsidRPr="00A31BB5" w:rsidRDefault="00EE5514" w:rsidP="009553BA">
            <w:pPr>
              <w:pStyle w:val="NoSpacing"/>
              <w:spacing w:before="120" w:after="120" w:line="360" w:lineRule="auto"/>
              <w:jc w:val="both"/>
              <w:rPr>
                <w:rFonts w:ascii="Times New Roman" w:hAnsi="Times New Roman" w:cs="Times New Roman"/>
              </w:rPr>
            </w:pPr>
            <m:oMathPara>
              <m:oMath>
                <m:r>
                  <w:rPr>
                    <w:rFonts w:ascii="Cambria Math" w:hAnsi="Cambria Math" w:cs="Times New Roman"/>
                  </w:rPr>
                  <m:t>SPG</m:t>
                </m:r>
                <m:r>
                  <m:rPr>
                    <m:sty m:val="p"/>
                  </m:rP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nary>
                          <m:naryPr>
                            <m:chr m:val="∑"/>
                            <m:limLoc m:val="subSup"/>
                            <m:ctrlPr>
                              <w:rPr>
                                <w:rFonts w:ascii="Cambria Math" w:hAnsi="Cambria Math" w:cs="Times New Roman"/>
                              </w:rPr>
                            </m:ctrlPr>
                          </m:naryPr>
                          <m:sub>
                            <m:r>
                              <m:rPr>
                                <m:sty m:val="p"/>
                              </m:rP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rPr>
                                </m:ctrlPr>
                              </m:sSupPr>
                              <m:e>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Z-Y</m:t>
                                            </m:r>
                                          </m:e>
                                          <m:sub>
                                            <m:r>
                                              <w:rPr>
                                                <w:rFonts w:ascii="Cambria Math" w:hAnsi="Cambria Math" w:cs="Times New Roman"/>
                                              </w:rPr>
                                              <m:t>i</m:t>
                                            </m:r>
                                          </m:sub>
                                        </m:sSub>
                                      </m:num>
                                      <m:den>
                                        <m:r>
                                          <w:rPr>
                                            <w:rFonts w:ascii="Cambria Math" w:hAnsi="Cambria Math" w:cs="Times New Roman"/>
                                          </w:rPr>
                                          <m:t>Z</m:t>
                                        </m:r>
                                      </m:den>
                                    </m:f>
                                  </m:e>
                                </m:d>
                              </m:e>
                              <m:sup>
                                <m:r>
                                  <m:rPr>
                                    <m:sty m:val="p"/>
                                  </m:rPr>
                                  <w:rPr>
                                    <w:rFonts w:ascii="Cambria Math" w:hAnsi="Cambria Math" w:cs="Times New Roman"/>
                                  </w:rPr>
                                  <m:t>2</m:t>
                                </m:r>
                              </m:sup>
                            </m:sSup>
                          </m:e>
                        </m:nary>
                      </m:e>
                    </m:d>
                  </m:num>
                  <m:den>
                    <m:r>
                      <w:rPr>
                        <w:rFonts w:ascii="Cambria Math" w:hAnsi="Cambria Math" w:cs="Times New Roman"/>
                      </w:rPr>
                      <m:t>n</m:t>
                    </m:r>
                  </m:den>
                </m:f>
                <m:r>
                  <m:rPr>
                    <m:sty m:val="p"/>
                  </m:rPr>
                  <w:rPr>
                    <w:rFonts w:ascii="Cambria Math" w:hAnsi="Cambria Math" w:cs="Times New Roman"/>
                  </w:rPr>
                  <m:t>×100</m:t>
                </m:r>
              </m:oMath>
            </m:oMathPara>
          </w:p>
          <w:p w:rsidR="00EE5514" w:rsidRDefault="00EE5514" w:rsidP="009553BA">
            <w:pPr>
              <w:pStyle w:val="TableParagraph"/>
              <w:tabs>
                <w:tab w:val="left" w:pos="2616"/>
                <w:tab w:val="left" w:pos="2969"/>
              </w:tabs>
              <w:spacing w:line="265" w:lineRule="exact"/>
              <w:ind w:left="1706"/>
              <w:rPr>
                <w:rFonts w:ascii="Cambria Math" w:eastAsia="Cambria Math"/>
              </w:rPr>
            </w:pPr>
          </w:p>
        </w:tc>
        <w:tc>
          <w:tcPr>
            <w:tcW w:w="4331" w:type="dxa"/>
          </w:tcPr>
          <w:p w:rsidR="00EE5514" w:rsidRDefault="00EE5514" w:rsidP="009553BA">
            <w:pPr>
              <w:pStyle w:val="TableParagraph"/>
              <w:spacing w:before="12" w:line="228" w:lineRule="auto"/>
              <w:ind w:left="103" w:right="196"/>
            </w:pPr>
            <w:r>
              <w:t xml:space="preserve">where </w:t>
            </w:r>
            <w:r w:rsidRPr="009B22CA">
              <w:rPr>
                <w:i/>
                <w:iCs/>
              </w:rPr>
              <w:t>Z</w:t>
            </w:r>
            <w:r>
              <w:t xml:space="preserve"> is the poverty line and </w:t>
            </w:r>
            <w:r>
              <w:rPr>
                <w:rFonts w:ascii="Cambria Math" w:eastAsia="Cambria Math" w:hAnsi="Cambria Math"/>
              </w:rPr>
              <w:t>𝑌</w:t>
            </w:r>
            <w:r>
              <w:rPr>
                <w:rFonts w:ascii="Cambria Math" w:eastAsia="Cambria Math" w:hAnsi="Cambria Math"/>
                <w:position w:val="-4"/>
                <w:sz w:val="16"/>
              </w:rPr>
              <w:t xml:space="preserve">𝑖 </w:t>
            </w:r>
            <w:r>
              <w:t xml:space="preserve">is individual </w:t>
            </w:r>
            <w:r w:rsidRPr="009B22CA">
              <w:rPr>
                <w:i/>
                <w:iCs/>
              </w:rPr>
              <w:t>i</w:t>
            </w:r>
            <w:r>
              <w:t xml:space="preserve">’s consumption. </w:t>
            </w:r>
            <w:r w:rsidRPr="004C48A2">
              <w:rPr>
                <w:i/>
                <w:iCs/>
              </w:rPr>
              <w:t xml:space="preserve">SPG </w:t>
            </w:r>
            <w:r>
              <w:t xml:space="preserve">averages the squares of poverty gaps relative to the poverty line and it gives heavier weight than the </w:t>
            </w:r>
            <w:r w:rsidRPr="004C48A2">
              <w:rPr>
                <w:i/>
                <w:iCs/>
              </w:rPr>
              <w:t>PG</w:t>
            </w:r>
            <w:r>
              <w:t xml:space="preserve"> to the poverty of the very poor  </w:t>
            </w:r>
          </w:p>
        </w:tc>
      </w:tr>
      <w:tr w:rsidR="00EE5514" w:rsidTr="009553BA">
        <w:trPr>
          <w:trHeight w:hRule="exact" w:val="264"/>
        </w:trPr>
        <w:tc>
          <w:tcPr>
            <w:tcW w:w="9074" w:type="dxa"/>
            <w:gridSpan w:val="2"/>
            <w:shd w:val="clear" w:color="auto" w:fill="D9D9D9"/>
          </w:tcPr>
          <w:p w:rsidR="00EE5514" w:rsidRDefault="00EE5514" w:rsidP="009553BA">
            <w:pPr>
              <w:pStyle w:val="TableParagraph"/>
              <w:spacing w:line="252" w:lineRule="exact"/>
              <w:ind w:left="3872" w:right="3489"/>
              <w:jc w:val="center"/>
              <w:rPr>
                <w:b/>
              </w:rPr>
            </w:pPr>
            <w:r>
              <w:rPr>
                <w:b/>
              </w:rPr>
              <w:t>Multidimensional</w:t>
            </w:r>
          </w:p>
        </w:tc>
      </w:tr>
      <w:tr w:rsidR="00EE5514" w:rsidTr="009553BA">
        <w:trPr>
          <w:trHeight w:hRule="exact" w:val="305"/>
        </w:trPr>
        <w:tc>
          <w:tcPr>
            <w:tcW w:w="9074" w:type="dxa"/>
            <w:gridSpan w:val="2"/>
            <w:shd w:val="clear" w:color="auto" w:fill="D9E1F3"/>
          </w:tcPr>
          <w:p w:rsidR="00EE5514" w:rsidRDefault="00EE5514" w:rsidP="009553BA">
            <w:pPr>
              <w:pStyle w:val="TableParagraph"/>
              <w:spacing w:line="252" w:lineRule="exact"/>
              <w:ind w:left="103"/>
              <w:rPr>
                <w:b/>
              </w:rPr>
            </w:pPr>
            <w:r>
              <w:rPr>
                <w:b/>
              </w:rPr>
              <w:t>Distribution Insensitive</w:t>
            </w:r>
          </w:p>
        </w:tc>
      </w:tr>
      <w:tr w:rsidR="00EE5514" w:rsidTr="009553BA">
        <w:trPr>
          <w:trHeight w:hRule="exact" w:val="3017"/>
        </w:trPr>
        <w:tc>
          <w:tcPr>
            <w:tcW w:w="4743" w:type="dxa"/>
          </w:tcPr>
          <w:p w:rsidR="00EE5514" w:rsidRPr="00005D9F" w:rsidRDefault="00EE5514" w:rsidP="009553BA">
            <w:pPr>
              <w:pStyle w:val="TableParagraph"/>
              <w:spacing w:line="247" w:lineRule="exact"/>
              <w:ind w:left="103"/>
              <w:rPr>
                <w:lang w:val="it-IT"/>
              </w:rPr>
            </w:pPr>
            <w:r w:rsidRPr="00005D9F">
              <w:rPr>
                <w:lang w:val="it-IT"/>
              </w:rPr>
              <w:t>Multidimensional Poverty Index</w:t>
            </w:r>
          </w:p>
          <w:p w:rsidR="00EE5514" w:rsidRPr="00014F97" w:rsidRDefault="00EE5514" w:rsidP="009553BA">
            <w:pPr>
              <w:pStyle w:val="NoSpacing"/>
              <w:rPr>
                <w:rFonts w:ascii="Times New Roman" w:hAnsi="Times New Roman" w:cs="Times New Roman"/>
                <w:sz w:val="21"/>
                <w:szCs w:val="21"/>
              </w:rPr>
            </w:pPr>
            <w:r>
              <w:rPr>
                <w:rFonts w:ascii="Cambria Math" w:eastAsia="Cambria Math"/>
                <w:sz w:val="16"/>
                <w:lang w:val="it-IT"/>
              </w:rPr>
              <w:t xml:space="preserve">  </w:t>
            </w:r>
            <m:oMath>
              <m:r>
                <m:rPr>
                  <m:sty m:val="p"/>
                </m:rPr>
                <w:rPr>
                  <w:rFonts w:ascii="Cambria Math" w:eastAsia="Times New Roman" w:hAnsi="Cambria Math" w:cs="Times New Roman"/>
                </w:rPr>
                <w:br/>
              </m:r>
            </m:oMath>
            <m:oMathPara>
              <m:oMath>
                <m:r>
                  <w:rPr>
                    <w:rFonts w:ascii="Cambria Math" w:eastAsia="Times New Roman" w:hAnsi="Cambria Math" w:cs="Times New Roman"/>
                    <w:sz w:val="21"/>
                    <w:szCs w:val="21"/>
                  </w:rPr>
                  <m:t>MPI</m:t>
                </m:r>
                <m:r>
                  <m:rPr>
                    <m:sty m:val="p"/>
                  </m:rPr>
                  <w:rPr>
                    <w:rFonts w:ascii="Cambria Math" w:hAnsi="Cambria Math" w:cs="Times New Roman"/>
                    <w:sz w:val="21"/>
                    <w:szCs w:val="21"/>
                  </w:rPr>
                  <m:t>=M</m:t>
                </m:r>
                <m:d>
                  <m:dPr>
                    <m:ctrlPr>
                      <w:rPr>
                        <w:rFonts w:ascii="Cambria Math" w:hAnsi="Cambria Math" w:cs="Times New Roman"/>
                        <w:sz w:val="21"/>
                        <w:szCs w:val="21"/>
                      </w:rPr>
                    </m:ctrlPr>
                  </m:dPr>
                  <m:e>
                    <m:r>
                      <m:rPr>
                        <m:sty m:val="p"/>
                      </m:rPr>
                      <w:rPr>
                        <w:rFonts w:ascii="Cambria Math" w:hAnsi="Cambria Math" w:cs="Times New Roman"/>
                        <w:sz w:val="21"/>
                        <w:szCs w:val="21"/>
                      </w:rPr>
                      <m:t>α, k;y</m:t>
                    </m:r>
                  </m:e>
                </m:d>
                <m:r>
                  <w:rPr>
                    <w:rFonts w:ascii="Cambria Math" w:hAnsi="Cambria Math" w:cs="Times New Roman"/>
                    <w:sz w:val="21"/>
                    <w:szCs w:val="21"/>
                  </w:rPr>
                  <m:t>=</m:t>
                </m:r>
                <m:f>
                  <m:fPr>
                    <m:ctrlPr>
                      <w:rPr>
                        <w:rFonts w:ascii="Cambria Math" w:hAnsi="Cambria Math" w:cs="Times New Roman"/>
                        <w:sz w:val="21"/>
                        <w:szCs w:val="21"/>
                      </w:rPr>
                    </m:ctrlPr>
                  </m:fPr>
                  <m:num>
                    <m:r>
                      <w:rPr>
                        <w:rFonts w:ascii="Cambria Math" w:hAnsi="Cambria Math" w:cs="Times New Roman"/>
                        <w:sz w:val="21"/>
                        <w:szCs w:val="21"/>
                      </w:rPr>
                      <m:t>1</m:t>
                    </m:r>
                  </m:num>
                  <m:den>
                    <m:r>
                      <w:rPr>
                        <w:rFonts w:ascii="Cambria Math" w:hAnsi="Cambria Math" w:cs="Times New Roman"/>
                        <w:sz w:val="21"/>
                        <w:szCs w:val="21"/>
                      </w:rPr>
                      <m:t>n</m:t>
                    </m:r>
                  </m:den>
                </m:f>
                <m:nary>
                  <m:naryPr>
                    <m:chr m:val="∑"/>
                    <m:limLoc m:val="subSup"/>
                    <m:ctrlPr>
                      <w:rPr>
                        <w:rFonts w:ascii="Cambria Math" w:hAnsi="Cambria Math" w:cs="Times New Roman"/>
                        <w:i/>
                        <w:sz w:val="21"/>
                        <w:szCs w:val="21"/>
                      </w:rPr>
                    </m:ctrlPr>
                  </m:naryPr>
                  <m:sub>
                    <m:r>
                      <w:rPr>
                        <w:rFonts w:ascii="Cambria Math" w:hAnsi="Cambria Math" w:cs="Times New Roman"/>
                        <w:sz w:val="21"/>
                        <w:szCs w:val="21"/>
                      </w:rPr>
                      <m:t>i=1</m:t>
                    </m:r>
                  </m:sub>
                  <m:sup>
                    <m:r>
                      <w:rPr>
                        <w:rFonts w:ascii="Cambria Math" w:hAnsi="Cambria Math" w:cs="Times New Roman"/>
                        <w:sz w:val="21"/>
                        <w:szCs w:val="21"/>
                      </w:rPr>
                      <m:t>n</m:t>
                    </m:r>
                  </m:sup>
                  <m:e>
                    <m:sSup>
                      <m:sSupPr>
                        <m:ctrlPr>
                          <w:rPr>
                            <w:rFonts w:ascii="Cambria Math" w:hAnsi="Cambria Math" w:cs="Times New Roman"/>
                            <w:i/>
                            <w:sz w:val="21"/>
                            <w:szCs w:val="21"/>
                          </w:rPr>
                        </m:ctrlPr>
                      </m:sSupPr>
                      <m:e>
                        <m:d>
                          <m:dPr>
                            <m:ctrlPr>
                              <w:rPr>
                                <w:rFonts w:ascii="Cambria Math" w:hAnsi="Cambria Math" w:cs="Times New Roman"/>
                                <w:i/>
                                <w:sz w:val="21"/>
                                <w:szCs w:val="21"/>
                              </w:rPr>
                            </m:ctrlPr>
                          </m:dPr>
                          <m:e>
                            <m:f>
                              <m:fPr>
                                <m:ctrlPr>
                                  <w:rPr>
                                    <w:rFonts w:ascii="Cambria Math" w:hAnsi="Cambria Math" w:cs="Times New Roman"/>
                                    <w:i/>
                                    <w:sz w:val="21"/>
                                    <w:szCs w:val="21"/>
                                  </w:rPr>
                                </m:ctrlPr>
                              </m:fPr>
                              <m:num>
                                <m:r>
                                  <w:rPr>
                                    <w:rFonts w:ascii="Cambria Math" w:hAnsi="Cambria Math" w:cs="Times New Roman"/>
                                    <w:sz w:val="21"/>
                                    <w:szCs w:val="21"/>
                                  </w:rPr>
                                  <m:t>1</m:t>
                                </m:r>
                              </m:num>
                              <m:den>
                                <m:r>
                                  <w:rPr>
                                    <w:rFonts w:ascii="Cambria Math" w:hAnsi="Cambria Math" w:cs="Times New Roman"/>
                                    <w:sz w:val="21"/>
                                    <w:szCs w:val="21"/>
                                  </w:rPr>
                                  <m:t>d</m:t>
                                </m:r>
                              </m:den>
                            </m:f>
                            <m:nary>
                              <m:naryPr>
                                <m:chr m:val="∑"/>
                                <m:limLoc m:val="undOvr"/>
                                <m:ctrlPr>
                                  <w:rPr>
                                    <w:rFonts w:ascii="Cambria Math" w:hAnsi="Cambria Math" w:cs="Times New Roman"/>
                                    <w:i/>
                                    <w:sz w:val="21"/>
                                    <w:szCs w:val="21"/>
                                  </w:rPr>
                                </m:ctrlPr>
                              </m:naryPr>
                              <m:sub>
                                <m:r>
                                  <w:rPr>
                                    <w:rFonts w:ascii="Cambria Math" w:hAnsi="Cambria Math" w:cs="Times New Roman"/>
                                    <w:sz w:val="21"/>
                                    <w:szCs w:val="21"/>
                                  </w:rPr>
                                  <m:t>j=1</m:t>
                                </m:r>
                              </m:sub>
                              <m:sup>
                                <m:r>
                                  <w:rPr>
                                    <w:rFonts w:ascii="Cambria Math" w:hAnsi="Cambria Math" w:cs="Times New Roman"/>
                                    <w:sz w:val="21"/>
                                    <w:szCs w:val="21"/>
                                  </w:rPr>
                                  <m:t>d</m:t>
                                </m:r>
                              </m:sup>
                              <m:e>
                                <m:sSubSup>
                                  <m:sSubSupPr>
                                    <m:ctrlPr>
                                      <w:rPr>
                                        <w:rFonts w:ascii="Cambria Math" w:hAnsi="Cambria Math" w:cs="Times New Roman"/>
                                        <w:i/>
                                        <w:sz w:val="21"/>
                                        <w:szCs w:val="21"/>
                                      </w:rPr>
                                    </m:ctrlPr>
                                  </m:sSubSupPr>
                                  <m:e>
                                    <m:r>
                                      <w:rPr>
                                        <w:rFonts w:ascii="Cambria Math" w:hAnsi="Cambria Math" w:cs="Times New Roman"/>
                                        <w:sz w:val="21"/>
                                        <w:szCs w:val="21"/>
                                      </w:rPr>
                                      <m:t>g</m:t>
                                    </m:r>
                                  </m:e>
                                  <m:sub>
                                    <m:r>
                                      <w:rPr>
                                        <w:rFonts w:ascii="Cambria Math" w:hAnsi="Cambria Math" w:cs="Times New Roman"/>
                                        <w:sz w:val="21"/>
                                        <w:szCs w:val="21"/>
                                      </w:rPr>
                                      <m:t>ij</m:t>
                                    </m:r>
                                  </m:sub>
                                  <m:sup>
                                    <m:r>
                                      <w:rPr>
                                        <w:rFonts w:ascii="Cambria Math" w:hAnsi="Cambria Math" w:cs="Times New Roman"/>
                                        <w:sz w:val="21"/>
                                        <w:szCs w:val="21"/>
                                      </w:rPr>
                                      <m:t>α</m:t>
                                    </m:r>
                                  </m:sup>
                                </m:sSubSup>
                              </m:e>
                            </m:nary>
                          </m:e>
                        </m:d>
                        <m:sSubSup>
                          <m:sSubSupPr>
                            <m:ctrlPr>
                              <w:rPr>
                                <w:rFonts w:ascii="Cambria Math" w:hAnsi="Cambria Math" w:cs="Times New Roman"/>
                                <w:i/>
                                <w:sz w:val="21"/>
                                <w:szCs w:val="21"/>
                              </w:rPr>
                            </m:ctrlPr>
                          </m:sSubSupPr>
                          <m:e>
                            <m:r>
                              <w:rPr>
                                <w:rFonts w:ascii="Cambria Math" w:hAnsi="Cambria Math" w:cs="Times New Roman"/>
                                <w:sz w:val="21"/>
                                <w:szCs w:val="21"/>
                              </w:rPr>
                              <m:t>I</m:t>
                            </m:r>
                          </m:e>
                          <m:sub>
                            <m:r>
                              <w:rPr>
                                <w:rFonts w:ascii="Cambria Math" w:hAnsi="Cambria Math" w:cs="Times New Roman"/>
                                <w:sz w:val="21"/>
                                <w:szCs w:val="21"/>
                              </w:rPr>
                              <m:t>i</m:t>
                            </m:r>
                          </m:sub>
                          <m:sup>
                            <m:r>
                              <w:rPr>
                                <w:rFonts w:ascii="Cambria Math" w:hAnsi="Cambria Math" w:cs="Times New Roman"/>
                                <w:sz w:val="21"/>
                                <w:szCs w:val="21"/>
                              </w:rPr>
                              <m:t>k</m:t>
                            </m:r>
                          </m:sup>
                        </m:sSubSup>
                      </m:e>
                      <m:sup/>
                    </m:sSup>
                    <m:r>
                      <m:rPr>
                        <m:sty m:val="p"/>
                      </m:rPr>
                      <w:rPr>
                        <w:rFonts w:ascii="Cambria Math" w:hAnsi="Cambria Math" w:cs="Times New Roman"/>
                        <w:sz w:val="21"/>
                        <w:szCs w:val="21"/>
                      </w:rPr>
                      <m:t>×100</m:t>
                    </m:r>
                  </m:e>
                </m:nary>
              </m:oMath>
            </m:oMathPara>
          </w:p>
          <w:p w:rsidR="00EE5514" w:rsidRPr="00BB4206" w:rsidRDefault="00EE5514" w:rsidP="009553BA">
            <w:pPr>
              <w:pStyle w:val="TableParagraph"/>
              <w:tabs>
                <w:tab w:val="left" w:pos="1735"/>
              </w:tabs>
              <w:spacing w:line="175" w:lineRule="exact"/>
              <w:rPr>
                <w:rFonts w:ascii="Cambria Math" w:eastAsia="Cambria Math"/>
                <w:sz w:val="16"/>
                <w:lang w:val="it-IT"/>
              </w:rPr>
            </w:pPr>
          </w:p>
        </w:tc>
        <w:tc>
          <w:tcPr>
            <w:tcW w:w="4331" w:type="dxa"/>
          </w:tcPr>
          <w:p w:rsidR="00EE5514" w:rsidRDefault="00EE5514" w:rsidP="009553BA">
            <w:pPr>
              <w:pStyle w:val="TableParagraph"/>
              <w:spacing w:line="232" w:lineRule="exact"/>
              <w:ind w:left="103"/>
            </w:pPr>
            <w:r>
              <w:t xml:space="preserve">For </w:t>
            </w:r>
            <w:r>
              <w:rPr>
                <w:i/>
              </w:rPr>
              <w:t xml:space="preserve">n </w:t>
            </w:r>
            <w:r>
              <w:t xml:space="preserve">individuals and </w:t>
            </w:r>
            <w:r>
              <w:rPr>
                <w:i/>
              </w:rPr>
              <w:t xml:space="preserve">d </w:t>
            </w:r>
            <w:r>
              <w:t>total dimensions,</w:t>
            </w:r>
          </w:p>
          <w:p w:rsidR="00EE5514" w:rsidRDefault="00EE5514" w:rsidP="009553BA">
            <w:pPr>
              <w:pStyle w:val="TableParagraph"/>
              <w:tabs>
                <w:tab w:val="left" w:pos="2160"/>
              </w:tabs>
              <w:spacing w:line="252" w:lineRule="exact"/>
            </w:pPr>
            <w:r>
              <w:rPr>
                <w:rFonts w:ascii="Cambria Math" w:eastAsia="Cambria Math" w:hAnsi="Cambria Math"/>
                <w:w w:val="105"/>
              </w:rPr>
              <w:t xml:space="preserve"> </w:t>
            </w:r>
            <m:oMath>
              <m:sSup>
                <m:sSupPr>
                  <m:ctrlPr>
                    <w:rPr>
                      <w:rFonts w:ascii="Cambria Math" w:hAnsi="Cambria Math"/>
                      <w:i/>
                      <w:iCs/>
                      <w:sz w:val="18"/>
                      <w:szCs w:val="18"/>
                      <w:lang w:val="en-NZ"/>
                    </w:rPr>
                  </m:ctrlPr>
                </m:sSupPr>
                <m:e>
                  <m:sSubSup>
                    <m:sSubSupPr>
                      <m:ctrlPr>
                        <w:rPr>
                          <w:rFonts w:ascii="Cambria Math" w:hAnsi="Cambria Math"/>
                          <w:i/>
                          <w:iCs/>
                          <w:sz w:val="18"/>
                          <w:szCs w:val="18"/>
                          <w:lang w:val="en-NZ"/>
                        </w:rPr>
                      </m:ctrlPr>
                    </m:sSubSupPr>
                    <m:e>
                      <m:r>
                        <w:rPr>
                          <w:rFonts w:ascii="Cambria Math" w:hAnsi="Cambria Math"/>
                          <w:sz w:val="18"/>
                          <w:szCs w:val="18"/>
                          <w:lang w:val="en-NZ"/>
                        </w:rPr>
                        <m:t>g </m:t>
                      </m:r>
                    </m:e>
                    <m:sub>
                      <m:r>
                        <w:rPr>
                          <w:rFonts w:ascii="Cambria Math" w:hAnsi="Cambria Math"/>
                          <w:sz w:val="18"/>
                          <w:szCs w:val="18"/>
                          <w:lang w:val="en-NZ"/>
                        </w:rPr>
                        <m:t>ij</m:t>
                      </m:r>
                    </m:sub>
                    <m:sup>
                      <m:r>
                        <w:rPr>
                          <w:rFonts w:ascii="Cambria Math" w:hAnsi="Cambria Math"/>
                          <w:sz w:val="18"/>
                          <w:szCs w:val="18"/>
                          <w:lang w:val="en-NZ"/>
                        </w:rPr>
                        <m:t>α</m:t>
                      </m:r>
                    </m:sup>
                  </m:sSubSup>
                  <m:r>
                    <w:rPr>
                      <w:rFonts w:ascii="Cambria Math" w:hAnsi="Cambria Math"/>
                      <w:sz w:val="18"/>
                      <w:szCs w:val="18"/>
                      <w:lang w:val="en-NZ"/>
                    </w:rPr>
                    <m:t xml:space="preserve">= </m:t>
                  </m:r>
                  <m:d>
                    <m:dPr>
                      <m:ctrlPr>
                        <w:rPr>
                          <w:rFonts w:ascii="Cambria Math" w:hAnsi="Cambria Math"/>
                          <w:i/>
                          <w:iCs/>
                          <w:sz w:val="18"/>
                          <w:szCs w:val="18"/>
                          <w:lang w:val="en-NZ"/>
                        </w:rPr>
                      </m:ctrlPr>
                    </m:dPr>
                    <m:e>
                      <m:r>
                        <m:rPr>
                          <m:sty m:val="p"/>
                        </m:rPr>
                        <w:rPr>
                          <w:rFonts w:ascii="Cambria Math" w:hAnsi="Cambria Math"/>
                          <w:sz w:val="18"/>
                          <w:szCs w:val="18"/>
                          <w:lang w:val="en-NZ"/>
                        </w:rPr>
                        <m:t>1</m:t>
                      </m:r>
                      <m:r>
                        <w:rPr>
                          <w:rFonts w:ascii="Cambria Math" w:hAnsi="Cambria Math"/>
                          <w:sz w:val="18"/>
                          <w:szCs w:val="18"/>
                          <w:lang w:val="en-NZ"/>
                        </w:rPr>
                        <m:t>-</m:t>
                      </m:r>
                      <m:sSub>
                        <m:sSubPr>
                          <m:ctrlPr>
                            <w:rPr>
                              <w:rFonts w:ascii="Cambria Math" w:hAnsi="Cambria Math"/>
                              <w:i/>
                              <w:iCs/>
                              <w:sz w:val="18"/>
                              <w:szCs w:val="18"/>
                              <w:lang w:val="en-NZ"/>
                            </w:rPr>
                          </m:ctrlPr>
                        </m:sSubPr>
                        <m:e>
                          <m:r>
                            <w:rPr>
                              <w:rFonts w:ascii="Cambria Math" w:hAnsi="Cambria Math"/>
                              <w:sz w:val="18"/>
                              <w:szCs w:val="18"/>
                              <w:lang w:val="en-NZ"/>
                            </w:rPr>
                            <m:t>y</m:t>
                          </m:r>
                        </m:e>
                        <m:sub>
                          <m:r>
                            <w:rPr>
                              <w:rFonts w:ascii="Cambria Math" w:hAnsi="Cambria Math"/>
                              <w:sz w:val="18"/>
                              <w:szCs w:val="18"/>
                              <w:lang w:val="en-NZ"/>
                            </w:rPr>
                            <m:t>ij</m:t>
                          </m:r>
                        </m:sub>
                      </m:sSub>
                      <m:r>
                        <m:rPr>
                          <m:sty m:val="p"/>
                        </m:rPr>
                        <w:rPr>
                          <w:rFonts w:ascii="Cambria Math" w:hAnsi="Cambria Math"/>
                          <w:sz w:val="18"/>
                          <w:szCs w:val="18"/>
                          <w:lang w:val="en-NZ"/>
                        </w:rPr>
                        <m:t>/</m:t>
                      </m:r>
                      <m:sSub>
                        <m:sSubPr>
                          <m:ctrlPr>
                            <w:rPr>
                              <w:rFonts w:ascii="Cambria Math" w:hAnsi="Cambria Math"/>
                              <w:i/>
                              <w:iCs/>
                              <w:sz w:val="18"/>
                              <w:szCs w:val="18"/>
                              <w:lang w:val="en-NZ"/>
                            </w:rPr>
                          </m:ctrlPr>
                        </m:sSubPr>
                        <m:e>
                          <m:r>
                            <w:rPr>
                              <w:rFonts w:ascii="Cambria Math" w:hAnsi="Cambria Math"/>
                              <w:sz w:val="18"/>
                              <w:szCs w:val="18"/>
                              <w:lang w:val="en-NZ"/>
                            </w:rPr>
                            <m:t>z</m:t>
                          </m:r>
                        </m:e>
                        <m:sub>
                          <m:r>
                            <w:rPr>
                              <w:rFonts w:ascii="Cambria Math" w:hAnsi="Cambria Math"/>
                              <w:sz w:val="18"/>
                              <w:szCs w:val="18"/>
                              <w:lang w:val="en-NZ"/>
                            </w:rPr>
                            <m:t>j</m:t>
                          </m:r>
                        </m:sub>
                      </m:sSub>
                    </m:e>
                  </m:d>
                </m:e>
                <m:sup>
                  <m:r>
                    <w:rPr>
                      <w:rFonts w:ascii="Cambria Math" w:hAnsi="Cambria Math"/>
                      <w:sz w:val="18"/>
                      <w:szCs w:val="18"/>
                      <w:lang w:val="en-NZ"/>
                    </w:rPr>
                    <m:t>α</m:t>
                  </m:r>
                </m:sup>
              </m:sSup>
              <m:r>
                <w:rPr>
                  <w:rFonts w:ascii="Cambria Math" w:hAnsi="Cambria Math"/>
                  <w:sz w:val="18"/>
                  <w:szCs w:val="18"/>
                  <w:lang w:val="en-NZ"/>
                </w:rPr>
                <m:t> </m:t>
              </m:r>
              <m:sSub>
                <m:sSubPr>
                  <m:ctrlPr>
                    <w:rPr>
                      <w:rFonts w:ascii="Cambria Math" w:hAnsi="Cambria Math"/>
                      <w:i/>
                      <w:iCs/>
                      <w:sz w:val="18"/>
                      <w:szCs w:val="18"/>
                      <w:lang w:val="en-NZ"/>
                    </w:rPr>
                  </m:ctrlPr>
                </m:sSubPr>
                <m:e>
                  <m:r>
                    <w:rPr>
                      <w:rFonts w:ascii="Cambria Math" w:hAnsi="Cambria Math"/>
                      <w:sz w:val="18"/>
                      <w:szCs w:val="18"/>
                      <w:lang w:val="en-NZ"/>
                    </w:rPr>
                    <m:t>I</m:t>
                  </m:r>
                </m:e>
                <m:sub>
                  <m:r>
                    <w:rPr>
                      <w:rFonts w:ascii="Cambria Math" w:hAnsi="Cambria Math"/>
                      <w:sz w:val="18"/>
                      <w:szCs w:val="18"/>
                      <w:lang w:val="en-NZ"/>
                    </w:rPr>
                    <m:t>ij</m:t>
                  </m:r>
                </m:sub>
              </m:sSub>
              <m:r>
                <w:rPr>
                  <w:rFonts w:ascii="Cambria Math" w:hAnsi="Cambria Math"/>
                  <w:sz w:val="18"/>
                  <w:szCs w:val="18"/>
                  <w:lang w:val="en-NZ"/>
                </w:rPr>
                <m:t>  </m:t>
              </m:r>
              <m:r>
                <m:rPr>
                  <m:nor/>
                </m:rPr>
                <w:rPr>
                  <w:sz w:val="18"/>
                  <w:szCs w:val="18"/>
                  <w:lang w:val="en-NZ"/>
                </w:rPr>
                <m:t>for</m:t>
              </m:r>
              <m:r>
                <w:rPr>
                  <w:rFonts w:ascii="Cambria Math" w:hAnsi="Cambria Math"/>
                  <w:sz w:val="18"/>
                  <w:szCs w:val="18"/>
                  <w:lang w:val="en-NZ"/>
                </w:rPr>
                <m:t>  α</m:t>
              </m:r>
              <m:r>
                <m:rPr>
                  <m:sty m:val="p"/>
                </m:rPr>
                <w:rPr>
                  <w:rFonts w:ascii="Cambria Math" w:hAnsi="Cambria Math"/>
                  <w:sz w:val="18"/>
                  <w:szCs w:val="18"/>
                  <w:lang w:val="en-NZ"/>
                </w:rPr>
                <m:t xml:space="preserve">≥0 </m:t>
              </m:r>
            </m:oMath>
            <w:r>
              <w:rPr>
                <w:spacing w:val="17"/>
                <w:w w:val="105"/>
              </w:rPr>
              <w:t xml:space="preserve">  is </w:t>
            </w:r>
            <w:r>
              <w:rPr>
                <w:w w:val="105"/>
              </w:rPr>
              <w:t>the</w:t>
            </w:r>
          </w:p>
          <w:p w:rsidR="00EE5514" w:rsidRDefault="00EE5514" w:rsidP="009553BA">
            <w:pPr>
              <w:pStyle w:val="TableParagraph"/>
              <w:spacing w:before="4" w:line="230" w:lineRule="auto"/>
              <w:ind w:left="103" w:right="184"/>
            </w:pPr>
            <w:r>
              <w:t xml:space="preserve">indicator for deprivation for an individual </w:t>
            </w:r>
            <w:proofErr w:type="spellStart"/>
            <w:r>
              <w:rPr>
                <w:i/>
              </w:rPr>
              <w:t>i</w:t>
            </w:r>
            <w:proofErr w:type="spellEnd"/>
            <w:r>
              <w:rPr>
                <w:i/>
              </w:rPr>
              <w:t xml:space="preserve"> </w:t>
            </w:r>
            <w:r>
              <w:t xml:space="preserve">in dimension </w:t>
            </w:r>
            <w:r>
              <w:rPr>
                <w:i/>
              </w:rPr>
              <w:t xml:space="preserve">j. </w:t>
            </w:r>
            <w:r>
              <w:rPr>
                <w:rFonts w:ascii="Cambria Math" w:eastAsia="Cambria Math" w:hAnsi="Cambria Math"/>
              </w:rPr>
              <w:t>𝑧</w:t>
            </w:r>
            <w:r>
              <w:rPr>
                <w:rFonts w:ascii="Cambria Math" w:eastAsia="Cambria Math" w:hAnsi="Cambria Math"/>
                <w:position w:val="-4"/>
                <w:sz w:val="16"/>
              </w:rPr>
              <w:t xml:space="preserve">𝑗 </w:t>
            </w:r>
            <w:r>
              <w:t xml:space="preserve">is the cut-off point for the dimension </w:t>
            </w:r>
            <w:r>
              <w:rPr>
                <w:i/>
              </w:rPr>
              <w:t xml:space="preserve">j.   </w:t>
            </w:r>
            <w:r>
              <w:rPr>
                <w:rFonts w:ascii="Cambria Math" w:eastAsia="Cambria Math" w:hAnsi="Cambria Math"/>
              </w:rPr>
              <w:t xml:space="preserve">𝐼 </w:t>
            </w:r>
            <w:r>
              <w:rPr>
                <w:rFonts w:ascii="Cambria Math" w:eastAsia="Cambria Math" w:hAnsi="Cambria Math"/>
                <w:position w:val="9"/>
                <w:sz w:val="16"/>
              </w:rPr>
              <w:t xml:space="preserve">𝑘   </w:t>
            </w:r>
            <w:r>
              <w:rPr>
                <w:rFonts w:ascii="Cambria Math" w:eastAsia="Cambria Math" w:hAnsi="Cambria Math"/>
              </w:rPr>
              <w:t xml:space="preserve">= </w:t>
            </w:r>
            <w:proofErr w:type="gramStart"/>
            <w:r>
              <w:rPr>
                <w:rFonts w:ascii="Cambria Math" w:eastAsia="Cambria Math" w:hAnsi="Cambria Math"/>
              </w:rPr>
              <w:t>𝐼(</w:t>
            </w:r>
            <w:proofErr w:type="gramEnd"/>
            <w:r>
              <w:rPr>
                <w:rFonts w:ascii="Cambria Math" w:eastAsia="Cambria Math" w:hAnsi="Cambria Math"/>
              </w:rPr>
              <w:t>𝐶</w:t>
            </w:r>
            <w:r>
              <w:rPr>
                <w:rFonts w:ascii="Cambria Math" w:eastAsia="Cambria Math" w:hAnsi="Cambria Math"/>
                <w:position w:val="-4"/>
                <w:sz w:val="16"/>
              </w:rPr>
              <w:t xml:space="preserve">𝑖  </w:t>
            </w:r>
            <w:r>
              <w:rPr>
                <w:rFonts w:ascii="Cambria Math" w:eastAsia="Cambria Math" w:hAnsi="Cambria Math"/>
              </w:rPr>
              <w:t xml:space="preserve">≥ 𝑘) </w:t>
            </w:r>
            <w:r>
              <w:t>is the poverty</w:t>
            </w:r>
          </w:p>
          <w:p w:rsidR="00EE5514" w:rsidRDefault="00EE5514" w:rsidP="009553BA">
            <w:pPr>
              <w:pStyle w:val="TableParagraph"/>
              <w:spacing w:line="11" w:lineRule="exact"/>
              <w:ind w:left="325" w:right="1596"/>
              <w:jc w:val="center"/>
              <w:rPr>
                <w:rFonts w:ascii="Cambria Math" w:eastAsia="Cambria Math"/>
                <w:sz w:val="16"/>
              </w:rPr>
            </w:pPr>
            <w:r>
              <w:rPr>
                <w:rFonts w:ascii="Cambria Math" w:eastAsia="Cambria Math"/>
                <w:w w:val="110"/>
                <w:sz w:val="16"/>
              </w:rPr>
              <w:t>𝑖</w:t>
            </w:r>
          </w:p>
          <w:p w:rsidR="00EE5514" w:rsidRDefault="00EE5514" w:rsidP="009553BA">
            <w:pPr>
              <w:pStyle w:val="TableParagraph"/>
              <w:spacing w:before="11" w:line="223" w:lineRule="exact"/>
              <w:ind w:left="103"/>
            </w:pPr>
            <w:r>
              <w:t xml:space="preserve">indicator in which </w:t>
            </w:r>
            <w:r>
              <w:rPr>
                <w:i/>
              </w:rPr>
              <w:t xml:space="preserve">k </w:t>
            </w:r>
            <w:r>
              <w:t>is the cut-off number of</w:t>
            </w:r>
          </w:p>
          <w:p w:rsidR="00EE5514" w:rsidRDefault="00EE5514" w:rsidP="009553BA">
            <w:pPr>
              <w:pStyle w:val="TableParagraph"/>
              <w:tabs>
                <w:tab w:val="left" w:pos="1941"/>
              </w:tabs>
              <w:spacing w:before="11" w:line="225" w:lineRule="auto"/>
              <w:ind w:left="103" w:right="349"/>
              <w:rPr>
                <w:rFonts w:ascii="Cambria Math" w:eastAsia="Cambria Math"/>
                <w:sz w:val="16"/>
              </w:rPr>
            </w:pPr>
            <w:r>
              <w:t>dimensions in which an individual has to</w:t>
            </w:r>
            <w:r>
              <w:rPr>
                <w:spacing w:val="-16"/>
              </w:rPr>
              <w:t xml:space="preserve"> </w:t>
            </w:r>
            <w:r>
              <w:t xml:space="preserve">be deprived to be poor and </w:t>
            </w:r>
            <w:r>
              <w:rPr>
                <w:rFonts w:ascii="Cambria Math" w:eastAsia="Cambria Math" w:hAnsi="Cambria Math"/>
                <w:spacing w:val="-6"/>
              </w:rPr>
              <w:t>𝐶</w:t>
            </w:r>
            <w:r>
              <w:rPr>
                <w:rFonts w:ascii="Cambria Math" w:eastAsia="Cambria Math" w:hAnsi="Cambria Math"/>
                <w:spacing w:val="-6"/>
                <w:position w:val="-4"/>
                <w:sz w:val="16"/>
              </w:rPr>
              <w:t xml:space="preserve">𝑖 </w:t>
            </w:r>
            <w:r>
              <w:t xml:space="preserve">is the total dimensions in which an individual </w:t>
            </w:r>
            <w:proofErr w:type="spellStart"/>
            <w:r>
              <w:rPr>
                <w:i/>
              </w:rPr>
              <w:t>i</w:t>
            </w:r>
            <w:proofErr w:type="spellEnd"/>
            <w:r>
              <w:rPr>
                <w:i/>
              </w:rPr>
              <w:t xml:space="preserve"> </w:t>
            </w:r>
            <w:r>
              <w:t xml:space="preserve">is deprived and denoted as </w:t>
            </w:r>
            <m:oMath>
              <m:sSub>
                <m:sSubPr>
                  <m:ctrlPr>
                    <w:rPr>
                      <w:rFonts w:ascii="Cambria Math" w:hAnsi="Cambria Math"/>
                      <w:i/>
                      <w:iCs/>
                      <w:sz w:val="24"/>
                      <w:szCs w:val="24"/>
                      <w:lang w:val="en-NZ"/>
                    </w:rPr>
                  </m:ctrlPr>
                </m:sSubPr>
                <m:e>
                  <m:r>
                    <w:rPr>
                      <w:rFonts w:ascii="Cambria Math" w:hAnsi="Cambria Math"/>
                      <w:sz w:val="24"/>
                      <w:szCs w:val="24"/>
                      <w:lang w:val="en-NZ"/>
                    </w:rPr>
                    <m:t>C</m:t>
                  </m:r>
                </m:e>
                <m:sub>
                  <m:r>
                    <w:rPr>
                      <w:rFonts w:ascii="Cambria Math" w:hAnsi="Cambria Math"/>
                      <w:sz w:val="24"/>
                      <w:szCs w:val="24"/>
                      <w:lang w:val="en-NZ"/>
                    </w:rPr>
                    <m:t>i</m:t>
                  </m:r>
                </m:sub>
              </m:sSub>
              <m:r>
                <m:rPr>
                  <m:sty m:val="p"/>
                </m:rPr>
                <w:rPr>
                  <w:rFonts w:ascii="Cambria Math" w:hAnsi="Cambria Math"/>
                  <w:sz w:val="24"/>
                  <w:szCs w:val="24"/>
                  <w:lang w:val="en-NZ"/>
                </w:rPr>
                <m:t>=</m:t>
              </m:r>
              <m:nary>
                <m:naryPr>
                  <m:chr m:val="∑"/>
                  <m:limLoc m:val="undOvr"/>
                  <m:ctrlPr>
                    <w:rPr>
                      <w:rFonts w:ascii="Cambria Math" w:hAnsi="Cambria Math"/>
                      <w:i/>
                      <w:iCs/>
                      <w:sz w:val="24"/>
                      <w:szCs w:val="24"/>
                      <w:lang w:val="en-NZ"/>
                    </w:rPr>
                  </m:ctrlPr>
                </m:naryPr>
                <m:sub>
                  <m:r>
                    <w:rPr>
                      <w:rFonts w:ascii="Cambria Math" w:hAnsi="Cambria Math"/>
                      <w:sz w:val="24"/>
                      <w:szCs w:val="24"/>
                      <w:lang w:val="en-NZ"/>
                    </w:rPr>
                    <m:t>j</m:t>
                  </m:r>
                  <m:r>
                    <m:rPr>
                      <m:sty m:val="p"/>
                    </m:rPr>
                    <w:rPr>
                      <w:rFonts w:ascii="Cambria Math" w:hAnsi="Cambria Math"/>
                      <w:sz w:val="24"/>
                      <w:szCs w:val="24"/>
                      <w:lang w:val="en-NZ"/>
                    </w:rPr>
                    <m:t>=1</m:t>
                  </m:r>
                </m:sub>
                <m:sup>
                  <m:r>
                    <w:rPr>
                      <w:rFonts w:ascii="Cambria Math" w:hAnsi="Cambria Math"/>
                      <w:sz w:val="24"/>
                      <w:szCs w:val="24"/>
                      <w:lang w:val="en-NZ"/>
                    </w:rPr>
                    <m:t>d</m:t>
                  </m:r>
                </m:sup>
                <m:e>
                  <m:sSub>
                    <m:sSubPr>
                      <m:ctrlPr>
                        <w:rPr>
                          <w:rFonts w:ascii="Cambria Math" w:hAnsi="Cambria Math"/>
                          <w:i/>
                          <w:iCs/>
                          <w:sz w:val="24"/>
                          <w:szCs w:val="24"/>
                          <w:lang w:val="en-NZ"/>
                        </w:rPr>
                      </m:ctrlPr>
                    </m:sSubPr>
                    <m:e>
                      <m:r>
                        <w:rPr>
                          <w:rFonts w:ascii="Cambria Math" w:hAnsi="Cambria Math"/>
                          <w:sz w:val="24"/>
                          <w:szCs w:val="24"/>
                          <w:lang w:val="en-NZ"/>
                        </w:rPr>
                        <m:t>I</m:t>
                      </m:r>
                    </m:e>
                    <m:sub>
                      <m:r>
                        <w:rPr>
                          <w:rFonts w:ascii="Cambria Math" w:hAnsi="Cambria Math"/>
                          <w:sz w:val="24"/>
                          <w:szCs w:val="24"/>
                          <w:lang w:val="en-NZ"/>
                        </w:rPr>
                        <m:t>ij</m:t>
                      </m:r>
                    </m:sub>
                  </m:sSub>
                </m:e>
              </m:nary>
            </m:oMath>
          </w:p>
          <w:p w:rsidR="00EE5514" w:rsidRDefault="00EE5514" w:rsidP="009553BA">
            <w:pPr>
              <w:pStyle w:val="TableParagraph"/>
              <w:spacing w:line="8" w:lineRule="exact"/>
              <w:ind w:left="799" w:right="1596"/>
              <w:jc w:val="center"/>
              <w:rPr>
                <w:rFonts w:ascii="Cambria Math" w:eastAsia="Cambria Math"/>
                <w:sz w:val="16"/>
              </w:rPr>
            </w:pPr>
          </w:p>
        </w:tc>
      </w:tr>
      <w:tr w:rsidR="00EE5514" w:rsidTr="009553BA">
        <w:trPr>
          <w:trHeight w:hRule="exact" w:val="262"/>
        </w:trPr>
        <w:tc>
          <w:tcPr>
            <w:tcW w:w="9074" w:type="dxa"/>
            <w:gridSpan w:val="2"/>
            <w:shd w:val="clear" w:color="auto" w:fill="D9E1F3"/>
          </w:tcPr>
          <w:p w:rsidR="00EE5514" w:rsidRDefault="00EE5514" w:rsidP="009553BA">
            <w:pPr>
              <w:pStyle w:val="TableParagraph"/>
              <w:spacing w:line="252" w:lineRule="exact"/>
              <w:ind w:left="103"/>
              <w:rPr>
                <w:b/>
              </w:rPr>
            </w:pPr>
            <w:r>
              <w:rPr>
                <w:b/>
              </w:rPr>
              <w:t>Distribution Sensitive</w:t>
            </w:r>
          </w:p>
        </w:tc>
      </w:tr>
      <w:tr w:rsidR="00EE5514" w:rsidTr="009553BA">
        <w:trPr>
          <w:trHeight w:hRule="exact" w:val="3248"/>
        </w:trPr>
        <w:tc>
          <w:tcPr>
            <w:tcW w:w="4743" w:type="dxa"/>
          </w:tcPr>
          <w:p w:rsidR="00EE5514" w:rsidRDefault="00EE5514" w:rsidP="009553BA">
            <w:pPr>
              <w:pStyle w:val="TableParagraph"/>
              <w:ind w:left="103" w:right="308"/>
            </w:pPr>
            <w:r>
              <w:t>Multidimensional Distribution-Sensitive Poverty Index</w:t>
            </w:r>
          </w:p>
          <w:p w:rsidR="00EE5514" w:rsidRDefault="00EE5514" w:rsidP="009553BA">
            <w:pPr>
              <w:pStyle w:val="TableParagraph"/>
              <w:spacing w:before="6"/>
              <w:rPr>
                <w:b/>
                <w:sz w:val="14"/>
              </w:rPr>
            </w:pPr>
          </w:p>
          <w:p w:rsidR="00EE5514" w:rsidRDefault="00EE5514" w:rsidP="009553BA">
            <w:pPr>
              <w:pStyle w:val="TableParagraph"/>
              <w:spacing w:before="1"/>
              <w:ind w:left="1754"/>
              <w:rPr>
                <w:rFonts w:ascii="Cambria Math" w:eastAsia="Cambria Math" w:hAnsi="Cambria Math"/>
              </w:rPr>
            </w:pPr>
          </w:p>
          <w:p w:rsidR="00EE5514" w:rsidRPr="00FA446C" w:rsidRDefault="00EE5514" w:rsidP="009553BA">
            <w:pPr>
              <w:pStyle w:val="NoSpacing"/>
              <w:spacing w:line="360" w:lineRule="auto"/>
              <w:jc w:val="both"/>
              <w:rPr>
                <w:rFonts w:ascii="Times New Roman" w:hAnsi="Times New Roman" w:cs="Times New Roman"/>
                <w:sz w:val="21"/>
                <w:szCs w:val="21"/>
              </w:rPr>
            </w:pPr>
            <m:oMathPara>
              <m:oMathParaPr>
                <m:jc m:val="center"/>
              </m:oMathParaPr>
              <m:oMath>
                <m:r>
                  <m:rPr>
                    <m:sty m:val="p"/>
                  </m:rPr>
                  <w:rPr>
                    <w:rFonts w:ascii="Cambria Math" w:hAnsi="Cambria Math" w:cs="Times New Roman"/>
                    <w:sz w:val="21"/>
                    <w:szCs w:val="21"/>
                  </w:rPr>
                  <m:t>MDPI=M</m:t>
                </m:r>
                <m:d>
                  <m:dPr>
                    <m:ctrlPr>
                      <w:rPr>
                        <w:rFonts w:ascii="Cambria Math" w:hAnsi="Cambria Math" w:cs="Times New Roman"/>
                        <w:sz w:val="21"/>
                        <w:szCs w:val="21"/>
                      </w:rPr>
                    </m:ctrlPr>
                  </m:dPr>
                  <m:e>
                    <m:r>
                      <m:rPr>
                        <m:sty m:val="p"/>
                      </m:rPr>
                      <w:rPr>
                        <w:rFonts w:ascii="Cambria Math" w:hAnsi="Cambria Math" w:cs="Times New Roman"/>
                        <w:sz w:val="21"/>
                        <w:szCs w:val="21"/>
                      </w:rPr>
                      <m:t>α, β;y</m:t>
                    </m:r>
                  </m:e>
                </m:d>
                <m:r>
                  <w:rPr>
                    <w:rFonts w:ascii="Cambria Math" w:hAnsi="Cambria Math" w:cs="Times New Roman"/>
                    <w:sz w:val="21"/>
                    <w:szCs w:val="21"/>
                  </w:rPr>
                  <m:t xml:space="preserve">= </m:t>
                </m:r>
                <m:f>
                  <m:fPr>
                    <m:ctrlPr>
                      <w:rPr>
                        <w:rFonts w:ascii="Cambria Math" w:hAnsi="Cambria Math" w:cs="Times New Roman"/>
                        <w:sz w:val="21"/>
                        <w:szCs w:val="21"/>
                      </w:rPr>
                    </m:ctrlPr>
                  </m:fPr>
                  <m:num>
                    <m:r>
                      <m:rPr>
                        <m:sty m:val="p"/>
                      </m:rPr>
                      <w:rPr>
                        <w:rFonts w:ascii="Cambria Math" w:hAnsi="Cambria Math" w:cs="Times New Roman"/>
                        <w:sz w:val="21"/>
                        <w:szCs w:val="21"/>
                      </w:rPr>
                      <m:t>1</m:t>
                    </m:r>
                  </m:num>
                  <m:den>
                    <m:r>
                      <w:rPr>
                        <w:rFonts w:ascii="Cambria Math" w:hAnsi="Cambria Math" w:cs="Times New Roman"/>
                        <w:sz w:val="21"/>
                        <w:szCs w:val="21"/>
                      </w:rPr>
                      <m:t>n</m:t>
                    </m:r>
                  </m:den>
                </m:f>
                <m:nary>
                  <m:naryPr>
                    <m:chr m:val="∑"/>
                    <m:limLoc m:val="undOvr"/>
                    <m:ctrlPr>
                      <w:rPr>
                        <w:rFonts w:ascii="Cambria Math" w:hAnsi="Cambria Math" w:cs="Times New Roman"/>
                        <w:sz w:val="21"/>
                        <w:szCs w:val="21"/>
                      </w:rPr>
                    </m:ctrlPr>
                  </m:naryPr>
                  <m:sub>
                    <m:r>
                      <w:rPr>
                        <w:rFonts w:ascii="Cambria Math" w:hAnsi="Cambria Math" w:cs="Times New Roman"/>
                        <w:sz w:val="21"/>
                        <w:szCs w:val="21"/>
                      </w:rPr>
                      <m:t>i=1</m:t>
                    </m:r>
                  </m:sub>
                  <m:sup>
                    <m:r>
                      <w:rPr>
                        <w:rFonts w:ascii="Cambria Math" w:hAnsi="Cambria Math" w:cs="Times New Roman"/>
                        <w:sz w:val="21"/>
                        <w:szCs w:val="21"/>
                      </w:rPr>
                      <m:t>n</m:t>
                    </m:r>
                  </m:sup>
                  <m:e>
                    <m:eqArr>
                      <m:eqArrPr>
                        <m:ctrlPr>
                          <w:rPr>
                            <w:rFonts w:ascii="Cambria Math" w:hAnsi="Cambria Math" w:cs="Times New Roman"/>
                            <w:sz w:val="21"/>
                            <w:szCs w:val="21"/>
                          </w:rPr>
                        </m:ctrlPr>
                      </m:eqArrPr>
                      <m:e>
                        <m:r>
                          <m:rPr>
                            <m:sty m:val="p"/>
                          </m:rPr>
                          <w:rPr>
                            <w:rFonts w:ascii="Cambria Math" w:hAnsi="Cambria Math" w:cs="Times New Roman"/>
                            <w:sz w:val="21"/>
                            <w:szCs w:val="21"/>
                          </w:rPr>
                          <m:t> </m:t>
                        </m:r>
                        <m:sSup>
                          <m:sSupPr>
                            <m:ctrlPr>
                              <w:rPr>
                                <w:rFonts w:ascii="Cambria Math" w:hAnsi="Cambria Math" w:cs="Times New Roman"/>
                                <w:sz w:val="21"/>
                                <w:szCs w:val="21"/>
                              </w:rPr>
                            </m:ctrlPr>
                          </m:sSupPr>
                          <m:e>
                            <m:d>
                              <m:dPr>
                                <m:ctrlPr>
                                  <w:rPr>
                                    <w:rFonts w:ascii="Cambria Math" w:hAnsi="Cambria Math" w:cs="Times New Roman"/>
                                    <w:sz w:val="21"/>
                                    <w:szCs w:val="21"/>
                                  </w:rPr>
                                </m:ctrlPr>
                              </m:dPr>
                              <m:e>
                                <m:f>
                                  <m:fPr>
                                    <m:ctrlPr>
                                      <w:rPr>
                                        <w:rFonts w:ascii="Cambria Math" w:hAnsi="Cambria Math" w:cs="Times New Roman"/>
                                        <w:sz w:val="21"/>
                                        <w:szCs w:val="21"/>
                                      </w:rPr>
                                    </m:ctrlPr>
                                  </m:fPr>
                                  <m:num>
                                    <m:r>
                                      <m:rPr>
                                        <m:sty m:val="p"/>
                                      </m:rPr>
                                      <w:rPr>
                                        <w:rFonts w:ascii="Cambria Math" w:hAnsi="Cambria Math" w:cs="Times New Roman"/>
                                        <w:sz w:val="21"/>
                                        <w:szCs w:val="21"/>
                                      </w:rPr>
                                      <m:t>1</m:t>
                                    </m:r>
                                  </m:num>
                                  <m:den>
                                    <m:r>
                                      <w:rPr>
                                        <w:rFonts w:ascii="Cambria Math" w:hAnsi="Cambria Math" w:cs="Times New Roman"/>
                                        <w:sz w:val="21"/>
                                        <w:szCs w:val="21"/>
                                      </w:rPr>
                                      <m:t>d</m:t>
                                    </m:r>
                                  </m:den>
                                </m:f>
                                <m:nary>
                                  <m:naryPr>
                                    <m:chr m:val="∑"/>
                                    <m:limLoc m:val="undOvr"/>
                                    <m:ctrlPr>
                                      <w:rPr>
                                        <w:rFonts w:ascii="Cambria Math" w:hAnsi="Cambria Math" w:cs="Times New Roman"/>
                                        <w:sz w:val="21"/>
                                        <w:szCs w:val="21"/>
                                      </w:rPr>
                                    </m:ctrlPr>
                                  </m:naryPr>
                                  <m:sub>
                                    <m:r>
                                      <w:rPr>
                                        <w:rFonts w:ascii="Cambria Math" w:hAnsi="Cambria Math" w:cs="Times New Roman"/>
                                        <w:sz w:val="21"/>
                                        <w:szCs w:val="21"/>
                                      </w:rPr>
                                      <m:t>j=1</m:t>
                                    </m:r>
                                  </m:sub>
                                  <m:sup>
                                    <m:r>
                                      <w:rPr>
                                        <w:rFonts w:ascii="Cambria Math" w:hAnsi="Cambria Math" w:cs="Times New Roman"/>
                                        <w:sz w:val="21"/>
                                        <w:szCs w:val="21"/>
                                      </w:rPr>
                                      <m:t>d</m:t>
                                    </m:r>
                                  </m:sup>
                                  <m:e>
                                    <m:sSubSup>
                                      <m:sSubSupPr>
                                        <m:ctrlPr>
                                          <w:rPr>
                                            <w:rFonts w:ascii="Cambria Math" w:hAnsi="Cambria Math" w:cs="Times New Roman"/>
                                            <w:i/>
                                            <w:iCs/>
                                            <w:sz w:val="21"/>
                                            <w:szCs w:val="21"/>
                                          </w:rPr>
                                        </m:ctrlPr>
                                      </m:sSubSupPr>
                                      <m:e>
                                        <m:r>
                                          <w:rPr>
                                            <w:rFonts w:ascii="Cambria Math" w:hAnsi="Cambria Math" w:cs="Times New Roman"/>
                                            <w:sz w:val="21"/>
                                            <w:szCs w:val="21"/>
                                          </w:rPr>
                                          <m:t>g </m:t>
                                        </m:r>
                                      </m:e>
                                      <m:sub>
                                        <m:r>
                                          <w:rPr>
                                            <w:rFonts w:ascii="Cambria Math" w:hAnsi="Cambria Math" w:cs="Times New Roman"/>
                                            <w:sz w:val="21"/>
                                            <w:szCs w:val="21"/>
                                          </w:rPr>
                                          <m:t>ij</m:t>
                                        </m:r>
                                      </m:sub>
                                      <m:sup>
                                        <m:r>
                                          <w:rPr>
                                            <w:rFonts w:ascii="Cambria Math" w:hAnsi="Cambria Math" w:cs="Times New Roman"/>
                                            <w:sz w:val="21"/>
                                            <w:szCs w:val="21"/>
                                          </w:rPr>
                                          <m:t>α</m:t>
                                        </m:r>
                                      </m:sup>
                                    </m:sSubSup>
                                  </m:e>
                                </m:nary>
                              </m:e>
                            </m:d>
                          </m:e>
                          <m:sup>
                            <m:r>
                              <w:rPr>
                                <w:rFonts w:ascii="Cambria Math" w:hAnsi="Cambria Math" w:cs="Times New Roman"/>
                                <w:sz w:val="21"/>
                                <w:szCs w:val="21"/>
                              </w:rPr>
                              <m:t>β</m:t>
                            </m:r>
                          </m:sup>
                        </m:sSup>
                        <m:r>
                          <m:rPr>
                            <m:sty m:val="p"/>
                          </m:rPr>
                          <w:rPr>
                            <w:rFonts w:ascii="Cambria Math" w:hAnsi="Cambria Math" w:cs="Times New Roman"/>
                            <w:sz w:val="21"/>
                            <w:szCs w:val="21"/>
                          </w:rPr>
                          <m:t>×100       </m:t>
                        </m:r>
                      </m:e>
                      <m:e/>
                    </m:eqArr>
                  </m:e>
                </m:nary>
              </m:oMath>
            </m:oMathPara>
          </w:p>
          <w:p w:rsidR="00EE5514" w:rsidRDefault="00EE5514" w:rsidP="009553BA">
            <w:pPr>
              <w:pStyle w:val="TableParagraph"/>
              <w:spacing w:before="1"/>
              <w:ind w:left="1754"/>
              <w:rPr>
                <w:rFonts w:ascii="Cambria Math" w:eastAsia="Cambria Math" w:hAnsi="Cambria Math"/>
              </w:rPr>
            </w:pPr>
          </w:p>
          <w:p w:rsidR="00EE5514" w:rsidRDefault="00EE5514" w:rsidP="009553BA">
            <w:pPr>
              <w:pStyle w:val="TableParagraph"/>
              <w:spacing w:before="1"/>
              <w:ind w:left="1754"/>
              <w:rPr>
                <w:rFonts w:ascii="Cambria Math" w:eastAsia="Cambria Math" w:hAnsi="Cambria Math"/>
              </w:rPr>
            </w:pPr>
            <w:r>
              <w:rPr>
                <w:rFonts w:ascii="Cambria Math" w:eastAsia="Cambria Math" w:hAnsi="Cambria Math"/>
              </w:rPr>
              <w:t xml:space="preserve">for </w:t>
            </w:r>
            <w:proofErr w:type="gramStart"/>
            <w:r>
              <w:rPr>
                <w:rFonts w:ascii="Cambria Math" w:eastAsia="Cambria Math" w:hAnsi="Cambria Math"/>
              </w:rPr>
              <w:t>𝛼  ≥</w:t>
            </w:r>
            <w:proofErr w:type="gramEnd"/>
            <w:r>
              <w:rPr>
                <w:rFonts w:ascii="Cambria Math" w:eastAsia="Cambria Math" w:hAnsi="Cambria Math"/>
              </w:rPr>
              <w:t xml:space="preserve">  0 and 𝛽  ≥ 1</w:t>
            </w:r>
          </w:p>
        </w:tc>
        <w:tc>
          <w:tcPr>
            <w:tcW w:w="4331" w:type="dxa"/>
          </w:tcPr>
          <w:p w:rsidR="00EE5514" w:rsidRDefault="00EE5514" w:rsidP="009553BA">
            <w:pPr>
              <w:pStyle w:val="TableParagraph"/>
              <w:ind w:left="103" w:right="356"/>
            </w:pPr>
            <w:r>
              <w:t xml:space="preserve">For </w:t>
            </w:r>
            <w:r w:rsidRPr="00014F97">
              <w:rPr>
                <w:i/>
                <w:iCs/>
              </w:rPr>
              <w:t>β</w:t>
            </w:r>
            <w:r>
              <w:t xml:space="preserve"> &gt; 1, the measure </w:t>
            </w:r>
            <w:proofErr w:type="gramStart"/>
            <w:r>
              <w:t>M(</w:t>
            </w:r>
            <w:proofErr w:type="gramEnd"/>
            <w:r>
              <w:t xml:space="preserve">α, β; y) satisfies the cross-dimensional convexity axiom, where: </w:t>
            </w:r>
          </w:p>
          <w:p w:rsidR="00EE5514" w:rsidRPr="00AE1A84" w:rsidRDefault="00CF00F9" w:rsidP="009553BA">
            <w:pPr>
              <w:pStyle w:val="NoSpacing"/>
              <w:rPr>
                <w:rFonts w:ascii="Times New Roman" w:hAnsi="Times New Roman" w:cs="Times New Roman"/>
                <w:lang w:val="en-NZ"/>
              </w:rPr>
            </w:pPr>
            <m:oMath>
              <m:sSubSup>
                <m:sSubSupPr>
                  <m:ctrlPr>
                    <w:rPr>
                      <w:rFonts w:ascii="Cambria Math" w:hAnsi="Cambria Math" w:cs="Times New Roman"/>
                      <w:i/>
                      <w:iCs/>
                      <w:lang w:val="en-NZ"/>
                    </w:rPr>
                  </m:ctrlPr>
                </m:sSubSupPr>
                <m:e>
                  <m:r>
                    <w:rPr>
                      <w:rFonts w:ascii="Cambria Math" w:hAnsi="Cambria Math" w:cs="Times New Roman"/>
                      <w:lang w:val="en-NZ"/>
                    </w:rPr>
                    <m:t xml:space="preserve">  g </m:t>
                  </m:r>
                </m:e>
                <m:sub>
                  <m:r>
                    <w:rPr>
                      <w:rFonts w:ascii="Cambria Math" w:hAnsi="Cambria Math" w:cs="Times New Roman"/>
                      <w:lang w:val="en-NZ"/>
                    </w:rPr>
                    <m:t>ij</m:t>
                  </m:r>
                </m:sub>
                <m:sup>
                  <m:r>
                    <w:rPr>
                      <w:rFonts w:ascii="Cambria Math" w:hAnsi="Cambria Math" w:cs="Times New Roman"/>
                      <w:lang w:val="en-NZ"/>
                    </w:rPr>
                    <m:t>α</m:t>
                  </m:r>
                </m:sup>
              </m:sSubSup>
            </m:oMath>
            <w:r w:rsidR="00EE5514" w:rsidRPr="00AE1A84">
              <w:rPr>
                <w:rFonts w:ascii="Times New Roman" w:hAnsi="Times New Roman" w:cs="Times New Roman"/>
                <w:lang w:val="en-NZ"/>
              </w:rPr>
              <w:t>=</w:t>
            </w:r>
            <m:oMath>
              <m:sSup>
                <m:sSupPr>
                  <m:ctrlPr>
                    <w:rPr>
                      <w:rFonts w:ascii="Cambria Math" w:hAnsi="Cambria Math" w:cs="Times New Roman"/>
                      <w:i/>
                      <w:iCs/>
                      <w:lang w:val="en-NZ"/>
                    </w:rPr>
                  </m:ctrlPr>
                </m:sSupPr>
                <m:e>
                  <m:d>
                    <m:dPr>
                      <m:ctrlPr>
                        <w:rPr>
                          <w:rFonts w:ascii="Cambria Math" w:hAnsi="Cambria Math" w:cs="Times New Roman"/>
                          <w:i/>
                          <w:iCs/>
                          <w:lang w:val="en-NZ"/>
                        </w:rPr>
                      </m:ctrlPr>
                    </m:dPr>
                    <m:e>
                      <m:r>
                        <m:rPr>
                          <m:sty m:val="p"/>
                        </m:rPr>
                        <w:rPr>
                          <w:rFonts w:ascii="Cambria Math" w:hAnsi="Cambria Math" w:cs="Times New Roman"/>
                          <w:lang w:val="en-NZ"/>
                        </w:rPr>
                        <m:t>1</m:t>
                      </m:r>
                      <m:r>
                        <w:rPr>
                          <w:rFonts w:ascii="Cambria Math" w:hAnsi="Cambria Math" w:cs="Times New Roman"/>
                          <w:lang w:val="en-NZ"/>
                        </w:rPr>
                        <m:t>-</m:t>
                      </m:r>
                      <m:sSub>
                        <m:sSubPr>
                          <m:ctrlPr>
                            <w:rPr>
                              <w:rFonts w:ascii="Cambria Math" w:hAnsi="Cambria Math" w:cs="Times New Roman"/>
                              <w:i/>
                              <w:iCs/>
                              <w:lang w:val="en-NZ"/>
                            </w:rPr>
                          </m:ctrlPr>
                        </m:sSubPr>
                        <m:e>
                          <m:r>
                            <w:rPr>
                              <w:rFonts w:ascii="Cambria Math" w:hAnsi="Cambria Math" w:cs="Times New Roman"/>
                              <w:lang w:val="en-NZ"/>
                            </w:rPr>
                            <m:t>y</m:t>
                          </m:r>
                        </m:e>
                        <m:sub>
                          <m:r>
                            <w:rPr>
                              <w:rFonts w:ascii="Cambria Math" w:hAnsi="Cambria Math" w:cs="Times New Roman"/>
                              <w:lang w:val="en-NZ"/>
                            </w:rPr>
                            <m:t>ij</m:t>
                          </m:r>
                        </m:sub>
                      </m:sSub>
                      <m:r>
                        <m:rPr>
                          <m:sty m:val="p"/>
                        </m:rPr>
                        <w:rPr>
                          <w:rFonts w:ascii="Cambria Math" w:hAnsi="Cambria Math" w:cs="Times New Roman"/>
                          <w:lang w:val="en-NZ"/>
                        </w:rPr>
                        <m:t>/</m:t>
                      </m:r>
                      <m:sSub>
                        <m:sSubPr>
                          <m:ctrlPr>
                            <w:rPr>
                              <w:rFonts w:ascii="Cambria Math" w:hAnsi="Cambria Math" w:cs="Times New Roman"/>
                              <w:i/>
                              <w:iCs/>
                              <w:lang w:val="en-NZ"/>
                            </w:rPr>
                          </m:ctrlPr>
                        </m:sSubPr>
                        <m:e>
                          <m:r>
                            <w:rPr>
                              <w:rFonts w:ascii="Cambria Math" w:hAnsi="Cambria Math" w:cs="Times New Roman"/>
                              <w:lang w:val="en-NZ"/>
                            </w:rPr>
                            <m:t>z</m:t>
                          </m:r>
                        </m:e>
                        <m:sub>
                          <m:r>
                            <w:rPr>
                              <w:rFonts w:ascii="Cambria Math" w:hAnsi="Cambria Math" w:cs="Times New Roman"/>
                              <w:lang w:val="en-NZ"/>
                            </w:rPr>
                            <m:t>j</m:t>
                          </m:r>
                        </m:sub>
                      </m:sSub>
                    </m:e>
                  </m:d>
                </m:e>
                <m:sup>
                  <m:r>
                    <w:rPr>
                      <w:rFonts w:ascii="Cambria Math" w:hAnsi="Cambria Math" w:cs="Times New Roman"/>
                      <w:lang w:val="en-NZ"/>
                    </w:rPr>
                    <m:t>α</m:t>
                  </m:r>
                </m:sup>
              </m:sSup>
              <m:r>
                <w:rPr>
                  <w:rFonts w:ascii="Cambria Math" w:hAnsi="Cambria Math" w:cs="Times New Roman"/>
                  <w:lang w:val="en-NZ"/>
                </w:rPr>
                <m:t> </m:t>
              </m:r>
              <m:sSub>
                <m:sSubPr>
                  <m:ctrlPr>
                    <w:rPr>
                      <w:rFonts w:ascii="Cambria Math" w:hAnsi="Cambria Math" w:cs="Times New Roman"/>
                      <w:i/>
                      <w:iCs/>
                      <w:lang w:val="en-NZ"/>
                    </w:rPr>
                  </m:ctrlPr>
                </m:sSubPr>
                <m:e>
                  <m:r>
                    <w:rPr>
                      <w:rFonts w:ascii="Cambria Math" w:hAnsi="Cambria Math" w:cs="Times New Roman"/>
                      <w:lang w:val="en-NZ"/>
                    </w:rPr>
                    <m:t>I</m:t>
                  </m:r>
                </m:e>
                <m:sub>
                  <m:r>
                    <w:rPr>
                      <w:rFonts w:ascii="Cambria Math" w:hAnsi="Cambria Math" w:cs="Times New Roman"/>
                      <w:lang w:val="en-NZ"/>
                    </w:rPr>
                    <m:t>ij</m:t>
                  </m:r>
                </m:sub>
              </m:sSub>
              <m:r>
                <w:rPr>
                  <w:rFonts w:ascii="Cambria Math" w:hAnsi="Cambria Math" w:cs="Times New Roman"/>
                  <w:lang w:val="en-NZ"/>
                </w:rPr>
                <m:t>  </m:t>
              </m:r>
              <m:r>
                <m:rPr>
                  <m:nor/>
                </m:rPr>
                <w:rPr>
                  <w:rFonts w:ascii="Times New Roman" w:hAnsi="Times New Roman" w:cs="Times New Roman"/>
                  <w:lang w:val="en-NZ"/>
                </w:rPr>
                <m:t>for</m:t>
              </m:r>
              <m:r>
                <w:rPr>
                  <w:rFonts w:ascii="Cambria Math" w:hAnsi="Cambria Math" w:cs="Times New Roman"/>
                  <w:lang w:val="en-NZ"/>
                </w:rPr>
                <m:t>  α</m:t>
              </m:r>
              <m:r>
                <m:rPr>
                  <m:sty m:val="p"/>
                </m:rPr>
                <w:rPr>
                  <w:rFonts w:ascii="Cambria Math" w:hAnsi="Cambria Math" w:cs="Times New Roman"/>
                  <w:lang w:val="en-NZ"/>
                </w:rPr>
                <m:t>≥0</m:t>
              </m:r>
            </m:oMath>
          </w:p>
          <w:p w:rsidR="00EE5514" w:rsidRDefault="00EE5514" w:rsidP="009553BA">
            <w:pPr>
              <w:pStyle w:val="TableParagraph"/>
              <w:spacing w:before="2" w:line="290" w:lineRule="exact"/>
              <w:ind w:left="103"/>
            </w:pPr>
            <w:r>
              <w:t xml:space="preserve">and </w:t>
            </w:r>
            <w:proofErr w:type="gramStart"/>
            <w:r>
              <w:rPr>
                <w:rFonts w:ascii="Cambria Math" w:eastAsia="Cambria Math" w:hAnsi="Cambria Math"/>
              </w:rPr>
              <w:t>𝑦</w:t>
            </w:r>
            <w:r>
              <w:rPr>
                <w:rFonts w:ascii="Cambria Math" w:eastAsia="Cambria Math" w:hAnsi="Cambria Math"/>
                <w:position w:val="-4"/>
                <w:sz w:val="16"/>
              </w:rPr>
              <w:t xml:space="preserve">𝑖𝑗  </w:t>
            </w:r>
            <w:r>
              <w:t>is</w:t>
            </w:r>
            <w:proofErr w:type="gramEnd"/>
            <w:r>
              <w:t xml:space="preserve"> the individual </w:t>
            </w:r>
            <w:r>
              <w:rPr>
                <w:i/>
              </w:rPr>
              <w:t xml:space="preserve">i’s </w:t>
            </w:r>
            <w:r>
              <w:t>score in dimension</w:t>
            </w:r>
          </w:p>
          <w:p w:rsidR="00EE5514" w:rsidRDefault="00EE5514" w:rsidP="009553BA">
            <w:pPr>
              <w:pStyle w:val="TableParagraph"/>
              <w:spacing w:line="286" w:lineRule="exact"/>
              <w:ind w:left="103"/>
            </w:pPr>
            <w:r>
              <w:rPr>
                <w:i/>
              </w:rPr>
              <w:t xml:space="preserve">j </w:t>
            </w:r>
            <w:r>
              <w:t xml:space="preserve">and </w:t>
            </w:r>
            <w:r>
              <w:rPr>
                <w:rFonts w:ascii="Cambria Math" w:eastAsia="Cambria Math"/>
              </w:rPr>
              <w:t>𝑧</w:t>
            </w:r>
            <w:r>
              <w:rPr>
                <w:rFonts w:ascii="Cambria Math" w:eastAsia="Cambria Math"/>
                <w:position w:val="-4"/>
                <w:sz w:val="16"/>
              </w:rPr>
              <w:t xml:space="preserve">𝑗   </w:t>
            </w:r>
            <w:r>
              <w:t xml:space="preserve">is the cutoff point for deprivation </w:t>
            </w:r>
            <w:r>
              <w:rPr>
                <w:i/>
              </w:rPr>
              <w:t>j</w:t>
            </w:r>
            <w:r>
              <w:t>.</w:t>
            </w:r>
          </w:p>
          <w:p w:rsidR="00EE5514" w:rsidRDefault="00EE5514" w:rsidP="009553BA">
            <w:pPr>
              <w:pStyle w:val="TableParagraph"/>
              <w:spacing w:before="6" w:line="230" w:lineRule="auto"/>
              <w:ind w:left="103" w:right="336"/>
              <w:rPr>
                <w:rFonts w:ascii="Cambria Math" w:eastAsia="Cambria Math" w:hAnsi="Cambria Math"/>
              </w:rPr>
            </w:pPr>
          </w:p>
          <w:p w:rsidR="00EE5514" w:rsidRPr="00AE1A84" w:rsidRDefault="00EE5514" w:rsidP="009553BA">
            <w:pPr>
              <w:pStyle w:val="TableParagraph"/>
              <w:spacing w:before="6" w:line="230" w:lineRule="auto"/>
              <w:ind w:left="103" w:right="336"/>
            </w:pPr>
            <w:r>
              <w:rPr>
                <w:rFonts w:ascii="Cambria Math" w:eastAsia="Cambria Math" w:hAnsi="Cambria Math"/>
              </w:rPr>
              <w:t>𝐼</w:t>
            </w:r>
            <w:r>
              <w:rPr>
                <w:rFonts w:ascii="Cambria Math" w:eastAsia="Cambria Math" w:hAnsi="Cambria Math"/>
                <w:position w:val="-4"/>
                <w:sz w:val="16"/>
              </w:rPr>
              <w:t xml:space="preserve">𝑖𝑗 </w:t>
            </w:r>
            <w:r>
              <w:rPr>
                <w:rFonts w:ascii="Cambria Math" w:eastAsia="Cambria Math" w:hAnsi="Cambria Math"/>
              </w:rPr>
              <w:t xml:space="preserve">= </w:t>
            </w:r>
            <w:proofErr w:type="gramStart"/>
            <w:r>
              <w:rPr>
                <w:rFonts w:ascii="Cambria Math" w:eastAsia="Cambria Math" w:hAnsi="Cambria Math"/>
              </w:rPr>
              <w:t>𝐼(</w:t>
            </w:r>
            <w:proofErr w:type="gramEnd"/>
            <w:r>
              <w:rPr>
                <w:rFonts w:ascii="Cambria Math" w:eastAsia="Cambria Math" w:hAnsi="Cambria Math"/>
              </w:rPr>
              <w:t>𝑦</w:t>
            </w:r>
            <w:r>
              <w:rPr>
                <w:rFonts w:ascii="Cambria Math" w:eastAsia="Cambria Math" w:hAnsi="Cambria Math"/>
                <w:position w:val="-4"/>
                <w:sz w:val="16"/>
              </w:rPr>
              <w:t xml:space="preserve">𝑖𝑗 </w:t>
            </w:r>
            <w:r>
              <w:rPr>
                <w:rFonts w:ascii="Cambria Math" w:eastAsia="Cambria Math" w:hAnsi="Cambria Math"/>
              </w:rPr>
              <w:t>&lt; 𝑍</w:t>
            </w:r>
            <w:r>
              <w:rPr>
                <w:rFonts w:ascii="Cambria Math" w:eastAsia="Cambria Math" w:hAnsi="Cambria Math"/>
                <w:position w:val="-4"/>
                <w:sz w:val="16"/>
              </w:rPr>
              <w:t>𝑗</w:t>
            </w:r>
            <w:r>
              <w:rPr>
                <w:rFonts w:ascii="Cambria Math" w:eastAsia="Cambria Math" w:hAnsi="Cambria Math"/>
              </w:rPr>
              <w:t xml:space="preserve">) </w:t>
            </w:r>
            <w:r>
              <w:t xml:space="preserve">0 – 1 deprivation indicator function and </w:t>
            </w:r>
            <w:r>
              <w:rPr>
                <w:rFonts w:ascii="Cambria Math" w:eastAsia="Cambria Math" w:hAnsi="Cambria Math"/>
                <w:w w:val="105"/>
              </w:rPr>
              <w:t>𝐼</w:t>
            </w:r>
            <w:r>
              <w:rPr>
                <w:rFonts w:ascii="Cambria Math" w:eastAsia="Cambria Math" w:hAnsi="Cambria Math"/>
                <w:w w:val="105"/>
                <w:position w:val="-4"/>
                <w:sz w:val="16"/>
              </w:rPr>
              <w:t>𝑖𝑗</w:t>
            </w:r>
            <w:r>
              <w:t xml:space="preserve"> takes value of zero when </w:t>
            </w:r>
            <w:r>
              <w:rPr>
                <w:rFonts w:ascii="Cambria Math" w:eastAsia="Cambria Math" w:hAnsi="Cambria Math"/>
                <w:w w:val="105"/>
              </w:rPr>
              <w:t>𝑦</w:t>
            </w:r>
            <w:r>
              <w:rPr>
                <w:rFonts w:ascii="Cambria Math" w:eastAsia="Cambria Math" w:hAnsi="Cambria Math"/>
                <w:w w:val="105"/>
                <w:position w:val="-4"/>
                <w:sz w:val="16"/>
              </w:rPr>
              <w:t>𝑖𝑗</w:t>
            </w:r>
            <w:r>
              <w:rPr>
                <w:w w:val="105"/>
              </w:rPr>
              <w:t>&gt;</w:t>
            </w:r>
            <w:r>
              <w:rPr>
                <w:rFonts w:ascii="Cambria Math" w:eastAsia="Cambria Math" w:hAnsi="Cambria Math"/>
                <w:w w:val="105"/>
              </w:rPr>
              <w:t>𝑧</w:t>
            </w:r>
            <w:r>
              <w:rPr>
                <w:rFonts w:ascii="Cambria Math" w:eastAsia="Cambria Math" w:hAnsi="Cambria Math"/>
                <w:w w:val="105"/>
                <w:position w:val="-4"/>
                <w:sz w:val="16"/>
              </w:rPr>
              <w:t xml:space="preserve">𝑗;  </w:t>
            </w:r>
            <w:r>
              <w:rPr>
                <w:w w:val="105"/>
              </w:rPr>
              <w:t xml:space="preserve">and 1 when </w:t>
            </w:r>
            <w:r>
              <w:rPr>
                <w:rFonts w:ascii="Cambria Math" w:eastAsia="Cambria Math" w:hAnsi="Cambria Math"/>
                <w:w w:val="105"/>
              </w:rPr>
              <w:t>𝑦</w:t>
            </w:r>
            <w:r>
              <w:rPr>
                <w:rFonts w:ascii="Cambria Math" w:eastAsia="Cambria Math" w:hAnsi="Cambria Math"/>
                <w:w w:val="105"/>
                <w:position w:val="-4"/>
                <w:sz w:val="16"/>
              </w:rPr>
              <w:t xml:space="preserve">𝑖𝑗 </w:t>
            </w:r>
            <w:r>
              <w:rPr>
                <w:w w:val="105"/>
              </w:rPr>
              <w:t xml:space="preserve">≤ </w:t>
            </w:r>
            <w:r>
              <w:rPr>
                <w:rFonts w:ascii="Cambria Math" w:eastAsia="Cambria Math" w:hAnsi="Cambria Math"/>
                <w:w w:val="105"/>
              </w:rPr>
              <w:t>𝑧</w:t>
            </w:r>
            <w:r>
              <w:rPr>
                <w:rFonts w:ascii="Cambria Math" w:eastAsia="Cambria Math" w:hAnsi="Cambria Math"/>
                <w:w w:val="105"/>
                <w:position w:val="-4"/>
                <w:sz w:val="16"/>
              </w:rPr>
              <w:t>𝑗</w:t>
            </w:r>
          </w:p>
        </w:tc>
      </w:tr>
    </w:tbl>
    <w:p w:rsidR="00EE5514" w:rsidRDefault="00EE5514" w:rsidP="00EE5514">
      <w:pPr>
        <w:spacing w:before="240" w:after="240"/>
        <w:rPr>
          <w:rFonts w:ascii="Arial" w:hAnsi="Arial" w:cs="Arial"/>
          <w:color w:val="FF0000"/>
          <w:sz w:val="26"/>
          <w:szCs w:val="26"/>
        </w:rPr>
      </w:pPr>
    </w:p>
    <w:p w:rsidR="00EE5514" w:rsidRDefault="00EE5514" w:rsidP="00EE5514">
      <w:pPr>
        <w:spacing w:before="240" w:after="240"/>
        <w:rPr>
          <w:rFonts w:ascii="Arial" w:hAnsi="Arial" w:cs="Arial"/>
          <w:color w:val="FF0000"/>
          <w:sz w:val="26"/>
          <w:szCs w:val="26"/>
        </w:rPr>
        <w:sectPr w:rsidR="00EE5514" w:rsidSect="009553BA">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582" w:header="708" w:footer="708" w:gutter="0"/>
          <w:cols w:space="708"/>
          <w:docGrid w:linePitch="360"/>
        </w:sectPr>
      </w:pPr>
    </w:p>
    <w:p w:rsidR="00EE5514" w:rsidRPr="001E0A00" w:rsidRDefault="00EE5514" w:rsidP="00EE5514">
      <w:pPr>
        <w:jc w:val="center"/>
        <w:rPr>
          <w:b/>
        </w:rPr>
      </w:pPr>
      <w:r w:rsidRPr="001E0A00">
        <w:rPr>
          <w:b/>
        </w:rPr>
        <w:lastRenderedPageBreak/>
        <w:t xml:space="preserve">Appendix B: Blinder-Oaxaca Decomposition Derivation </w:t>
      </w:r>
    </w:p>
    <w:p w:rsidR="00EE5514" w:rsidRPr="00CE2FBE" w:rsidRDefault="00EE5514" w:rsidP="00EE5514">
      <w:pPr>
        <w:spacing w:after="0" w:line="240" w:lineRule="auto"/>
        <w:rPr>
          <w:rFonts w:ascii="Arial" w:hAnsi="Arial" w:cs="Arial"/>
          <w:lang w:val="en-US"/>
        </w:rPr>
      </w:pPr>
    </w:p>
    <w:p w:rsidR="00EE5514" w:rsidRDefault="00CF00F9" w:rsidP="00EE5514">
      <w:pPr>
        <w:spacing w:after="0" w:line="240" w:lineRule="auto"/>
        <w:rPr>
          <w:lang w:val="en-US"/>
        </w:rPr>
      </w:pP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sidR="00EE5514">
        <w:rPr>
          <w:vertAlign w:val="superscript"/>
        </w:rPr>
        <w:t xml:space="preserve"> </w:t>
      </w:r>
      <w:r w:rsidR="00EE5514">
        <w:sym w:font="Symbol" w:char="F02D"/>
      </w:r>
      <w:r w:rsidR="00EE5514">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post</m:t>
            </m:r>
          </m:sup>
        </m:sSup>
      </m:oMath>
      <w:r w:rsidR="00EE5514">
        <w:rPr>
          <w:vertAlign w:val="superscript"/>
        </w:rPr>
        <w:t xml:space="preserve"> </w:t>
      </w:r>
      <w:r w:rsidR="00EE5514">
        <w:t xml:space="preserve">=  </w:t>
      </w: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pre</m:t>
            </m:r>
          </m:sup>
        </m:sSup>
        <m:r>
          <w:rPr>
            <w:rFonts w:ascii="Cambria Math" w:hAnsi="Cambria Math"/>
            <w:lang w:val="en-US"/>
          </w:rPr>
          <m:t xml:space="preserve">- </m:t>
        </m:r>
        <m:r>
          <m:rPr>
            <m:sty m:val="p"/>
          </m:rPr>
          <w:rPr>
            <w:rFonts w:ascii="Cambria Math" w:hAnsi="Cambria Math"/>
          </w:rPr>
          <m:t xml:space="preserve"> </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oMath>
      <w:r w:rsidR="00EE5514">
        <w:rPr>
          <w:lang w:val="en-US"/>
        </w:rPr>
        <w:t xml:space="preserve"> ……………………………………………</w:t>
      </w:r>
      <w:proofErr w:type="gramStart"/>
      <w:r w:rsidR="00EE5514">
        <w:rPr>
          <w:lang w:val="en-US"/>
        </w:rPr>
        <w:t>…..</w:t>
      </w:r>
      <w:proofErr w:type="gramEnd"/>
      <w:r w:rsidR="00EE5514">
        <w:rPr>
          <w:lang w:val="en-US"/>
        </w:rPr>
        <w:t>……1</w:t>
      </w:r>
    </w:p>
    <w:p w:rsidR="00EE5514" w:rsidRDefault="00EE5514" w:rsidP="00EE5514">
      <w:pPr>
        <w:spacing w:after="0" w:line="240" w:lineRule="auto"/>
        <w:rPr>
          <w:lang w:val="en-US"/>
        </w:rPr>
      </w:pPr>
    </w:p>
    <w:p w:rsidR="00EE5514" w:rsidRDefault="00EE5514" w:rsidP="00EE5514">
      <w:pPr>
        <w:spacing w:after="0" w:line="240" w:lineRule="auto"/>
        <w:rPr>
          <w:lang w:val="en-US"/>
        </w:rPr>
      </w:pPr>
      <w:r>
        <w:rPr>
          <w:lang w:val="en-US"/>
        </w:rPr>
        <w:t>Add and subtract the following from the equation 1</w:t>
      </w:r>
    </w:p>
    <w:p w:rsidR="00EE5514" w:rsidRDefault="00EE5514" w:rsidP="00EE5514">
      <w:pPr>
        <w:spacing w:after="0" w:line="240" w:lineRule="auto"/>
        <w:rPr>
          <w:lang w:val="en-US"/>
        </w:rPr>
      </w:pPr>
    </w:p>
    <w:p w:rsidR="00EE5514" w:rsidRPr="00165729" w:rsidRDefault="00CF00F9" w:rsidP="00EE5514">
      <w:pPr>
        <w:spacing w:after="0" w:line="240" w:lineRule="auto"/>
        <w:rPr>
          <w:lang w:val="en-US"/>
        </w:rPr>
      </w:pPr>
      <m:oMathPara>
        <m:oMathParaPr>
          <m:jc m:val="left"/>
        </m:oMathParaP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oMath>
      </m:oMathPara>
    </w:p>
    <w:p w:rsidR="00EE5514" w:rsidRPr="00165729" w:rsidRDefault="00CF00F9" w:rsidP="00EE5514">
      <w:pPr>
        <w:spacing w:after="0" w:line="240" w:lineRule="auto"/>
        <w:rPr>
          <w:lang w:val="en-US"/>
        </w:rPr>
      </w:pPr>
      <m:oMathPara>
        <m:oMathParaPr>
          <m:jc m:val="left"/>
        </m:oMathParaP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oMath>
      </m:oMathPara>
    </w:p>
    <w:p w:rsidR="00EE5514" w:rsidRPr="00165729" w:rsidRDefault="00CF00F9" w:rsidP="00EE5514">
      <w:pPr>
        <w:spacing w:after="0" w:line="240" w:lineRule="auto"/>
        <w:rPr>
          <w:lang w:val="en-US"/>
        </w:rPr>
      </w:pPr>
      <m:oMathPara>
        <m:oMathParaPr>
          <m:jc m:val="left"/>
        </m:oMathParaP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pre</m:t>
              </m:r>
            </m:sup>
          </m:sSup>
        </m:oMath>
      </m:oMathPara>
    </w:p>
    <w:p w:rsidR="00EE5514" w:rsidRDefault="00EE5514" w:rsidP="00EE5514">
      <w:pPr>
        <w:spacing w:after="0" w:line="240" w:lineRule="auto"/>
        <w:rPr>
          <w:lang w:val="en-US"/>
        </w:rPr>
      </w:pPr>
    </w:p>
    <w:p w:rsidR="00EE5514" w:rsidRDefault="00EE5514" w:rsidP="00EE5514">
      <w:pPr>
        <w:spacing w:after="0" w:line="240" w:lineRule="auto"/>
        <w:rPr>
          <w:lang w:val="en-US"/>
        </w:rPr>
      </w:pPr>
      <w:r>
        <w:rPr>
          <w:lang w:val="en-US"/>
        </w:rPr>
        <w:t>Resulting into equation 2</w:t>
      </w:r>
    </w:p>
    <w:p w:rsidR="00EE5514" w:rsidRPr="00165729" w:rsidRDefault="00EE5514" w:rsidP="00EE5514">
      <w:pPr>
        <w:spacing w:after="0" w:line="240" w:lineRule="auto"/>
        <w:rPr>
          <w:lang w:val="en-US"/>
        </w:rPr>
      </w:pPr>
    </w:p>
    <w:p w:rsidR="00EE5514" w:rsidRDefault="00CF00F9" w:rsidP="00EE5514">
      <w:pPr>
        <w:spacing w:after="0" w:line="240" w:lineRule="auto"/>
        <w:rPr>
          <w:lang w:val="en-US"/>
        </w:rPr>
      </w:pP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sidR="00EE5514">
        <w:rPr>
          <w:vertAlign w:val="superscript"/>
        </w:rPr>
        <w:t xml:space="preserve"> </w:t>
      </w:r>
      <w:r w:rsidR="00EE5514">
        <w:sym w:font="Symbol" w:char="F02D"/>
      </w:r>
      <w:r w:rsidR="00EE5514">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post</m:t>
            </m:r>
          </m:sup>
        </m:sSup>
      </m:oMath>
      <w:r w:rsidR="00EE5514">
        <w:rPr>
          <w:vertAlign w:val="superscript"/>
        </w:rPr>
        <w:t xml:space="preserve"> </w:t>
      </w:r>
      <w:r w:rsidR="00EE5514">
        <w:t xml:space="preserve">=  </w:t>
      </w: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pre</m:t>
            </m:r>
          </m:sup>
        </m:sSup>
        <m:r>
          <w:rPr>
            <w:rFonts w:ascii="Cambria Math" w:hAnsi="Cambria Math"/>
            <w:lang w:val="en-US"/>
          </w:rPr>
          <m:t xml:space="preserve">- </m:t>
        </m:r>
        <m:r>
          <m:rPr>
            <m:sty m:val="p"/>
          </m:rPr>
          <w:rPr>
            <w:rFonts w:ascii="Cambria Math" w:hAnsi="Cambria Math"/>
          </w:rPr>
          <m:t xml:space="preserve"> </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oMath>
      <w:r w:rsidR="00EE5514">
        <w:rPr>
          <w:lang w:val="en-US"/>
        </w:rPr>
        <w:t xml:space="preserve"> + ( </w:t>
      </w: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r>
          <w:rPr>
            <w:rFonts w:ascii="Cambria Math" w:hAnsi="Cambria Math"/>
            <w:lang w:val="en-US"/>
          </w:rPr>
          <m:t xml:space="preserve">- </m:t>
        </m:r>
        <m:r>
          <m:rPr>
            <m:sty m:val="p"/>
          </m:rPr>
          <w:rPr>
            <w:rFonts w:ascii="Cambria Math" w:hAnsi="Cambria Math"/>
          </w:rPr>
          <m:t xml:space="preserve"> </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oMath>
      <w:r w:rsidR="00EE5514">
        <w:rPr>
          <w:lang w:val="en-US"/>
        </w:rPr>
        <w:t xml:space="preserve"> )+ </w:t>
      </w: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r>
          <w:rPr>
            <w:rFonts w:ascii="Cambria Math" w:hAnsi="Cambria Math"/>
            <w:lang w:val="en-US"/>
          </w:rPr>
          <m:t xml:space="preserve">- </m:t>
        </m:r>
        <m:r>
          <m:rPr>
            <m:sty m:val="p"/>
          </m:rPr>
          <w:rPr>
            <w:rFonts w:ascii="Cambria Math" w:hAnsi="Cambria Math"/>
          </w:rPr>
          <m:t xml:space="preserve"> </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pre</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r>
          <w:rPr>
            <w:rFonts w:ascii="Cambria Math" w:hAnsi="Cambria Math"/>
            <w:lang w:val="en-US"/>
          </w:rPr>
          <m:t>)</m:t>
        </m:r>
      </m:oMath>
      <w:r w:rsidR="00EE5514">
        <w:rPr>
          <w:lang w:val="en-US"/>
        </w:rPr>
        <w:t xml:space="preserve"> + (</w:t>
      </w:r>
      <m:oMath>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pre</m:t>
            </m:r>
          </m:sup>
        </m:sSup>
        <m:r>
          <w:rPr>
            <w:rFonts w:ascii="Cambria Math" w:hAnsi="Cambria Math"/>
            <w:lang w:val="en-US"/>
          </w:rPr>
          <m:t xml:space="preserve">- </m:t>
        </m:r>
        <m:r>
          <m:rPr>
            <m:sty m:val="p"/>
          </m:rPr>
          <w:rPr>
            <w:rFonts w:ascii="Cambria Math" w:hAnsi="Cambria Math"/>
          </w:rPr>
          <m:t xml:space="preserve"> </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pre</m:t>
            </m:r>
          </m:sup>
        </m:sSup>
      </m:oMath>
      <w:r w:rsidR="00EE5514">
        <w:rPr>
          <w:lang w:val="en-US"/>
        </w:rPr>
        <w:t>) …………………………………………….…..…..2</w:t>
      </w:r>
    </w:p>
    <w:p w:rsidR="00EE5514" w:rsidRDefault="00EE5514" w:rsidP="00EE5514">
      <w:pPr>
        <w:spacing w:after="0" w:line="240" w:lineRule="auto"/>
        <w:rPr>
          <w:lang w:val="en-US"/>
        </w:rPr>
      </w:pPr>
    </w:p>
    <w:p w:rsidR="00EE5514" w:rsidRDefault="00EE5514" w:rsidP="00EE5514">
      <w:pPr>
        <w:spacing w:after="0" w:line="240" w:lineRule="auto"/>
        <w:rPr>
          <w:lang w:val="en-US"/>
        </w:rPr>
      </w:pPr>
      <w:r>
        <w:rPr>
          <w:lang w:val="en-US"/>
        </w:rPr>
        <w:t>Rearrange the equation 2</w:t>
      </w:r>
    </w:p>
    <w:p w:rsidR="00EE5514" w:rsidRDefault="00EE5514" w:rsidP="00EE5514">
      <w:pPr>
        <w:spacing w:after="0" w:line="240" w:lineRule="auto"/>
        <w:rPr>
          <w:lang w:val="en-US"/>
        </w:rPr>
      </w:pPr>
    </w:p>
    <w:p w:rsidR="00EE5514" w:rsidRPr="009553BA" w:rsidRDefault="00CF00F9" w:rsidP="00EE5514">
      <w:pPr>
        <w:spacing w:after="0" w:line="240" w:lineRule="auto"/>
        <w:rPr>
          <w:lang w:val="fr-FR"/>
        </w:rPr>
      </w:pP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sidR="00EE5514" w:rsidRPr="009553BA">
        <w:rPr>
          <w:vertAlign w:val="superscript"/>
          <w:lang w:val="fr-FR"/>
        </w:rPr>
        <w:t xml:space="preserve"> </w:t>
      </w:r>
      <w:r w:rsidR="00EE5514">
        <w:sym w:font="Symbol" w:char="F02D"/>
      </w:r>
      <w:r w:rsidR="00EE5514" w:rsidRPr="009553BA">
        <w:rPr>
          <w:lang w:val="fr-FR"/>
        </w:rPr>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post</m:t>
            </m:r>
          </m:sup>
        </m:sSup>
      </m:oMath>
      <w:r w:rsidR="00EE5514" w:rsidRPr="009553BA">
        <w:rPr>
          <w:vertAlign w:val="superscript"/>
          <w:lang w:val="fr-FR"/>
        </w:rPr>
        <w:t xml:space="preserve"> </w:t>
      </w:r>
      <w:r w:rsidR="00EE5514" w:rsidRPr="009553BA">
        <w:rPr>
          <w:lang w:val="fr-FR"/>
        </w:rPr>
        <w:t>= (</w:t>
      </w:r>
      <m:oMath>
        <m:r>
          <w:rPr>
            <w:rFonts w:ascii="Cambria Math" w:hAnsi="Cambria Math"/>
            <w:lang w:val="en-US"/>
          </w:rPr>
          <m:t>x</m:t>
        </m:r>
      </m:oMath>
      <w:r w:rsidR="00EE5514" w:rsidRPr="009553BA">
        <w:rPr>
          <w:vertAlign w:val="superscript"/>
          <w:lang w:val="fr-FR"/>
        </w:rPr>
        <w:t xml:space="preserve"> pre </w:t>
      </w:r>
      <w:r w:rsidR="00EE5514">
        <w:sym w:font="Symbol" w:char="F02D"/>
      </w:r>
      <w:r w:rsidR="00EE5514" w:rsidRPr="009553BA">
        <w:rPr>
          <w:lang w:val="fr-FR"/>
        </w:rPr>
        <w:t xml:space="preserve"> </w:t>
      </w:r>
      <m:oMath>
        <m:r>
          <w:rPr>
            <w:rFonts w:ascii="Cambria Math" w:hAnsi="Cambria Math"/>
            <w:lang w:val="en-US"/>
          </w:rPr>
          <m:t>x</m:t>
        </m:r>
      </m:oMath>
      <w:r w:rsidR="00EE5514" w:rsidRPr="009553BA">
        <w:rPr>
          <w:vertAlign w:val="superscript"/>
          <w:lang w:val="fr-FR"/>
        </w:rPr>
        <w:t xml:space="preserve"> post</w:t>
      </w:r>
      <w:r w:rsidR="00EE5514" w:rsidRPr="009553BA">
        <w:rPr>
          <w:lang w:val="fr-FR"/>
        </w:rPr>
        <w:t xml:space="preserve">) </w:t>
      </w:r>
      <m:oMath>
        <m:r>
          <w:rPr>
            <w:rFonts w:ascii="Cambria Math" w:hAnsi="Cambria Math"/>
            <w:lang w:val="en-US"/>
          </w:rPr>
          <m:t>β</m:t>
        </m:r>
      </m:oMath>
      <w:r w:rsidR="00EE5514" w:rsidRPr="009553BA">
        <w:rPr>
          <w:vertAlign w:val="superscript"/>
          <w:lang w:val="fr-FR"/>
        </w:rPr>
        <w:t xml:space="preserve"> post</w:t>
      </w:r>
      <w:r w:rsidR="00EE5514" w:rsidRPr="009553BA">
        <w:rPr>
          <w:lang w:val="fr-FR"/>
        </w:rPr>
        <w:t xml:space="preserve"> + (</w:t>
      </w:r>
      <m:oMath>
        <m:r>
          <w:rPr>
            <w:rFonts w:ascii="Cambria Math" w:hAnsi="Cambria Math"/>
            <w:lang w:val="en-US"/>
          </w:rPr>
          <m:t>β</m:t>
        </m:r>
      </m:oMath>
      <w:r w:rsidR="00EE5514" w:rsidRPr="009553BA">
        <w:rPr>
          <w:vertAlign w:val="superscript"/>
          <w:lang w:val="fr-FR"/>
        </w:rPr>
        <w:t xml:space="preserve"> pre </w:t>
      </w:r>
      <w:r w:rsidR="00EE5514">
        <w:sym w:font="Symbol" w:char="F02D"/>
      </w:r>
      <w:r w:rsidR="00EE5514" w:rsidRPr="009553BA">
        <w:rPr>
          <w:lang w:val="fr-FR"/>
        </w:rPr>
        <w:t xml:space="preserve"> </w:t>
      </w:r>
      <m:oMath>
        <m:r>
          <w:rPr>
            <w:rFonts w:ascii="Cambria Math" w:hAnsi="Cambria Math"/>
            <w:lang w:val="en-US"/>
          </w:rPr>
          <m:t>β</m:t>
        </m:r>
      </m:oMath>
      <w:r w:rsidR="00EE5514" w:rsidRPr="009553BA">
        <w:rPr>
          <w:vertAlign w:val="superscript"/>
          <w:lang w:val="fr-FR"/>
        </w:rPr>
        <w:t xml:space="preserve"> </w:t>
      </w:r>
      <w:proofErr w:type="gramStart"/>
      <w:r w:rsidR="00EE5514" w:rsidRPr="009553BA">
        <w:rPr>
          <w:vertAlign w:val="superscript"/>
          <w:lang w:val="fr-FR"/>
        </w:rPr>
        <w:t>post</w:t>
      </w:r>
      <w:r w:rsidR="00EE5514" w:rsidRPr="009553BA">
        <w:rPr>
          <w:lang w:val="fr-FR"/>
        </w:rPr>
        <w:t xml:space="preserve"> )</w:t>
      </w:r>
      <w:proofErr w:type="gramEnd"/>
      <w:r w:rsidR="00EE5514" w:rsidRPr="009553BA">
        <w:rPr>
          <w:lang w:val="fr-FR"/>
        </w:rPr>
        <w:t xml:space="preserve"> </w:t>
      </w:r>
      <m:oMath>
        <m:r>
          <w:rPr>
            <w:rFonts w:ascii="Cambria Math" w:hAnsi="Cambria Math"/>
            <w:lang w:val="en-US"/>
          </w:rPr>
          <m:t>x</m:t>
        </m:r>
      </m:oMath>
      <w:r w:rsidR="00EE5514" w:rsidRPr="009553BA">
        <w:rPr>
          <w:vertAlign w:val="superscript"/>
          <w:lang w:val="fr-FR"/>
        </w:rPr>
        <w:t xml:space="preserve"> post </w:t>
      </w:r>
      <w:r w:rsidR="00EE5514" w:rsidRPr="009553BA">
        <w:rPr>
          <w:lang w:val="fr-FR"/>
        </w:rPr>
        <w:t>+ (</w:t>
      </w:r>
      <m:oMath>
        <m:r>
          <w:rPr>
            <w:rFonts w:ascii="Cambria Math" w:hAnsi="Cambria Math"/>
            <w:lang w:val="en-US"/>
          </w:rPr>
          <m:t>x</m:t>
        </m:r>
      </m:oMath>
      <w:r w:rsidR="00EE5514" w:rsidRPr="009553BA">
        <w:rPr>
          <w:vertAlign w:val="superscript"/>
          <w:lang w:val="fr-FR"/>
        </w:rPr>
        <w:t xml:space="preserve"> pre </w:t>
      </w:r>
      <w:r w:rsidR="00EE5514">
        <w:sym w:font="Symbol" w:char="F02D"/>
      </w:r>
      <w:r w:rsidR="00EE5514" w:rsidRPr="009553BA">
        <w:rPr>
          <w:lang w:val="fr-FR"/>
        </w:rPr>
        <w:t xml:space="preserve"> </w:t>
      </w:r>
      <m:oMath>
        <m:r>
          <w:rPr>
            <w:rFonts w:ascii="Cambria Math" w:hAnsi="Cambria Math"/>
            <w:lang w:val="en-US"/>
          </w:rPr>
          <m:t>x</m:t>
        </m:r>
      </m:oMath>
      <w:r w:rsidR="00EE5514" w:rsidRPr="009553BA">
        <w:rPr>
          <w:vertAlign w:val="superscript"/>
          <w:lang w:val="fr-FR"/>
        </w:rPr>
        <w:t xml:space="preserve"> post</w:t>
      </w:r>
      <w:r w:rsidR="00EE5514" w:rsidRPr="009553BA">
        <w:rPr>
          <w:lang w:val="fr-FR"/>
        </w:rPr>
        <w:t>) (</w:t>
      </w:r>
      <m:oMath>
        <m:r>
          <w:rPr>
            <w:rFonts w:ascii="Cambria Math" w:hAnsi="Cambria Math"/>
            <w:lang w:val="en-US"/>
          </w:rPr>
          <m:t>β</m:t>
        </m:r>
      </m:oMath>
      <w:r w:rsidR="00EE5514" w:rsidRPr="009553BA">
        <w:rPr>
          <w:vertAlign w:val="superscript"/>
          <w:lang w:val="fr-FR"/>
        </w:rPr>
        <w:t xml:space="preserve"> pre </w:t>
      </w:r>
      <w:r w:rsidR="00EE5514">
        <w:sym w:font="Symbol" w:char="F02D"/>
      </w:r>
      <w:r w:rsidR="00EE5514" w:rsidRPr="009553BA">
        <w:rPr>
          <w:lang w:val="fr-FR"/>
        </w:rPr>
        <w:t xml:space="preserve"> </w:t>
      </w:r>
      <m:oMath>
        <m:r>
          <w:rPr>
            <w:rFonts w:ascii="Cambria Math" w:hAnsi="Cambria Math"/>
            <w:lang w:val="en-US"/>
          </w:rPr>
          <m:t>β</m:t>
        </m:r>
      </m:oMath>
      <w:r w:rsidR="00EE5514" w:rsidRPr="009553BA">
        <w:rPr>
          <w:vertAlign w:val="superscript"/>
          <w:lang w:val="fr-FR"/>
        </w:rPr>
        <w:t xml:space="preserve"> post</w:t>
      </w:r>
      <w:r w:rsidR="00EE5514" w:rsidRPr="009553BA">
        <w:rPr>
          <w:lang w:val="fr-FR"/>
        </w:rPr>
        <w:t xml:space="preserve"> )………..3</w:t>
      </w:r>
    </w:p>
    <w:p w:rsidR="00EE5514" w:rsidRPr="009553BA" w:rsidRDefault="00EE5514" w:rsidP="00EE5514">
      <w:pPr>
        <w:spacing w:after="0" w:line="240" w:lineRule="auto"/>
        <w:rPr>
          <w:lang w:val="fr-FR"/>
        </w:rPr>
      </w:pPr>
    </w:p>
    <w:p w:rsidR="00EE5514" w:rsidRPr="009553BA" w:rsidRDefault="00EE5514" w:rsidP="00EE5514">
      <w:pPr>
        <w:spacing w:after="0" w:line="240" w:lineRule="auto"/>
        <w:rPr>
          <w:lang w:val="fr-FR"/>
        </w:rPr>
      </w:pPr>
    </w:p>
    <w:p w:rsidR="00EE5514" w:rsidRPr="007A4C8E" w:rsidRDefault="00EE5514" w:rsidP="00EE5514">
      <w:pPr>
        <w:spacing w:after="0" w:line="240" w:lineRule="auto"/>
        <w:rPr>
          <w:lang w:val="en-US"/>
        </w:rPr>
      </w:pPr>
      <w:r>
        <w:rPr>
          <w:lang w:val="en-US"/>
        </w:rPr>
        <w:t>The equation 3 can be written as follows</w:t>
      </w:r>
    </w:p>
    <w:p w:rsidR="00EE5514" w:rsidRPr="00E5430B" w:rsidRDefault="00CF00F9" w:rsidP="00EE5514">
      <w:pPr>
        <w:spacing w:after="0" w:line="240" w:lineRule="auto"/>
        <w:rPr>
          <w:lang w:val="fr-FR"/>
        </w:rPr>
      </w:pP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pre</m:t>
            </m:r>
          </m:sup>
        </m:sSup>
      </m:oMath>
      <w:r w:rsidR="00EE5514" w:rsidRPr="00E5430B">
        <w:rPr>
          <w:vertAlign w:val="superscript"/>
          <w:lang w:val="fr-FR"/>
        </w:rPr>
        <w:t xml:space="preserve"> </w:t>
      </w:r>
      <w:r w:rsidR="00EE5514">
        <w:sym w:font="Symbol" w:char="F02D"/>
      </w:r>
      <w:r w:rsidR="00EE5514" w:rsidRPr="00E5430B">
        <w:rPr>
          <w:lang w:val="fr-FR"/>
        </w:rPr>
        <w:t xml:space="preserve">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post</m:t>
            </m:r>
          </m:sup>
        </m:sSup>
      </m:oMath>
      <w:r w:rsidR="00EE5514" w:rsidRPr="00E5430B">
        <w:rPr>
          <w:vertAlign w:val="superscript"/>
          <w:lang w:val="fr-FR"/>
        </w:rPr>
        <w:t xml:space="preserve"> </w:t>
      </w:r>
      <w:r w:rsidR="00EE5514" w:rsidRPr="00E5430B">
        <w:rPr>
          <w:lang w:val="fr-FR"/>
        </w:rPr>
        <w:t xml:space="preserve">= </w:t>
      </w:r>
      <m:oMath>
        <m:r>
          <w:rPr>
            <w:rFonts w:ascii="Cambria Math" w:hAnsi="Cambria Math"/>
            <w:lang w:val="fr-FR"/>
          </w:rPr>
          <m:t>∆</m:t>
        </m:r>
        <m:r>
          <w:rPr>
            <w:rFonts w:ascii="Cambria Math" w:hAnsi="Cambria Math"/>
            <w:lang w:val="en-US"/>
          </w:rPr>
          <m:t>x</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r>
          <m:rPr>
            <m:sty m:val="p"/>
          </m:rPr>
          <w:rPr>
            <w:rFonts w:ascii="Cambria Math" w:hAnsi="Cambria Math"/>
            <w:lang w:val="fr-FR"/>
          </w:rPr>
          <m:t xml:space="preserve">+ </m:t>
        </m:r>
        <m:r>
          <w:rPr>
            <w:rFonts w:ascii="Cambria Math" w:hAnsi="Cambria Math"/>
            <w:lang w:val="fr-FR"/>
          </w:rPr>
          <m:t>∆</m:t>
        </m:r>
        <m:r>
          <w:rPr>
            <w:rFonts w:ascii="Cambria Math" w:hAnsi="Cambria Math"/>
            <w:lang w:val="en-US"/>
          </w:rPr>
          <m:t>β</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r>
          <w:rPr>
            <w:rFonts w:ascii="Cambria Math" w:hAnsi="Cambria Math"/>
            <w:lang w:val="fr-FR"/>
          </w:rPr>
          <m:t xml:space="preserve">+ </m:t>
        </m:r>
      </m:oMath>
      <w:r w:rsidR="00EE5514" w:rsidRPr="00E5430B">
        <w:rPr>
          <w:lang w:val="fr-FR"/>
        </w:rPr>
        <w:t>(</w:t>
      </w:r>
      <m:oMath>
        <m:r>
          <w:rPr>
            <w:rFonts w:ascii="Cambria Math" w:hAnsi="Cambria Math"/>
            <w:lang w:val="en-US"/>
          </w:rPr>
          <m:t>x</m:t>
        </m:r>
      </m:oMath>
      <w:r w:rsidR="00EE5514" w:rsidRPr="00E5430B">
        <w:rPr>
          <w:vertAlign w:val="superscript"/>
          <w:lang w:val="fr-FR"/>
        </w:rPr>
        <w:t xml:space="preserve"> pre </w:t>
      </w:r>
      <w:r w:rsidR="00EE5514">
        <w:sym w:font="Symbol" w:char="F02D"/>
      </w:r>
      <w:r w:rsidR="00EE5514" w:rsidRPr="00E5430B">
        <w:rPr>
          <w:lang w:val="fr-FR"/>
        </w:rPr>
        <w:t xml:space="preserve"> </w:t>
      </w:r>
      <m:oMath>
        <m:r>
          <w:rPr>
            <w:rFonts w:ascii="Cambria Math" w:hAnsi="Cambria Math"/>
            <w:lang w:val="en-US"/>
          </w:rPr>
          <m:t>x</m:t>
        </m:r>
      </m:oMath>
      <w:r w:rsidR="00EE5514" w:rsidRPr="00E5430B">
        <w:rPr>
          <w:vertAlign w:val="superscript"/>
          <w:lang w:val="fr-FR"/>
        </w:rPr>
        <w:t xml:space="preserve"> post</w:t>
      </w:r>
      <w:r w:rsidR="00EE5514" w:rsidRPr="00E5430B">
        <w:rPr>
          <w:lang w:val="fr-FR"/>
        </w:rPr>
        <w:t>) (</w:t>
      </w:r>
      <m:oMath>
        <m:r>
          <w:rPr>
            <w:rFonts w:ascii="Cambria Math" w:hAnsi="Cambria Math"/>
            <w:lang w:val="en-US"/>
          </w:rPr>
          <m:t>β</m:t>
        </m:r>
      </m:oMath>
      <w:r w:rsidR="00EE5514" w:rsidRPr="00E5430B">
        <w:rPr>
          <w:vertAlign w:val="superscript"/>
          <w:lang w:val="fr-FR"/>
        </w:rPr>
        <w:t xml:space="preserve"> pre </w:t>
      </w:r>
      <w:r w:rsidR="00EE5514">
        <w:sym w:font="Symbol" w:char="F02D"/>
      </w:r>
      <w:r w:rsidR="00EE5514" w:rsidRPr="00E5430B">
        <w:rPr>
          <w:lang w:val="fr-FR"/>
        </w:rPr>
        <w:t xml:space="preserve"> </w:t>
      </w:r>
      <m:oMath>
        <m:r>
          <w:rPr>
            <w:rFonts w:ascii="Cambria Math" w:hAnsi="Cambria Math"/>
            <w:lang w:val="en-US"/>
          </w:rPr>
          <m:t>β</m:t>
        </m:r>
      </m:oMath>
      <w:r w:rsidR="00EE5514" w:rsidRPr="00E5430B">
        <w:rPr>
          <w:vertAlign w:val="superscript"/>
          <w:lang w:val="fr-FR"/>
        </w:rPr>
        <w:t xml:space="preserve"> </w:t>
      </w:r>
      <w:proofErr w:type="gramStart"/>
      <w:r w:rsidR="00EE5514" w:rsidRPr="00E5430B">
        <w:rPr>
          <w:vertAlign w:val="superscript"/>
          <w:lang w:val="fr-FR"/>
        </w:rPr>
        <w:t>post</w:t>
      </w:r>
      <w:r w:rsidR="00EE5514" w:rsidRPr="00E5430B">
        <w:rPr>
          <w:lang w:val="fr-FR"/>
        </w:rPr>
        <w:t xml:space="preserve"> )</w:t>
      </w:r>
      <w:proofErr w:type="gramEnd"/>
      <w:r w:rsidR="00EE5514" w:rsidRPr="00E5430B">
        <w:rPr>
          <w:lang w:val="fr-FR"/>
        </w:rPr>
        <w:t xml:space="preserve"> ……………..……………4</w:t>
      </w:r>
    </w:p>
    <w:p w:rsidR="00EE5514" w:rsidRPr="00E5430B" w:rsidRDefault="00EE5514" w:rsidP="00EE5514">
      <w:pPr>
        <w:spacing w:after="0" w:line="240" w:lineRule="auto"/>
        <w:rPr>
          <w:lang w:val="fr-FR"/>
        </w:rPr>
      </w:pPr>
    </w:p>
    <w:p w:rsidR="00EE5514" w:rsidRDefault="00EE5514" w:rsidP="00EE5514">
      <w:pPr>
        <w:spacing w:after="0" w:line="240" w:lineRule="auto"/>
      </w:pPr>
      <w:r>
        <w:t>Whereas;</w:t>
      </w:r>
    </w:p>
    <w:p w:rsidR="00EE5514" w:rsidRPr="002433F6" w:rsidRDefault="00EE5514" w:rsidP="00EE5514">
      <w:pPr>
        <w:spacing w:after="0" w:line="240" w:lineRule="auto"/>
        <w:rPr>
          <w:lang w:val="en-US"/>
        </w:rPr>
      </w:pPr>
    </w:p>
    <w:p w:rsidR="00EE5514" w:rsidRDefault="00EE5514" w:rsidP="00EE5514">
      <w:pPr>
        <w:spacing w:after="0" w:line="240" w:lineRule="auto"/>
        <w:rPr>
          <w:vertAlign w:val="superscript"/>
        </w:rPr>
      </w:pPr>
      <m:oMath>
        <m:r>
          <w:rPr>
            <w:rFonts w:ascii="Cambria Math" w:hAnsi="Cambria Math"/>
            <w:lang w:val="en-US"/>
          </w:rPr>
          <m:t>∆x</m:t>
        </m:r>
      </m:oMath>
      <w:r>
        <w:t xml:space="preserve"> = </w:t>
      </w:r>
      <m:oMath>
        <m:r>
          <w:rPr>
            <w:rFonts w:ascii="Cambria Math" w:hAnsi="Cambria Math"/>
            <w:lang w:val="en-US"/>
          </w:rPr>
          <m:t>x</m:t>
        </m:r>
      </m:oMath>
      <w:r>
        <w:rPr>
          <w:vertAlign w:val="superscript"/>
        </w:rPr>
        <w:t xml:space="preserve"> pre </w:t>
      </w:r>
      <w:r>
        <w:sym w:font="Symbol" w:char="F02D"/>
      </w:r>
      <w:r>
        <w:t xml:space="preserve"> </w:t>
      </w:r>
      <m:oMath>
        <m:r>
          <w:rPr>
            <w:rFonts w:ascii="Cambria Math" w:hAnsi="Cambria Math"/>
            <w:lang w:val="en-US"/>
          </w:rPr>
          <m:t>x</m:t>
        </m:r>
      </m:oMath>
      <w:r>
        <w:rPr>
          <w:vertAlign w:val="superscript"/>
        </w:rPr>
        <w:t xml:space="preserve"> post</w:t>
      </w:r>
    </w:p>
    <w:p w:rsidR="00EE5514" w:rsidRDefault="00EE5514" w:rsidP="00EE5514">
      <w:pPr>
        <w:spacing w:after="0" w:line="240" w:lineRule="auto"/>
        <w:rPr>
          <w:vertAlign w:val="superscript"/>
        </w:rPr>
      </w:pPr>
      <m:oMath>
        <m:r>
          <w:rPr>
            <w:rFonts w:ascii="Cambria Math" w:hAnsi="Cambria Math"/>
            <w:lang w:val="en-US"/>
          </w:rPr>
          <m:t>∆β</m:t>
        </m:r>
      </m:oMath>
      <w:r>
        <w:t xml:space="preserve"> = </w:t>
      </w:r>
      <m:oMath>
        <m:r>
          <w:rPr>
            <w:rFonts w:ascii="Cambria Math" w:hAnsi="Cambria Math"/>
            <w:lang w:val="en-US"/>
          </w:rPr>
          <m:t>β</m:t>
        </m:r>
      </m:oMath>
      <w:r>
        <w:rPr>
          <w:vertAlign w:val="superscript"/>
        </w:rPr>
        <w:t xml:space="preserve"> pre </w:t>
      </w:r>
      <w:r>
        <w:sym w:font="Symbol" w:char="F02D"/>
      </w:r>
      <w:r>
        <w:t xml:space="preserve"> </w:t>
      </w:r>
      <m:oMath>
        <m:r>
          <w:rPr>
            <w:rFonts w:ascii="Cambria Math" w:hAnsi="Cambria Math"/>
            <w:lang w:val="en-US"/>
          </w:rPr>
          <m:t>β</m:t>
        </m:r>
      </m:oMath>
      <w:r>
        <w:rPr>
          <w:vertAlign w:val="superscript"/>
        </w:rPr>
        <w:t xml:space="preserve"> post</w:t>
      </w:r>
    </w:p>
    <w:p w:rsidR="00EE5514" w:rsidRDefault="00EE5514" w:rsidP="00EE5514">
      <w:pPr>
        <w:spacing w:after="0" w:line="240" w:lineRule="auto"/>
        <w:rPr>
          <w:vertAlign w:val="superscript"/>
        </w:rPr>
      </w:pPr>
    </w:p>
    <w:p w:rsidR="00EE5514" w:rsidRDefault="00EE5514" w:rsidP="00EE5514">
      <w:pPr>
        <w:spacing w:after="0" w:line="240" w:lineRule="auto"/>
        <w:rPr>
          <w:lang w:val="en-US"/>
        </w:rPr>
      </w:pPr>
      <w:r>
        <w:rPr>
          <w:lang w:val="en-US"/>
        </w:rPr>
        <w:t>The following are the three decomposed components from Blinder-Oaxaca decomposition</w:t>
      </w:r>
    </w:p>
    <w:p w:rsidR="00EE5514" w:rsidRPr="00753AF1" w:rsidRDefault="00EE5514" w:rsidP="00EE5514">
      <w:pPr>
        <w:spacing w:after="0" w:line="240" w:lineRule="auto"/>
        <w:rPr>
          <w:lang w:val="en-US"/>
        </w:rPr>
      </w:pPr>
    </w:p>
    <w:p w:rsidR="00EE5514" w:rsidRDefault="00EE5514" w:rsidP="00EE5514">
      <w:pPr>
        <w:spacing w:after="0" w:line="240" w:lineRule="auto"/>
        <w:rPr>
          <w:lang w:val="en-US"/>
        </w:rPr>
      </w:pPr>
      <m:oMath>
        <m:r>
          <w:rPr>
            <w:rFonts w:ascii="Cambria Math" w:hAnsi="Cambria Math"/>
            <w:lang w:val="en-US"/>
          </w:rPr>
          <m:t xml:space="preserve">1.    Endowment </m:t>
        </m:r>
      </m:oMath>
      <w:r>
        <w:rPr>
          <w:vertAlign w:val="superscript"/>
        </w:rPr>
        <w:t xml:space="preserve"> </w:t>
      </w:r>
      <w:r>
        <w:t xml:space="preserve">=   </w:t>
      </w:r>
      <m:oMath>
        <m:r>
          <w:rPr>
            <w:rFonts w:ascii="Cambria Math" w:hAnsi="Cambria Math"/>
            <w:lang w:val="en-US"/>
          </w:rPr>
          <m:t>∆x</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post</m:t>
            </m:r>
          </m:sup>
        </m:sSup>
      </m:oMath>
    </w:p>
    <w:p w:rsidR="00EE5514" w:rsidRDefault="00EE5514" w:rsidP="00EE5514">
      <w:pPr>
        <w:spacing w:after="0" w:line="240" w:lineRule="auto"/>
      </w:pPr>
      <m:oMath>
        <m:r>
          <w:rPr>
            <w:rFonts w:ascii="Cambria Math" w:hAnsi="Cambria Math"/>
            <w:lang w:val="en-US"/>
          </w:rPr>
          <m:t xml:space="preserve">2.   Coefficient </m:t>
        </m:r>
      </m:oMath>
      <w:r>
        <w:rPr>
          <w:vertAlign w:val="superscript"/>
        </w:rPr>
        <w:t xml:space="preserve"> </w:t>
      </w:r>
      <w:r>
        <w:t xml:space="preserve">=   </w:t>
      </w:r>
      <m:oMath>
        <m:r>
          <w:rPr>
            <w:rFonts w:ascii="Cambria Math" w:hAnsi="Cambria Math"/>
            <w:lang w:val="en-US"/>
          </w:rPr>
          <m:t>∆β</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post</m:t>
            </m:r>
          </m:sup>
        </m:sSup>
      </m:oMath>
    </w:p>
    <w:p w:rsidR="00EE5514" w:rsidRPr="00E5430B" w:rsidRDefault="00EE5514" w:rsidP="00EE5514">
      <w:pPr>
        <w:spacing w:after="0" w:line="240" w:lineRule="auto"/>
        <w:rPr>
          <w:lang w:val="fr-FR"/>
        </w:rPr>
      </w:pPr>
      <m:oMath>
        <m:r>
          <w:rPr>
            <w:rFonts w:ascii="Cambria Math" w:hAnsi="Cambria Math"/>
            <w:lang w:val="fr-FR"/>
          </w:rPr>
          <m:t xml:space="preserve">3.   </m:t>
        </m:r>
        <m:r>
          <w:rPr>
            <w:rFonts w:ascii="Cambria Math" w:hAnsi="Cambria Math"/>
            <w:lang w:val="en-US"/>
          </w:rPr>
          <m:t>Interaction</m:t>
        </m:r>
        <m:r>
          <w:rPr>
            <w:rFonts w:ascii="Cambria Math" w:hAnsi="Cambria Math"/>
            <w:lang w:val="fr-FR"/>
          </w:rPr>
          <m:t xml:space="preserve"> </m:t>
        </m:r>
      </m:oMath>
      <w:r w:rsidRPr="00E5430B">
        <w:rPr>
          <w:vertAlign w:val="superscript"/>
          <w:lang w:val="fr-FR"/>
        </w:rPr>
        <w:t xml:space="preserve"> </w:t>
      </w:r>
      <w:r w:rsidRPr="00E5430B">
        <w:rPr>
          <w:lang w:val="fr-FR"/>
        </w:rPr>
        <w:t>=</w:t>
      </w:r>
      <w:proofErr w:type="gramStart"/>
      <w:r w:rsidRPr="00E5430B">
        <w:rPr>
          <w:lang w:val="fr-FR"/>
        </w:rPr>
        <w:t xml:space="preserve">   (</w:t>
      </w:r>
      <w:proofErr w:type="gramEnd"/>
      <m:oMath>
        <m:r>
          <w:rPr>
            <w:rFonts w:ascii="Cambria Math" w:hAnsi="Cambria Math"/>
            <w:lang w:val="en-US"/>
          </w:rPr>
          <m:t>x</m:t>
        </m:r>
      </m:oMath>
      <w:r w:rsidRPr="00E5430B">
        <w:rPr>
          <w:vertAlign w:val="superscript"/>
          <w:lang w:val="fr-FR"/>
        </w:rPr>
        <w:t xml:space="preserve"> pre </w:t>
      </w:r>
      <w:r>
        <w:sym w:font="Symbol" w:char="F02D"/>
      </w:r>
      <w:r w:rsidRPr="00E5430B">
        <w:rPr>
          <w:lang w:val="fr-FR"/>
        </w:rPr>
        <w:t xml:space="preserve"> </w:t>
      </w:r>
      <m:oMath>
        <m:r>
          <w:rPr>
            <w:rFonts w:ascii="Cambria Math" w:hAnsi="Cambria Math"/>
            <w:lang w:val="en-US"/>
          </w:rPr>
          <m:t>x</m:t>
        </m:r>
      </m:oMath>
      <w:r w:rsidRPr="00E5430B">
        <w:rPr>
          <w:vertAlign w:val="superscript"/>
          <w:lang w:val="fr-FR"/>
        </w:rPr>
        <w:t xml:space="preserve"> post</w:t>
      </w:r>
      <w:r w:rsidRPr="00E5430B">
        <w:rPr>
          <w:lang w:val="fr-FR"/>
        </w:rPr>
        <w:t>) (</w:t>
      </w:r>
      <m:oMath>
        <m:r>
          <w:rPr>
            <w:rFonts w:ascii="Cambria Math" w:hAnsi="Cambria Math"/>
            <w:lang w:val="en-US"/>
          </w:rPr>
          <m:t>β</m:t>
        </m:r>
      </m:oMath>
      <w:r w:rsidRPr="00E5430B">
        <w:rPr>
          <w:vertAlign w:val="superscript"/>
          <w:lang w:val="fr-FR"/>
        </w:rPr>
        <w:t xml:space="preserve"> pre </w:t>
      </w:r>
      <w:r>
        <w:sym w:font="Symbol" w:char="F02D"/>
      </w:r>
      <w:r w:rsidRPr="00E5430B">
        <w:rPr>
          <w:lang w:val="fr-FR"/>
        </w:rPr>
        <w:t xml:space="preserve"> </w:t>
      </w:r>
      <m:oMath>
        <m:r>
          <w:rPr>
            <w:rFonts w:ascii="Cambria Math" w:hAnsi="Cambria Math"/>
            <w:lang w:val="en-US"/>
          </w:rPr>
          <m:t>β</m:t>
        </m:r>
      </m:oMath>
      <w:r w:rsidRPr="00E5430B">
        <w:rPr>
          <w:vertAlign w:val="superscript"/>
          <w:lang w:val="fr-FR"/>
        </w:rPr>
        <w:t xml:space="preserve"> post</w:t>
      </w:r>
      <w:r w:rsidRPr="00E5430B">
        <w:rPr>
          <w:lang w:val="fr-FR"/>
        </w:rPr>
        <w:t xml:space="preserve"> )</w:t>
      </w:r>
    </w:p>
    <w:p w:rsidR="00EE5514" w:rsidRPr="00E5430B" w:rsidRDefault="00EE5514" w:rsidP="00EE5514">
      <w:pPr>
        <w:spacing w:after="0" w:line="240" w:lineRule="auto"/>
        <w:rPr>
          <w:lang w:val="fr-FR"/>
        </w:rPr>
      </w:pPr>
    </w:p>
    <w:p w:rsidR="00EE5514" w:rsidRPr="00E5430B" w:rsidRDefault="00EE5514" w:rsidP="00EE5514">
      <w:pPr>
        <w:spacing w:before="240" w:after="240"/>
        <w:rPr>
          <w:rFonts w:ascii="Arial" w:hAnsi="Arial" w:cs="Arial"/>
          <w:color w:val="FF0000"/>
          <w:sz w:val="26"/>
          <w:szCs w:val="26"/>
          <w:lang w:val="fr-FR"/>
        </w:rPr>
        <w:sectPr w:rsidR="00EE5514" w:rsidRPr="00E5430B">
          <w:pgSz w:w="11906" w:h="16838"/>
          <w:pgMar w:top="1440" w:right="1440" w:bottom="1440" w:left="1440" w:header="708" w:footer="708" w:gutter="0"/>
          <w:cols w:space="708"/>
          <w:docGrid w:linePitch="360"/>
        </w:sectPr>
      </w:pPr>
    </w:p>
    <w:p w:rsidR="00EE5514" w:rsidRPr="00961B9F" w:rsidRDefault="00EE5514" w:rsidP="00961B9F">
      <w:pPr>
        <w:pStyle w:val="Heading1"/>
        <w:rPr>
          <w:rFonts w:ascii="Times New Roman" w:eastAsiaTheme="minorHAnsi" w:hAnsi="Times New Roman" w:cs="Times New Roman"/>
          <w:b/>
          <w:bCs/>
          <w:color w:val="auto"/>
          <w:sz w:val="24"/>
          <w:szCs w:val="24"/>
        </w:rPr>
      </w:pPr>
      <w:r w:rsidRPr="00961B9F">
        <w:rPr>
          <w:rFonts w:ascii="Times New Roman" w:eastAsiaTheme="minorHAnsi" w:hAnsi="Times New Roman" w:cs="Times New Roman"/>
          <w:b/>
          <w:bCs/>
          <w:color w:val="auto"/>
          <w:sz w:val="24"/>
          <w:szCs w:val="24"/>
        </w:rPr>
        <w:lastRenderedPageBreak/>
        <w:t xml:space="preserve">Appendix C </w:t>
      </w:r>
    </w:p>
    <w:p w:rsidR="00EE5514" w:rsidRPr="00604DEC" w:rsidRDefault="00EE5514" w:rsidP="00EE5514">
      <w:pPr>
        <w:jc w:val="right"/>
        <w:rPr>
          <w:color w:val="000000" w:themeColor="text1"/>
          <w:sz w:val="20"/>
          <w:szCs w:val="20"/>
        </w:rPr>
      </w:pPr>
    </w:p>
    <w:p w:rsidR="00EE5514" w:rsidRPr="0099481F" w:rsidRDefault="00EE5514" w:rsidP="00EE5514">
      <w:pPr>
        <w:spacing w:after="0" w:line="240" w:lineRule="auto"/>
        <w:jc w:val="center"/>
        <w:rPr>
          <w:b/>
          <w:bCs/>
        </w:rPr>
      </w:pPr>
      <w:r w:rsidRPr="0099481F">
        <w:rPr>
          <w:b/>
          <w:bCs/>
          <w:noProof/>
        </w:rPr>
        <w:drawing>
          <wp:anchor distT="0" distB="0" distL="114300" distR="114300" simplePos="0" relativeHeight="251660288" behindDoc="1" locked="0" layoutInCell="1" allowOverlap="1" wp14:anchorId="778695AB" wp14:editId="0128A681">
            <wp:simplePos x="0" y="0"/>
            <wp:positionH relativeFrom="margin">
              <wp:posOffset>4082204</wp:posOffset>
            </wp:positionH>
            <wp:positionV relativeFrom="margin">
              <wp:posOffset>4298945</wp:posOffset>
            </wp:positionV>
            <wp:extent cx="178435" cy="240030"/>
            <wp:effectExtent l="12700" t="12700" r="12065" b="13970"/>
            <wp:wrapSquare wrapText="bothSides"/>
            <wp:docPr id="70" name="Picture 70" descr="C:\Users\zn6\Downloads\toppng.com-north-arrow-1660x2400.png"/>
            <wp:cNvGraphicFramePr/>
            <a:graphic xmlns:a="http://schemas.openxmlformats.org/drawingml/2006/main">
              <a:graphicData uri="http://schemas.openxmlformats.org/drawingml/2006/picture">
                <pic:pic xmlns:pic="http://schemas.openxmlformats.org/drawingml/2006/picture">
                  <pic:nvPicPr>
                    <pic:cNvPr id="10" name="Picture 10" descr="C:\Users\zn6\Downloads\toppng.com-north-arrow-1660x2400.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630316" flipH="1" flipV="1">
                      <a:off x="0" y="0"/>
                      <a:ext cx="178435" cy="240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7456" behindDoc="0" locked="0" layoutInCell="1" allowOverlap="1" wp14:anchorId="0F884D33" wp14:editId="7B06690E">
                <wp:simplePos x="0" y="0"/>
                <wp:positionH relativeFrom="column">
                  <wp:posOffset>4177364</wp:posOffset>
                </wp:positionH>
                <wp:positionV relativeFrom="paragraph">
                  <wp:posOffset>3650414</wp:posOffset>
                </wp:positionV>
                <wp:extent cx="1838425" cy="596767"/>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1838425" cy="596767"/>
                        </a:xfrm>
                        <a:prstGeom prst="rect">
                          <a:avLst/>
                        </a:prstGeom>
                        <a:noFill/>
                        <a:ln w="6350">
                          <a:noFill/>
                        </a:ln>
                      </wps:spPr>
                      <wps:txbx>
                        <w:txbxContent>
                          <w:p w:rsidR="00BB1739" w:rsidRDefault="00BB1739" w:rsidP="00EE5514">
                            <w:pPr>
                              <w:spacing w:line="240" w:lineRule="auto"/>
                            </w:pPr>
                            <w:r>
                              <w:rPr>
                                <w:noProof/>
                              </w:rPr>
                              <w:drawing>
                                <wp:inline distT="0" distB="0" distL="0" distR="0" wp14:anchorId="42720AAE" wp14:editId="2C1093B2">
                                  <wp:extent cx="1559292" cy="2857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65704" cy="286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84D33" id="_x0000_t202" coordsize="21600,21600" o:spt="202" path="m,l,21600r21600,l21600,xe">
                <v:stroke joinstyle="miter"/>
                <v:path gradientshapeok="t" o:connecttype="rect"/>
              </v:shapetype>
              <v:shape id="Text Box 163" o:spid="_x0000_s1026" type="#_x0000_t202" style="position:absolute;left:0;text-align:left;margin-left:328.95pt;margin-top:287.45pt;width:144.75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" filled="f" stroked="f" strokeweight=".5pt">
                <v:textbox>
                  <w:txbxContent>
                    <w:p w:rsidR="00BB1739" w:rsidRDefault="00BB1739" w:rsidP="00EE5514">
                      <w:pPr>
                        <w:spacing w:line="240" w:lineRule="auto"/>
                      </w:pPr>
                      <w:r>
                        <w:rPr>
                          <w:noProof/>
                        </w:rPr>
                        <w:drawing>
                          <wp:inline distT="0" distB="0" distL="0" distR="0" wp14:anchorId="42720AAE" wp14:editId="2C1093B2">
                            <wp:extent cx="1559292" cy="2857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65704" cy="286925"/>
                                    </a:xfrm>
                                    <a:prstGeom prst="rect">
                                      <a:avLst/>
                                    </a:prstGeom>
                                  </pic:spPr>
                                </pic:pic>
                              </a:graphicData>
                            </a:graphic>
                          </wp:inline>
                        </w:drawing>
                      </w:r>
                    </w:p>
                  </w:txbxContent>
                </v:textbox>
              </v:shape>
            </w:pict>
          </mc:Fallback>
        </mc:AlternateContent>
      </w:r>
      <w:r>
        <w:rPr>
          <w:b/>
          <w:bCs/>
          <w:noProof/>
        </w:rPr>
        <w:drawing>
          <wp:anchor distT="0" distB="0" distL="114300" distR="114300" simplePos="0" relativeHeight="251659264" behindDoc="0" locked="0" layoutInCell="1" allowOverlap="1" wp14:anchorId="3FF92706" wp14:editId="545AE6D2">
            <wp:simplePos x="0" y="0"/>
            <wp:positionH relativeFrom="column">
              <wp:posOffset>289560</wp:posOffset>
            </wp:positionH>
            <wp:positionV relativeFrom="paragraph">
              <wp:posOffset>258445</wp:posOffset>
            </wp:positionV>
            <wp:extent cx="7877810" cy="3877310"/>
            <wp:effectExtent l="12700" t="12700" r="8890" b="8890"/>
            <wp:wrapTopAndBottom/>
            <wp:docPr id="126" name="Picture 12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Diagram, map&#10;&#10;Description automatically generated"/>
                    <pic:cNvPicPr/>
                  </pic:nvPicPr>
                  <pic:blipFill rotWithShape="1">
                    <a:blip r:embed="rId34" cstate="print">
                      <a:extLst>
                        <a:ext uri="{28A0092B-C50C-407E-A947-70E740481C1C}">
                          <a14:useLocalDpi xmlns:a14="http://schemas.microsoft.com/office/drawing/2010/main" val="0"/>
                        </a:ext>
                      </a:extLst>
                    </a:blip>
                    <a:srcRect t="14814"/>
                    <a:stretch/>
                  </pic:blipFill>
                  <pic:spPr bwMode="auto">
                    <a:xfrm>
                      <a:off x="0" y="0"/>
                      <a:ext cx="7877810" cy="38773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481F">
        <w:rPr>
          <w:b/>
          <w:bCs/>
        </w:rPr>
        <w:t>Figure C1   Poverty and Cash Transfer Mapping</w:t>
      </w:r>
      <w:r w:rsidR="00961B9F">
        <w:rPr>
          <w:b/>
          <w:bCs/>
        </w:rPr>
        <w:t xml:space="preserve"> </w:t>
      </w:r>
      <w:r w:rsidRPr="0099481F">
        <w:rPr>
          <w:b/>
          <w:bCs/>
        </w:rPr>
        <w:t>– 2008</w:t>
      </w:r>
    </w:p>
    <w:p w:rsidR="00EE5514" w:rsidRPr="0052261A" w:rsidRDefault="00EE5514" w:rsidP="00EE5514">
      <w:pPr>
        <w:spacing w:after="0" w:line="240" w:lineRule="auto"/>
        <w:rPr>
          <w:rFonts w:eastAsiaTheme="majorEastAsia"/>
          <w:sz w:val="21"/>
          <w:szCs w:val="21"/>
        </w:rPr>
      </w:pPr>
      <w:r>
        <w:rPr>
          <w:rFonts w:eastAsiaTheme="majorEastAsia"/>
          <w:i/>
          <w:iCs/>
          <w:sz w:val="21"/>
          <w:szCs w:val="21"/>
        </w:rPr>
        <w:t>Notes</w:t>
      </w:r>
      <w:r w:rsidRPr="0052261A">
        <w:rPr>
          <w:rFonts w:eastAsiaTheme="majorEastAsia"/>
          <w:i/>
          <w:iCs/>
          <w:sz w:val="21"/>
          <w:szCs w:val="21"/>
        </w:rPr>
        <w:t>:</w:t>
      </w:r>
      <w:r w:rsidRPr="0052261A">
        <w:rPr>
          <w:rFonts w:eastAsiaTheme="majorEastAsia"/>
          <w:sz w:val="21"/>
          <w:szCs w:val="21"/>
        </w:rPr>
        <w:t xml:space="preserve"> HH, Headcount Index;</w:t>
      </w:r>
      <w:r>
        <w:rPr>
          <w:rFonts w:eastAsiaTheme="majorEastAsia"/>
          <w:sz w:val="21"/>
          <w:szCs w:val="21"/>
        </w:rPr>
        <w:t xml:space="preserve"> MPI-</w:t>
      </w:r>
      <w:r w:rsidRPr="0052261A">
        <w:rPr>
          <w:rFonts w:eastAsiaTheme="majorEastAsia"/>
          <w:sz w:val="21"/>
          <w:szCs w:val="21"/>
        </w:rPr>
        <w:t xml:space="preserve">HH, </w:t>
      </w:r>
      <w:proofErr w:type="spellStart"/>
      <w:r w:rsidRPr="00140400">
        <w:rPr>
          <w:rFonts w:eastAsiaTheme="majorEastAsia"/>
          <w:color w:val="000000" w:themeColor="text1"/>
          <w:sz w:val="22"/>
          <w:szCs w:val="22"/>
        </w:rPr>
        <w:t>A</w:t>
      </w:r>
      <w:r>
        <w:rPr>
          <w:rFonts w:eastAsiaTheme="majorEastAsia"/>
          <w:color w:val="000000" w:themeColor="text1"/>
          <w:sz w:val="22"/>
          <w:szCs w:val="22"/>
        </w:rPr>
        <w:t>lkire</w:t>
      </w:r>
      <w:proofErr w:type="spellEnd"/>
      <w:r>
        <w:rPr>
          <w:rFonts w:eastAsiaTheme="majorEastAsia"/>
          <w:color w:val="000000" w:themeColor="text1"/>
          <w:sz w:val="22"/>
          <w:szCs w:val="22"/>
        </w:rPr>
        <w:t xml:space="preserve"> &amp; </w:t>
      </w:r>
      <w:r w:rsidRPr="00140400">
        <w:rPr>
          <w:rFonts w:eastAsiaTheme="majorEastAsia"/>
          <w:color w:val="000000" w:themeColor="text1"/>
          <w:sz w:val="22"/>
          <w:szCs w:val="22"/>
        </w:rPr>
        <w:t>F</w:t>
      </w:r>
      <w:r>
        <w:rPr>
          <w:rFonts w:eastAsiaTheme="majorEastAsia"/>
          <w:color w:val="000000" w:themeColor="text1"/>
          <w:sz w:val="22"/>
          <w:szCs w:val="22"/>
        </w:rPr>
        <w:t>oster (2011)</w:t>
      </w:r>
      <w:r w:rsidRPr="0052261A">
        <w:rPr>
          <w:rFonts w:eastAsiaTheme="majorEastAsia"/>
          <w:sz w:val="21"/>
          <w:szCs w:val="21"/>
        </w:rPr>
        <w:t xml:space="preserve"> </w:t>
      </w:r>
      <w:r>
        <w:rPr>
          <w:rFonts w:eastAsiaTheme="majorEastAsia"/>
          <w:sz w:val="21"/>
          <w:szCs w:val="21"/>
        </w:rPr>
        <w:t>M</w:t>
      </w:r>
      <w:r w:rsidRPr="0052261A">
        <w:rPr>
          <w:rFonts w:eastAsiaTheme="majorEastAsia"/>
          <w:sz w:val="21"/>
          <w:szCs w:val="21"/>
        </w:rPr>
        <w:t xml:space="preserve">ultidimensional </w:t>
      </w:r>
      <w:r>
        <w:rPr>
          <w:rFonts w:eastAsiaTheme="majorEastAsia"/>
          <w:sz w:val="21"/>
          <w:szCs w:val="21"/>
        </w:rPr>
        <w:t>H</w:t>
      </w:r>
      <w:r w:rsidRPr="0052261A">
        <w:rPr>
          <w:rFonts w:eastAsiaTheme="majorEastAsia"/>
          <w:sz w:val="21"/>
          <w:szCs w:val="21"/>
        </w:rPr>
        <w:t>eadcount Index; MDPI</w:t>
      </w:r>
      <w:r>
        <w:rPr>
          <w:rFonts w:eastAsiaTheme="majorEastAsia"/>
          <w:sz w:val="21"/>
          <w:szCs w:val="21"/>
        </w:rPr>
        <w:t>-</w:t>
      </w:r>
      <w:r w:rsidRPr="0052261A">
        <w:rPr>
          <w:rFonts w:eastAsiaTheme="majorEastAsia"/>
          <w:sz w:val="21"/>
          <w:szCs w:val="21"/>
        </w:rPr>
        <w:t xml:space="preserve">HH, </w:t>
      </w:r>
      <w:r>
        <w:rPr>
          <w:rFonts w:eastAsiaTheme="majorEastAsia"/>
          <w:sz w:val="21"/>
          <w:szCs w:val="21"/>
        </w:rPr>
        <w:t>M</w:t>
      </w:r>
      <w:r w:rsidRPr="0052261A">
        <w:rPr>
          <w:rFonts w:eastAsiaTheme="majorEastAsia"/>
          <w:sz w:val="21"/>
          <w:szCs w:val="21"/>
        </w:rPr>
        <w:t xml:space="preserve">ultidimensional </w:t>
      </w:r>
      <w:r>
        <w:rPr>
          <w:rFonts w:eastAsiaTheme="majorEastAsia"/>
          <w:sz w:val="21"/>
          <w:szCs w:val="21"/>
        </w:rPr>
        <w:t>D</w:t>
      </w:r>
      <w:r w:rsidRPr="0052261A">
        <w:rPr>
          <w:rFonts w:eastAsiaTheme="majorEastAsia"/>
          <w:sz w:val="21"/>
          <w:szCs w:val="21"/>
        </w:rPr>
        <w:t xml:space="preserve">istribution-sensitive </w:t>
      </w:r>
      <w:r>
        <w:rPr>
          <w:rFonts w:eastAsiaTheme="majorEastAsia"/>
          <w:sz w:val="21"/>
          <w:szCs w:val="21"/>
        </w:rPr>
        <w:t>H</w:t>
      </w:r>
      <w:r w:rsidRPr="0052261A">
        <w:rPr>
          <w:rFonts w:eastAsiaTheme="majorEastAsia"/>
          <w:sz w:val="21"/>
          <w:szCs w:val="21"/>
        </w:rPr>
        <w:t>eadcount Index; Multidimensional Poverty Index with 33% cut-off; MDPI, Multidimensional Distribution Sensitive Poverty Index; Cash Transfer</w:t>
      </w:r>
      <w:r>
        <w:rPr>
          <w:rFonts w:eastAsiaTheme="majorEastAsia"/>
          <w:sz w:val="21"/>
          <w:szCs w:val="21"/>
        </w:rPr>
        <w:t xml:space="preserve"> (per capita)</w:t>
      </w:r>
      <w:r w:rsidRPr="0052261A">
        <w:rPr>
          <w:rFonts w:eastAsiaTheme="majorEastAsia"/>
          <w:sz w:val="21"/>
          <w:szCs w:val="21"/>
        </w:rPr>
        <w:t xml:space="preserve"> (BISP)</w:t>
      </w:r>
    </w:p>
    <w:p w:rsidR="00EE5514" w:rsidRPr="0099481F" w:rsidRDefault="00EE5514" w:rsidP="00EE5514">
      <w:pPr>
        <w:spacing w:after="0" w:line="240" w:lineRule="auto"/>
        <w:jc w:val="center"/>
        <w:rPr>
          <w:b/>
          <w:bCs/>
          <w:color w:val="000000" w:themeColor="text1"/>
        </w:rPr>
      </w:pPr>
      <w:r>
        <w:rPr>
          <w:b/>
          <w:bCs/>
          <w:noProof/>
        </w:rPr>
        <w:lastRenderedPageBreak/>
        <mc:AlternateContent>
          <mc:Choice Requires="wps">
            <w:drawing>
              <wp:anchor distT="0" distB="0" distL="114300" distR="114300" simplePos="0" relativeHeight="251668480" behindDoc="0" locked="0" layoutInCell="1" allowOverlap="1" wp14:anchorId="3E55F7BB" wp14:editId="030D9AED">
                <wp:simplePos x="0" y="0"/>
                <wp:positionH relativeFrom="column">
                  <wp:posOffset>4013735</wp:posOffset>
                </wp:positionH>
                <wp:positionV relativeFrom="paragraph">
                  <wp:posOffset>4176730</wp:posOffset>
                </wp:positionV>
                <wp:extent cx="1838425" cy="596767"/>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1838425" cy="596767"/>
                        </a:xfrm>
                        <a:prstGeom prst="rect">
                          <a:avLst/>
                        </a:prstGeom>
                        <a:noFill/>
                        <a:ln w="6350">
                          <a:noFill/>
                        </a:ln>
                      </wps:spPr>
                      <wps:txbx>
                        <w:txbxContent>
                          <w:p w:rsidR="00BB1739" w:rsidRDefault="00BB1739" w:rsidP="00EE5514">
                            <w:pPr>
                              <w:spacing w:line="240" w:lineRule="auto"/>
                            </w:pPr>
                            <w:r>
                              <w:rPr>
                                <w:noProof/>
                              </w:rPr>
                              <w:drawing>
                                <wp:inline distT="0" distB="0" distL="0" distR="0" wp14:anchorId="72749B6C" wp14:editId="7E7B7C2F">
                                  <wp:extent cx="1559292" cy="2857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65704" cy="286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5F7BB" id="Text Box 165" o:spid="_x0000_s1027" type="#_x0000_t202" style="position:absolute;left:0;text-align:left;margin-left:316.05pt;margin-top:328.9pt;width:144.75pt;height: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" filled="f" stroked="f" strokeweight=".5pt">
                <v:textbox>
                  <w:txbxContent>
                    <w:p w:rsidR="00BB1739" w:rsidRDefault="00BB1739" w:rsidP="00EE5514">
                      <w:pPr>
                        <w:spacing w:line="240" w:lineRule="auto"/>
                      </w:pPr>
                      <w:r>
                        <w:rPr>
                          <w:noProof/>
                        </w:rPr>
                        <w:drawing>
                          <wp:inline distT="0" distB="0" distL="0" distR="0" wp14:anchorId="72749B6C" wp14:editId="7E7B7C2F">
                            <wp:extent cx="1559292" cy="2857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65704" cy="286925"/>
                                    </a:xfrm>
                                    <a:prstGeom prst="rect">
                                      <a:avLst/>
                                    </a:prstGeom>
                                  </pic:spPr>
                                </pic:pic>
                              </a:graphicData>
                            </a:graphic>
                          </wp:inline>
                        </w:drawing>
                      </w:r>
                    </w:p>
                  </w:txbxContent>
                </v:textbox>
              </v:shape>
            </w:pict>
          </mc:Fallback>
        </mc:AlternateContent>
      </w:r>
      <w:r>
        <w:rPr>
          <w:b/>
          <w:bCs/>
          <w:noProof/>
          <w:color w:val="000000" w:themeColor="text1"/>
        </w:rPr>
        <w:drawing>
          <wp:anchor distT="0" distB="0" distL="114300" distR="114300" simplePos="0" relativeHeight="251661312" behindDoc="0" locked="0" layoutInCell="1" allowOverlap="1" wp14:anchorId="3BFD2F58" wp14:editId="7B0E141D">
            <wp:simplePos x="0" y="0"/>
            <wp:positionH relativeFrom="column">
              <wp:posOffset>492760</wp:posOffset>
            </wp:positionH>
            <wp:positionV relativeFrom="paragraph">
              <wp:posOffset>250190</wp:posOffset>
            </wp:positionV>
            <wp:extent cx="7878445" cy="4403090"/>
            <wp:effectExtent l="12700" t="12700" r="8255" b="16510"/>
            <wp:wrapTopAndBottom/>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iagram&#10;&#10;Description automatically generated"/>
                    <pic:cNvPicPr/>
                  </pic:nvPicPr>
                  <pic:blipFill rotWithShape="1">
                    <a:blip r:embed="rId37" cstate="print">
                      <a:extLst>
                        <a:ext uri="{28A0092B-C50C-407E-A947-70E740481C1C}">
                          <a14:useLocalDpi xmlns:a14="http://schemas.microsoft.com/office/drawing/2010/main" val="0"/>
                        </a:ext>
                      </a:extLst>
                    </a:blip>
                    <a:srcRect t="15595" b="4002"/>
                    <a:stretch/>
                  </pic:blipFill>
                  <pic:spPr bwMode="auto">
                    <a:xfrm>
                      <a:off x="0" y="0"/>
                      <a:ext cx="7878445" cy="44030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481F">
        <w:rPr>
          <w:b/>
          <w:bCs/>
          <w:noProof/>
          <w:color w:val="000000" w:themeColor="text1"/>
        </w:rPr>
        <w:drawing>
          <wp:anchor distT="0" distB="0" distL="114300" distR="114300" simplePos="0" relativeHeight="251662336" behindDoc="1" locked="0" layoutInCell="1" allowOverlap="1" wp14:anchorId="6626A8E0" wp14:editId="74297B74">
            <wp:simplePos x="0" y="0"/>
            <wp:positionH relativeFrom="margin">
              <wp:posOffset>3898900</wp:posOffset>
            </wp:positionH>
            <wp:positionV relativeFrom="margin">
              <wp:posOffset>4446270</wp:posOffset>
            </wp:positionV>
            <wp:extent cx="190500" cy="179705"/>
            <wp:effectExtent l="12700" t="12700" r="12700" b="10795"/>
            <wp:wrapSquare wrapText="bothSides"/>
            <wp:docPr id="72" name="Picture 72" descr="C:\Users\zn6\Downloads\toppng.com-north-arrow-1660x2400.png"/>
            <wp:cNvGraphicFramePr/>
            <a:graphic xmlns:a="http://schemas.openxmlformats.org/drawingml/2006/main">
              <a:graphicData uri="http://schemas.openxmlformats.org/drawingml/2006/picture">
                <pic:pic xmlns:pic="http://schemas.openxmlformats.org/drawingml/2006/picture">
                  <pic:nvPicPr>
                    <pic:cNvPr id="10" name="Picture 10" descr="C:\Users\zn6\Downloads\toppng.com-north-arrow-1660x2400.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630316" flipH="1" flipV="1">
                      <a:off x="0" y="0"/>
                      <a:ext cx="19050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81F">
        <w:rPr>
          <w:b/>
          <w:bCs/>
          <w:color w:val="000000" w:themeColor="text1"/>
        </w:rPr>
        <w:t>Figure C2   Poverty and Cash Transfer Mapping</w:t>
      </w:r>
      <w:r w:rsidR="00961B9F">
        <w:rPr>
          <w:b/>
          <w:bCs/>
          <w:color w:val="000000" w:themeColor="text1"/>
        </w:rPr>
        <w:t xml:space="preserve"> </w:t>
      </w:r>
      <w:r w:rsidRPr="0099481F">
        <w:rPr>
          <w:b/>
          <w:bCs/>
          <w:color w:val="000000" w:themeColor="text1"/>
        </w:rPr>
        <w:t>– 2010</w:t>
      </w:r>
    </w:p>
    <w:p w:rsidR="00EE5514" w:rsidRPr="0052261A" w:rsidRDefault="00EE5514" w:rsidP="00EE5514">
      <w:pPr>
        <w:spacing w:after="0" w:line="240" w:lineRule="auto"/>
        <w:rPr>
          <w:rFonts w:eastAsiaTheme="majorEastAsia"/>
          <w:color w:val="000000" w:themeColor="text1"/>
          <w:sz w:val="21"/>
          <w:szCs w:val="21"/>
        </w:rPr>
      </w:pPr>
      <w:r>
        <w:rPr>
          <w:rFonts w:eastAsiaTheme="majorEastAsia"/>
          <w:i/>
          <w:iCs/>
          <w:color w:val="000000" w:themeColor="text1"/>
          <w:sz w:val="21"/>
          <w:szCs w:val="21"/>
        </w:rPr>
        <w:t>Notes</w:t>
      </w:r>
      <w:r w:rsidRPr="0052261A">
        <w:rPr>
          <w:rFonts w:eastAsiaTheme="majorEastAsia"/>
          <w:i/>
          <w:iCs/>
          <w:color w:val="000000" w:themeColor="text1"/>
          <w:sz w:val="21"/>
          <w:szCs w:val="21"/>
        </w:rPr>
        <w:t>:</w:t>
      </w:r>
      <w:r w:rsidRPr="0052261A">
        <w:rPr>
          <w:rFonts w:eastAsiaTheme="majorEastAsia"/>
          <w:color w:val="000000" w:themeColor="text1"/>
          <w:sz w:val="21"/>
          <w:szCs w:val="21"/>
        </w:rPr>
        <w:t xml:space="preserve"> HH, Headcount Index; HH</w:t>
      </w:r>
      <w:r>
        <w:rPr>
          <w:rFonts w:eastAsiaTheme="majorEastAsia"/>
          <w:color w:val="000000" w:themeColor="text1"/>
          <w:sz w:val="21"/>
          <w:szCs w:val="21"/>
        </w:rPr>
        <w:t>-</w:t>
      </w:r>
      <w:r w:rsidRPr="0052261A">
        <w:rPr>
          <w:rFonts w:eastAsiaTheme="majorEastAsia"/>
          <w:color w:val="000000" w:themeColor="text1"/>
          <w:sz w:val="21"/>
          <w:szCs w:val="21"/>
        </w:rPr>
        <w:t xml:space="preserve">MPI, </w:t>
      </w:r>
      <w:proofErr w:type="spellStart"/>
      <w:r w:rsidRPr="00140400">
        <w:rPr>
          <w:rFonts w:eastAsiaTheme="majorEastAsia"/>
          <w:color w:val="000000" w:themeColor="text1"/>
          <w:sz w:val="22"/>
          <w:szCs w:val="22"/>
        </w:rPr>
        <w:t>A</w:t>
      </w:r>
      <w:r>
        <w:rPr>
          <w:rFonts w:eastAsiaTheme="majorEastAsia"/>
          <w:color w:val="000000" w:themeColor="text1"/>
          <w:sz w:val="22"/>
          <w:szCs w:val="22"/>
        </w:rPr>
        <w:t>lkire</w:t>
      </w:r>
      <w:proofErr w:type="spellEnd"/>
      <w:r>
        <w:rPr>
          <w:rFonts w:eastAsiaTheme="majorEastAsia"/>
          <w:color w:val="000000" w:themeColor="text1"/>
          <w:sz w:val="22"/>
          <w:szCs w:val="22"/>
        </w:rPr>
        <w:t xml:space="preserve"> &amp; </w:t>
      </w:r>
      <w:r w:rsidRPr="00140400">
        <w:rPr>
          <w:rFonts w:eastAsiaTheme="majorEastAsia"/>
          <w:color w:val="000000" w:themeColor="text1"/>
          <w:sz w:val="22"/>
          <w:szCs w:val="22"/>
        </w:rPr>
        <w:t>F</w:t>
      </w:r>
      <w:r>
        <w:rPr>
          <w:rFonts w:eastAsiaTheme="majorEastAsia"/>
          <w:color w:val="000000" w:themeColor="text1"/>
          <w:sz w:val="22"/>
          <w:szCs w:val="22"/>
        </w:rPr>
        <w:t>oster (2011</w:t>
      </w:r>
      <w:proofErr w:type="gramStart"/>
      <w:r>
        <w:rPr>
          <w:rFonts w:eastAsiaTheme="majorEastAsia"/>
          <w:color w:val="000000" w:themeColor="text1"/>
          <w:sz w:val="22"/>
          <w:szCs w:val="22"/>
        </w:rPr>
        <w:t>)</w:t>
      </w:r>
      <w:r w:rsidRPr="0052261A">
        <w:rPr>
          <w:rFonts w:eastAsiaTheme="majorEastAsia"/>
          <w:sz w:val="21"/>
          <w:szCs w:val="21"/>
        </w:rPr>
        <w:t xml:space="preserve"> </w:t>
      </w:r>
      <w:r w:rsidRPr="0052261A">
        <w:rPr>
          <w:rFonts w:eastAsiaTheme="majorEastAsia"/>
          <w:color w:val="000000" w:themeColor="text1"/>
          <w:sz w:val="21"/>
          <w:szCs w:val="21"/>
        </w:rPr>
        <w:t xml:space="preserve"> </w:t>
      </w:r>
      <w:r>
        <w:rPr>
          <w:rFonts w:eastAsiaTheme="majorEastAsia"/>
          <w:color w:val="000000" w:themeColor="text1"/>
          <w:sz w:val="21"/>
          <w:szCs w:val="21"/>
        </w:rPr>
        <w:t>M</w:t>
      </w:r>
      <w:r w:rsidRPr="0052261A">
        <w:rPr>
          <w:rFonts w:eastAsiaTheme="majorEastAsia"/>
          <w:color w:val="000000" w:themeColor="text1"/>
          <w:sz w:val="21"/>
          <w:szCs w:val="21"/>
        </w:rPr>
        <w:t>ultidimensional</w:t>
      </w:r>
      <w:proofErr w:type="gramEnd"/>
      <w:r w:rsidRPr="0052261A">
        <w:rPr>
          <w:rFonts w:eastAsiaTheme="majorEastAsia"/>
          <w:color w:val="000000" w:themeColor="text1"/>
          <w:sz w:val="21"/>
          <w:szCs w:val="21"/>
        </w:rPr>
        <w:t xml:space="preserve"> </w:t>
      </w:r>
      <w:r>
        <w:rPr>
          <w:rFonts w:eastAsiaTheme="majorEastAsia"/>
          <w:color w:val="000000" w:themeColor="text1"/>
          <w:sz w:val="21"/>
          <w:szCs w:val="21"/>
        </w:rPr>
        <w:t>H</w:t>
      </w:r>
      <w:r w:rsidRPr="0052261A">
        <w:rPr>
          <w:rFonts w:eastAsiaTheme="majorEastAsia"/>
          <w:color w:val="000000" w:themeColor="text1"/>
          <w:sz w:val="21"/>
          <w:szCs w:val="21"/>
        </w:rPr>
        <w:t>eadcount Index; HH</w:t>
      </w:r>
      <w:r>
        <w:rPr>
          <w:rFonts w:eastAsiaTheme="majorEastAsia"/>
          <w:color w:val="000000" w:themeColor="text1"/>
          <w:sz w:val="21"/>
          <w:szCs w:val="21"/>
        </w:rPr>
        <w:t>-</w:t>
      </w:r>
      <w:r w:rsidRPr="0052261A">
        <w:rPr>
          <w:rFonts w:eastAsiaTheme="majorEastAsia"/>
          <w:color w:val="000000" w:themeColor="text1"/>
          <w:sz w:val="21"/>
          <w:szCs w:val="21"/>
        </w:rPr>
        <w:t xml:space="preserve">MDPI, </w:t>
      </w:r>
      <w:r>
        <w:rPr>
          <w:rFonts w:eastAsiaTheme="majorEastAsia"/>
          <w:color w:val="000000" w:themeColor="text1"/>
          <w:sz w:val="21"/>
          <w:szCs w:val="21"/>
        </w:rPr>
        <w:t>M</w:t>
      </w:r>
      <w:r w:rsidRPr="0052261A">
        <w:rPr>
          <w:rFonts w:eastAsiaTheme="majorEastAsia"/>
          <w:color w:val="000000" w:themeColor="text1"/>
          <w:sz w:val="21"/>
          <w:szCs w:val="21"/>
        </w:rPr>
        <w:t xml:space="preserve">ultidimensional </w:t>
      </w:r>
      <w:r>
        <w:rPr>
          <w:rFonts w:eastAsiaTheme="majorEastAsia"/>
          <w:color w:val="000000" w:themeColor="text1"/>
          <w:sz w:val="21"/>
          <w:szCs w:val="21"/>
        </w:rPr>
        <w:t>D</w:t>
      </w:r>
      <w:r w:rsidRPr="0052261A">
        <w:rPr>
          <w:rFonts w:eastAsiaTheme="majorEastAsia"/>
          <w:color w:val="000000" w:themeColor="text1"/>
          <w:sz w:val="21"/>
          <w:szCs w:val="21"/>
        </w:rPr>
        <w:t xml:space="preserve">istribution-sensitive </w:t>
      </w:r>
      <w:r>
        <w:rPr>
          <w:rFonts w:eastAsiaTheme="majorEastAsia"/>
          <w:color w:val="000000" w:themeColor="text1"/>
          <w:sz w:val="21"/>
          <w:szCs w:val="21"/>
        </w:rPr>
        <w:t>H</w:t>
      </w:r>
      <w:r w:rsidRPr="0052261A">
        <w:rPr>
          <w:rFonts w:eastAsiaTheme="majorEastAsia"/>
          <w:color w:val="000000" w:themeColor="text1"/>
          <w:sz w:val="21"/>
          <w:szCs w:val="21"/>
        </w:rPr>
        <w:t xml:space="preserve">eadcount Index; Multidimensional Poverty Index with 33% cut-off; MDPI, Multidimensional Distribution Sensitive Poverty Index; Cash Transfer </w:t>
      </w:r>
      <w:r>
        <w:rPr>
          <w:rFonts w:eastAsiaTheme="majorEastAsia"/>
          <w:sz w:val="21"/>
          <w:szCs w:val="21"/>
        </w:rPr>
        <w:t>(per capita)</w:t>
      </w:r>
      <w:r w:rsidRPr="0052261A">
        <w:rPr>
          <w:rFonts w:eastAsiaTheme="majorEastAsia"/>
          <w:sz w:val="21"/>
          <w:szCs w:val="21"/>
        </w:rPr>
        <w:t xml:space="preserve"> </w:t>
      </w:r>
      <w:r>
        <w:rPr>
          <w:rFonts w:eastAsiaTheme="majorEastAsia"/>
          <w:sz w:val="21"/>
          <w:szCs w:val="21"/>
        </w:rPr>
        <w:t xml:space="preserve"> </w:t>
      </w:r>
      <w:r w:rsidRPr="0052261A">
        <w:rPr>
          <w:rFonts w:eastAsiaTheme="majorEastAsia"/>
          <w:color w:val="000000" w:themeColor="text1"/>
          <w:sz w:val="21"/>
          <w:szCs w:val="21"/>
        </w:rPr>
        <w:t>(BISP)</w:t>
      </w:r>
    </w:p>
    <w:p w:rsidR="00EE5514" w:rsidRPr="0099481F" w:rsidRDefault="00EE5514" w:rsidP="00EE5514">
      <w:pPr>
        <w:spacing w:after="0" w:line="240" w:lineRule="auto"/>
        <w:jc w:val="center"/>
        <w:rPr>
          <w:b/>
          <w:bCs/>
          <w:color w:val="000000" w:themeColor="text1"/>
        </w:rPr>
      </w:pPr>
      <w:r>
        <w:rPr>
          <w:b/>
          <w:bCs/>
          <w:noProof/>
        </w:rPr>
        <w:lastRenderedPageBreak/>
        <mc:AlternateContent>
          <mc:Choice Requires="wps">
            <w:drawing>
              <wp:anchor distT="0" distB="0" distL="114300" distR="114300" simplePos="0" relativeHeight="251669504" behindDoc="0" locked="0" layoutInCell="1" allowOverlap="1" wp14:anchorId="7672086C" wp14:editId="0FBA1E09">
                <wp:simplePos x="0" y="0"/>
                <wp:positionH relativeFrom="column">
                  <wp:posOffset>4129238</wp:posOffset>
                </wp:positionH>
                <wp:positionV relativeFrom="paragraph">
                  <wp:posOffset>4167104</wp:posOffset>
                </wp:positionV>
                <wp:extent cx="1838425" cy="596767"/>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838425" cy="596767"/>
                        </a:xfrm>
                        <a:prstGeom prst="rect">
                          <a:avLst/>
                        </a:prstGeom>
                        <a:noFill/>
                        <a:ln w="6350">
                          <a:noFill/>
                        </a:ln>
                      </wps:spPr>
                      <wps:txbx>
                        <w:txbxContent>
                          <w:p w:rsidR="00BB1739" w:rsidRDefault="00BB1739" w:rsidP="00EE5514">
                            <w:pPr>
                              <w:spacing w:line="240" w:lineRule="auto"/>
                            </w:pPr>
                            <w:r>
                              <w:rPr>
                                <w:noProof/>
                              </w:rPr>
                              <w:drawing>
                                <wp:inline distT="0" distB="0" distL="0" distR="0" wp14:anchorId="4B061777" wp14:editId="43BF1529">
                                  <wp:extent cx="1559292" cy="2857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65704" cy="286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086C" id="Text Box 168" o:spid="_x0000_s1028" type="#_x0000_t202" style="position:absolute;left:0;text-align:left;margin-left:325.15pt;margin-top:328.1pt;width:144.75pt;height: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" filled="f" stroked="f" strokeweight=".5pt">
                <v:textbox>
                  <w:txbxContent>
                    <w:p w:rsidR="00BB1739" w:rsidRDefault="00BB1739" w:rsidP="00EE5514">
                      <w:pPr>
                        <w:spacing w:line="240" w:lineRule="auto"/>
                      </w:pPr>
                      <w:r>
                        <w:rPr>
                          <w:noProof/>
                        </w:rPr>
                        <w:drawing>
                          <wp:inline distT="0" distB="0" distL="0" distR="0" wp14:anchorId="4B061777" wp14:editId="43BF1529">
                            <wp:extent cx="1559292" cy="2857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5704" cy="286925"/>
                                    </a:xfrm>
                                    <a:prstGeom prst="rect">
                                      <a:avLst/>
                                    </a:prstGeom>
                                  </pic:spPr>
                                </pic:pic>
                              </a:graphicData>
                            </a:graphic>
                          </wp:inline>
                        </w:drawing>
                      </w:r>
                    </w:p>
                  </w:txbxContent>
                </v:textbox>
              </v:shape>
            </w:pict>
          </mc:Fallback>
        </mc:AlternateContent>
      </w:r>
      <w:r w:rsidRPr="0099481F">
        <w:rPr>
          <w:b/>
          <w:bCs/>
          <w:noProof/>
          <w:color w:val="000000" w:themeColor="text1"/>
        </w:rPr>
        <w:drawing>
          <wp:anchor distT="0" distB="0" distL="114300" distR="114300" simplePos="0" relativeHeight="251664384" behindDoc="1" locked="0" layoutInCell="1" allowOverlap="1" wp14:anchorId="721EEA0D" wp14:editId="2705EA10">
            <wp:simplePos x="0" y="0"/>
            <wp:positionH relativeFrom="margin">
              <wp:posOffset>4005580</wp:posOffset>
            </wp:positionH>
            <wp:positionV relativeFrom="margin">
              <wp:posOffset>4407535</wp:posOffset>
            </wp:positionV>
            <wp:extent cx="186055" cy="184785"/>
            <wp:effectExtent l="12700" t="12700" r="4445" b="5715"/>
            <wp:wrapSquare wrapText="bothSides"/>
            <wp:docPr id="74" name="Picture 74" descr="C:\Users\zn6\Downloads\toppng.com-north-arrow-1660x2400.png"/>
            <wp:cNvGraphicFramePr/>
            <a:graphic xmlns:a="http://schemas.openxmlformats.org/drawingml/2006/main">
              <a:graphicData uri="http://schemas.openxmlformats.org/drawingml/2006/picture">
                <pic:pic xmlns:pic="http://schemas.openxmlformats.org/drawingml/2006/picture">
                  <pic:nvPicPr>
                    <pic:cNvPr id="10" name="Picture 10" descr="C:\Users\zn6\Downloads\toppng.com-north-arrow-1660x2400.pn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630316" flipH="1" flipV="1">
                      <a:off x="0" y="0"/>
                      <a:ext cx="186055"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themeColor="text1"/>
        </w:rPr>
        <w:drawing>
          <wp:anchor distT="0" distB="0" distL="114300" distR="114300" simplePos="0" relativeHeight="251663360" behindDoc="0" locked="0" layoutInCell="1" allowOverlap="1" wp14:anchorId="28F12CAC" wp14:editId="474B998D">
            <wp:simplePos x="0" y="0"/>
            <wp:positionH relativeFrom="column">
              <wp:posOffset>495300</wp:posOffset>
            </wp:positionH>
            <wp:positionV relativeFrom="paragraph">
              <wp:posOffset>211455</wp:posOffset>
            </wp:positionV>
            <wp:extent cx="7877810" cy="4427855"/>
            <wp:effectExtent l="12700" t="12700" r="8890" b="17145"/>
            <wp:wrapTopAndBottom/>
            <wp:docPr id="128" name="Picture 12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Diagram, map&#10;&#10;Description automatically generated"/>
                    <pic:cNvPicPr/>
                  </pic:nvPicPr>
                  <pic:blipFill rotWithShape="1">
                    <a:blip r:embed="rId41" cstate="print">
                      <a:extLst>
                        <a:ext uri="{28A0092B-C50C-407E-A947-70E740481C1C}">
                          <a14:useLocalDpi xmlns:a14="http://schemas.microsoft.com/office/drawing/2010/main" val="0"/>
                        </a:ext>
                      </a:extLst>
                    </a:blip>
                    <a:srcRect t="15416" b="2657"/>
                    <a:stretch/>
                  </pic:blipFill>
                  <pic:spPr bwMode="auto">
                    <a:xfrm>
                      <a:off x="0" y="0"/>
                      <a:ext cx="7877810" cy="44278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481F">
        <w:rPr>
          <w:b/>
          <w:bCs/>
          <w:color w:val="000000" w:themeColor="text1"/>
        </w:rPr>
        <w:t>Figure C3   Poverty and Cash Transfer Mapping</w:t>
      </w:r>
      <w:r w:rsidR="00961B9F">
        <w:rPr>
          <w:b/>
          <w:bCs/>
          <w:color w:val="000000" w:themeColor="text1"/>
        </w:rPr>
        <w:t xml:space="preserve"> </w:t>
      </w:r>
      <w:r w:rsidRPr="0099481F">
        <w:rPr>
          <w:b/>
          <w:bCs/>
          <w:color w:val="000000" w:themeColor="text1"/>
        </w:rPr>
        <w:t>– 2012</w:t>
      </w:r>
    </w:p>
    <w:p w:rsidR="00EE5514" w:rsidRPr="00CF0DA7" w:rsidRDefault="00EE5514" w:rsidP="00EE5514">
      <w:pPr>
        <w:spacing w:after="0" w:line="240" w:lineRule="auto"/>
        <w:rPr>
          <w:rFonts w:eastAsiaTheme="majorEastAsia"/>
          <w:color w:val="000000" w:themeColor="text1"/>
          <w:sz w:val="21"/>
          <w:szCs w:val="21"/>
        </w:rPr>
      </w:pPr>
      <w:r>
        <w:rPr>
          <w:rFonts w:eastAsiaTheme="majorEastAsia"/>
          <w:i/>
          <w:iCs/>
          <w:color w:val="000000" w:themeColor="text1"/>
          <w:sz w:val="21"/>
          <w:szCs w:val="21"/>
        </w:rPr>
        <w:t>Notes</w:t>
      </w:r>
      <w:r w:rsidRPr="0052261A">
        <w:rPr>
          <w:rFonts w:eastAsiaTheme="majorEastAsia"/>
          <w:i/>
          <w:iCs/>
          <w:color w:val="000000" w:themeColor="text1"/>
          <w:sz w:val="21"/>
          <w:szCs w:val="21"/>
        </w:rPr>
        <w:t>:</w:t>
      </w:r>
      <w:r w:rsidRPr="0052261A">
        <w:rPr>
          <w:rFonts w:eastAsiaTheme="majorEastAsia"/>
          <w:color w:val="000000" w:themeColor="text1"/>
          <w:sz w:val="21"/>
          <w:szCs w:val="21"/>
        </w:rPr>
        <w:t xml:space="preserve"> HH, Headcount Index; HH</w:t>
      </w:r>
      <w:r>
        <w:rPr>
          <w:rFonts w:eastAsiaTheme="majorEastAsia"/>
          <w:color w:val="000000" w:themeColor="text1"/>
          <w:sz w:val="21"/>
          <w:szCs w:val="21"/>
        </w:rPr>
        <w:t>-</w:t>
      </w:r>
      <w:r w:rsidRPr="0052261A">
        <w:rPr>
          <w:rFonts w:eastAsiaTheme="majorEastAsia"/>
          <w:color w:val="000000" w:themeColor="text1"/>
          <w:sz w:val="21"/>
          <w:szCs w:val="21"/>
        </w:rPr>
        <w:t xml:space="preserve">MPI, </w:t>
      </w:r>
      <w:proofErr w:type="spellStart"/>
      <w:r w:rsidRPr="00140400">
        <w:rPr>
          <w:rFonts w:eastAsiaTheme="majorEastAsia"/>
          <w:color w:val="000000" w:themeColor="text1"/>
          <w:sz w:val="22"/>
          <w:szCs w:val="22"/>
        </w:rPr>
        <w:t>A</w:t>
      </w:r>
      <w:r>
        <w:rPr>
          <w:rFonts w:eastAsiaTheme="majorEastAsia"/>
          <w:color w:val="000000" w:themeColor="text1"/>
          <w:sz w:val="22"/>
          <w:szCs w:val="22"/>
        </w:rPr>
        <w:t>lkire</w:t>
      </w:r>
      <w:proofErr w:type="spellEnd"/>
      <w:r>
        <w:rPr>
          <w:rFonts w:eastAsiaTheme="majorEastAsia"/>
          <w:color w:val="000000" w:themeColor="text1"/>
          <w:sz w:val="22"/>
          <w:szCs w:val="22"/>
        </w:rPr>
        <w:t xml:space="preserve"> &amp; </w:t>
      </w:r>
      <w:r w:rsidRPr="00140400">
        <w:rPr>
          <w:rFonts w:eastAsiaTheme="majorEastAsia"/>
          <w:color w:val="000000" w:themeColor="text1"/>
          <w:sz w:val="22"/>
          <w:szCs w:val="22"/>
        </w:rPr>
        <w:t>F</w:t>
      </w:r>
      <w:r>
        <w:rPr>
          <w:rFonts w:eastAsiaTheme="majorEastAsia"/>
          <w:color w:val="000000" w:themeColor="text1"/>
          <w:sz w:val="22"/>
          <w:szCs w:val="22"/>
        </w:rPr>
        <w:t>oster (2011</w:t>
      </w:r>
      <w:proofErr w:type="gramStart"/>
      <w:r>
        <w:rPr>
          <w:rFonts w:eastAsiaTheme="majorEastAsia"/>
          <w:color w:val="000000" w:themeColor="text1"/>
          <w:sz w:val="22"/>
          <w:szCs w:val="22"/>
        </w:rPr>
        <w:t>)</w:t>
      </w:r>
      <w:r w:rsidRPr="0052261A">
        <w:rPr>
          <w:rFonts w:eastAsiaTheme="majorEastAsia"/>
          <w:sz w:val="21"/>
          <w:szCs w:val="21"/>
        </w:rPr>
        <w:t xml:space="preserve"> </w:t>
      </w:r>
      <w:r w:rsidRPr="0052261A">
        <w:rPr>
          <w:rFonts w:eastAsiaTheme="majorEastAsia"/>
          <w:color w:val="000000" w:themeColor="text1"/>
          <w:sz w:val="21"/>
          <w:szCs w:val="21"/>
        </w:rPr>
        <w:t xml:space="preserve"> </w:t>
      </w:r>
      <w:r>
        <w:rPr>
          <w:rFonts w:eastAsiaTheme="majorEastAsia"/>
          <w:color w:val="000000" w:themeColor="text1"/>
          <w:sz w:val="21"/>
          <w:szCs w:val="21"/>
        </w:rPr>
        <w:t>M</w:t>
      </w:r>
      <w:r w:rsidRPr="0052261A">
        <w:rPr>
          <w:rFonts w:eastAsiaTheme="majorEastAsia"/>
          <w:color w:val="000000" w:themeColor="text1"/>
          <w:sz w:val="21"/>
          <w:szCs w:val="21"/>
        </w:rPr>
        <w:t>ultidimensional</w:t>
      </w:r>
      <w:proofErr w:type="gramEnd"/>
      <w:r w:rsidRPr="0052261A">
        <w:rPr>
          <w:rFonts w:eastAsiaTheme="majorEastAsia"/>
          <w:color w:val="000000" w:themeColor="text1"/>
          <w:sz w:val="21"/>
          <w:szCs w:val="21"/>
        </w:rPr>
        <w:t xml:space="preserve"> </w:t>
      </w:r>
      <w:r>
        <w:rPr>
          <w:rFonts w:eastAsiaTheme="majorEastAsia"/>
          <w:color w:val="000000" w:themeColor="text1"/>
          <w:sz w:val="21"/>
          <w:szCs w:val="21"/>
        </w:rPr>
        <w:t>H</w:t>
      </w:r>
      <w:r w:rsidRPr="0052261A">
        <w:rPr>
          <w:rFonts w:eastAsiaTheme="majorEastAsia"/>
          <w:color w:val="000000" w:themeColor="text1"/>
          <w:sz w:val="21"/>
          <w:szCs w:val="21"/>
        </w:rPr>
        <w:t>eadcount Index; HH</w:t>
      </w:r>
      <w:r>
        <w:rPr>
          <w:rFonts w:eastAsiaTheme="majorEastAsia"/>
          <w:color w:val="000000" w:themeColor="text1"/>
          <w:sz w:val="21"/>
          <w:szCs w:val="21"/>
        </w:rPr>
        <w:t>-</w:t>
      </w:r>
      <w:r w:rsidRPr="0052261A">
        <w:rPr>
          <w:rFonts w:eastAsiaTheme="majorEastAsia"/>
          <w:color w:val="000000" w:themeColor="text1"/>
          <w:sz w:val="21"/>
          <w:szCs w:val="21"/>
        </w:rPr>
        <w:t xml:space="preserve">MDPI, </w:t>
      </w:r>
      <w:r>
        <w:rPr>
          <w:rFonts w:eastAsiaTheme="majorEastAsia"/>
          <w:color w:val="000000" w:themeColor="text1"/>
          <w:sz w:val="21"/>
          <w:szCs w:val="21"/>
        </w:rPr>
        <w:t>M</w:t>
      </w:r>
      <w:r w:rsidRPr="0052261A">
        <w:rPr>
          <w:rFonts w:eastAsiaTheme="majorEastAsia"/>
          <w:color w:val="000000" w:themeColor="text1"/>
          <w:sz w:val="21"/>
          <w:szCs w:val="21"/>
        </w:rPr>
        <w:t xml:space="preserve">ultidimensional </w:t>
      </w:r>
      <w:r>
        <w:rPr>
          <w:rFonts w:eastAsiaTheme="majorEastAsia"/>
          <w:color w:val="000000" w:themeColor="text1"/>
          <w:sz w:val="21"/>
          <w:szCs w:val="21"/>
        </w:rPr>
        <w:t>D</w:t>
      </w:r>
      <w:r w:rsidRPr="0052261A">
        <w:rPr>
          <w:rFonts w:eastAsiaTheme="majorEastAsia"/>
          <w:color w:val="000000" w:themeColor="text1"/>
          <w:sz w:val="21"/>
          <w:szCs w:val="21"/>
        </w:rPr>
        <w:t xml:space="preserve">istribution-sensitive </w:t>
      </w:r>
      <w:r>
        <w:rPr>
          <w:rFonts w:eastAsiaTheme="majorEastAsia"/>
          <w:color w:val="000000" w:themeColor="text1"/>
          <w:sz w:val="21"/>
          <w:szCs w:val="21"/>
        </w:rPr>
        <w:t>H</w:t>
      </w:r>
      <w:r w:rsidRPr="0052261A">
        <w:rPr>
          <w:rFonts w:eastAsiaTheme="majorEastAsia"/>
          <w:color w:val="000000" w:themeColor="text1"/>
          <w:sz w:val="21"/>
          <w:szCs w:val="21"/>
        </w:rPr>
        <w:t>eadcount Index; Multidimensional Poverty Index with 33% cut-off; MDPI, Multidimensional Distribution Sensitive Poverty Index; Cash Transfer</w:t>
      </w:r>
      <w:r>
        <w:rPr>
          <w:rFonts w:eastAsiaTheme="majorEastAsia"/>
          <w:color w:val="000000" w:themeColor="text1"/>
          <w:sz w:val="21"/>
          <w:szCs w:val="21"/>
        </w:rPr>
        <w:t xml:space="preserve"> </w:t>
      </w:r>
      <w:r>
        <w:rPr>
          <w:rFonts w:eastAsiaTheme="majorEastAsia"/>
          <w:sz w:val="21"/>
          <w:szCs w:val="21"/>
        </w:rPr>
        <w:t>(per capita)</w:t>
      </w:r>
      <w:r w:rsidRPr="0052261A">
        <w:rPr>
          <w:rFonts w:eastAsiaTheme="majorEastAsia"/>
          <w:sz w:val="21"/>
          <w:szCs w:val="21"/>
        </w:rPr>
        <w:t xml:space="preserve"> </w:t>
      </w:r>
      <w:r w:rsidRPr="0052261A">
        <w:rPr>
          <w:rFonts w:eastAsiaTheme="majorEastAsia"/>
          <w:color w:val="000000" w:themeColor="text1"/>
          <w:sz w:val="21"/>
          <w:szCs w:val="21"/>
        </w:rPr>
        <w:t xml:space="preserve"> (BISP</w:t>
      </w:r>
    </w:p>
    <w:p w:rsidR="00EE5514" w:rsidRPr="0099481F" w:rsidRDefault="00EE5514" w:rsidP="00EE5514">
      <w:pPr>
        <w:spacing w:after="0" w:line="240" w:lineRule="auto"/>
        <w:jc w:val="center"/>
        <w:rPr>
          <w:b/>
          <w:bCs/>
          <w:color w:val="000000" w:themeColor="text1"/>
        </w:rPr>
      </w:pPr>
      <w:r>
        <w:rPr>
          <w:b/>
          <w:bCs/>
          <w:noProof/>
        </w:rPr>
        <w:lastRenderedPageBreak/>
        <mc:AlternateContent>
          <mc:Choice Requires="wps">
            <w:drawing>
              <wp:anchor distT="0" distB="0" distL="114300" distR="114300" simplePos="0" relativeHeight="251670528" behindDoc="0" locked="0" layoutInCell="1" allowOverlap="1" wp14:anchorId="3A4E929C" wp14:editId="735B4316">
                <wp:simplePos x="0" y="0"/>
                <wp:positionH relativeFrom="column">
                  <wp:posOffset>4178434</wp:posOffset>
                </wp:positionH>
                <wp:positionV relativeFrom="paragraph">
                  <wp:posOffset>4128603</wp:posOffset>
                </wp:positionV>
                <wp:extent cx="1838425" cy="596767"/>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838425" cy="596767"/>
                        </a:xfrm>
                        <a:prstGeom prst="rect">
                          <a:avLst/>
                        </a:prstGeom>
                        <a:noFill/>
                        <a:ln w="6350">
                          <a:noFill/>
                        </a:ln>
                      </wps:spPr>
                      <wps:txbx>
                        <w:txbxContent>
                          <w:p w:rsidR="00BB1739" w:rsidRDefault="00BB1739" w:rsidP="00EE5514">
                            <w:pPr>
                              <w:spacing w:line="240" w:lineRule="auto"/>
                            </w:pPr>
                            <w:r>
                              <w:rPr>
                                <w:noProof/>
                              </w:rPr>
                              <w:drawing>
                                <wp:inline distT="0" distB="0" distL="0" distR="0" wp14:anchorId="75BADBF5" wp14:editId="1C954802">
                                  <wp:extent cx="1559292" cy="285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65704" cy="286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E929C" id="Text Box 170" o:spid="_x0000_s1029" type="#_x0000_t202" style="position:absolute;left:0;text-align:left;margin-left:329pt;margin-top:325.1pt;width:144.75pt;height: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" filled="f" stroked="f" strokeweight=".5pt">
                <v:textbox>
                  <w:txbxContent>
                    <w:p w:rsidR="00BB1739" w:rsidRDefault="00BB1739" w:rsidP="00EE5514">
                      <w:pPr>
                        <w:spacing w:line="240" w:lineRule="auto"/>
                      </w:pPr>
                      <w:r>
                        <w:rPr>
                          <w:noProof/>
                        </w:rPr>
                        <w:drawing>
                          <wp:inline distT="0" distB="0" distL="0" distR="0" wp14:anchorId="75BADBF5" wp14:editId="1C954802">
                            <wp:extent cx="1559292" cy="285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65704" cy="286925"/>
                                    </a:xfrm>
                                    <a:prstGeom prst="rect">
                                      <a:avLst/>
                                    </a:prstGeom>
                                  </pic:spPr>
                                </pic:pic>
                              </a:graphicData>
                            </a:graphic>
                          </wp:inline>
                        </w:drawing>
                      </w:r>
                    </w:p>
                  </w:txbxContent>
                </v:textbox>
              </v:shape>
            </w:pict>
          </mc:Fallback>
        </mc:AlternateContent>
      </w:r>
      <w:r>
        <w:rPr>
          <w:b/>
          <w:bCs/>
          <w:noProof/>
          <w:color w:val="000000" w:themeColor="text1"/>
        </w:rPr>
        <w:drawing>
          <wp:anchor distT="0" distB="0" distL="114300" distR="114300" simplePos="0" relativeHeight="251665408" behindDoc="0" locked="0" layoutInCell="1" allowOverlap="1" wp14:anchorId="0F2989B9" wp14:editId="479532E2">
            <wp:simplePos x="0" y="0"/>
            <wp:positionH relativeFrom="column">
              <wp:posOffset>492760</wp:posOffset>
            </wp:positionH>
            <wp:positionV relativeFrom="paragraph">
              <wp:posOffset>208280</wp:posOffset>
            </wp:positionV>
            <wp:extent cx="7878445" cy="4392930"/>
            <wp:effectExtent l="12700" t="12700" r="8255" b="13970"/>
            <wp:wrapTopAndBottom/>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rotWithShape="1">
                    <a:blip r:embed="rId44" cstate="print">
                      <a:extLst>
                        <a:ext uri="{28A0092B-C50C-407E-A947-70E740481C1C}">
                          <a14:useLocalDpi xmlns:a14="http://schemas.microsoft.com/office/drawing/2010/main" val="0"/>
                        </a:ext>
                      </a:extLst>
                    </a:blip>
                    <a:srcRect t="15954" b="2125"/>
                    <a:stretch/>
                  </pic:blipFill>
                  <pic:spPr bwMode="auto">
                    <a:xfrm>
                      <a:off x="0" y="0"/>
                      <a:ext cx="7878445" cy="43929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481F">
        <w:rPr>
          <w:rFonts w:eastAsiaTheme="majorEastAsia"/>
          <w:noProof/>
          <w:color w:val="000000" w:themeColor="text1"/>
          <w:sz w:val="21"/>
          <w:szCs w:val="21"/>
        </w:rPr>
        <w:drawing>
          <wp:anchor distT="0" distB="0" distL="114300" distR="114300" simplePos="0" relativeHeight="251666432" behindDoc="1" locked="0" layoutInCell="1" allowOverlap="1" wp14:anchorId="41CDD62D" wp14:editId="109E6088">
            <wp:simplePos x="0" y="0"/>
            <wp:positionH relativeFrom="margin">
              <wp:posOffset>3987037</wp:posOffset>
            </wp:positionH>
            <wp:positionV relativeFrom="margin">
              <wp:posOffset>4398155</wp:posOffset>
            </wp:positionV>
            <wp:extent cx="190500" cy="179705"/>
            <wp:effectExtent l="12700" t="12700" r="12700" b="10795"/>
            <wp:wrapSquare wrapText="bothSides"/>
            <wp:docPr id="76" name="Picture 76" descr="C:\Users\zn6\Downloads\toppng.com-north-arrow-1660x2400.png"/>
            <wp:cNvGraphicFramePr/>
            <a:graphic xmlns:a="http://schemas.openxmlformats.org/drawingml/2006/main">
              <a:graphicData uri="http://schemas.openxmlformats.org/drawingml/2006/picture">
                <pic:pic xmlns:pic="http://schemas.openxmlformats.org/drawingml/2006/picture">
                  <pic:nvPicPr>
                    <pic:cNvPr id="10" name="Picture 10" descr="C:\Users\zn6\Downloads\toppng.com-north-arrow-1660x2400.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630316" flipH="1" flipV="1">
                      <a:off x="0" y="0"/>
                      <a:ext cx="19050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81F">
        <w:rPr>
          <w:b/>
          <w:bCs/>
          <w:color w:val="000000" w:themeColor="text1"/>
        </w:rPr>
        <w:t>Figure C4   Poverty and Cash Transfer Mapping</w:t>
      </w:r>
      <w:r w:rsidR="00961B9F">
        <w:rPr>
          <w:b/>
          <w:bCs/>
          <w:color w:val="000000" w:themeColor="text1"/>
        </w:rPr>
        <w:t xml:space="preserve"> </w:t>
      </w:r>
      <w:r w:rsidRPr="0099481F">
        <w:rPr>
          <w:b/>
          <w:bCs/>
          <w:color w:val="000000" w:themeColor="text1"/>
        </w:rPr>
        <w:t>– 2014</w:t>
      </w:r>
    </w:p>
    <w:p w:rsidR="00EE5514" w:rsidRDefault="00EE5514" w:rsidP="00EE5514">
      <w:pPr>
        <w:spacing w:after="0" w:line="240" w:lineRule="auto"/>
        <w:rPr>
          <w:rFonts w:eastAsiaTheme="majorEastAsia"/>
          <w:color w:val="000000" w:themeColor="text1"/>
          <w:sz w:val="21"/>
          <w:szCs w:val="21"/>
        </w:rPr>
        <w:sectPr w:rsidR="00EE5514">
          <w:pgSz w:w="16838" w:h="11906" w:orient="landscape"/>
          <w:pgMar w:top="1440" w:right="1440" w:bottom="1440" w:left="1440" w:header="709" w:footer="709" w:gutter="0"/>
          <w:cols w:space="720"/>
        </w:sectPr>
      </w:pPr>
      <w:r>
        <w:rPr>
          <w:rFonts w:eastAsiaTheme="majorEastAsia"/>
          <w:i/>
          <w:iCs/>
          <w:color w:val="000000" w:themeColor="text1"/>
          <w:sz w:val="21"/>
          <w:szCs w:val="21"/>
        </w:rPr>
        <w:t>Notes</w:t>
      </w:r>
      <w:r w:rsidRPr="0052261A">
        <w:rPr>
          <w:rFonts w:eastAsiaTheme="majorEastAsia"/>
          <w:i/>
          <w:iCs/>
          <w:color w:val="000000" w:themeColor="text1"/>
          <w:sz w:val="21"/>
          <w:szCs w:val="21"/>
        </w:rPr>
        <w:t>:</w:t>
      </w:r>
      <w:r w:rsidRPr="0052261A">
        <w:rPr>
          <w:rFonts w:eastAsiaTheme="majorEastAsia"/>
          <w:color w:val="000000" w:themeColor="text1"/>
          <w:sz w:val="21"/>
          <w:szCs w:val="21"/>
        </w:rPr>
        <w:t xml:space="preserve"> HH, Headcount Index; HH</w:t>
      </w:r>
      <w:r>
        <w:rPr>
          <w:rFonts w:eastAsiaTheme="majorEastAsia"/>
          <w:color w:val="000000" w:themeColor="text1"/>
          <w:sz w:val="21"/>
          <w:szCs w:val="21"/>
        </w:rPr>
        <w:t>-</w:t>
      </w:r>
      <w:r w:rsidRPr="0052261A">
        <w:rPr>
          <w:rFonts w:eastAsiaTheme="majorEastAsia"/>
          <w:color w:val="000000" w:themeColor="text1"/>
          <w:sz w:val="21"/>
          <w:szCs w:val="21"/>
        </w:rPr>
        <w:t xml:space="preserve">MPI, </w:t>
      </w:r>
      <w:proofErr w:type="spellStart"/>
      <w:r w:rsidRPr="00140400">
        <w:rPr>
          <w:rFonts w:eastAsiaTheme="majorEastAsia"/>
          <w:color w:val="000000" w:themeColor="text1"/>
          <w:sz w:val="22"/>
          <w:szCs w:val="22"/>
        </w:rPr>
        <w:t>A</w:t>
      </w:r>
      <w:r>
        <w:rPr>
          <w:rFonts w:eastAsiaTheme="majorEastAsia"/>
          <w:color w:val="000000" w:themeColor="text1"/>
          <w:sz w:val="22"/>
          <w:szCs w:val="22"/>
        </w:rPr>
        <w:t>lkire</w:t>
      </w:r>
      <w:proofErr w:type="spellEnd"/>
      <w:r>
        <w:rPr>
          <w:rFonts w:eastAsiaTheme="majorEastAsia"/>
          <w:color w:val="000000" w:themeColor="text1"/>
          <w:sz w:val="22"/>
          <w:szCs w:val="22"/>
        </w:rPr>
        <w:t xml:space="preserve"> &amp; </w:t>
      </w:r>
      <w:r w:rsidRPr="00140400">
        <w:rPr>
          <w:rFonts w:eastAsiaTheme="majorEastAsia"/>
          <w:color w:val="000000" w:themeColor="text1"/>
          <w:sz w:val="22"/>
          <w:szCs w:val="22"/>
        </w:rPr>
        <w:t>F</w:t>
      </w:r>
      <w:r>
        <w:rPr>
          <w:rFonts w:eastAsiaTheme="majorEastAsia"/>
          <w:color w:val="000000" w:themeColor="text1"/>
          <w:sz w:val="22"/>
          <w:szCs w:val="22"/>
        </w:rPr>
        <w:t>oster (2011</w:t>
      </w:r>
      <w:proofErr w:type="gramStart"/>
      <w:r>
        <w:rPr>
          <w:rFonts w:eastAsiaTheme="majorEastAsia"/>
          <w:color w:val="000000" w:themeColor="text1"/>
          <w:sz w:val="22"/>
          <w:szCs w:val="22"/>
        </w:rPr>
        <w:t>)</w:t>
      </w:r>
      <w:r w:rsidRPr="0052261A">
        <w:rPr>
          <w:rFonts w:eastAsiaTheme="majorEastAsia"/>
          <w:sz w:val="21"/>
          <w:szCs w:val="21"/>
        </w:rPr>
        <w:t xml:space="preserve"> </w:t>
      </w:r>
      <w:r w:rsidRPr="0052261A">
        <w:rPr>
          <w:rFonts w:eastAsiaTheme="majorEastAsia"/>
          <w:color w:val="000000" w:themeColor="text1"/>
          <w:sz w:val="21"/>
          <w:szCs w:val="21"/>
        </w:rPr>
        <w:t xml:space="preserve"> </w:t>
      </w:r>
      <w:r>
        <w:rPr>
          <w:rFonts w:eastAsiaTheme="majorEastAsia"/>
          <w:color w:val="000000" w:themeColor="text1"/>
          <w:sz w:val="21"/>
          <w:szCs w:val="21"/>
        </w:rPr>
        <w:t>M</w:t>
      </w:r>
      <w:r w:rsidRPr="0052261A">
        <w:rPr>
          <w:rFonts w:eastAsiaTheme="majorEastAsia"/>
          <w:color w:val="000000" w:themeColor="text1"/>
          <w:sz w:val="21"/>
          <w:szCs w:val="21"/>
        </w:rPr>
        <w:t>ultidimensional</w:t>
      </w:r>
      <w:proofErr w:type="gramEnd"/>
      <w:r w:rsidRPr="0052261A">
        <w:rPr>
          <w:rFonts w:eastAsiaTheme="majorEastAsia"/>
          <w:color w:val="000000" w:themeColor="text1"/>
          <w:sz w:val="21"/>
          <w:szCs w:val="21"/>
        </w:rPr>
        <w:t xml:space="preserve"> </w:t>
      </w:r>
      <w:r>
        <w:rPr>
          <w:rFonts w:eastAsiaTheme="majorEastAsia"/>
          <w:color w:val="000000" w:themeColor="text1"/>
          <w:sz w:val="21"/>
          <w:szCs w:val="21"/>
        </w:rPr>
        <w:t>H</w:t>
      </w:r>
      <w:r w:rsidRPr="0052261A">
        <w:rPr>
          <w:rFonts w:eastAsiaTheme="majorEastAsia"/>
          <w:color w:val="000000" w:themeColor="text1"/>
          <w:sz w:val="21"/>
          <w:szCs w:val="21"/>
        </w:rPr>
        <w:t>eadcount Index; HH</w:t>
      </w:r>
      <w:r>
        <w:rPr>
          <w:rFonts w:eastAsiaTheme="majorEastAsia"/>
          <w:color w:val="000000" w:themeColor="text1"/>
          <w:sz w:val="21"/>
          <w:szCs w:val="21"/>
        </w:rPr>
        <w:t>-</w:t>
      </w:r>
      <w:r w:rsidRPr="0052261A">
        <w:rPr>
          <w:rFonts w:eastAsiaTheme="majorEastAsia"/>
          <w:color w:val="000000" w:themeColor="text1"/>
          <w:sz w:val="21"/>
          <w:szCs w:val="21"/>
        </w:rPr>
        <w:t xml:space="preserve">MDPI, </w:t>
      </w:r>
      <w:r>
        <w:rPr>
          <w:rFonts w:eastAsiaTheme="majorEastAsia"/>
          <w:color w:val="000000" w:themeColor="text1"/>
          <w:sz w:val="21"/>
          <w:szCs w:val="21"/>
        </w:rPr>
        <w:t>M</w:t>
      </w:r>
      <w:r w:rsidRPr="0052261A">
        <w:rPr>
          <w:rFonts w:eastAsiaTheme="majorEastAsia"/>
          <w:color w:val="000000" w:themeColor="text1"/>
          <w:sz w:val="21"/>
          <w:szCs w:val="21"/>
        </w:rPr>
        <w:t xml:space="preserve">ultidimensional </w:t>
      </w:r>
      <w:r>
        <w:rPr>
          <w:rFonts w:eastAsiaTheme="majorEastAsia"/>
          <w:color w:val="000000" w:themeColor="text1"/>
          <w:sz w:val="21"/>
          <w:szCs w:val="21"/>
        </w:rPr>
        <w:t>D</w:t>
      </w:r>
      <w:r w:rsidRPr="0052261A">
        <w:rPr>
          <w:rFonts w:eastAsiaTheme="majorEastAsia"/>
          <w:color w:val="000000" w:themeColor="text1"/>
          <w:sz w:val="21"/>
          <w:szCs w:val="21"/>
        </w:rPr>
        <w:t xml:space="preserve">istribution-sensitive </w:t>
      </w:r>
      <w:r>
        <w:rPr>
          <w:rFonts w:eastAsiaTheme="majorEastAsia"/>
          <w:color w:val="000000" w:themeColor="text1"/>
          <w:sz w:val="21"/>
          <w:szCs w:val="21"/>
        </w:rPr>
        <w:t>H</w:t>
      </w:r>
      <w:r w:rsidRPr="0052261A">
        <w:rPr>
          <w:rFonts w:eastAsiaTheme="majorEastAsia"/>
          <w:color w:val="000000" w:themeColor="text1"/>
          <w:sz w:val="21"/>
          <w:szCs w:val="21"/>
        </w:rPr>
        <w:t>eadcount Index; Multidimensional Poverty Index with 33% cut-off; MDPI, Multidimensional Distribution Sensitive Poverty Index; Cash Transfer</w:t>
      </w:r>
      <w:r>
        <w:rPr>
          <w:rFonts w:eastAsiaTheme="majorEastAsia"/>
          <w:color w:val="000000" w:themeColor="text1"/>
          <w:sz w:val="21"/>
          <w:szCs w:val="21"/>
        </w:rPr>
        <w:t xml:space="preserve"> </w:t>
      </w:r>
      <w:r>
        <w:rPr>
          <w:rFonts w:eastAsiaTheme="majorEastAsia"/>
          <w:sz w:val="21"/>
          <w:szCs w:val="21"/>
        </w:rPr>
        <w:t>(per capita)</w:t>
      </w:r>
      <w:r w:rsidRPr="0052261A">
        <w:rPr>
          <w:rFonts w:eastAsiaTheme="majorEastAsia"/>
          <w:sz w:val="21"/>
          <w:szCs w:val="21"/>
        </w:rPr>
        <w:t xml:space="preserve"> </w:t>
      </w:r>
      <w:r w:rsidRPr="0052261A">
        <w:rPr>
          <w:rFonts w:eastAsiaTheme="majorEastAsia"/>
          <w:color w:val="000000" w:themeColor="text1"/>
          <w:sz w:val="21"/>
          <w:szCs w:val="21"/>
        </w:rPr>
        <w:t xml:space="preserve"> (BISP</w:t>
      </w:r>
      <w:r>
        <w:rPr>
          <w:rFonts w:eastAsiaTheme="majorEastAsia"/>
          <w:color w:val="000000" w:themeColor="text1"/>
          <w:sz w:val="21"/>
          <w:szCs w:val="21"/>
        </w:rPr>
        <w:t>)</w:t>
      </w:r>
    </w:p>
    <w:p w:rsidR="00EE5514" w:rsidRDefault="00EE5514" w:rsidP="00EE5514">
      <w:pPr>
        <w:jc w:val="right"/>
        <w:rPr>
          <w:color w:val="000000" w:themeColor="text1"/>
          <w:sz w:val="20"/>
          <w:szCs w:val="20"/>
        </w:rPr>
      </w:pPr>
    </w:p>
    <w:p w:rsidR="00EE5514" w:rsidRDefault="00EE5514" w:rsidP="00EE5514">
      <w:pPr>
        <w:rPr>
          <w:sz w:val="20"/>
          <w:szCs w:val="20"/>
        </w:rPr>
      </w:pPr>
    </w:p>
    <w:p w:rsidR="00EE5514" w:rsidRDefault="00EE5514" w:rsidP="00961B9F">
      <w:pPr>
        <w:spacing w:after="0" w:line="240" w:lineRule="auto"/>
        <w:rPr>
          <w:b/>
          <w:bCs/>
          <w:color w:val="000000" w:themeColor="text1"/>
          <w:spacing w:val="2"/>
          <w:shd w:val="clear" w:color="auto" w:fill="FCFCFC"/>
        </w:rPr>
      </w:pPr>
      <w:bookmarkStart w:id="4" w:name="_Toc81247140"/>
      <w:r w:rsidRPr="00961B9F">
        <w:rPr>
          <w:b/>
          <w:bCs/>
          <w:color w:val="000000" w:themeColor="text1"/>
          <w:spacing w:val="2"/>
          <w:shd w:val="clear" w:color="auto" w:fill="FCFCFC"/>
        </w:rPr>
        <w:t>Appendix D</w:t>
      </w:r>
      <w:bookmarkEnd w:id="4"/>
    </w:p>
    <w:p w:rsidR="00961B9F" w:rsidRPr="00961B9F" w:rsidRDefault="00961B9F" w:rsidP="00961B9F">
      <w:pPr>
        <w:spacing w:after="0" w:line="240" w:lineRule="auto"/>
        <w:rPr>
          <w:b/>
          <w:bCs/>
          <w:color w:val="000000" w:themeColor="text1"/>
          <w:spacing w:val="2"/>
          <w:shd w:val="clear" w:color="auto" w:fill="FCFCFC"/>
        </w:rPr>
      </w:pPr>
    </w:p>
    <w:p w:rsidR="00EE5514" w:rsidRPr="00604DEC" w:rsidRDefault="00EE5514" w:rsidP="00EE5514">
      <w:pPr>
        <w:spacing w:after="0" w:line="240" w:lineRule="auto"/>
        <w:rPr>
          <w:b/>
          <w:bCs/>
          <w:i/>
          <w:iCs/>
          <w:color w:val="000000" w:themeColor="text1"/>
          <w:spacing w:val="2"/>
          <w:shd w:val="clear" w:color="auto" w:fill="FCFCFC"/>
        </w:rPr>
      </w:pPr>
      <w:r w:rsidRPr="00604DEC">
        <w:rPr>
          <w:b/>
          <w:bCs/>
          <w:color w:val="000000" w:themeColor="text1"/>
          <w:spacing w:val="2"/>
          <w:shd w:val="clear" w:color="auto" w:fill="FCFCFC"/>
        </w:rPr>
        <w:t xml:space="preserve">Table </w:t>
      </w:r>
      <w:r>
        <w:rPr>
          <w:b/>
          <w:bCs/>
          <w:color w:val="000000" w:themeColor="text1"/>
          <w:spacing w:val="2"/>
          <w:shd w:val="clear" w:color="auto" w:fill="FCFCFC"/>
        </w:rPr>
        <w:t>D</w:t>
      </w:r>
      <w:r w:rsidRPr="00604DEC">
        <w:rPr>
          <w:b/>
          <w:bCs/>
          <w:color w:val="000000" w:themeColor="text1"/>
          <w:spacing w:val="2"/>
          <w:shd w:val="clear" w:color="auto" w:fill="FCFCFC"/>
        </w:rPr>
        <w:t xml:space="preserve">1: </w:t>
      </w:r>
      <w:r w:rsidRPr="00E3079D">
        <w:rPr>
          <w:b/>
          <w:bCs/>
          <w:color w:val="000000" w:themeColor="text1"/>
          <w:spacing w:val="2"/>
          <w:shd w:val="clear" w:color="auto" w:fill="FCFCFC"/>
        </w:rPr>
        <w:t>Blinder-Oaxaca Decomposition Headcount Index</w:t>
      </w:r>
    </w:p>
    <w:tbl>
      <w:tblPr>
        <w:tblW w:w="9697" w:type="dxa"/>
        <w:tblInd w:w="-147" w:type="dxa"/>
        <w:tblLook w:val="04A0" w:firstRow="1" w:lastRow="0" w:firstColumn="1" w:lastColumn="0" w:noHBand="0" w:noVBand="1"/>
      </w:tblPr>
      <w:tblGrid>
        <w:gridCol w:w="3247"/>
        <w:gridCol w:w="1122"/>
        <w:gridCol w:w="1361"/>
        <w:gridCol w:w="1402"/>
        <w:gridCol w:w="1274"/>
        <w:gridCol w:w="1291"/>
      </w:tblGrid>
      <w:tr w:rsidR="00EE5514" w:rsidRPr="00961B9F" w:rsidTr="00961B9F">
        <w:trPr>
          <w:trHeight w:val="20"/>
        </w:trPr>
        <w:tc>
          <w:tcPr>
            <w:tcW w:w="3247"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Pre BISP</w:t>
            </w:r>
          </w:p>
        </w:tc>
        <w:tc>
          <w:tcPr>
            <w:tcW w:w="6450" w:type="dxa"/>
            <w:gridSpan w:val="5"/>
            <w:tcBorders>
              <w:top w:val="single" w:sz="4" w:space="0" w:color="auto"/>
            </w:tcBorders>
            <w:shd w:val="clear" w:color="auto" w:fill="auto"/>
            <w:noWrap/>
            <w:vAlign w:val="bottom"/>
            <w:hideMark/>
          </w:tcPr>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45.6***</w:t>
            </w:r>
          </w:p>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(1.38)</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Post BISP</w:t>
            </w:r>
          </w:p>
        </w:tc>
        <w:tc>
          <w:tcPr>
            <w:tcW w:w="6450" w:type="dxa"/>
            <w:gridSpan w:val="5"/>
            <w:shd w:val="clear" w:color="auto" w:fill="auto"/>
            <w:noWrap/>
            <w:vAlign w:val="bottom"/>
            <w:hideMark/>
          </w:tcPr>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33.2***</w:t>
            </w:r>
          </w:p>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(1.18)</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Difference</w:t>
            </w:r>
          </w:p>
        </w:tc>
        <w:tc>
          <w:tcPr>
            <w:tcW w:w="6450" w:type="dxa"/>
            <w:gridSpan w:val="5"/>
            <w:shd w:val="clear" w:color="auto" w:fill="auto"/>
            <w:noWrap/>
            <w:vAlign w:val="bottom"/>
            <w:hideMark/>
          </w:tcPr>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12.3***</w:t>
            </w:r>
          </w:p>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(1.81)</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Endowment</w:t>
            </w:r>
          </w:p>
        </w:tc>
        <w:tc>
          <w:tcPr>
            <w:tcW w:w="6450" w:type="dxa"/>
            <w:gridSpan w:val="5"/>
            <w:shd w:val="clear" w:color="auto" w:fill="auto"/>
            <w:noWrap/>
            <w:vAlign w:val="bottom"/>
            <w:hideMark/>
          </w:tcPr>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5.9**</w:t>
            </w:r>
          </w:p>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(3.02)</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Coefficient</w:t>
            </w:r>
          </w:p>
        </w:tc>
        <w:tc>
          <w:tcPr>
            <w:tcW w:w="6450" w:type="dxa"/>
            <w:gridSpan w:val="5"/>
            <w:shd w:val="clear" w:color="auto" w:fill="auto"/>
            <w:noWrap/>
            <w:vAlign w:val="bottom"/>
            <w:hideMark/>
          </w:tcPr>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5.6***</w:t>
            </w:r>
          </w:p>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(2.08)</w:t>
            </w:r>
          </w:p>
        </w:tc>
      </w:tr>
      <w:tr w:rsidR="00EE5514" w:rsidRPr="00961B9F" w:rsidTr="00961B9F">
        <w:trPr>
          <w:trHeight w:val="20"/>
        </w:trPr>
        <w:tc>
          <w:tcPr>
            <w:tcW w:w="3247"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Interaction</w:t>
            </w:r>
          </w:p>
        </w:tc>
        <w:tc>
          <w:tcPr>
            <w:tcW w:w="6450" w:type="dxa"/>
            <w:gridSpan w:val="5"/>
            <w:tcBorders>
              <w:bottom w:val="single" w:sz="4" w:space="0" w:color="auto"/>
            </w:tcBorders>
            <w:shd w:val="clear" w:color="auto" w:fill="auto"/>
            <w:noWrap/>
            <w:vAlign w:val="bottom"/>
            <w:hideMark/>
          </w:tcPr>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0.7</w:t>
            </w:r>
          </w:p>
          <w:p w:rsidR="00EE5514" w:rsidRPr="00961B9F" w:rsidRDefault="00EE5514" w:rsidP="009553BA">
            <w:pPr>
              <w:pStyle w:val="NoSpacing"/>
              <w:contextualSpacing/>
              <w:rPr>
                <w:rFonts w:asciiTheme="majorBidi" w:hAnsiTheme="majorBidi" w:cstheme="majorBidi"/>
                <w:sz w:val="20"/>
                <w:szCs w:val="20"/>
              </w:rPr>
            </w:pPr>
            <w:r w:rsidRPr="00961B9F">
              <w:rPr>
                <w:rFonts w:asciiTheme="majorBidi" w:hAnsiTheme="majorBidi" w:cstheme="majorBidi"/>
                <w:sz w:val="20"/>
                <w:szCs w:val="20"/>
              </w:rPr>
              <w:t>(3.19)</w:t>
            </w:r>
          </w:p>
        </w:tc>
      </w:tr>
      <w:tr w:rsidR="00EE5514" w:rsidRPr="00961B9F" w:rsidTr="00961B9F">
        <w:trPr>
          <w:trHeight w:val="20"/>
        </w:trPr>
        <w:tc>
          <w:tcPr>
            <w:tcW w:w="3247"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Variables</w:t>
            </w:r>
          </w:p>
        </w:tc>
        <w:tc>
          <w:tcPr>
            <w:tcW w:w="1122"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Pre BISP</w:t>
            </w:r>
          </w:p>
        </w:tc>
        <w:tc>
          <w:tcPr>
            <w:tcW w:w="1361"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Post BISP</w:t>
            </w:r>
          </w:p>
        </w:tc>
        <w:tc>
          <w:tcPr>
            <w:tcW w:w="3967" w:type="dxa"/>
            <w:gridSpan w:val="3"/>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jc w:val="center"/>
              <w:rPr>
                <w:rFonts w:asciiTheme="majorBidi" w:hAnsiTheme="majorBidi" w:cstheme="majorBidi"/>
                <w:b/>
                <w:bCs/>
                <w:sz w:val="20"/>
                <w:szCs w:val="20"/>
              </w:rPr>
            </w:pPr>
            <w:r w:rsidRPr="00961B9F">
              <w:rPr>
                <w:rFonts w:asciiTheme="majorBidi" w:hAnsiTheme="majorBidi" w:cstheme="majorBidi"/>
                <w:b/>
                <w:bCs/>
                <w:sz w:val="20"/>
                <w:szCs w:val="20"/>
              </w:rPr>
              <w:t>Decomposition</w:t>
            </w:r>
          </w:p>
        </w:tc>
      </w:tr>
      <w:tr w:rsidR="00EE5514" w:rsidRPr="00961B9F" w:rsidTr="00961B9F">
        <w:trPr>
          <w:trHeight w:val="20"/>
        </w:trPr>
        <w:tc>
          <w:tcPr>
            <w:tcW w:w="3247"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122"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361"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402"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Endowment</w:t>
            </w:r>
          </w:p>
        </w:tc>
        <w:tc>
          <w:tcPr>
            <w:tcW w:w="127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Coefficient</w:t>
            </w:r>
          </w:p>
        </w:tc>
        <w:tc>
          <w:tcPr>
            <w:tcW w:w="129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Interaction</w:t>
            </w:r>
          </w:p>
        </w:tc>
      </w:tr>
      <w:tr w:rsidR="00EE5514" w:rsidRPr="00961B9F" w:rsidTr="00961B9F">
        <w:trPr>
          <w:trHeight w:val="20"/>
        </w:trPr>
        <w:tc>
          <w:tcPr>
            <w:tcW w:w="3247"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Young people &lt; 15 years</w:t>
            </w:r>
          </w:p>
        </w:tc>
        <w:tc>
          <w:tcPr>
            <w:tcW w:w="1122"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210.5***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(47.75)</w:t>
            </w:r>
          </w:p>
        </w:tc>
        <w:tc>
          <w:tcPr>
            <w:tcW w:w="1361"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(28.15)</w:t>
            </w:r>
          </w:p>
        </w:tc>
        <w:tc>
          <w:tcPr>
            <w:tcW w:w="1402"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(0.52)</w:t>
            </w:r>
          </w:p>
        </w:tc>
        <w:tc>
          <w:tcPr>
            <w:tcW w:w="1274"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104.5***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(24.81)</w:t>
            </w:r>
          </w:p>
        </w:tc>
        <w:tc>
          <w:tcPr>
            <w:tcW w:w="1291"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(1.39)</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Adult people &gt;35 &amp; &lt; 60 years</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-102.9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(87.15)</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-290.1***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(58.56)</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(0.82)</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36.4*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(20.45)</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-2.02*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(1.19)</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 headed Household</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52.1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(32.91)</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156.3***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(17.23)</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(0.83)</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-98.4***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(35.06)</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(0.75)</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High school in 30min return</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(14.41)</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-25.2**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(13.75)</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(1.44)</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19.2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(13.41)</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(2.03)</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(86.41)</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(49.97)</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(51.12)</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(0.32)</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 who can read</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2.11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(14.91)</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(10.52)</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(0.59)</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22.6*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(12.06)</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(0.92)</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Hospital in 30 min return</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(14.48)</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(13.25)</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(1.27)</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-19.1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(13.16)</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2.64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(1.89)</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tractor</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(42.68)</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41.3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(30.25)</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(0.13)</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2.23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(1.88)</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(0.22)</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agriculture land</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(8.79)</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(6.99)</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(0.62)</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(3.87)</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(0.98)</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Toilet facility</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(7.65)</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(4.90)</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(0.69)</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(4.56)</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(1.24)</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Working population</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-34.8**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(17.97)</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-106.4***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(10.14)</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(0.77)</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39.6***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(11.43)</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(0.52)</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car</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(32.86)</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(20.30)</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(0.21)</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(1.94)</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(0.38)</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Concrete roof</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(8.67)</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(6.96)</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(0.88)</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(0.74)</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More than 2 rooms</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(15.38)</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(10.38)</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27.6*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(15.17)</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(0.31)</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Child</w:t>
            </w:r>
            <w:r w:rsidR="00961B9F">
              <w:rPr>
                <w:rFonts w:asciiTheme="majorBidi" w:hAnsiTheme="majorBidi" w:cstheme="majorBidi"/>
                <w:sz w:val="20"/>
                <w:szCs w:val="20"/>
              </w:rPr>
              <w:t xml:space="preserve"> is</w:t>
            </w:r>
            <w:r w:rsidRPr="00961B9F">
              <w:rPr>
                <w:rFonts w:asciiTheme="majorBidi" w:hAnsiTheme="majorBidi" w:cstheme="majorBidi"/>
                <w:sz w:val="20"/>
                <w:szCs w:val="20"/>
              </w:rPr>
              <w:t xml:space="preserve"> </w:t>
            </w:r>
            <w:r w:rsidR="00961B9F" w:rsidRPr="00961B9F">
              <w:rPr>
                <w:rFonts w:asciiTheme="majorBidi" w:hAnsiTheme="majorBidi" w:cstheme="majorBidi"/>
                <w:sz w:val="20"/>
                <w:szCs w:val="20"/>
              </w:rPr>
              <w:t>immunized</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(8.04)</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(13.99)</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(2.51)</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(15.37)</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2.58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(2.89)</w:t>
            </w:r>
          </w:p>
        </w:tc>
      </w:tr>
      <w:tr w:rsidR="00EE5514" w:rsidRPr="00961B9F" w:rsidTr="00961B9F">
        <w:trPr>
          <w:trHeight w:val="20"/>
        </w:trPr>
        <w:tc>
          <w:tcPr>
            <w:tcW w:w="324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Education till 10th</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-36.2***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(12.68)</w:t>
            </w:r>
          </w:p>
        </w:tc>
        <w:tc>
          <w:tcPr>
            <w:tcW w:w="136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-16.4*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(9.62)</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(0.24)</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(8.19)</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(0.36)</w:t>
            </w:r>
          </w:p>
        </w:tc>
      </w:tr>
      <w:tr w:rsidR="00EE5514" w:rsidRPr="00961B9F" w:rsidTr="00961B9F">
        <w:trPr>
          <w:trHeight w:val="20"/>
        </w:trPr>
        <w:tc>
          <w:tcPr>
            <w:tcW w:w="3247"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Access to electricity</w:t>
            </w:r>
          </w:p>
        </w:tc>
        <w:tc>
          <w:tcPr>
            <w:tcW w:w="1122"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(8.18)</w:t>
            </w:r>
          </w:p>
        </w:tc>
        <w:tc>
          <w:tcPr>
            <w:tcW w:w="136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(7.71)</w:t>
            </w:r>
          </w:p>
        </w:tc>
        <w:tc>
          <w:tcPr>
            <w:tcW w:w="1402"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(0.76)</w:t>
            </w:r>
          </w:p>
        </w:tc>
        <w:tc>
          <w:tcPr>
            <w:tcW w:w="127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(9.83)</w:t>
            </w:r>
          </w:p>
        </w:tc>
        <w:tc>
          <w:tcPr>
            <w:tcW w:w="129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(1.06)</w:t>
            </w:r>
          </w:p>
        </w:tc>
      </w:tr>
      <w:tr w:rsidR="00EE5514" w:rsidRPr="00961B9F" w:rsidTr="00961B9F">
        <w:trPr>
          <w:trHeight w:val="20"/>
        </w:trPr>
        <w:tc>
          <w:tcPr>
            <w:tcW w:w="9697" w:type="dxa"/>
            <w:gridSpan w:val="6"/>
            <w:tcBorders>
              <w:top w:val="single" w:sz="4" w:space="0" w:color="auto"/>
            </w:tcBorders>
            <w:shd w:val="clear" w:color="auto" w:fill="auto"/>
            <w:noWrap/>
            <w:vAlign w:val="bottom"/>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i/>
                <w:iCs/>
                <w:sz w:val="20"/>
                <w:szCs w:val="20"/>
              </w:rPr>
              <w:t>Notes:</w:t>
            </w:r>
            <w:r w:rsidRPr="00961B9F">
              <w:rPr>
                <w:rFonts w:asciiTheme="majorBidi" w:hAnsiTheme="majorBidi" w:cstheme="majorBidi"/>
                <w:sz w:val="20"/>
                <w:szCs w:val="20"/>
              </w:rPr>
              <w:t xml:space="preserve"> Standard errors in () with ***, **, * denoting statistical significance at the 1%, 5% and 10% level</w:t>
            </w:r>
          </w:p>
          <w:p w:rsidR="00EE5514" w:rsidRPr="00961B9F" w:rsidRDefault="00EE5514" w:rsidP="009553BA">
            <w:pPr>
              <w:pStyle w:val="NoSpacing"/>
              <w:rPr>
                <w:rFonts w:asciiTheme="majorBidi" w:hAnsiTheme="majorBidi" w:cstheme="majorBidi"/>
                <w:sz w:val="20"/>
                <w:szCs w:val="20"/>
              </w:rPr>
            </w:pPr>
          </w:p>
          <w:p w:rsidR="00EE5514" w:rsidRPr="00961B9F" w:rsidRDefault="00EE5514" w:rsidP="009553BA">
            <w:pPr>
              <w:pStyle w:val="NoSpacing"/>
              <w:rPr>
                <w:rFonts w:asciiTheme="majorBidi" w:hAnsiTheme="majorBidi" w:cstheme="majorBidi"/>
                <w:sz w:val="20"/>
                <w:szCs w:val="20"/>
              </w:rPr>
            </w:pPr>
          </w:p>
          <w:p w:rsidR="00EE5514" w:rsidRPr="00961B9F" w:rsidRDefault="00EE5514" w:rsidP="009553BA">
            <w:pPr>
              <w:pStyle w:val="NoSpacing"/>
              <w:rPr>
                <w:rFonts w:asciiTheme="majorBidi" w:hAnsiTheme="majorBidi" w:cstheme="majorBidi"/>
                <w:sz w:val="20"/>
                <w:szCs w:val="20"/>
              </w:rPr>
            </w:pPr>
          </w:p>
          <w:p w:rsidR="00EE5514" w:rsidRPr="00961B9F" w:rsidRDefault="00EE5514" w:rsidP="009553BA">
            <w:pPr>
              <w:pStyle w:val="NoSpacing"/>
              <w:rPr>
                <w:rFonts w:asciiTheme="majorBidi" w:hAnsiTheme="majorBidi" w:cstheme="majorBidi"/>
                <w:i/>
                <w:iCs/>
                <w:sz w:val="20"/>
                <w:szCs w:val="20"/>
              </w:rPr>
            </w:pPr>
            <w:r w:rsidRPr="00961B9F">
              <w:rPr>
                <w:rFonts w:asciiTheme="majorBidi" w:hAnsiTheme="majorBidi" w:cstheme="majorBidi"/>
                <w:sz w:val="20"/>
                <w:szCs w:val="20"/>
              </w:rPr>
              <w:t>.</w:t>
            </w:r>
          </w:p>
        </w:tc>
      </w:tr>
    </w:tbl>
    <w:p w:rsidR="00EE5514" w:rsidRPr="0070122A" w:rsidRDefault="00EE5514" w:rsidP="00EE5514">
      <w:pPr>
        <w:spacing w:after="0" w:line="240" w:lineRule="auto"/>
        <w:rPr>
          <w:b/>
          <w:bCs/>
          <w:i/>
          <w:iCs/>
          <w:color w:val="000000" w:themeColor="text1"/>
          <w:spacing w:val="2"/>
          <w:shd w:val="clear" w:color="auto" w:fill="FCFCFC"/>
        </w:rPr>
      </w:pPr>
      <w:r w:rsidRPr="00604DEC">
        <w:rPr>
          <w:b/>
          <w:bCs/>
          <w:color w:val="000000" w:themeColor="text1"/>
          <w:spacing w:val="2"/>
          <w:shd w:val="clear" w:color="auto" w:fill="FCFCFC"/>
        </w:rPr>
        <w:lastRenderedPageBreak/>
        <w:t xml:space="preserve">Table </w:t>
      </w:r>
      <w:r>
        <w:rPr>
          <w:b/>
          <w:bCs/>
          <w:color w:val="000000" w:themeColor="text1"/>
          <w:spacing w:val="2"/>
          <w:shd w:val="clear" w:color="auto" w:fill="FCFCFC"/>
        </w:rPr>
        <w:t>D</w:t>
      </w:r>
      <w:r w:rsidRPr="00604DEC">
        <w:rPr>
          <w:b/>
          <w:bCs/>
          <w:color w:val="000000" w:themeColor="text1"/>
          <w:spacing w:val="2"/>
          <w:shd w:val="clear" w:color="auto" w:fill="FCFCFC"/>
        </w:rPr>
        <w:t xml:space="preserve">2: </w:t>
      </w:r>
      <w:r w:rsidRPr="00E3079D">
        <w:rPr>
          <w:b/>
          <w:bCs/>
          <w:color w:val="000000" w:themeColor="text1"/>
          <w:spacing w:val="2"/>
          <w:shd w:val="clear" w:color="auto" w:fill="FCFCFC"/>
        </w:rPr>
        <w:t>Blinder-Oaxaca Decomposition Poverty Gap Index</w:t>
      </w:r>
    </w:p>
    <w:tbl>
      <w:tblPr>
        <w:tblW w:w="9498" w:type="dxa"/>
        <w:tblInd w:w="-147" w:type="dxa"/>
        <w:tblLook w:val="04A0" w:firstRow="1" w:lastRow="0" w:firstColumn="1" w:lastColumn="0" w:noHBand="0" w:noVBand="1"/>
      </w:tblPr>
      <w:tblGrid>
        <w:gridCol w:w="3314"/>
        <w:gridCol w:w="1001"/>
        <w:gridCol w:w="1122"/>
        <w:gridCol w:w="1406"/>
        <w:gridCol w:w="1274"/>
        <w:gridCol w:w="1381"/>
      </w:tblGrid>
      <w:tr w:rsidR="00EE5514" w:rsidRPr="00961B9F" w:rsidTr="00961B9F">
        <w:trPr>
          <w:trHeight w:val="320"/>
        </w:trPr>
        <w:tc>
          <w:tcPr>
            <w:tcW w:w="3314"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Pre BISP</w:t>
            </w:r>
          </w:p>
        </w:tc>
        <w:tc>
          <w:tcPr>
            <w:tcW w:w="6184" w:type="dxa"/>
            <w:gridSpan w:val="5"/>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8.21***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(0.35)</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Post BISP</w:t>
            </w:r>
          </w:p>
        </w:tc>
        <w:tc>
          <w:tcPr>
            <w:tcW w:w="6184"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5.36***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(0.27)</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Difference</w:t>
            </w:r>
          </w:p>
        </w:tc>
        <w:tc>
          <w:tcPr>
            <w:tcW w:w="6184"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(0.44)</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Endowment</w:t>
            </w:r>
          </w:p>
        </w:tc>
        <w:tc>
          <w:tcPr>
            <w:tcW w:w="6184"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0.99***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(0.37)</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Coefficient</w:t>
            </w:r>
          </w:p>
        </w:tc>
        <w:tc>
          <w:tcPr>
            <w:tcW w:w="6184"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(0.45)</w:t>
            </w:r>
          </w:p>
        </w:tc>
      </w:tr>
      <w:tr w:rsidR="00EE5514" w:rsidRPr="00961B9F" w:rsidTr="00961B9F">
        <w:trPr>
          <w:trHeight w:val="320"/>
        </w:trPr>
        <w:tc>
          <w:tcPr>
            <w:tcW w:w="331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Interaction</w:t>
            </w:r>
          </w:p>
        </w:tc>
        <w:tc>
          <w:tcPr>
            <w:tcW w:w="6184" w:type="dxa"/>
            <w:gridSpan w:val="5"/>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(0.39)</w:t>
            </w:r>
          </w:p>
        </w:tc>
      </w:tr>
      <w:tr w:rsidR="00EE5514" w:rsidRPr="00961B9F" w:rsidTr="00961B9F">
        <w:trPr>
          <w:trHeight w:val="320"/>
        </w:trPr>
        <w:tc>
          <w:tcPr>
            <w:tcW w:w="3314"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Variables</w:t>
            </w:r>
          </w:p>
        </w:tc>
        <w:tc>
          <w:tcPr>
            <w:tcW w:w="1001"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Pre BISP</w:t>
            </w:r>
          </w:p>
        </w:tc>
        <w:tc>
          <w:tcPr>
            <w:tcW w:w="1122"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Post BISP</w:t>
            </w:r>
          </w:p>
        </w:tc>
        <w:tc>
          <w:tcPr>
            <w:tcW w:w="4061" w:type="dxa"/>
            <w:gridSpan w:val="3"/>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jc w:val="center"/>
              <w:rPr>
                <w:rFonts w:asciiTheme="majorBidi" w:hAnsiTheme="majorBidi" w:cstheme="majorBidi"/>
                <w:b/>
                <w:bCs/>
                <w:sz w:val="20"/>
                <w:szCs w:val="20"/>
              </w:rPr>
            </w:pPr>
            <w:r w:rsidRPr="00961B9F">
              <w:rPr>
                <w:rFonts w:asciiTheme="majorBidi" w:hAnsiTheme="majorBidi" w:cstheme="majorBidi"/>
                <w:b/>
                <w:bCs/>
                <w:sz w:val="20"/>
                <w:szCs w:val="20"/>
              </w:rPr>
              <w:t>Decomposition</w:t>
            </w:r>
          </w:p>
        </w:tc>
      </w:tr>
      <w:tr w:rsidR="00EE5514" w:rsidRPr="00961B9F" w:rsidTr="00961B9F">
        <w:trPr>
          <w:trHeight w:val="320"/>
        </w:trPr>
        <w:tc>
          <w:tcPr>
            <w:tcW w:w="3314"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001"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122"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406"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Endowment</w:t>
            </w:r>
          </w:p>
        </w:tc>
        <w:tc>
          <w:tcPr>
            <w:tcW w:w="127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Coefficient</w:t>
            </w:r>
          </w:p>
        </w:tc>
        <w:tc>
          <w:tcPr>
            <w:tcW w:w="138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Interaction</w:t>
            </w:r>
          </w:p>
        </w:tc>
      </w:tr>
      <w:tr w:rsidR="00EE5514" w:rsidRPr="00961B9F" w:rsidTr="00961B9F">
        <w:trPr>
          <w:trHeight w:val="320"/>
        </w:trPr>
        <w:tc>
          <w:tcPr>
            <w:tcW w:w="3314"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w:t>
            </w:r>
          </w:p>
        </w:tc>
        <w:tc>
          <w:tcPr>
            <w:tcW w:w="1001"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(24.45)</w:t>
            </w:r>
          </w:p>
        </w:tc>
        <w:tc>
          <w:tcPr>
            <w:tcW w:w="1122"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15.78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(12.11)</w:t>
            </w:r>
          </w:p>
        </w:tc>
        <w:tc>
          <w:tcPr>
            <w:tcW w:w="1406"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c>
          <w:tcPr>
            <w:tcW w:w="1274"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(13.98)</w:t>
            </w:r>
          </w:p>
        </w:tc>
        <w:tc>
          <w:tcPr>
            <w:tcW w:w="1381"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(0.10)</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Young people &lt; 15 years</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60.9*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(33.49)</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(18.72)</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(17.17)</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(0.72)</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Youth people &lt;35 &amp; &gt; 15 years</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(40.28)</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43.2**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(21.66)</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-8.63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(14.43)</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(0.10)</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Adult people &gt;35 &amp; &lt; 60 years</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(43.79)</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(23.88)</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(9.71)</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(0.54)</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 headed Household</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(8.99)</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30.48***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(4.40)</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(0.17)</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(9.45)</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(0.17)</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 who can read</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(3.74)</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-6.23**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(2.46)</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(0.13)</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3.17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(2.96)</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(0.21)</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Education till 10th</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(3.63)</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(2.36)</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-1.62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(2.23)</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Working population</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(4.88)</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(2.49)</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(0.20)</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10.54***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(3.04)</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car</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(9.37)</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(5.10)</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(0.53)</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(0.10)</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Access to gas</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(2.60)</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-3.97***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(1.46)</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(0.13)</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(0.67)</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(0.24)</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Toilet facility</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(2.12)</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0.96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(1.22)</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(0.17)</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(1.23)</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(0.33)</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High school in 30min return</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2.09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(3.93)</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(3.41)</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1.00***</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(0.39)</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8.32**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(3.51)</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(0.57)</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tractor</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41.6***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(11.61)</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(7.28)</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(0.49)</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(0.07)</w:t>
            </w:r>
          </w:p>
        </w:tc>
      </w:tr>
      <w:tr w:rsidR="00EE5514" w:rsidRPr="00961B9F" w:rsidTr="00961B9F">
        <w:trPr>
          <w:trHeight w:val="320"/>
        </w:trPr>
        <w:tc>
          <w:tcPr>
            <w:tcW w:w="331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More than 2 rooms</w:t>
            </w:r>
          </w:p>
        </w:tc>
        <w:tc>
          <w:tcPr>
            <w:tcW w:w="100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(3.61)</w:t>
            </w:r>
          </w:p>
        </w:tc>
        <w:tc>
          <w:tcPr>
            <w:tcW w:w="112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(2.39)</w:t>
            </w:r>
          </w:p>
        </w:tc>
        <w:tc>
          <w:tcPr>
            <w:tcW w:w="140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(0.08)</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2.64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(3.54)</w:t>
            </w:r>
          </w:p>
        </w:tc>
        <w:tc>
          <w:tcPr>
            <w:tcW w:w="138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tc>
      </w:tr>
      <w:tr w:rsidR="00EE5514" w:rsidRPr="00961B9F" w:rsidTr="00961B9F">
        <w:trPr>
          <w:trHeight w:val="320"/>
        </w:trPr>
        <w:tc>
          <w:tcPr>
            <w:tcW w:w="331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Hospital in 30 min return</w:t>
            </w:r>
          </w:p>
        </w:tc>
        <w:tc>
          <w:tcPr>
            <w:tcW w:w="100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(3.85)</w:t>
            </w:r>
          </w:p>
        </w:tc>
        <w:tc>
          <w:tcPr>
            <w:tcW w:w="1122"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(3.32)</w:t>
            </w:r>
          </w:p>
        </w:tc>
        <w:tc>
          <w:tcPr>
            <w:tcW w:w="1406"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(0.34)</w:t>
            </w:r>
          </w:p>
        </w:tc>
        <w:tc>
          <w:tcPr>
            <w:tcW w:w="127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-8.29**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(3.41)</w:t>
            </w:r>
          </w:p>
        </w:tc>
        <w:tc>
          <w:tcPr>
            <w:tcW w:w="138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(0.52)</w:t>
            </w:r>
          </w:p>
        </w:tc>
      </w:tr>
      <w:tr w:rsidR="00EE5514" w:rsidRPr="00961B9F" w:rsidTr="00961B9F">
        <w:trPr>
          <w:trHeight w:val="108"/>
        </w:trPr>
        <w:tc>
          <w:tcPr>
            <w:tcW w:w="9498" w:type="dxa"/>
            <w:gridSpan w:val="6"/>
            <w:tcBorders>
              <w:top w:val="single" w:sz="4" w:space="0" w:color="auto"/>
            </w:tcBorders>
            <w:shd w:val="clear" w:color="auto" w:fill="auto"/>
            <w:noWrap/>
            <w:vAlign w:val="bottom"/>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i/>
                <w:iCs/>
                <w:sz w:val="20"/>
                <w:szCs w:val="20"/>
              </w:rPr>
              <w:t>Notes:</w:t>
            </w:r>
            <w:r w:rsidRPr="00961B9F">
              <w:rPr>
                <w:rFonts w:asciiTheme="majorBidi" w:hAnsiTheme="majorBidi" w:cstheme="majorBidi"/>
                <w:sz w:val="20"/>
                <w:szCs w:val="20"/>
              </w:rPr>
              <w:t xml:space="preserve"> Standard errors in () with ***, **, * denoting statistical significance at the 1%, 5% and 10% level.</w:t>
            </w:r>
          </w:p>
          <w:p w:rsidR="00EE5514" w:rsidRPr="00961B9F" w:rsidRDefault="00EE5514" w:rsidP="009553BA">
            <w:pPr>
              <w:pStyle w:val="NoSpacing"/>
              <w:rPr>
                <w:rFonts w:asciiTheme="majorBidi" w:hAnsiTheme="majorBidi" w:cstheme="majorBidi"/>
                <w:i/>
                <w:iCs/>
                <w:sz w:val="20"/>
                <w:szCs w:val="20"/>
              </w:rPr>
            </w:pPr>
          </w:p>
          <w:p w:rsidR="00EE5514" w:rsidRPr="00961B9F" w:rsidRDefault="00EE5514" w:rsidP="009553BA">
            <w:pPr>
              <w:pStyle w:val="NoSpacing"/>
              <w:rPr>
                <w:rFonts w:asciiTheme="majorBidi" w:hAnsiTheme="majorBidi" w:cstheme="majorBidi"/>
                <w:i/>
                <w:iCs/>
                <w:sz w:val="20"/>
                <w:szCs w:val="20"/>
              </w:rPr>
            </w:pPr>
          </w:p>
          <w:p w:rsidR="00EE5514" w:rsidRPr="00961B9F" w:rsidRDefault="00EE5514" w:rsidP="009553BA">
            <w:pPr>
              <w:pStyle w:val="NoSpacing"/>
              <w:rPr>
                <w:rFonts w:asciiTheme="majorBidi" w:hAnsiTheme="majorBidi" w:cstheme="majorBidi"/>
                <w:i/>
                <w:iCs/>
                <w:sz w:val="20"/>
                <w:szCs w:val="20"/>
              </w:rPr>
            </w:pPr>
          </w:p>
          <w:p w:rsidR="00961B9F" w:rsidRPr="00961B9F" w:rsidRDefault="00961B9F" w:rsidP="009553BA">
            <w:pPr>
              <w:pStyle w:val="NoSpacing"/>
              <w:rPr>
                <w:rFonts w:asciiTheme="majorBidi" w:hAnsiTheme="majorBidi" w:cstheme="majorBidi"/>
                <w:i/>
                <w:iCs/>
                <w:sz w:val="20"/>
                <w:szCs w:val="20"/>
              </w:rPr>
            </w:pPr>
          </w:p>
          <w:p w:rsidR="00EE5514" w:rsidRDefault="00EE5514"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Pr="00961B9F" w:rsidRDefault="00961B9F" w:rsidP="009553BA">
            <w:pPr>
              <w:pStyle w:val="NoSpacing"/>
              <w:rPr>
                <w:rFonts w:asciiTheme="majorBidi" w:hAnsiTheme="majorBidi" w:cstheme="majorBidi"/>
                <w:i/>
                <w:iCs/>
                <w:sz w:val="20"/>
                <w:szCs w:val="20"/>
              </w:rPr>
            </w:pPr>
          </w:p>
        </w:tc>
      </w:tr>
    </w:tbl>
    <w:p w:rsidR="00EE5514" w:rsidRDefault="00EE5514" w:rsidP="00EE5514">
      <w:pPr>
        <w:rPr>
          <w:b/>
          <w:bCs/>
          <w:i/>
          <w:iCs/>
          <w:color w:val="000000" w:themeColor="text1"/>
          <w:spacing w:val="2"/>
          <w:shd w:val="clear" w:color="auto" w:fill="FCFCFC"/>
        </w:rPr>
      </w:pPr>
      <w:r w:rsidRPr="00604DEC">
        <w:rPr>
          <w:b/>
          <w:bCs/>
          <w:color w:val="000000" w:themeColor="text1"/>
          <w:spacing w:val="2"/>
          <w:shd w:val="clear" w:color="auto" w:fill="FCFCFC"/>
        </w:rPr>
        <w:lastRenderedPageBreak/>
        <w:t xml:space="preserve">Table </w:t>
      </w:r>
      <w:r>
        <w:rPr>
          <w:b/>
          <w:bCs/>
          <w:color w:val="000000" w:themeColor="text1"/>
          <w:spacing w:val="2"/>
          <w:shd w:val="clear" w:color="auto" w:fill="FCFCFC"/>
        </w:rPr>
        <w:t>D3</w:t>
      </w:r>
      <w:r w:rsidRPr="00E3079D">
        <w:rPr>
          <w:b/>
          <w:bCs/>
          <w:color w:val="000000" w:themeColor="text1"/>
          <w:spacing w:val="2"/>
          <w:shd w:val="clear" w:color="auto" w:fill="FCFCFC"/>
        </w:rPr>
        <w:t>: Blinder-Oaxaca Decomposition Squared Poverty Gap Index</w:t>
      </w:r>
    </w:p>
    <w:tbl>
      <w:tblPr>
        <w:tblW w:w="9493" w:type="dxa"/>
        <w:tblBorders>
          <w:top w:val="single" w:sz="4" w:space="0" w:color="auto"/>
        </w:tblBorders>
        <w:tblLook w:val="04A0" w:firstRow="1" w:lastRow="0" w:firstColumn="1" w:lastColumn="0" w:noHBand="0" w:noVBand="1"/>
      </w:tblPr>
      <w:tblGrid>
        <w:gridCol w:w="3117"/>
        <w:gridCol w:w="1131"/>
        <w:gridCol w:w="1276"/>
        <w:gridCol w:w="1303"/>
        <w:gridCol w:w="1274"/>
        <w:gridCol w:w="1392"/>
      </w:tblGrid>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Pre BISP</w:t>
            </w:r>
          </w:p>
        </w:tc>
        <w:tc>
          <w:tcPr>
            <w:tcW w:w="6376"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Post BISP</w:t>
            </w:r>
          </w:p>
        </w:tc>
        <w:tc>
          <w:tcPr>
            <w:tcW w:w="6376"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(0.08)</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Difference</w:t>
            </w:r>
          </w:p>
        </w:tc>
        <w:tc>
          <w:tcPr>
            <w:tcW w:w="6376"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(0.13)</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Endowment</w:t>
            </w:r>
          </w:p>
        </w:tc>
        <w:tc>
          <w:tcPr>
            <w:tcW w:w="6376"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(0.10)</w:t>
            </w:r>
          </w:p>
        </w:tc>
      </w:tr>
      <w:tr w:rsidR="00EE5514" w:rsidRPr="00961B9F" w:rsidTr="00961B9F">
        <w:trPr>
          <w:trHeight w:val="320"/>
        </w:trPr>
        <w:tc>
          <w:tcPr>
            <w:tcW w:w="3117" w:type="dxa"/>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Coefficient</w:t>
            </w:r>
          </w:p>
        </w:tc>
        <w:tc>
          <w:tcPr>
            <w:tcW w:w="6376" w:type="dxa"/>
            <w:gridSpan w:val="5"/>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tc>
      </w:tr>
      <w:tr w:rsidR="00EE5514" w:rsidRPr="00961B9F" w:rsidTr="00961B9F">
        <w:trPr>
          <w:trHeight w:val="320"/>
        </w:trPr>
        <w:tc>
          <w:tcPr>
            <w:tcW w:w="3117" w:type="dxa"/>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Interaction</w:t>
            </w:r>
          </w:p>
        </w:tc>
        <w:tc>
          <w:tcPr>
            <w:tcW w:w="6376" w:type="dxa"/>
            <w:gridSpan w:val="5"/>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(0.12)</w:t>
            </w:r>
          </w:p>
        </w:tc>
      </w:tr>
      <w:tr w:rsidR="00EE5514" w:rsidRPr="00961B9F" w:rsidTr="00961B9F">
        <w:trPr>
          <w:trHeight w:val="320"/>
        </w:trPr>
        <w:tc>
          <w:tcPr>
            <w:tcW w:w="3117"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Variables</w:t>
            </w:r>
          </w:p>
        </w:tc>
        <w:tc>
          <w:tcPr>
            <w:tcW w:w="1131"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Pre BISP</w:t>
            </w:r>
          </w:p>
        </w:tc>
        <w:tc>
          <w:tcPr>
            <w:tcW w:w="1276"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Post BISP</w:t>
            </w:r>
          </w:p>
        </w:tc>
        <w:tc>
          <w:tcPr>
            <w:tcW w:w="3969" w:type="dxa"/>
            <w:gridSpan w:val="3"/>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jc w:val="center"/>
              <w:rPr>
                <w:rFonts w:asciiTheme="majorBidi" w:hAnsiTheme="majorBidi" w:cstheme="majorBidi"/>
                <w:b/>
                <w:bCs/>
                <w:sz w:val="20"/>
                <w:szCs w:val="20"/>
              </w:rPr>
            </w:pPr>
            <w:r w:rsidRPr="00961B9F">
              <w:rPr>
                <w:rFonts w:asciiTheme="majorBidi" w:hAnsiTheme="majorBidi" w:cstheme="majorBidi"/>
                <w:b/>
                <w:bCs/>
                <w:sz w:val="20"/>
                <w:szCs w:val="20"/>
              </w:rPr>
              <w:t>Decomposition</w:t>
            </w:r>
          </w:p>
        </w:tc>
      </w:tr>
      <w:tr w:rsidR="00EE5514" w:rsidRPr="00961B9F" w:rsidTr="00961B9F">
        <w:trPr>
          <w:trHeight w:val="320"/>
        </w:trPr>
        <w:tc>
          <w:tcPr>
            <w:tcW w:w="3117" w:type="dxa"/>
            <w:vMerge/>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131" w:type="dxa"/>
            <w:vMerge/>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276" w:type="dxa"/>
            <w:vMerge/>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303" w:type="dxa"/>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Endowment</w:t>
            </w:r>
          </w:p>
        </w:tc>
        <w:tc>
          <w:tcPr>
            <w:tcW w:w="1274" w:type="dxa"/>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Coefficient</w:t>
            </w:r>
          </w:p>
        </w:tc>
        <w:tc>
          <w:tcPr>
            <w:tcW w:w="1392" w:type="dxa"/>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Interaction</w:t>
            </w:r>
          </w:p>
        </w:tc>
      </w:tr>
      <w:tr w:rsidR="00EE5514" w:rsidRPr="00961B9F" w:rsidTr="00961B9F">
        <w:trPr>
          <w:trHeight w:val="320"/>
        </w:trPr>
        <w:tc>
          <w:tcPr>
            <w:tcW w:w="3117"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w:t>
            </w:r>
          </w:p>
        </w:tc>
        <w:tc>
          <w:tcPr>
            <w:tcW w:w="1131"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(7.06)</w:t>
            </w:r>
          </w:p>
        </w:tc>
        <w:tc>
          <w:tcPr>
            <w:tcW w:w="1276"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8.62**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(3.69)</w:t>
            </w:r>
          </w:p>
        </w:tc>
        <w:tc>
          <w:tcPr>
            <w:tcW w:w="1303"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(0.02)</w:t>
            </w:r>
          </w:p>
        </w:tc>
        <w:tc>
          <w:tcPr>
            <w:tcW w:w="1274"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(4.08)</w:t>
            </w:r>
          </w:p>
        </w:tc>
        <w:tc>
          <w:tcPr>
            <w:tcW w:w="1392"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Adult people &gt;35 &amp; &lt;60 years</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(5.17)</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-13.73***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(2.95)</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(1.16)</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 headed Household</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6.35**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(2.85)</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9.47***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(1.29)</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-2.93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(2.95)</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 who can read</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(1.19)</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(0.76)</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1.61*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(0.94)</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(0.07)</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Education till 10th</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(1.11)</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(0.74)</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(0.10)</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(0.68)</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car</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(2.84)</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(1.13)</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(0.16)</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tractor</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(3.61)</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(2.16)</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(0.15)</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(0.02)</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Working population</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-1.99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(1.50)</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-7.81***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(0.75)</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(0.93)</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High school in 30min return</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(1.30)</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-2.97***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(1.04)</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(1.12)</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(0.18)</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Toilet facility</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(0.69)</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(0.45)</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(0.41)</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tc>
      </w:tr>
      <w:tr w:rsidR="00EE5514" w:rsidRPr="00961B9F" w:rsidTr="00961B9F">
        <w:trPr>
          <w:trHeight w:val="320"/>
        </w:trPr>
        <w:tc>
          <w:tcPr>
            <w:tcW w:w="31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Concrete walls</w:t>
            </w:r>
          </w:p>
        </w:tc>
        <w:tc>
          <w:tcPr>
            <w:tcW w:w="113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(0.62)</w:t>
            </w:r>
          </w:p>
        </w:tc>
        <w:tc>
          <w:tcPr>
            <w:tcW w:w="1276"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(0.47)</w:t>
            </w:r>
          </w:p>
        </w:tc>
        <w:tc>
          <w:tcPr>
            <w:tcW w:w="1303"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(0.43)</w:t>
            </w:r>
          </w:p>
        </w:tc>
        <w:tc>
          <w:tcPr>
            <w:tcW w:w="139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(0.08)</w:t>
            </w:r>
          </w:p>
        </w:tc>
      </w:tr>
      <w:tr w:rsidR="00EE5514" w:rsidRPr="00961B9F" w:rsidTr="00961B9F">
        <w:trPr>
          <w:trHeight w:val="320"/>
        </w:trPr>
        <w:tc>
          <w:tcPr>
            <w:tcW w:w="3117" w:type="dxa"/>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Access to water in home</w:t>
            </w:r>
          </w:p>
        </w:tc>
        <w:tc>
          <w:tcPr>
            <w:tcW w:w="1131" w:type="dxa"/>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(0.60)</w:t>
            </w:r>
          </w:p>
        </w:tc>
        <w:tc>
          <w:tcPr>
            <w:tcW w:w="1276" w:type="dxa"/>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(0.30)</w:t>
            </w:r>
          </w:p>
        </w:tc>
        <w:tc>
          <w:tcPr>
            <w:tcW w:w="1303" w:type="dxa"/>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(0.02)</w:t>
            </w:r>
          </w:p>
        </w:tc>
        <w:tc>
          <w:tcPr>
            <w:tcW w:w="1274" w:type="dxa"/>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(0.26)</w:t>
            </w:r>
          </w:p>
        </w:tc>
        <w:tc>
          <w:tcPr>
            <w:tcW w:w="1392" w:type="dxa"/>
            <w:tcBorders>
              <w:bottom w:val="nil"/>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r>
      <w:tr w:rsidR="00EE5514" w:rsidRPr="00961B9F" w:rsidTr="00961B9F">
        <w:trPr>
          <w:trHeight w:val="320"/>
        </w:trPr>
        <w:tc>
          <w:tcPr>
            <w:tcW w:w="3117" w:type="dxa"/>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Hospital in 30 min return</w:t>
            </w:r>
          </w:p>
        </w:tc>
        <w:tc>
          <w:tcPr>
            <w:tcW w:w="1131" w:type="dxa"/>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-1.89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(1.21)</w:t>
            </w:r>
          </w:p>
        </w:tc>
        <w:tc>
          <w:tcPr>
            <w:tcW w:w="1276" w:type="dxa"/>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(1.02)</w:t>
            </w:r>
          </w:p>
        </w:tc>
        <w:tc>
          <w:tcPr>
            <w:tcW w:w="1303" w:type="dxa"/>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(0.10)</w:t>
            </w:r>
          </w:p>
        </w:tc>
        <w:tc>
          <w:tcPr>
            <w:tcW w:w="1274" w:type="dxa"/>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(1.06)</w:t>
            </w:r>
          </w:p>
        </w:tc>
        <w:tc>
          <w:tcPr>
            <w:tcW w:w="1392" w:type="dxa"/>
            <w:tcBorders>
              <w:top w:val="nil"/>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(0.16)</w:t>
            </w:r>
          </w:p>
        </w:tc>
      </w:tr>
      <w:tr w:rsidR="00EE5514" w:rsidRPr="00961B9F" w:rsidTr="00961B9F">
        <w:trPr>
          <w:trHeight w:val="108"/>
        </w:trPr>
        <w:tc>
          <w:tcPr>
            <w:tcW w:w="9493" w:type="dxa"/>
            <w:gridSpan w:val="6"/>
            <w:tcBorders>
              <w:top w:val="single" w:sz="4" w:space="0" w:color="auto"/>
            </w:tcBorders>
            <w:shd w:val="clear" w:color="auto" w:fill="auto"/>
            <w:noWrap/>
            <w:vAlign w:val="bottom"/>
          </w:tcPr>
          <w:p w:rsidR="00EE5514" w:rsidRPr="00961B9F" w:rsidRDefault="00EE5514" w:rsidP="009553BA">
            <w:pPr>
              <w:pStyle w:val="NoSpacing"/>
              <w:rPr>
                <w:rFonts w:asciiTheme="majorBidi" w:hAnsiTheme="majorBidi" w:cstheme="majorBidi"/>
                <w:i/>
                <w:iCs/>
                <w:sz w:val="20"/>
                <w:szCs w:val="20"/>
              </w:rPr>
            </w:pPr>
            <w:r w:rsidRPr="00961B9F">
              <w:rPr>
                <w:rFonts w:asciiTheme="majorBidi" w:hAnsiTheme="majorBidi" w:cstheme="majorBidi"/>
                <w:i/>
                <w:iCs/>
                <w:sz w:val="20"/>
                <w:szCs w:val="20"/>
              </w:rPr>
              <w:t>Notes:</w:t>
            </w:r>
            <w:r w:rsidRPr="00961B9F">
              <w:rPr>
                <w:rFonts w:asciiTheme="majorBidi" w:hAnsiTheme="majorBidi" w:cstheme="majorBidi"/>
                <w:sz w:val="20"/>
                <w:szCs w:val="20"/>
              </w:rPr>
              <w:t xml:space="preserve"> Standard errors in () with ***, **, * denoting statistical significance at the 1%, 5% and 10% level.</w:t>
            </w:r>
          </w:p>
        </w:tc>
      </w:tr>
    </w:tbl>
    <w:p w:rsidR="00961B9F" w:rsidRDefault="00961B9F" w:rsidP="00EE5514">
      <w:pPr>
        <w:rPr>
          <w:b/>
          <w:bCs/>
          <w:color w:val="000000" w:themeColor="text1"/>
          <w:spacing w:val="2"/>
          <w:shd w:val="clear" w:color="auto" w:fill="FCFCFC"/>
        </w:rPr>
      </w:pPr>
    </w:p>
    <w:p w:rsidR="00961B9F" w:rsidRDefault="00961B9F">
      <w:pPr>
        <w:rPr>
          <w:b/>
          <w:bCs/>
          <w:color w:val="000000" w:themeColor="text1"/>
          <w:spacing w:val="2"/>
          <w:shd w:val="clear" w:color="auto" w:fill="FCFCFC"/>
        </w:rPr>
      </w:pPr>
      <w:r>
        <w:rPr>
          <w:b/>
          <w:bCs/>
          <w:color w:val="000000" w:themeColor="text1"/>
          <w:spacing w:val="2"/>
          <w:shd w:val="clear" w:color="auto" w:fill="FCFCFC"/>
        </w:rPr>
        <w:br w:type="page"/>
      </w:r>
    </w:p>
    <w:p w:rsidR="00EE5514" w:rsidRDefault="00EE5514" w:rsidP="00EE5514">
      <w:pPr>
        <w:rPr>
          <w:b/>
          <w:bCs/>
          <w:color w:val="000000" w:themeColor="text1"/>
          <w:spacing w:val="2"/>
          <w:shd w:val="clear" w:color="auto" w:fill="FCFCFC"/>
        </w:rPr>
      </w:pPr>
    </w:p>
    <w:p w:rsidR="00EE5514" w:rsidRPr="00604DEC" w:rsidRDefault="00EE5514" w:rsidP="00EE5514">
      <w:pPr>
        <w:spacing w:after="0" w:line="240" w:lineRule="auto"/>
        <w:rPr>
          <w:b/>
          <w:bCs/>
          <w:i/>
          <w:iCs/>
          <w:color w:val="000000" w:themeColor="text1"/>
          <w:spacing w:val="2"/>
          <w:shd w:val="clear" w:color="auto" w:fill="FCFCFC"/>
        </w:rPr>
      </w:pPr>
      <w:r w:rsidRPr="00604DEC">
        <w:rPr>
          <w:b/>
          <w:bCs/>
          <w:color w:val="000000" w:themeColor="text1"/>
          <w:spacing w:val="2"/>
          <w:shd w:val="clear" w:color="auto" w:fill="FCFCFC"/>
        </w:rPr>
        <w:t xml:space="preserve">Table </w:t>
      </w:r>
      <w:r>
        <w:rPr>
          <w:b/>
          <w:bCs/>
          <w:color w:val="000000" w:themeColor="text1"/>
          <w:spacing w:val="2"/>
          <w:shd w:val="clear" w:color="auto" w:fill="FCFCFC"/>
        </w:rPr>
        <w:t>D</w:t>
      </w:r>
      <w:r w:rsidRPr="00604DEC">
        <w:rPr>
          <w:b/>
          <w:bCs/>
          <w:color w:val="000000" w:themeColor="text1"/>
          <w:spacing w:val="2"/>
          <w:shd w:val="clear" w:color="auto" w:fill="FCFCFC"/>
        </w:rPr>
        <w:t xml:space="preserve">4: </w:t>
      </w:r>
      <w:r w:rsidRPr="00E3079D">
        <w:rPr>
          <w:b/>
          <w:bCs/>
          <w:color w:val="000000" w:themeColor="text1"/>
          <w:spacing w:val="2"/>
          <w:shd w:val="clear" w:color="auto" w:fill="FCFCFC"/>
        </w:rPr>
        <w:t>Blinder-Oaxaca Decomposition Multidimensional Poverty Index</w:t>
      </w:r>
    </w:p>
    <w:tbl>
      <w:tblPr>
        <w:tblW w:w="9923" w:type="dxa"/>
        <w:tblInd w:w="-147" w:type="dxa"/>
        <w:tblLook w:val="04A0" w:firstRow="1" w:lastRow="0" w:firstColumn="1" w:lastColumn="0" w:noHBand="0" w:noVBand="1"/>
      </w:tblPr>
      <w:tblGrid>
        <w:gridCol w:w="3218"/>
        <w:gridCol w:w="1319"/>
        <w:gridCol w:w="1417"/>
        <w:gridCol w:w="1402"/>
        <w:gridCol w:w="1274"/>
        <w:gridCol w:w="1293"/>
      </w:tblGrid>
      <w:tr w:rsidR="00EE5514" w:rsidRPr="00961B9F" w:rsidTr="00961B9F">
        <w:trPr>
          <w:trHeight w:val="320"/>
        </w:trPr>
        <w:tc>
          <w:tcPr>
            <w:tcW w:w="3218"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Pre BISP</w:t>
            </w:r>
          </w:p>
        </w:tc>
        <w:tc>
          <w:tcPr>
            <w:tcW w:w="6703" w:type="dxa"/>
            <w:gridSpan w:val="5"/>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38.73***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(1.04)</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Post BISP</w:t>
            </w:r>
          </w:p>
        </w:tc>
        <w:tc>
          <w:tcPr>
            <w:tcW w:w="6703"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31.7***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(0.79)</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Difference</w:t>
            </w:r>
          </w:p>
        </w:tc>
        <w:tc>
          <w:tcPr>
            <w:tcW w:w="6703"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7.02***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(1.31)</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Endowment</w:t>
            </w:r>
          </w:p>
        </w:tc>
        <w:tc>
          <w:tcPr>
            <w:tcW w:w="6703"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5.52***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(1.30)</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Coefficient</w:t>
            </w:r>
          </w:p>
        </w:tc>
        <w:tc>
          <w:tcPr>
            <w:tcW w:w="6703" w:type="dxa"/>
            <w:gridSpan w:val="5"/>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(0.63)</w:t>
            </w:r>
          </w:p>
        </w:tc>
      </w:tr>
      <w:tr w:rsidR="00EE5514" w:rsidRPr="00961B9F" w:rsidTr="00961B9F">
        <w:trPr>
          <w:trHeight w:val="320"/>
        </w:trPr>
        <w:tc>
          <w:tcPr>
            <w:tcW w:w="3218"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Interaction</w:t>
            </w:r>
          </w:p>
        </w:tc>
        <w:tc>
          <w:tcPr>
            <w:tcW w:w="6703" w:type="dxa"/>
            <w:gridSpan w:val="5"/>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(0.57)</w:t>
            </w:r>
          </w:p>
        </w:tc>
      </w:tr>
      <w:tr w:rsidR="00EE5514" w:rsidRPr="00961B9F" w:rsidTr="00961B9F">
        <w:trPr>
          <w:trHeight w:val="320"/>
        </w:trPr>
        <w:tc>
          <w:tcPr>
            <w:tcW w:w="3218"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Variables</w:t>
            </w:r>
          </w:p>
        </w:tc>
        <w:tc>
          <w:tcPr>
            <w:tcW w:w="1319"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Pre BISP</w:t>
            </w:r>
          </w:p>
        </w:tc>
        <w:tc>
          <w:tcPr>
            <w:tcW w:w="1417" w:type="dxa"/>
            <w:vMerge w:val="restart"/>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Post BISP</w:t>
            </w:r>
          </w:p>
        </w:tc>
        <w:tc>
          <w:tcPr>
            <w:tcW w:w="3967" w:type="dxa"/>
            <w:gridSpan w:val="3"/>
            <w:tcBorders>
              <w:top w:val="single" w:sz="4" w:space="0" w:color="auto"/>
              <w:bottom w:val="single" w:sz="4" w:space="0" w:color="auto"/>
            </w:tcBorders>
            <w:shd w:val="clear" w:color="auto" w:fill="auto"/>
            <w:noWrap/>
            <w:vAlign w:val="bottom"/>
            <w:hideMark/>
          </w:tcPr>
          <w:p w:rsidR="00EE5514" w:rsidRPr="00961B9F" w:rsidRDefault="00EE5514" w:rsidP="009553BA">
            <w:pPr>
              <w:pStyle w:val="NoSpacing"/>
              <w:jc w:val="center"/>
              <w:rPr>
                <w:rFonts w:asciiTheme="majorBidi" w:hAnsiTheme="majorBidi" w:cstheme="majorBidi"/>
                <w:b/>
                <w:bCs/>
                <w:sz w:val="20"/>
                <w:szCs w:val="20"/>
              </w:rPr>
            </w:pPr>
            <w:r w:rsidRPr="00961B9F">
              <w:rPr>
                <w:rFonts w:asciiTheme="majorBidi" w:hAnsiTheme="majorBidi" w:cstheme="majorBidi"/>
                <w:b/>
                <w:bCs/>
                <w:sz w:val="20"/>
                <w:szCs w:val="20"/>
              </w:rPr>
              <w:t>Decomposition</w:t>
            </w:r>
          </w:p>
        </w:tc>
      </w:tr>
      <w:tr w:rsidR="00EE5514" w:rsidRPr="00961B9F" w:rsidTr="00961B9F">
        <w:trPr>
          <w:trHeight w:val="320"/>
        </w:trPr>
        <w:tc>
          <w:tcPr>
            <w:tcW w:w="3218"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319"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417" w:type="dxa"/>
            <w:vMerge/>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p>
        </w:tc>
        <w:tc>
          <w:tcPr>
            <w:tcW w:w="1402"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Endowment</w:t>
            </w:r>
          </w:p>
        </w:tc>
        <w:tc>
          <w:tcPr>
            <w:tcW w:w="127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Coefficient</w:t>
            </w:r>
          </w:p>
        </w:tc>
        <w:tc>
          <w:tcPr>
            <w:tcW w:w="129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b/>
                <w:bCs/>
                <w:sz w:val="20"/>
                <w:szCs w:val="20"/>
              </w:rPr>
            </w:pPr>
            <w:r w:rsidRPr="00961B9F">
              <w:rPr>
                <w:rFonts w:asciiTheme="majorBidi" w:hAnsiTheme="majorBidi" w:cstheme="majorBidi"/>
                <w:b/>
                <w:bCs/>
                <w:sz w:val="20"/>
                <w:szCs w:val="20"/>
              </w:rPr>
              <w:t>Interaction</w:t>
            </w:r>
          </w:p>
        </w:tc>
      </w:tr>
      <w:tr w:rsidR="00EE5514" w:rsidRPr="00961B9F" w:rsidTr="00961B9F">
        <w:trPr>
          <w:trHeight w:val="320"/>
        </w:trPr>
        <w:tc>
          <w:tcPr>
            <w:tcW w:w="3218"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w:t>
            </w:r>
          </w:p>
        </w:tc>
        <w:tc>
          <w:tcPr>
            <w:tcW w:w="1319"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60.8**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(30.98)</w:t>
            </w:r>
          </w:p>
        </w:tc>
        <w:tc>
          <w:tcPr>
            <w:tcW w:w="1417"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(15.70)</w:t>
            </w:r>
          </w:p>
        </w:tc>
        <w:tc>
          <w:tcPr>
            <w:tcW w:w="1402"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tc>
        <w:tc>
          <w:tcPr>
            <w:tcW w:w="1274"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(17.79)</w:t>
            </w:r>
          </w:p>
        </w:tc>
        <w:tc>
          <w:tcPr>
            <w:tcW w:w="1291" w:type="dxa"/>
            <w:tcBorders>
              <w:top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Adult people &gt;35 &amp; &lt;60 years</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-99.4***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(22.70)</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-79.6***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(12.47)</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(0.20)</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-3.85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(5.04)</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(0.28)</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Males who can read</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(4.93)</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-34.4***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(3.23)</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(0.40)</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6.58*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(3.89)</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(0.29)</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Education till 10th</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-3.00</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(4.57)</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-7.49**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(3.04)</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(2.82)</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Male headed Household</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(11.57)</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9.93*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(5.25)</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(11.99)</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(0.21)</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Access to water in home</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-2.99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(2.44)</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(1.17)</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(0.09)</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(1.06)</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0.10</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(0.19)</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Working population</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(6.33)</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-8.81***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(3.24)</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-8.08**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(3.93)</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More than 2 rooms</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-6.34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(5.18)</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-3.93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(3.19)</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(0.04)</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-1.97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(4.97)</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Hospital in 30 min return</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(4.99)</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-14.23***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(4.18)</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(0.47)</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1.36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(4.37)</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(0.61)</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Concrete walls</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-19.44***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(2.63)</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-24.42***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(1.71)</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1.97***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(0.66)</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2.77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(1.75)</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(0.28)</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tractor</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7.92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(15.21)</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1.14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(8.99)</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-0.003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(0.03)</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(0.63)</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(0.05)</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Own agriculture land</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0.97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(3.46)</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-7.25***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(2.35)</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-0.62***</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(0.22)</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2.83**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(1.44)</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(0.37)</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High school in 30min return</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(5.29)</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(4.25)</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-0.06</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(0.42)</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(4.57)</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0.01</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(0.66)</w:t>
            </w:r>
          </w:p>
        </w:tc>
      </w:tr>
      <w:tr w:rsidR="00EE5514" w:rsidRPr="00961B9F" w:rsidTr="00961B9F">
        <w:trPr>
          <w:trHeight w:val="320"/>
        </w:trPr>
        <w:tc>
          <w:tcPr>
            <w:tcW w:w="3218"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Access to gas</w:t>
            </w:r>
          </w:p>
        </w:tc>
        <w:tc>
          <w:tcPr>
            <w:tcW w:w="1319"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-12.8***</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(3.36)</w:t>
            </w:r>
          </w:p>
        </w:tc>
        <w:tc>
          <w:tcPr>
            <w:tcW w:w="1417"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-7.29***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(1.79)</w:t>
            </w:r>
          </w:p>
        </w:tc>
        <w:tc>
          <w:tcPr>
            <w:tcW w:w="1402"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(0.18)</w:t>
            </w:r>
          </w:p>
        </w:tc>
        <w:tc>
          <w:tcPr>
            <w:tcW w:w="1274"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-1.25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(0.86)</w:t>
            </w:r>
          </w:p>
        </w:tc>
        <w:tc>
          <w:tcPr>
            <w:tcW w:w="1291" w:type="dxa"/>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(0.29)</w:t>
            </w:r>
          </w:p>
        </w:tc>
      </w:tr>
      <w:tr w:rsidR="00EE5514" w:rsidRPr="00961B9F" w:rsidTr="00961B9F">
        <w:trPr>
          <w:trHeight w:val="320"/>
        </w:trPr>
        <w:tc>
          <w:tcPr>
            <w:tcW w:w="3218"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Concrete roof</w:t>
            </w:r>
          </w:p>
        </w:tc>
        <w:tc>
          <w:tcPr>
            <w:tcW w:w="1319"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3.49</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(3.02)</w:t>
            </w:r>
          </w:p>
        </w:tc>
        <w:tc>
          <w:tcPr>
            <w:tcW w:w="1417"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-3.73*</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(2.19)</w:t>
            </w:r>
          </w:p>
        </w:tc>
        <w:tc>
          <w:tcPr>
            <w:tcW w:w="1402"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-0.25*</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(0.15)</w:t>
            </w:r>
          </w:p>
        </w:tc>
        <w:tc>
          <w:tcPr>
            <w:tcW w:w="1274"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0.57**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(0.30)</w:t>
            </w:r>
          </w:p>
        </w:tc>
        <w:tc>
          <w:tcPr>
            <w:tcW w:w="1291" w:type="dxa"/>
            <w:tcBorders>
              <w:bottom w:val="single" w:sz="4" w:space="0" w:color="auto"/>
            </w:tcBorders>
            <w:shd w:val="clear" w:color="auto" w:fill="auto"/>
            <w:noWrap/>
            <w:vAlign w:val="bottom"/>
            <w:hideMark/>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0.47*</w:t>
            </w:r>
          </w:p>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sz w:val="20"/>
                <w:szCs w:val="20"/>
              </w:rPr>
              <w:t>(0.26)</w:t>
            </w:r>
          </w:p>
        </w:tc>
      </w:tr>
      <w:tr w:rsidR="00EE5514" w:rsidRPr="00961B9F" w:rsidTr="00961B9F">
        <w:trPr>
          <w:trHeight w:val="108"/>
        </w:trPr>
        <w:tc>
          <w:tcPr>
            <w:tcW w:w="9923" w:type="dxa"/>
            <w:gridSpan w:val="6"/>
            <w:tcBorders>
              <w:top w:val="single" w:sz="4" w:space="0" w:color="auto"/>
            </w:tcBorders>
            <w:shd w:val="clear" w:color="auto" w:fill="auto"/>
            <w:noWrap/>
            <w:vAlign w:val="bottom"/>
          </w:tcPr>
          <w:p w:rsidR="00EE5514" w:rsidRPr="00961B9F" w:rsidRDefault="00EE5514" w:rsidP="009553BA">
            <w:pPr>
              <w:pStyle w:val="NoSpacing"/>
              <w:rPr>
                <w:rFonts w:asciiTheme="majorBidi" w:hAnsiTheme="majorBidi" w:cstheme="majorBidi"/>
                <w:sz w:val="20"/>
                <w:szCs w:val="20"/>
              </w:rPr>
            </w:pPr>
            <w:r w:rsidRPr="00961B9F">
              <w:rPr>
                <w:rFonts w:asciiTheme="majorBidi" w:hAnsiTheme="majorBidi" w:cstheme="majorBidi"/>
                <w:i/>
                <w:iCs/>
                <w:sz w:val="20"/>
                <w:szCs w:val="20"/>
              </w:rPr>
              <w:t>Notes:</w:t>
            </w:r>
            <w:r w:rsidRPr="00961B9F">
              <w:rPr>
                <w:rFonts w:asciiTheme="majorBidi" w:hAnsiTheme="majorBidi" w:cstheme="majorBidi"/>
                <w:sz w:val="20"/>
                <w:szCs w:val="20"/>
              </w:rPr>
              <w:t xml:space="preserve"> Standard errors in () with ***, **, * denoting statistical significance at the 1%, 5% and 10% level.</w:t>
            </w:r>
          </w:p>
          <w:p w:rsidR="00EE5514" w:rsidRPr="00961B9F" w:rsidRDefault="00EE5514" w:rsidP="009553BA">
            <w:pPr>
              <w:pStyle w:val="NoSpacing"/>
              <w:rPr>
                <w:rFonts w:asciiTheme="majorBidi" w:hAnsiTheme="majorBidi" w:cstheme="majorBidi"/>
                <w:i/>
                <w:iCs/>
                <w:sz w:val="20"/>
                <w:szCs w:val="20"/>
              </w:rPr>
            </w:pPr>
          </w:p>
          <w:p w:rsidR="00EE5514" w:rsidRPr="00961B9F" w:rsidRDefault="00EE5514" w:rsidP="009553BA">
            <w:pPr>
              <w:pStyle w:val="NoSpacing"/>
              <w:rPr>
                <w:rFonts w:asciiTheme="majorBidi" w:hAnsiTheme="majorBidi" w:cstheme="majorBidi"/>
                <w:i/>
                <w:iCs/>
                <w:sz w:val="20"/>
                <w:szCs w:val="20"/>
              </w:rPr>
            </w:pPr>
          </w:p>
          <w:p w:rsidR="00EE5514" w:rsidRPr="00961B9F" w:rsidRDefault="00EE5514" w:rsidP="009553BA">
            <w:pPr>
              <w:pStyle w:val="NoSpacing"/>
              <w:rPr>
                <w:rFonts w:asciiTheme="majorBidi" w:hAnsiTheme="majorBidi" w:cstheme="majorBidi"/>
                <w:i/>
                <w:iCs/>
                <w:sz w:val="20"/>
                <w:szCs w:val="20"/>
              </w:rPr>
            </w:pPr>
          </w:p>
          <w:p w:rsidR="00EE5514" w:rsidRDefault="00EE5514"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Default="00961B9F" w:rsidP="009553BA">
            <w:pPr>
              <w:pStyle w:val="NoSpacing"/>
              <w:rPr>
                <w:rFonts w:asciiTheme="majorBidi" w:hAnsiTheme="majorBidi" w:cstheme="majorBidi"/>
                <w:i/>
                <w:iCs/>
                <w:sz w:val="20"/>
                <w:szCs w:val="20"/>
              </w:rPr>
            </w:pPr>
          </w:p>
          <w:p w:rsidR="00961B9F" w:rsidRPr="00961B9F" w:rsidRDefault="00961B9F" w:rsidP="009553BA">
            <w:pPr>
              <w:pStyle w:val="NoSpacing"/>
              <w:rPr>
                <w:rFonts w:asciiTheme="majorBidi" w:hAnsiTheme="majorBidi" w:cstheme="majorBidi"/>
                <w:i/>
                <w:iCs/>
                <w:sz w:val="20"/>
                <w:szCs w:val="20"/>
              </w:rPr>
            </w:pPr>
          </w:p>
          <w:p w:rsidR="00EE5514" w:rsidRPr="00961B9F" w:rsidRDefault="00EE5514" w:rsidP="009553BA">
            <w:pPr>
              <w:pStyle w:val="NoSpacing"/>
              <w:rPr>
                <w:rFonts w:asciiTheme="majorBidi" w:hAnsiTheme="majorBidi" w:cstheme="majorBidi"/>
                <w:i/>
                <w:iCs/>
                <w:sz w:val="20"/>
                <w:szCs w:val="20"/>
              </w:rPr>
            </w:pPr>
          </w:p>
        </w:tc>
      </w:tr>
    </w:tbl>
    <w:p w:rsidR="00EE5514" w:rsidRPr="00DB13CE" w:rsidRDefault="00EE5514" w:rsidP="00EE5514">
      <w:pPr>
        <w:spacing w:after="0" w:line="240" w:lineRule="auto"/>
        <w:ind w:left="-142" w:right="-188"/>
        <w:rPr>
          <w:b/>
          <w:bCs/>
          <w:i/>
          <w:iCs/>
          <w:color w:val="000000" w:themeColor="text1"/>
          <w:spacing w:val="2"/>
          <w:sz w:val="22"/>
          <w:szCs w:val="22"/>
          <w:shd w:val="clear" w:color="auto" w:fill="FCFCFC"/>
        </w:rPr>
      </w:pPr>
      <w:r w:rsidRPr="00DB13CE">
        <w:rPr>
          <w:b/>
          <w:bCs/>
          <w:color w:val="000000" w:themeColor="text1"/>
          <w:spacing w:val="2"/>
          <w:sz w:val="22"/>
          <w:szCs w:val="22"/>
          <w:shd w:val="clear" w:color="auto" w:fill="FCFCFC"/>
        </w:rPr>
        <w:lastRenderedPageBreak/>
        <w:t xml:space="preserve">Table </w:t>
      </w:r>
      <w:r>
        <w:rPr>
          <w:b/>
          <w:bCs/>
          <w:color w:val="000000" w:themeColor="text1"/>
          <w:spacing w:val="2"/>
          <w:sz w:val="22"/>
          <w:szCs w:val="22"/>
          <w:shd w:val="clear" w:color="auto" w:fill="FCFCFC"/>
        </w:rPr>
        <w:t>D</w:t>
      </w:r>
      <w:r w:rsidRPr="00DB13CE">
        <w:rPr>
          <w:b/>
          <w:bCs/>
          <w:color w:val="000000" w:themeColor="text1"/>
          <w:spacing w:val="2"/>
          <w:sz w:val="22"/>
          <w:szCs w:val="22"/>
          <w:shd w:val="clear" w:color="auto" w:fill="FCFCFC"/>
        </w:rPr>
        <w:t xml:space="preserve">5: </w:t>
      </w:r>
      <w:r w:rsidRPr="00E3079D">
        <w:rPr>
          <w:b/>
          <w:bCs/>
          <w:color w:val="000000" w:themeColor="text1"/>
          <w:spacing w:val="2"/>
          <w:sz w:val="22"/>
          <w:szCs w:val="22"/>
          <w:shd w:val="clear" w:color="auto" w:fill="FCFCFC"/>
        </w:rPr>
        <w:t>Blinder-Oaxaca Decomposition Multidimensional Distribution-Sensitive Poverty</w:t>
      </w:r>
      <w:r>
        <w:rPr>
          <w:b/>
          <w:bCs/>
          <w:color w:val="000000" w:themeColor="text1"/>
          <w:spacing w:val="2"/>
          <w:sz w:val="22"/>
          <w:szCs w:val="22"/>
          <w:shd w:val="clear" w:color="auto" w:fill="FCFCFC"/>
        </w:rPr>
        <w:t xml:space="preserve"> </w:t>
      </w:r>
      <w:r w:rsidRPr="00E3079D">
        <w:rPr>
          <w:b/>
          <w:bCs/>
          <w:color w:val="000000" w:themeColor="text1"/>
          <w:spacing w:val="2"/>
          <w:sz w:val="22"/>
          <w:szCs w:val="22"/>
          <w:shd w:val="clear" w:color="auto" w:fill="FCFCFC"/>
        </w:rPr>
        <w:t>Index</w:t>
      </w:r>
    </w:p>
    <w:tbl>
      <w:tblPr>
        <w:tblW w:w="9781" w:type="dxa"/>
        <w:tblInd w:w="-147" w:type="dxa"/>
        <w:tblLook w:val="04A0" w:firstRow="1" w:lastRow="0" w:firstColumn="1" w:lastColumn="0" w:noHBand="0" w:noVBand="1"/>
      </w:tblPr>
      <w:tblGrid>
        <w:gridCol w:w="3218"/>
        <w:gridCol w:w="1319"/>
        <w:gridCol w:w="1275"/>
        <w:gridCol w:w="1376"/>
        <w:gridCol w:w="1296"/>
        <w:gridCol w:w="1297"/>
      </w:tblGrid>
      <w:tr w:rsidR="00EE5514" w:rsidRPr="00251676" w:rsidTr="00251676">
        <w:trPr>
          <w:trHeight w:val="320"/>
        </w:trPr>
        <w:tc>
          <w:tcPr>
            <w:tcW w:w="3218"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Pre BISP</w:t>
            </w:r>
          </w:p>
        </w:tc>
        <w:tc>
          <w:tcPr>
            <w:tcW w:w="6563" w:type="dxa"/>
            <w:gridSpan w:val="5"/>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24.78***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(0.74)</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Post BISP</w:t>
            </w:r>
          </w:p>
        </w:tc>
        <w:tc>
          <w:tcPr>
            <w:tcW w:w="656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20.06***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(0.52)</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Difference</w:t>
            </w:r>
          </w:p>
        </w:tc>
        <w:tc>
          <w:tcPr>
            <w:tcW w:w="656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4.72***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(0.90)</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Endowment</w:t>
            </w:r>
          </w:p>
        </w:tc>
        <w:tc>
          <w:tcPr>
            <w:tcW w:w="656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(0.82)</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Coefficient</w:t>
            </w:r>
          </w:p>
        </w:tc>
        <w:tc>
          <w:tcPr>
            <w:tcW w:w="656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(0.86)</w:t>
            </w:r>
          </w:p>
        </w:tc>
      </w:tr>
      <w:tr w:rsidR="00EE5514" w:rsidRPr="00251676" w:rsidTr="00251676">
        <w:trPr>
          <w:trHeight w:val="320"/>
        </w:trPr>
        <w:tc>
          <w:tcPr>
            <w:tcW w:w="3218"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Interaction</w:t>
            </w:r>
          </w:p>
        </w:tc>
        <w:tc>
          <w:tcPr>
            <w:tcW w:w="6563" w:type="dxa"/>
            <w:gridSpan w:val="5"/>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(0.81)</w:t>
            </w:r>
          </w:p>
        </w:tc>
      </w:tr>
      <w:tr w:rsidR="00EE5514" w:rsidRPr="00251676" w:rsidTr="00251676">
        <w:trPr>
          <w:trHeight w:val="233"/>
        </w:trPr>
        <w:tc>
          <w:tcPr>
            <w:tcW w:w="3218"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Variables</w:t>
            </w:r>
          </w:p>
        </w:tc>
        <w:tc>
          <w:tcPr>
            <w:tcW w:w="1319"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Pre BISP</w:t>
            </w:r>
          </w:p>
        </w:tc>
        <w:tc>
          <w:tcPr>
            <w:tcW w:w="1275"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Post BISP</w:t>
            </w:r>
          </w:p>
        </w:tc>
        <w:tc>
          <w:tcPr>
            <w:tcW w:w="3969" w:type="dxa"/>
            <w:gridSpan w:val="3"/>
            <w:tcBorders>
              <w:top w:val="single" w:sz="4" w:space="0" w:color="auto"/>
              <w:bottom w:val="single" w:sz="4" w:space="0" w:color="auto"/>
            </w:tcBorders>
            <w:shd w:val="clear" w:color="auto" w:fill="auto"/>
            <w:noWrap/>
            <w:vAlign w:val="bottom"/>
            <w:hideMark/>
          </w:tcPr>
          <w:p w:rsidR="00EE5514" w:rsidRPr="00251676" w:rsidRDefault="00EE5514" w:rsidP="009553BA">
            <w:pPr>
              <w:pStyle w:val="NoSpacing"/>
              <w:jc w:val="center"/>
              <w:rPr>
                <w:rFonts w:asciiTheme="majorBidi" w:hAnsiTheme="majorBidi" w:cstheme="majorBidi"/>
                <w:b/>
                <w:bCs/>
              </w:rPr>
            </w:pPr>
            <w:r w:rsidRPr="00251676">
              <w:rPr>
                <w:rFonts w:asciiTheme="majorBidi" w:hAnsiTheme="majorBidi" w:cstheme="majorBidi"/>
                <w:b/>
                <w:bCs/>
              </w:rPr>
              <w:t>Decomposition</w:t>
            </w:r>
          </w:p>
        </w:tc>
      </w:tr>
      <w:tr w:rsidR="00EE5514" w:rsidRPr="00251676" w:rsidTr="00251676">
        <w:trPr>
          <w:trHeight w:val="251"/>
        </w:trPr>
        <w:tc>
          <w:tcPr>
            <w:tcW w:w="3218"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319"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275"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376"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Endowment</w:t>
            </w:r>
          </w:p>
        </w:tc>
        <w:tc>
          <w:tcPr>
            <w:tcW w:w="1296"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Coefficient</w:t>
            </w:r>
          </w:p>
        </w:tc>
        <w:tc>
          <w:tcPr>
            <w:tcW w:w="1297"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Interaction</w:t>
            </w:r>
          </w:p>
        </w:tc>
      </w:tr>
      <w:tr w:rsidR="00EE5514" w:rsidRPr="00251676" w:rsidTr="00251676">
        <w:trPr>
          <w:trHeight w:val="320"/>
        </w:trPr>
        <w:tc>
          <w:tcPr>
            <w:tcW w:w="3218"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w:t>
            </w:r>
          </w:p>
        </w:tc>
        <w:tc>
          <w:tcPr>
            <w:tcW w:w="1319"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42.57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(28.19)</w:t>
            </w:r>
          </w:p>
        </w:tc>
        <w:tc>
          <w:tcPr>
            <w:tcW w:w="1275"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(12.95)</w:t>
            </w:r>
          </w:p>
        </w:tc>
        <w:tc>
          <w:tcPr>
            <w:tcW w:w="1376"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(0.04)</w:t>
            </w:r>
          </w:p>
        </w:tc>
        <w:tc>
          <w:tcPr>
            <w:tcW w:w="1296"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25.94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(16.23)</w:t>
            </w:r>
          </w:p>
        </w:tc>
        <w:tc>
          <w:tcPr>
            <w:tcW w:w="1297"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(0.14)</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Concrete roof</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(2.75)</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-4.63***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(1.81)</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(0.13)</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(0.23)</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Adult people &gt;35 &amp; &lt;60 years</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-80.27***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(19.33)</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-48.7***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(10.21)</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(0.14)</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-6.15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(4.25)</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(0.24)</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 headed Household</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26.6***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(10.51)</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(4.34)</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(0.09)</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12.93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(10.73)</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(0.18)</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Working population</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(5.54)</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(2.53)</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0.014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(0.02)</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-4.76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(3.37)</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(0.07)</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Education till 5th</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(9.94)</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-4.84***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(1.52)</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(0.08)</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(8.47)</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(0.54)</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Education till 10th</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(5.31)</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-8.86***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(2.54)</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(0.09)</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(3.03)</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(0.13)</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gas</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(3.25)</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-4.95***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(1.52)</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(0.14)</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(0.81)</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(0.28)</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water in home</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(2.28)</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(0.96)</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(0.08)</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(0.96)</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(0.17)</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High school in 30min return</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(4.74)</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(3.51)</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(0.35)</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(3.96)</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(0.58)</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Concrete walls</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-12.93***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(2.43)</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-17.95***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(1.28)</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(0.48)</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(1.54)</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tractor</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2.34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(13.91)</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(7.80)</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-0.006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(0.02)</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0.004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(0.57)</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-0.0003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(0.04)</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Hospital in 30 min return</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-12.88***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(4.58)</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-11.58***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(3.44)</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(0.38)</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(3.84)</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(0.53)</w:t>
            </w:r>
          </w:p>
        </w:tc>
      </w:tr>
      <w:tr w:rsidR="00EE5514" w:rsidRPr="00251676" w:rsidTr="00251676">
        <w:trPr>
          <w:trHeight w:val="320"/>
        </w:trPr>
        <w:tc>
          <w:tcPr>
            <w:tcW w:w="321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agriculture land</w:t>
            </w:r>
          </w:p>
        </w:tc>
        <w:tc>
          <w:tcPr>
            <w:tcW w:w="131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-4.23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(2.82)</w:t>
            </w:r>
          </w:p>
        </w:tc>
        <w:tc>
          <w:tcPr>
            <w:tcW w:w="127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-9.14***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(1.82)</w:t>
            </w:r>
          </w:p>
        </w:tc>
        <w:tc>
          <w:tcPr>
            <w:tcW w:w="137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(0.20)</w:t>
            </w:r>
          </w:p>
        </w:tc>
        <w:tc>
          <w:tcPr>
            <w:tcW w:w="1296"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(1.16)</w:t>
            </w:r>
          </w:p>
        </w:tc>
        <w:tc>
          <w:tcPr>
            <w:tcW w:w="129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(0.29)</w:t>
            </w:r>
          </w:p>
        </w:tc>
      </w:tr>
      <w:tr w:rsidR="00EE5514" w:rsidRPr="00251676" w:rsidTr="00251676">
        <w:trPr>
          <w:trHeight w:val="320"/>
        </w:trPr>
        <w:tc>
          <w:tcPr>
            <w:tcW w:w="3218"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car</w:t>
            </w:r>
          </w:p>
        </w:tc>
        <w:tc>
          <w:tcPr>
            <w:tcW w:w="1319"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(11.28)</w:t>
            </w:r>
          </w:p>
        </w:tc>
        <w:tc>
          <w:tcPr>
            <w:tcW w:w="1275"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-10.35**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(4.93)</w:t>
            </w:r>
          </w:p>
        </w:tc>
        <w:tc>
          <w:tcPr>
            <w:tcW w:w="1376"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0.100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(0.06)</w:t>
            </w:r>
          </w:p>
        </w:tc>
        <w:tc>
          <w:tcPr>
            <w:tcW w:w="1296"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(0.62)</w:t>
            </w:r>
          </w:p>
        </w:tc>
        <w:tc>
          <w:tcPr>
            <w:tcW w:w="1297"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(0.13)</w:t>
            </w:r>
          </w:p>
        </w:tc>
      </w:tr>
      <w:tr w:rsidR="00EE5514" w:rsidRPr="00251676" w:rsidTr="00251676">
        <w:trPr>
          <w:trHeight w:val="108"/>
        </w:trPr>
        <w:tc>
          <w:tcPr>
            <w:tcW w:w="9781" w:type="dxa"/>
            <w:gridSpan w:val="6"/>
            <w:tcBorders>
              <w:top w:val="single" w:sz="4" w:space="0" w:color="auto"/>
            </w:tcBorders>
            <w:shd w:val="clear" w:color="auto" w:fill="auto"/>
            <w:noWrap/>
            <w:vAlign w:val="bottom"/>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p w:rsidR="00EE5514" w:rsidRPr="00251676" w:rsidRDefault="00EE5514" w:rsidP="009553BA">
            <w:pPr>
              <w:pStyle w:val="NoSpacing"/>
              <w:rPr>
                <w:rFonts w:asciiTheme="majorBidi" w:hAnsiTheme="majorBidi" w:cstheme="majorBidi"/>
                <w:i/>
                <w:iCs/>
                <w:sz w:val="20"/>
                <w:szCs w:val="20"/>
              </w:rPr>
            </w:pPr>
          </w:p>
          <w:p w:rsidR="00EE5514" w:rsidRDefault="00EE5514" w:rsidP="009553BA">
            <w:pPr>
              <w:pStyle w:val="NoSpacing"/>
              <w:rPr>
                <w:rFonts w:asciiTheme="majorBidi" w:hAnsiTheme="majorBidi" w:cstheme="majorBidi"/>
                <w:i/>
                <w:iCs/>
                <w:sz w:val="20"/>
                <w:szCs w:val="20"/>
              </w:rPr>
            </w:pPr>
          </w:p>
          <w:p w:rsidR="00251676" w:rsidRDefault="00251676" w:rsidP="009553BA">
            <w:pPr>
              <w:pStyle w:val="NoSpacing"/>
              <w:rPr>
                <w:rFonts w:asciiTheme="majorBidi" w:hAnsiTheme="majorBidi" w:cstheme="majorBidi"/>
                <w:i/>
                <w:iCs/>
                <w:sz w:val="20"/>
                <w:szCs w:val="20"/>
              </w:rPr>
            </w:pPr>
          </w:p>
          <w:p w:rsidR="00251676" w:rsidRDefault="00251676" w:rsidP="009553BA">
            <w:pPr>
              <w:pStyle w:val="NoSpacing"/>
              <w:rPr>
                <w:rFonts w:asciiTheme="majorBidi" w:hAnsiTheme="majorBidi" w:cstheme="majorBidi"/>
                <w:i/>
                <w:iCs/>
                <w:sz w:val="20"/>
                <w:szCs w:val="20"/>
              </w:rPr>
            </w:pPr>
          </w:p>
          <w:p w:rsidR="00251676" w:rsidRDefault="00251676" w:rsidP="009553BA">
            <w:pPr>
              <w:pStyle w:val="NoSpacing"/>
              <w:rPr>
                <w:rFonts w:asciiTheme="majorBidi" w:hAnsiTheme="majorBidi" w:cstheme="majorBidi"/>
                <w:i/>
                <w:iCs/>
                <w:sz w:val="20"/>
                <w:szCs w:val="20"/>
              </w:rPr>
            </w:pPr>
          </w:p>
          <w:p w:rsidR="00251676" w:rsidRDefault="00251676" w:rsidP="009553BA">
            <w:pPr>
              <w:pStyle w:val="NoSpacing"/>
              <w:rPr>
                <w:rFonts w:asciiTheme="majorBidi" w:hAnsiTheme="majorBidi" w:cstheme="majorBidi"/>
                <w:i/>
                <w:iCs/>
                <w:sz w:val="20"/>
                <w:szCs w:val="20"/>
              </w:rPr>
            </w:pPr>
          </w:p>
          <w:p w:rsidR="00251676" w:rsidRDefault="00251676" w:rsidP="009553BA">
            <w:pPr>
              <w:pStyle w:val="NoSpacing"/>
              <w:rPr>
                <w:rFonts w:asciiTheme="majorBidi" w:hAnsiTheme="majorBidi" w:cstheme="majorBidi"/>
                <w:i/>
                <w:iCs/>
                <w:sz w:val="20"/>
                <w:szCs w:val="20"/>
              </w:rPr>
            </w:pPr>
          </w:p>
          <w:p w:rsidR="00251676" w:rsidRPr="00251676" w:rsidRDefault="00251676" w:rsidP="009553BA">
            <w:pPr>
              <w:pStyle w:val="NoSpacing"/>
              <w:rPr>
                <w:rFonts w:asciiTheme="majorBidi" w:hAnsiTheme="majorBidi" w:cstheme="majorBidi"/>
                <w:i/>
                <w:iCs/>
                <w:sz w:val="20"/>
                <w:szCs w:val="20"/>
              </w:rPr>
            </w:pPr>
          </w:p>
          <w:p w:rsidR="00EE5514" w:rsidRPr="00251676" w:rsidRDefault="00EE5514" w:rsidP="009553BA">
            <w:pPr>
              <w:pStyle w:val="NoSpacing"/>
              <w:rPr>
                <w:rFonts w:asciiTheme="majorBidi" w:hAnsiTheme="majorBidi" w:cstheme="majorBidi"/>
                <w:i/>
                <w:iCs/>
                <w:sz w:val="20"/>
                <w:szCs w:val="20"/>
              </w:rPr>
            </w:pPr>
          </w:p>
          <w:p w:rsidR="00EE5514" w:rsidRPr="00251676" w:rsidRDefault="00EE5514" w:rsidP="009553BA">
            <w:pPr>
              <w:pStyle w:val="NoSpacing"/>
              <w:rPr>
                <w:rFonts w:asciiTheme="majorBidi" w:hAnsiTheme="majorBidi" w:cstheme="majorBidi"/>
                <w:i/>
                <w:iCs/>
                <w:sz w:val="16"/>
                <w:szCs w:val="16"/>
              </w:rPr>
            </w:pPr>
          </w:p>
        </w:tc>
      </w:tr>
    </w:tbl>
    <w:p w:rsidR="00EE5514" w:rsidRPr="00E3079D" w:rsidRDefault="00EE5514" w:rsidP="00EE5514">
      <w:pPr>
        <w:spacing w:after="0" w:line="240" w:lineRule="auto"/>
        <w:rPr>
          <w:b/>
          <w:bCs/>
          <w:color w:val="000000" w:themeColor="text1"/>
          <w:spacing w:val="2"/>
          <w:shd w:val="clear" w:color="auto" w:fill="FCFCFC"/>
        </w:rPr>
      </w:pPr>
      <w:r w:rsidRPr="00604DEC">
        <w:rPr>
          <w:b/>
          <w:bCs/>
          <w:color w:val="000000" w:themeColor="text1"/>
          <w:spacing w:val="2"/>
          <w:shd w:val="clear" w:color="auto" w:fill="FCFCFC"/>
        </w:rPr>
        <w:lastRenderedPageBreak/>
        <w:t xml:space="preserve">Table </w:t>
      </w:r>
      <w:r>
        <w:rPr>
          <w:b/>
          <w:bCs/>
          <w:color w:val="000000" w:themeColor="text1"/>
          <w:spacing w:val="2"/>
          <w:shd w:val="clear" w:color="auto" w:fill="FCFCFC"/>
        </w:rPr>
        <w:t>D</w:t>
      </w:r>
      <w:r w:rsidRPr="00604DEC">
        <w:rPr>
          <w:b/>
          <w:bCs/>
          <w:color w:val="000000" w:themeColor="text1"/>
          <w:spacing w:val="2"/>
          <w:shd w:val="clear" w:color="auto" w:fill="FCFCFC"/>
        </w:rPr>
        <w:t xml:space="preserve">6: </w:t>
      </w:r>
      <w:r w:rsidRPr="00E3079D">
        <w:rPr>
          <w:b/>
          <w:bCs/>
          <w:color w:val="000000" w:themeColor="text1"/>
          <w:spacing w:val="2"/>
          <w:shd w:val="clear" w:color="auto" w:fill="FCFCFC"/>
        </w:rPr>
        <w:t>Blinder-Oaxaca Decomposition MPI Headcount Index</w:t>
      </w:r>
    </w:p>
    <w:tbl>
      <w:tblPr>
        <w:tblW w:w="9503" w:type="dxa"/>
        <w:tblInd w:w="-147" w:type="dxa"/>
        <w:tblLook w:val="04A0" w:firstRow="1" w:lastRow="0" w:firstColumn="1" w:lastColumn="0" w:noHBand="0" w:noVBand="1"/>
      </w:tblPr>
      <w:tblGrid>
        <w:gridCol w:w="3200"/>
        <w:gridCol w:w="1244"/>
        <w:gridCol w:w="1368"/>
        <w:gridCol w:w="1402"/>
        <w:gridCol w:w="1274"/>
        <w:gridCol w:w="1267"/>
      </w:tblGrid>
      <w:tr w:rsidR="00EE5514" w:rsidRPr="00251676" w:rsidTr="00251676">
        <w:trPr>
          <w:trHeight w:val="320"/>
        </w:trPr>
        <w:tc>
          <w:tcPr>
            <w:tcW w:w="3200"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Pre BISP</w:t>
            </w:r>
          </w:p>
        </w:tc>
        <w:tc>
          <w:tcPr>
            <w:tcW w:w="6303" w:type="dxa"/>
            <w:gridSpan w:val="5"/>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68.29***</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(1.45)</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Post BISP</w:t>
            </w:r>
          </w:p>
        </w:tc>
        <w:tc>
          <w:tcPr>
            <w:tcW w:w="630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58.08***</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(1.19)</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Difference</w:t>
            </w:r>
          </w:p>
        </w:tc>
        <w:tc>
          <w:tcPr>
            <w:tcW w:w="630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10.21***</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(1.88)</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Endowment</w:t>
            </w:r>
          </w:p>
        </w:tc>
        <w:tc>
          <w:tcPr>
            <w:tcW w:w="630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8.04***</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(1.89)</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Coefficient</w:t>
            </w:r>
          </w:p>
        </w:tc>
        <w:tc>
          <w:tcPr>
            <w:tcW w:w="6303"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1.06</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(0.77)</w:t>
            </w:r>
          </w:p>
        </w:tc>
      </w:tr>
      <w:tr w:rsidR="00EE5514" w:rsidRPr="00251676" w:rsidTr="00251676">
        <w:trPr>
          <w:trHeight w:val="320"/>
        </w:trPr>
        <w:tc>
          <w:tcPr>
            <w:tcW w:w="3200"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Interaction</w:t>
            </w:r>
          </w:p>
        </w:tc>
        <w:tc>
          <w:tcPr>
            <w:tcW w:w="6303" w:type="dxa"/>
            <w:gridSpan w:val="5"/>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1.10</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(0.69)</w:t>
            </w:r>
          </w:p>
        </w:tc>
      </w:tr>
      <w:tr w:rsidR="00EE5514" w:rsidRPr="00251676" w:rsidTr="00251676">
        <w:trPr>
          <w:trHeight w:val="320"/>
        </w:trPr>
        <w:tc>
          <w:tcPr>
            <w:tcW w:w="3200"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rPr>
              <w:t>Variables</w:t>
            </w:r>
          </w:p>
        </w:tc>
        <w:tc>
          <w:tcPr>
            <w:tcW w:w="1244"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rPr>
              <w:t>Pre BISP</w:t>
            </w:r>
          </w:p>
        </w:tc>
        <w:tc>
          <w:tcPr>
            <w:tcW w:w="1368"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rPr>
              <w:t>Post BISP</w:t>
            </w:r>
          </w:p>
        </w:tc>
        <w:tc>
          <w:tcPr>
            <w:tcW w:w="3691" w:type="dxa"/>
            <w:gridSpan w:val="3"/>
            <w:tcBorders>
              <w:top w:val="single" w:sz="4" w:space="0" w:color="auto"/>
              <w:bottom w:val="single" w:sz="4" w:space="0" w:color="auto"/>
            </w:tcBorders>
            <w:shd w:val="clear" w:color="auto" w:fill="auto"/>
            <w:noWrap/>
            <w:vAlign w:val="bottom"/>
            <w:hideMark/>
          </w:tcPr>
          <w:p w:rsidR="00EE5514" w:rsidRPr="00251676" w:rsidRDefault="00EE5514" w:rsidP="009553BA">
            <w:pPr>
              <w:pStyle w:val="NoSpacing"/>
              <w:jc w:val="center"/>
              <w:rPr>
                <w:rFonts w:asciiTheme="majorBidi" w:hAnsiTheme="majorBidi" w:cstheme="majorBidi"/>
                <w:b/>
                <w:bCs/>
              </w:rPr>
            </w:pPr>
            <w:r w:rsidRPr="00251676">
              <w:rPr>
                <w:rFonts w:asciiTheme="majorBidi" w:hAnsiTheme="majorBidi" w:cstheme="majorBidi"/>
                <w:b/>
                <w:bCs/>
              </w:rPr>
              <w:t>Decomposition</w:t>
            </w:r>
          </w:p>
        </w:tc>
      </w:tr>
      <w:tr w:rsidR="00EE5514" w:rsidRPr="00251676" w:rsidTr="00251676">
        <w:trPr>
          <w:trHeight w:val="320"/>
        </w:trPr>
        <w:tc>
          <w:tcPr>
            <w:tcW w:w="3200"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244"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368"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402"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Endowment</w:t>
            </w:r>
          </w:p>
        </w:tc>
        <w:tc>
          <w:tcPr>
            <w:tcW w:w="1274"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Coefficient</w:t>
            </w:r>
          </w:p>
        </w:tc>
        <w:tc>
          <w:tcPr>
            <w:tcW w:w="1015"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Interaction</w:t>
            </w:r>
          </w:p>
        </w:tc>
      </w:tr>
      <w:tr w:rsidR="00EE5514" w:rsidRPr="00251676" w:rsidTr="00251676">
        <w:trPr>
          <w:trHeight w:val="320"/>
        </w:trPr>
        <w:tc>
          <w:tcPr>
            <w:tcW w:w="3200"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w:t>
            </w:r>
          </w:p>
        </w:tc>
        <w:tc>
          <w:tcPr>
            <w:tcW w:w="1244"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138.18***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(28.51)</w:t>
            </w:r>
          </w:p>
        </w:tc>
        <w:tc>
          <w:tcPr>
            <w:tcW w:w="1368"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69.69***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(22.46)</w:t>
            </w:r>
          </w:p>
        </w:tc>
        <w:tc>
          <w:tcPr>
            <w:tcW w:w="1402"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(0.16)</w:t>
            </w:r>
          </w:p>
        </w:tc>
        <w:tc>
          <w:tcPr>
            <w:tcW w:w="1274"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35.07*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(18.59)</w:t>
            </w:r>
          </w:p>
        </w:tc>
        <w:tc>
          <w:tcPr>
            <w:tcW w:w="1015"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(0.18)</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Young people &lt;15 years</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115.09***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(19.05)</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64.8***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(14.44)</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(0.37)</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(10.70)</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(0.48)</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Adult people &gt;35 &amp; &lt;60 years</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-58.89*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(34.85)</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-69.91**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(28.22)</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(0.33)</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(8.73)</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(0.48)</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Education till 10th</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-4.48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(5.28)</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-14.61***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(5.02)</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(0.16)</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5.21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(3.75)</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(0.17)</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Working population</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-11.62*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(7.00)</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-7.83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(5.23)</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(0.06)</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(4.84)</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tractor</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16.46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(18.11)</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(15.59)</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-0.100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(0.09)</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(0.86)</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(0.08)</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agriculture land</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(3.89)</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-10.62***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(3.90)</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(0.36)</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(1.89)</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(0.49)</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car</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-8.98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(14.38)</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(10.52)</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(0.13)</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(0.89)</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(0.18)</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More than 2 rooms</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-6.17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(6.12)</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-19.45***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(5.31)</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(0.17)</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(6.62)</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(0.12)</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Concrete roof</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8.11**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(3.55)</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(3.53)</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(0.23)</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(0.40)</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(0.35)</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Hospital in 30 min return</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(5.77)</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-29.01***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(6.92)</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2.69***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(0.84)</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(6.05)</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(1.02)</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High school in 30min return</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-8.91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(5.83)</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(7.12)</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(0.75)</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(6.20)</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(1.00)</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water in home</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(2.85)</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(1.89)</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(0.15)</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(1.33)</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(0.24)</w:t>
            </w:r>
          </w:p>
        </w:tc>
      </w:tr>
      <w:tr w:rsidR="00EE5514" w:rsidRPr="00251676" w:rsidTr="00251676">
        <w:trPr>
          <w:trHeight w:val="320"/>
        </w:trPr>
        <w:tc>
          <w:tcPr>
            <w:tcW w:w="3200"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gas</w:t>
            </w:r>
          </w:p>
        </w:tc>
        <w:tc>
          <w:tcPr>
            <w:tcW w:w="124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-30.58***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(4.13)</w:t>
            </w:r>
          </w:p>
        </w:tc>
        <w:tc>
          <w:tcPr>
            <w:tcW w:w="1368"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-18.55***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(3.07)</w:t>
            </w:r>
          </w:p>
        </w:tc>
        <w:tc>
          <w:tcPr>
            <w:tcW w:w="140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(0.39)</w:t>
            </w:r>
          </w:p>
        </w:tc>
        <w:tc>
          <w:tcPr>
            <w:tcW w:w="1274"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-2.72**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(1.17)</w:t>
            </w:r>
          </w:p>
        </w:tc>
        <w:tc>
          <w:tcPr>
            <w:tcW w:w="10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(0.43)</w:t>
            </w:r>
          </w:p>
        </w:tc>
      </w:tr>
      <w:tr w:rsidR="00EE5514" w:rsidRPr="00251676" w:rsidTr="00251676">
        <w:trPr>
          <w:trHeight w:val="320"/>
        </w:trPr>
        <w:tc>
          <w:tcPr>
            <w:tcW w:w="3200"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Concrete walls</w:t>
            </w:r>
          </w:p>
        </w:tc>
        <w:tc>
          <w:tcPr>
            <w:tcW w:w="1244"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(3.10)</w:t>
            </w:r>
          </w:p>
        </w:tc>
        <w:tc>
          <w:tcPr>
            <w:tcW w:w="1368"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(2.67)</w:t>
            </w:r>
          </w:p>
        </w:tc>
        <w:tc>
          <w:tcPr>
            <w:tcW w:w="1402"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(1.16)</w:t>
            </w:r>
          </w:p>
        </w:tc>
        <w:tc>
          <w:tcPr>
            <w:tcW w:w="1274"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8.18***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(2.29)</w:t>
            </w:r>
          </w:p>
        </w:tc>
        <w:tc>
          <w:tcPr>
            <w:tcW w:w="1015"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(0.51)</w:t>
            </w:r>
          </w:p>
        </w:tc>
      </w:tr>
      <w:tr w:rsidR="00EE5514" w:rsidRPr="00251676" w:rsidTr="00251676">
        <w:trPr>
          <w:trHeight w:val="108"/>
        </w:trPr>
        <w:tc>
          <w:tcPr>
            <w:tcW w:w="9503" w:type="dxa"/>
            <w:gridSpan w:val="6"/>
            <w:tcBorders>
              <w:top w:val="single" w:sz="4" w:space="0" w:color="auto"/>
            </w:tcBorders>
            <w:shd w:val="clear" w:color="auto" w:fill="auto"/>
            <w:noWrap/>
            <w:vAlign w:val="bottom"/>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p w:rsidR="00EE5514" w:rsidRPr="00251676" w:rsidRDefault="00EE5514" w:rsidP="009553BA">
            <w:pPr>
              <w:pStyle w:val="NoSpacing"/>
              <w:rPr>
                <w:rFonts w:asciiTheme="majorBidi" w:hAnsiTheme="majorBidi" w:cstheme="majorBidi"/>
                <w:i/>
                <w:iCs/>
                <w:sz w:val="20"/>
                <w:szCs w:val="20"/>
              </w:rPr>
            </w:pPr>
          </w:p>
          <w:p w:rsidR="00EE5514" w:rsidRDefault="00EE5514" w:rsidP="009553BA">
            <w:pPr>
              <w:pStyle w:val="NoSpacing"/>
              <w:rPr>
                <w:rFonts w:asciiTheme="majorBidi" w:hAnsiTheme="majorBidi" w:cstheme="majorBidi"/>
                <w:i/>
                <w:iCs/>
                <w:sz w:val="20"/>
                <w:szCs w:val="20"/>
              </w:rPr>
            </w:pPr>
          </w:p>
          <w:p w:rsidR="00251676" w:rsidRDefault="00251676" w:rsidP="009553BA">
            <w:pPr>
              <w:pStyle w:val="NoSpacing"/>
              <w:rPr>
                <w:rFonts w:asciiTheme="majorBidi" w:hAnsiTheme="majorBidi" w:cstheme="majorBidi"/>
                <w:i/>
                <w:iCs/>
                <w:sz w:val="20"/>
                <w:szCs w:val="20"/>
              </w:rPr>
            </w:pPr>
          </w:p>
          <w:p w:rsidR="00251676" w:rsidRDefault="00251676" w:rsidP="009553BA">
            <w:pPr>
              <w:pStyle w:val="NoSpacing"/>
              <w:rPr>
                <w:rFonts w:asciiTheme="majorBidi" w:hAnsiTheme="majorBidi" w:cstheme="majorBidi"/>
                <w:i/>
                <w:iCs/>
                <w:sz w:val="20"/>
                <w:szCs w:val="20"/>
              </w:rPr>
            </w:pPr>
          </w:p>
          <w:p w:rsidR="00251676" w:rsidRPr="00251676" w:rsidRDefault="00251676" w:rsidP="009553BA">
            <w:pPr>
              <w:pStyle w:val="NoSpacing"/>
              <w:rPr>
                <w:rFonts w:asciiTheme="majorBidi" w:hAnsiTheme="majorBidi" w:cstheme="majorBidi"/>
                <w:i/>
                <w:iCs/>
                <w:sz w:val="20"/>
                <w:szCs w:val="20"/>
              </w:rPr>
            </w:pPr>
          </w:p>
          <w:p w:rsidR="00EE5514" w:rsidRPr="00251676" w:rsidRDefault="00EE5514" w:rsidP="009553BA">
            <w:pPr>
              <w:pStyle w:val="NoSpacing"/>
              <w:rPr>
                <w:rFonts w:asciiTheme="majorBidi" w:hAnsiTheme="majorBidi" w:cstheme="majorBidi"/>
                <w:i/>
                <w:iCs/>
                <w:sz w:val="20"/>
                <w:szCs w:val="20"/>
              </w:rPr>
            </w:pPr>
          </w:p>
          <w:p w:rsidR="00EE5514" w:rsidRPr="00251676" w:rsidRDefault="00EE5514" w:rsidP="009553BA">
            <w:pPr>
              <w:pStyle w:val="NoSpacing"/>
              <w:rPr>
                <w:rFonts w:asciiTheme="majorBidi" w:hAnsiTheme="majorBidi" w:cstheme="majorBidi"/>
                <w:i/>
                <w:iCs/>
                <w:sz w:val="16"/>
                <w:szCs w:val="16"/>
              </w:rPr>
            </w:pPr>
          </w:p>
          <w:p w:rsidR="00961B9F" w:rsidRPr="00251676" w:rsidRDefault="00961B9F" w:rsidP="009553BA">
            <w:pPr>
              <w:pStyle w:val="NoSpacing"/>
              <w:rPr>
                <w:rFonts w:asciiTheme="majorBidi" w:hAnsiTheme="majorBidi" w:cstheme="majorBidi"/>
                <w:i/>
                <w:iCs/>
                <w:sz w:val="16"/>
                <w:szCs w:val="16"/>
              </w:rPr>
            </w:pPr>
          </w:p>
          <w:p w:rsidR="00961B9F" w:rsidRPr="00251676" w:rsidRDefault="00961B9F" w:rsidP="009553BA">
            <w:pPr>
              <w:pStyle w:val="NoSpacing"/>
              <w:rPr>
                <w:rFonts w:asciiTheme="majorBidi" w:hAnsiTheme="majorBidi" w:cstheme="majorBidi"/>
                <w:i/>
                <w:iCs/>
                <w:sz w:val="16"/>
                <w:szCs w:val="16"/>
              </w:rPr>
            </w:pPr>
          </w:p>
        </w:tc>
      </w:tr>
    </w:tbl>
    <w:p w:rsidR="00EE5514" w:rsidRPr="00604DEC" w:rsidRDefault="00EE5514" w:rsidP="00EE5514">
      <w:pPr>
        <w:rPr>
          <w:b/>
          <w:bCs/>
          <w:i/>
          <w:iCs/>
          <w:color w:val="000000" w:themeColor="text1"/>
          <w:spacing w:val="2"/>
          <w:shd w:val="clear" w:color="auto" w:fill="FCFCFC"/>
        </w:rPr>
      </w:pPr>
      <w:r w:rsidRPr="00604DEC">
        <w:rPr>
          <w:b/>
          <w:bCs/>
          <w:color w:val="000000" w:themeColor="text1"/>
          <w:spacing w:val="2"/>
          <w:shd w:val="clear" w:color="auto" w:fill="FCFCFC"/>
        </w:rPr>
        <w:lastRenderedPageBreak/>
        <w:t xml:space="preserve">Table </w:t>
      </w:r>
      <w:r>
        <w:rPr>
          <w:b/>
          <w:bCs/>
          <w:color w:val="000000" w:themeColor="text1"/>
          <w:spacing w:val="2"/>
          <w:shd w:val="clear" w:color="auto" w:fill="FCFCFC"/>
        </w:rPr>
        <w:t>D</w:t>
      </w:r>
      <w:r w:rsidRPr="00604DEC">
        <w:rPr>
          <w:b/>
          <w:bCs/>
          <w:color w:val="000000" w:themeColor="text1"/>
          <w:spacing w:val="2"/>
          <w:shd w:val="clear" w:color="auto" w:fill="FCFCFC"/>
        </w:rPr>
        <w:t xml:space="preserve">7: </w:t>
      </w:r>
      <w:r w:rsidRPr="00BD2FC3">
        <w:rPr>
          <w:b/>
          <w:bCs/>
          <w:color w:val="000000" w:themeColor="text1"/>
          <w:spacing w:val="2"/>
          <w:shd w:val="clear" w:color="auto" w:fill="FCFCFC"/>
        </w:rPr>
        <w:t>Blinder-Oaxaca Decomposition MDPI Headcount Index</w:t>
      </w:r>
    </w:p>
    <w:tbl>
      <w:tblPr>
        <w:tblW w:w="9498" w:type="dxa"/>
        <w:tblInd w:w="-289" w:type="dxa"/>
        <w:tblLook w:val="04A0" w:firstRow="1" w:lastRow="0" w:firstColumn="1" w:lastColumn="0" w:noHBand="0" w:noVBand="1"/>
      </w:tblPr>
      <w:tblGrid>
        <w:gridCol w:w="3169"/>
        <w:gridCol w:w="1122"/>
        <w:gridCol w:w="1122"/>
        <w:gridCol w:w="1447"/>
        <w:gridCol w:w="1295"/>
        <w:gridCol w:w="1315"/>
        <w:gridCol w:w="28"/>
      </w:tblGrid>
      <w:tr w:rsidR="00EE5514" w:rsidRPr="00251676" w:rsidTr="00251676">
        <w:trPr>
          <w:gridAfter w:val="1"/>
          <w:wAfter w:w="28" w:type="dxa"/>
          <w:trHeight w:val="320"/>
        </w:trPr>
        <w:tc>
          <w:tcPr>
            <w:tcW w:w="3169"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Pre BISP</w:t>
            </w:r>
          </w:p>
        </w:tc>
        <w:tc>
          <w:tcPr>
            <w:tcW w:w="6301" w:type="dxa"/>
            <w:gridSpan w:val="5"/>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97.05***</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(0.44)</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Post BISP</w:t>
            </w:r>
          </w:p>
        </w:tc>
        <w:tc>
          <w:tcPr>
            <w:tcW w:w="6301"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95.01***</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(0.41)</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Difference</w:t>
            </w:r>
          </w:p>
        </w:tc>
        <w:tc>
          <w:tcPr>
            <w:tcW w:w="6301"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2.03***</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(0.60)</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Endowment</w:t>
            </w:r>
          </w:p>
        </w:tc>
        <w:tc>
          <w:tcPr>
            <w:tcW w:w="6301"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1.55***</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(0.43)</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Coefficient</w:t>
            </w:r>
          </w:p>
        </w:tc>
        <w:tc>
          <w:tcPr>
            <w:tcW w:w="6301" w:type="dxa"/>
            <w:gridSpan w:val="5"/>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0.42</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(0.55)</w:t>
            </w:r>
          </w:p>
        </w:tc>
      </w:tr>
      <w:tr w:rsidR="00EE5514" w:rsidRPr="00251676" w:rsidTr="00251676">
        <w:trPr>
          <w:gridAfter w:val="1"/>
          <w:wAfter w:w="28" w:type="dxa"/>
          <w:trHeight w:val="320"/>
        </w:trPr>
        <w:tc>
          <w:tcPr>
            <w:tcW w:w="3169"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Interaction</w:t>
            </w:r>
          </w:p>
        </w:tc>
        <w:tc>
          <w:tcPr>
            <w:tcW w:w="6301" w:type="dxa"/>
            <w:gridSpan w:val="5"/>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(0.36)</w:t>
            </w:r>
          </w:p>
        </w:tc>
      </w:tr>
      <w:tr w:rsidR="00EE5514" w:rsidRPr="00251676" w:rsidTr="00251676">
        <w:trPr>
          <w:gridAfter w:val="1"/>
          <w:wAfter w:w="28" w:type="dxa"/>
          <w:trHeight w:val="320"/>
        </w:trPr>
        <w:tc>
          <w:tcPr>
            <w:tcW w:w="3169"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rPr>
              <w:t>Variables</w:t>
            </w:r>
          </w:p>
        </w:tc>
        <w:tc>
          <w:tcPr>
            <w:tcW w:w="1122"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rPr>
              <w:t>Pre BISP</w:t>
            </w:r>
          </w:p>
        </w:tc>
        <w:tc>
          <w:tcPr>
            <w:tcW w:w="1122" w:type="dxa"/>
            <w:vMerge w:val="restart"/>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rPr>
              <w:t>Post BISP</w:t>
            </w:r>
          </w:p>
        </w:tc>
        <w:tc>
          <w:tcPr>
            <w:tcW w:w="4057" w:type="dxa"/>
            <w:gridSpan w:val="3"/>
            <w:tcBorders>
              <w:top w:val="single" w:sz="4" w:space="0" w:color="auto"/>
              <w:bottom w:val="single" w:sz="4" w:space="0" w:color="auto"/>
            </w:tcBorders>
            <w:shd w:val="clear" w:color="auto" w:fill="auto"/>
            <w:noWrap/>
            <w:vAlign w:val="bottom"/>
            <w:hideMark/>
          </w:tcPr>
          <w:p w:rsidR="00EE5514" w:rsidRPr="00251676" w:rsidRDefault="00EE5514" w:rsidP="009553BA">
            <w:pPr>
              <w:pStyle w:val="NoSpacing"/>
              <w:jc w:val="center"/>
              <w:rPr>
                <w:rFonts w:asciiTheme="majorBidi" w:hAnsiTheme="majorBidi" w:cstheme="majorBidi"/>
                <w:b/>
                <w:bCs/>
              </w:rPr>
            </w:pPr>
            <w:r w:rsidRPr="00251676">
              <w:rPr>
                <w:rFonts w:asciiTheme="majorBidi" w:hAnsiTheme="majorBidi" w:cstheme="majorBidi"/>
                <w:b/>
                <w:bCs/>
              </w:rPr>
              <w:t>Decomposition</w:t>
            </w:r>
          </w:p>
        </w:tc>
      </w:tr>
      <w:tr w:rsidR="00EE5514" w:rsidRPr="00251676" w:rsidTr="00251676">
        <w:trPr>
          <w:gridAfter w:val="1"/>
          <w:wAfter w:w="28" w:type="dxa"/>
          <w:trHeight w:val="320"/>
        </w:trPr>
        <w:tc>
          <w:tcPr>
            <w:tcW w:w="3169"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122"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122" w:type="dxa"/>
            <w:vMerge/>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p>
        </w:tc>
        <w:tc>
          <w:tcPr>
            <w:tcW w:w="1447"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Endowment</w:t>
            </w:r>
          </w:p>
        </w:tc>
        <w:tc>
          <w:tcPr>
            <w:tcW w:w="1295"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Coefficient</w:t>
            </w:r>
          </w:p>
        </w:tc>
        <w:tc>
          <w:tcPr>
            <w:tcW w:w="1315"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Interaction</w:t>
            </w:r>
          </w:p>
        </w:tc>
      </w:tr>
      <w:tr w:rsidR="00EE5514" w:rsidRPr="00251676" w:rsidTr="00251676">
        <w:trPr>
          <w:gridAfter w:val="1"/>
          <w:wAfter w:w="28" w:type="dxa"/>
          <w:trHeight w:val="320"/>
        </w:trPr>
        <w:tc>
          <w:tcPr>
            <w:tcW w:w="3169"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w:t>
            </w:r>
          </w:p>
        </w:tc>
        <w:tc>
          <w:tcPr>
            <w:tcW w:w="1122"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(25.66)</w:t>
            </w:r>
          </w:p>
        </w:tc>
        <w:tc>
          <w:tcPr>
            <w:tcW w:w="1122"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-17.65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(17.78)</w:t>
            </w:r>
          </w:p>
        </w:tc>
        <w:tc>
          <w:tcPr>
            <w:tcW w:w="1447"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(0.06)</w:t>
            </w:r>
          </w:p>
        </w:tc>
        <w:tc>
          <w:tcPr>
            <w:tcW w:w="1295"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8.51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(15.99)</w:t>
            </w:r>
          </w:p>
        </w:tc>
        <w:tc>
          <w:tcPr>
            <w:tcW w:w="1315" w:type="dxa"/>
            <w:tcBorders>
              <w:top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(0.10)</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Young people &lt;15 years</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97.12***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(12.93)</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85.46***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(9.09)</w:t>
            </w:r>
          </w:p>
        </w:tc>
        <w:tc>
          <w:tcPr>
            <w:tcW w:w="144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(0.39)</w:t>
            </w:r>
          </w:p>
        </w:tc>
        <w:tc>
          <w:tcPr>
            <w:tcW w:w="129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5.21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(7.07)</w:t>
            </w:r>
          </w:p>
        </w:tc>
        <w:tc>
          <w:tcPr>
            <w:tcW w:w="13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(0.29)</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Adult people &gt;35 &amp; &lt;60 years</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(26.71)</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-24.55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(20.50)</w:t>
            </w:r>
          </w:p>
        </w:tc>
        <w:tc>
          <w:tcPr>
            <w:tcW w:w="144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(0.22)</w:t>
            </w:r>
          </w:p>
        </w:tc>
        <w:tc>
          <w:tcPr>
            <w:tcW w:w="129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8.08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(6.55)</w:t>
            </w:r>
          </w:p>
        </w:tc>
        <w:tc>
          <w:tcPr>
            <w:tcW w:w="13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(0.37)</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 headed Household</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-10.68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(11.03)</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7.25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(6.63)</w:t>
            </w:r>
          </w:p>
        </w:tc>
        <w:tc>
          <w:tcPr>
            <w:tcW w:w="144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(0.10)</w:t>
            </w:r>
          </w:p>
        </w:tc>
        <w:tc>
          <w:tcPr>
            <w:tcW w:w="129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-16.93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(12.15)</w:t>
            </w:r>
          </w:p>
        </w:tc>
        <w:tc>
          <w:tcPr>
            <w:tcW w:w="13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(0.21)</w:t>
            </w:r>
          </w:p>
        </w:tc>
      </w:tr>
      <w:tr w:rsidR="00EE5514" w:rsidRPr="00251676" w:rsidTr="00251676">
        <w:trPr>
          <w:gridAfter w:val="1"/>
          <w:wAfter w:w="28" w:type="dxa"/>
          <w:trHeight w:val="320"/>
        </w:trPr>
        <w:tc>
          <w:tcPr>
            <w:tcW w:w="3169"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Working population</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7.36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(5.44)</w:t>
            </w:r>
          </w:p>
        </w:tc>
        <w:tc>
          <w:tcPr>
            <w:tcW w:w="1122"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(3.50)</w:t>
            </w:r>
          </w:p>
        </w:tc>
        <w:tc>
          <w:tcPr>
            <w:tcW w:w="1447"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-0.001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(0.02)</w:t>
            </w:r>
          </w:p>
        </w:tc>
        <w:tc>
          <w:tcPr>
            <w:tcW w:w="129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3.94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(3.58)</w:t>
            </w:r>
          </w:p>
        </w:tc>
        <w:tc>
          <w:tcPr>
            <w:tcW w:w="1315" w:type="dxa"/>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(0.06)</w:t>
            </w:r>
          </w:p>
        </w:tc>
      </w:tr>
      <w:tr w:rsidR="00EE5514" w:rsidRPr="00251676" w:rsidTr="00251676">
        <w:trPr>
          <w:gridAfter w:val="1"/>
          <w:wAfter w:w="28" w:type="dxa"/>
          <w:trHeight w:val="320"/>
        </w:trPr>
        <w:tc>
          <w:tcPr>
            <w:tcW w:w="3169"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tractor</w:t>
            </w:r>
          </w:p>
        </w:tc>
        <w:tc>
          <w:tcPr>
            <w:tcW w:w="1122"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36.63***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(13.77)</w:t>
            </w:r>
          </w:p>
        </w:tc>
        <w:tc>
          <w:tcPr>
            <w:tcW w:w="1122"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40.88***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(10.78)</w:t>
            </w:r>
          </w:p>
        </w:tc>
        <w:tc>
          <w:tcPr>
            <w:tcW w:w="1447"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(0.11)</w:t>
            </w:r>
          </w:p>
        </w:tc>
        <w:tc>
          <w:tcPr>
            <w:tcW w:w="1295"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(0.63)</w:t>
            </w:r>
          </w:p>
        </w:tc>
        <w:tc>
          <w:tcPr>
            <w:tcW w:w="1315" w:type="dxa"/>
            <w:tcBorders>
              <w:bottom w:val="single" w:sz="4" w:space="0" w:color="auto"/>
            </w:tcBorders>
            <w:shd w:val="clear" w:color="auto" w:fill="auto"/>
            <w:noWrap/>
            <w:vAlign w:val="bottom"/>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(0.05)</w:t>
            </w:r>
          </w:p>
        </w:tc>
      </w:tr>
      <w:tr w:rsidR="00EE5514" w:rsidRPr="00251676" w:rsidTr="00251676">
        <w:trPr>
          <w:trHeight w:val="108"/>
        </w:trPr>
        <w:tc>
          <w:tcPr>
            <w:tcW w:w="9498" w:type="dxa"/>
            <w:gridSpan w:val="7"/>
            <w:shd w:val="clear" w:color="auto" w:fill="auto"/>
            <w:noWrap/>
            <w:vAlign w:val="bottom"/>
          </w:tcPr>
          <w:p w:rsidR="00EE5514" w:rsidRPr="00251676" w:rsidRDefault="00EE5514" w:rsidP="009553BA">
            <w:pPr>
              <w:pStyle w:val="NoSpacing"/>
              <w:rPr>
                <w:rFonts w:asciiTheme="majorBidi" w:hAnsiTheme="majorBidi" w:cstheme="majorBidi"/>
                <w:i/>
                <w:iCs/>
                <w:sz w:val="16"/>
                <w:szCs w:val="16"/>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tc>
      </w:tr>
    </w:tbl>
    <w:p w:rsidR="00EE5514" w:rsidRPr="00604DEC" w:rsidRDefault="00EE5514" w:rsidP="00EE5514">
      <w:pPr>
        <w:jc w:val="right"/>
        <w:rPr>
          <w:color w:val="000000" w:themeColor="text1"/>
          <w:sz w:val="20"/>
          <w:szCs w:val="20"/>
        </w:rPr>
      </w:pPr>
    </w:p>
    <w:p w:rsidR="00EE5514" w:rsidRPr="00604DEC" w:rsidRDefault="00EE5514" w:rsidP="00EE5514">
      <w:pPr>
        <w:jc w:val="right"/>
        <w:rPr>
          <w:color w:val="000000" w:themeColor="text1"/>
          <w:sz w:val="20"/>
          <w:szCs w:val="20"/>
        </w:rPr>
        <w:sectPr w:rsidR="00EE5514" w:rsidRPr="00604DEC">
          <w:pgSz w:w="11906" w:h="16838"/>
          <w:pgMar w:top="1440" w:right="1440" w:bottom="1440" w:left="1440" w:header="708" w:footer="708" w:gutter="0"/>
          <w:cols w:space="708"/>
          <w:docGrid w:linePitch="360"/>
        </w:sectPr>
      </w:pPr>
    </w:p>
    <w:p w:rsidR="00EE5514" w:rsidRPr="00251676" w:rsidRDefault="00EE5514" w:rsidP="00251676">
      <w:pPr>
        <w:pStyle w:val="Heading2"/>
        <w:rPr>
          <w:rFonts w:ascii="Times New Roman" w:eastAsiaTheme="minorHAnsi" w:hAnsi="Times New Roman" w:cs="Times New Roman"/>
          <w:b/>
          <w:bCs/>
          <w:color w:val="000000" w:themeColor="text1"/>
          <w:sz w:val="24"/>
          <w:szCs w:val="24"/>
        </w:rPr>
      </w:pPr>
      <w:bookmarkStart w:id="5" w:name="_Toc81247141"/>
      <w:r w:rsidRPr="00251676">
        <w:rPr>
          <w:rFonts w:ascii="Times New Roman" w:eastAsiaTheme="minorHAnsi" w:hAnsi="Times New Roman" w:cs="Times New Roman"/>
          <w:b/>
          <w:bCs/>
          <w:color w:val="000000" w:themeColor="text1"/>
          <w:sz w:val="24"/>
          <w:szCs w:val="24"/>
        </w:rPr>
        <w:lastRenderedPageBreak/>
        <w:t>Appendix E</w:t>
      </w:r>
      <w:bookmarkEnd w:id="5"/>
    </w:p>
    <w:p w:rsidR="00251676" w:rsidRDefault="00251676" w:rsidP="00EE5514">
      <w:pPr>
        <w:rPr>
          <w:b/>
          <w:bCs/>
          <w:color w:val="000000" w:themeColor="text1"/>
        </w:rPr>
      </w:pPr>
    </w:p>
    <w:p w:rsidR="00EE5514" w:rsidRPr="00D67560" w:rsidRDefault="00EE5514" w:rsidP="00EE5514">
      <w:pPr>
        <w:rPr>
          <w:b/>
          <w:bCs/>
          <w:color w:val="000000" w:themeColor="text1"/>
        </w:rPr>
      </w:pPr>
      <w:r w:rsidRPr="00604DEC">
        <w:rPr>
          <w:b/>
          <w:bCs/>
          <w:color w:val="000000" w:themeColor="text1"/>
        </w:rPr>
        <w:t xml:space="preserve">Table </w:t>
      </w:r>
      <w:r>
        <w:rPr>
          <w:b/>
          <w:bCs/>
          <w:color w:val="000000" w:themeColor="text1"/>
        </w:rPr>
        <w:t>E</w:t>
      </w:r>
      <w:r w:rsidRPr="00604DEC">
        <w:rPr>
          <w:b/>
          <w:bCs/>
          <w:color w:val="000000" w:themeColor="text1"/>
        </w:rPr>
        <w:t xml:space="preserve">1: </w:t>
      </w:r>
      <w:r w:rsidRPr="00BD2FC3">
        <w:rPr>
          <w:b/>
          <w:bCs/>
          <w:color w:val="000000" w:themeColor="text1"/>
        </w:rPr>
        <w:t>Fixed-Effect Panel Regression: Headcount Index</w:t>
      </w:r>
    </w:p>
    <w:tbl>
      <w:tblPr>
        <w:tblW w:w="8222" w:type="dxa"/>
        <w:tblLook w:val="04A0" w:firstRow="1" w:lastRow="0" w:firstColumn="1" w:lastColumn="0" w:noHBand="0" w:noVBand="1"/>
      </w:tblPr>
      <w:tblGrid>
        <w:gridCol w:w="21"/>
        <w:gridCol w:w="4515"/>
        <w:gridCol w:w="1843"/>
        <w:gridCol w:w="1843"/>
      </w:tblGrid>
      <w:tr w:rsidR="00EE5514" w:rsidRPr="00251676" w:rsidTr="00251676">
        <w:trPr>
          <w:gridBefore w:val="1"/>
          <w:wBefore w:w="21" w:type="dxa"/>
          <w:trHeight w:val="395"/>
        </w:trPr>
        <w:tc>
          <w:tcPr>
            <w:tcW w:w="4515"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Variables</w:t>
            </w:r>
          </w:p>
        </w:tc>
        <w:tc>
          <w:tcPr>
            <w:tcW w:w="1843"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1</w:t>
            </w:r>
          </w:p>
        </w:tc>
        <w:tc>
          <w:tcPr>
            <w:tcW w:w="1843" w:type="dxa"/>
            <w:tcBorders>
              <w:top w:val="single" w:sz="4" w:space="0" w:color="auto"/>
              <w:bottom w:val="single" w:sz="4" w:space="0" w:color="auto"/>
            </w:tcBorders>
            <w:shd w:val="clear" w:color="auto" w:fill="D9D9D9" w:themeFill="background1" w:themeFillShade="D9"/>
            <w:vAlign w:val="center"/>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2</w:t>
            </w:r>
          </w:p>
        </w:tc>
      </w:tr>
      <w:tr w:rsidR="00EE5514" w:rsidRPr="00251676" w:rsidTr="00251676">
        <w:trPr>
          <w:gridBefore w:val="1"/>
          <w:wBefore w:w="21" w:type="dxa"/>
          <w:trHeight w:val="650"/>
        </w:trPr>
        <w:tc>
          <w:tcPr>
            <w:tcW w:w="4515"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Phase</w:t>
            </w:r>
          </w:p>
        </w:tc>
        <w:tc>
          <w:tcPr>
            <w:tcW w:w="1843"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p>
        </w:tc>
        <w:tc>
          <w:tcPr>
            <w:tcW w:w="1843"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40.82*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(24.43)</w:t>
            </w:r>
          </w:p>
        </w:tc>
      </w:tr>
      <w:tr w:rsidR="00EE5514" w:rsidRPr="00251676" w:rsidTr="00251676">
        <w:trPr>
          <w:gridBefore w:val="1"/>
          <w:wBefore w:w="21" w:type="dxa"/>
          <w:trHeight w:val="650"/>
        </w:trPr>
        <w:tc>
          <w:tcPr>
            <w:tcW w:w="4515" w:type="dxa"/>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Log Cash Transfer </w:t>
            </w:r>
            <m:oMath>
              <m:r>
                <w:rPr>
                  <w:rFonts w:ascii="Cambria Math" w:hAnsi="Cambria Math" w:cstheme="majorBidi"/>
                </w:rPr>
                <m:t>×</m:t>
              </m:r>
            </m:oMath>
            <w:r w:rsidRPr="00251676">
              <w:rPr>
                <w:rFonts w:asciiTheme="majorBidi" w:hAnsiTheme="majorBidi" w:cstheme="majorBidi"/>
              </w:rPr>
              <w:t xml:space="preserve"> Phase I</w:t>
            </w:r>
          </w:p>
        </w:tc>
        <w:tc>
          <w:tcPr>
            <w:tcW w:w="1843" w:type="dxa"/>
            <w:shd w:val="clear" w:color="auto" w:fill="auto"/>
            <w:noWrap/>
            <w:vAlign w:val="center"/>
          </w:tcPr>
          <w:p w:rsidR="00EE5514" w:rsidRPr="00251676" w:rsidRDefault="00EE5514" w:rsidP="009553BA">
            <w:pPr>
              <w:pStyle w:val="NoSpacing"/>
              <w:rPr>
                <w:rFonts w:asciiTheme="majorBidi" w:hAnsiTheme="majorBidi" w:cstheme="majorBidi"/>
              </w:rPr>
            </w:pP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(1.28)</w:t>
            </w:r>
          </w:p>
        </w:tc>
      </w:tr>
      <w:tr w:rsidR="00EE5514" w:rsidRPr="00251676" w:rsidTr="00251676">
        <w:trPr>
          <w:gridBefore w:val="1"/>
          <w:wBefore w:w="21" w:type="dxa"/>
          <w:trHeight w:val="65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Log Cash Transfers</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(1.38)</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-11.25***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(1.59)</w:t>
            </w:r>
          </w:p>
        </w:tc>
      </w:tr>
      <w:tr w:rsidR="00EE5514" w:rsidRPr="00251676" w:rsidTr="00251676">
        <w:trPr>
          <w:gridBefore w:val="1"/>
          <w:wBefore w:w="21" w:type="dxa"/>
          <w:trHeight w:val="65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 headed Household</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72.03***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(19.4)</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64.16***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(19.86)</w:t>
            </w:r>
          </w:p>
        </w:tc>
      </w:tr>
      <w:tr w:rsidR="00EE5514" w:rsidRPr="00251676" w:rsidTr="00251676">
        <w:trPr>
          <w:gridBefore w:val="1"/>
          <w:wBefore w:w="21" w:type="dxa"/>
          <w:trHeight w:val="65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 who can read</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(16.7)</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-43.22***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(16.21)</w:t>
            </w:r>
          </w:p>
        </w:tc>
      </w:tr>
      <w:tr w:rsidR="00EE5514" w:rsidRPr="00251676" w:rsidTr="00251676">
        <w:trPr>
          <w:gridBefore w:val="1"/>
          <w:wBefore w:w="21" w:type="dxa"/>
          <w:trHeight w:val="65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Working population</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-106.3***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(13.5)</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-102.40***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(13.81)</w:t>
            </w:r>
          </w:p>
        </w:tc>
      </w:tr>
      <w:tr w:rsidR="00EE5514" w:rsidRPr="00251676" w:rsidTr="00251676">
        <w:trPr>
          <w:gridBefore w:val="1"/>
          <w:wBefore w:w="21" w:type="dxa"/>
          <w:trHeight w:val="65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agriculture land</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-33.14***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(12.8)</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-25.63**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(12.89)</w:t>
            </w:r>
          </w:p>
        </w:tc>
      </w:tr>
      <w:tr w:rsidR="00EE5514" w:rsidRPr="00251676" w:rsidTr="00251676">
        <w:trPr>
          <w:gridBefore w:val="1"/>
          <w:wBefore w:w="21" w:type="dxa"/>
          <w:trHeight w:val="65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gas</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-61.4***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(12.1)</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-66.71***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(12.00)</w:t>
            </w:r>
          </w:p>
        </w:tc>
      </w:tr>
      <w:tr w:rsidR="00EE5514" w:rsidRPr="00251676" w:rsidTr="00251676">
        <w:trPr>
          <w:gridBefore w:val="1"/>
          <w:wBefore w:w="21" w:type="dxa"/>
          <w:trHeight w:val="65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electricity</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(12.7)</w:t>
            </w:r>
          </w:p>
        </w:tc>
        <w:tc>
          <w:tcPr>
            <w:tcW w:w="1843" w:type="dxa"/>
            <w:vAlign w:val="center"/>
          </w:tcPr>
          <w:p w:rsidR="00EE5514" w:rsidRPr="00251676" w:rsidRDefault="00EE5514" w:rsidP="009553BA">
            <w:pPr>
              <w:pStyle w:val="NoSpacing"/>
              <w:rPr>
                <w:rFonts w:asciiTheme="majorBidi" w:hAnsiTheme="majorBidi" w:cstheme="majorBidi"/>
              </w:rPr>
            </w:pPr>
          </w:p>
        </w:tc>
      </w:tr>
      <w:tr w:rsidR="00EE5514" w:rsidRPr="00251676" w:rsidTr="00251676">
        <w:trPr>
          <w:gridBefore w:val="1"/>
          <w:wBefore w:w="21" w:type="dxa"/>
          <w:trHeight w:val="650"/>
        </w:trPr>
        <w:tc>
          <w:tcPr>
            <w:tcW w:w="4515"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High school in 30min return</w:t>
            </w:r>
          </w:p>
        </w:tc>
        <w:tc>
          <w:tcPr>
            <w:tcW w:w="1843"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-7.02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(6.8)</w:t>
            </w:r>
          </w:p>
        </w:tc>
        <w:tc>
          <w:tcPr>
            <w:tcW w:w="1843"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p>
        </w:tc>
      </w:tr>
      <w:tr w:rsidR="00EE5514" w:rsidRPr="00251676" w:rsidTr="00251676">
        <w:trPr>
          <w:gridBefore w:val="1"/>
          <w:wBefore w:w="21" w:type="dxa"/>
          <w:trHeight w:val="320"/>
        </w:trPr>
        <w:tc>
          <w:tcPr>
            <w:tcW w:w="4515"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within</w:t>
            </w:r>
          </w:p>
        </w:tc>
        <w:tc>
          <w:tcPr>
            <w:tcW w:w="1843"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0.6327</w:t>
            </w:r>
          </w:p>
        </w:tc>
        <w:tc>
          <w:tcPr>
            <w:tcW w:w="1843"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0.6307</w:t>
            </w:r>
          </w:p>
        </w:tc>
      </w:tr>
      <w:tr w:rsidR="00EE5514" w:rsidRPr="00251676" w:rsidTr="00251676">
        <w:trPr>
          <w:gridBefore w:val="1"/>
          <w:wBefore w:w="21" w:type="dxa"/>
          <w:trHeight w:val="32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between</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0.3002</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0.2805</w:t>
            </w:r>
          </w:p>
        </w:tc>
      </w:tr>
      <w:tr w:rsidR="00EE5514" w:rsidRPr="00251676" w:rsidTr="00251676">
        <w:trPr>
          <w:gridBefore w:val="1"/>
          <w:wBefore w:w="21" w:type="dxa"/>
          <w:trHeight w:val="32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overall</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0.3619</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0.3535</w:t>
            </w:r>
          </w:p>
        </w:tc>
      </w:tr>
      <w:tr w:rsidR="00EE5514" w:rsidRPr="00251676" w:rsidTr="00251676">
        <w:trPr>
          <w:gridBefore w:val="1"/>
          <w:wBefore w:w="21" w:type="dxa"/>
          <w:trHeight w:val="32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Sigma_u</w:t>
            </w:r>
            <w:proofErr w:type="spellEnd"/>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21.8</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21.65</w:t>
            </w:r>
          </w:p>
        </w:tc>
      </w:tr>
      <w:tr w:rsidR="00EE5514" w:rsidRPr="00251676" w:rsidTr="00251676">
        <w:trPr>
          <w:gridBefore w:val="1"/>
          <w:wBefore w:w="21" w:type="dxa"/>
          <w:trHeight w:val="32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Sigma_e</w:t>
            </w:r>
            <w:proofErr w:type="spellEnd"/>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13.8</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13.81</w:t>
            </w:r>
          </w:p>
        </w:tc>
      </w:tr>
      <w:tr w:rsidR="00EE5514" w:rsidRPr="00251676" w:rsidTr="00251676">
        <w:trPr>
          <w:gridBefore w:val="1"/>
          <w:wBefore w:w="21" w:type="dxa"/>
          <w:trHeight w:val="320"/>
        </w:trPr>
        <w:tc>
          <w:tcPr>
            <w:tcW w:w="4515"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proofErr w:type="gramStart"/>
            <w:r w:rsidRPr="00251676">
              <w:rPr>
                <w:rFonts w:asciiTheme="majorBidi" w:hAnsiTheme="majorBidi" w:cstheme="majorBidi"/>
              </w:rPr>
              <w:t>Corr</w:t>
            </w:r>
            <w:proofErr w:type="spellEnd"/>
            <w:r w:rsidRPr="00251676">
              <w:rPr>
                <w:rFonts w:asciiTheme="majorBidi" w:hAnsiTheme="majorBidi" w:cstheme="majorBidi"/>
              </w:rPr>
              <w:t>(</w:t>
            </w:r>
            <w:proofErr w:type="spellStart"/>
            <w:proofErr w:type="gramEnd"/>
            <w:r w:rsidRPr="00251676">
              <w:rPr>
                <w:rFonts w:asciiTheme="majorBidi" w:hAnsiTheme="majorBidi" w:cstheme="majorBidi"/>
              </w:rPr>
              <w:t>u_i</w:t>
            </w:r>
            <w:proofErr w:type="spellEnd"/>
            <w:r w:rsidRPr="00251676">
              <w:rPr>
                <w:rFonts w:asciiTheme="majorBidi" w:hAnsiTheme="majorBidi" w:cstheme="majorBidi"/>
              </w:rPr>
              <w:t xml:space="preserve">, </w:t>
            </w:r>
            <w:proofErr w:type="spellStart"/>
            <w:r w:rsidRPr="00251676">
              <w:rPr>
                <w:rFonts w:asciiTheme="majorBidi" w:hAnsiTheme="majorBidi" w:cstheme="majorBidi"/>
              </w:rPr>
              <w:t>Xb</w:t>
            </w:r>
            <w:proofErr w:type="spellEnd"/>
            <w:r w:rsidRPr="00251676">
              <w:rPr>
                <w:rFonts w:asciiTheme="majorBidi" w:hAnsiTheme="majorBidi" w:cstheme="majorBidi"/>
              </w:rPr>
              <w:t>)</w:t>
            </w:r>
          </w:p>
        </w:tc>
        <w:tc>
          <w:tcPr>
            <w:tcW w:w="184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-0.7395</w:t>
            </w:r>
          </w:p>
        </w:tc>
        <w:tc>
          <w:tcPr>
            <w:tcW w:w="184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-0.7325</w:t>
            </w:r>
          </w:p>
        </w:tc>
      </w:tr>
      <w:tr w:rsidR="00EE5514" w:rsidRPr="00251676" w:rsidTr="00251676">
        <w:trPr>
          <w:gridBefore w:val="1"/>
          <w:wBefore w:w="21" w:type="dxa"/>
          <w:trHeight w:val="320"/>
        </w:trPr>
        <w:tc>
          <w:tcPr>
            <w:tcW w:w="4515"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Prob F-stats</w:t>
            </w:r>
          </w:p>
        </w:tc>
        <w:tc>
          <w:tcPr>
            <w:tcW w:w="1843"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c>
          <w:tcPr>
            <w:tcW w:w="1843"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trHeight w:val="108"/>
        </w:trPr>
        <w:tc>
          <w:tcPr>
            <w:tcW w:w="8222" w:type="dxa"/>
            <w:gridSpan w:val="4"/>
            <w:shd w:val="clear" w:color="auto" w:fill="auto"/>
            <w:noWrap/>
            <w:vAlign w:val="bottom"/>
          </w:tcPr>
          <w:p w:rsidR="00EE5514" w:rsidRPr="00251676" w:rsidRDefault="00EE5514" w:rsidP="009553BA">
            <w:pPr>
              <w:pStyle w:val="NoSpacing"/>
              <w:rPr>
                <w:rFonts w:asciiTheme="majorBidi" w:hAnsiTheme="majorBidi" w:cstheme="majorBidi"/>
                <w:i/>
                <w:iCs/>
                <w:sz w:val="16"/>
                <w:szCs w:val="16"/>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tc>
      </w:tr>
    </w:tbl>
    <w:p w:rsidR="00EE5514" w:rsidRPr="00604DEC" w:rsidRDefault="00EE5514" w:rsidP="00EE5514">
      <w:pPr>
        <w:jc w:val="right"/>
        <w:rPr>
          <w:color w:val="000000" w:themeColor="text1"/>
          <w:sz w:val="20"/>
          <w:szCs w:val="20"/>
        </w:rPr>
      </w:pPr>
    </w:p>
    <w:p w:rsidR="00EE5514" w:rsidRDefault="00EE5514" w:rsidP="00EE5514">
      <w:pPr>
        <w:jc w:val="right"/>
        <w:rPr>
          <w:color w:val="000000" w:themeColor="text1"/>
          <w:sz w:val="20"/>
          <w:szCs w:val="20"/>
        </w:rPr>
      </w:pPr>
    </w:p>
    <w:p w:rsidR="00EE5514" w:rsidRDefault="00EE5514" w:rsidP="00EE5514">
      <w:pPr>
        <w:spacing w:before="240" w:after="240"/>
        <w:rPr>
          <w:color w:val="000000" w:themeColor="text1"/>
          <w:sz w:val="20"/>
          <w:szCs w:val="20"/>
        </w:rPr>
      </w:pPr>
      <w:r>
        <w:rPr>
          <w:color w:val="000000" w:themeColor="text1"/>
          <w:sz w:val="20"/>
          <w:szCs w:val="20"/>
        </w:rPr>
        <w:br w:type="page"/>
      </w:r>
    </w:p>
    <w:p w:rsidR="00EE5514" w:rsidRPr="00604DEC" w:rsidRDefault="00EE5514" w:rsidP="00EE5514">
      <w:pPr>
        <w:jc w:val="right"/>
        <w:rPr>
          <w:color w:val="000000" w:themeColor="text1"/>
          <w:sz w:val="20"/>
          <w:szCs w:val="20"/>
        </w:rPr>
      </w:pPr>
    </w:p>
    <w:p w:rsidR="00EE5514" w:rsidRPr="00D67560" w:rsidRDefault="00EE5514" w:rsidP="00EE5514">
      <w:pPr>
        <w:rPr>
          <w:b/>
          <w:bCs/>
          <w:i/>
          <w:iCs/>
          <w:color w:val="000000" w:themeColor="text1"/>
        </w:rPr>
      </w:pPr>
      <w:r w:rsidRPr="00604DEC">
        <w:rPr>
          <w:b/>
          <w:bCs/>
          <w:color w:val="000000" w:themeColor="text1"/>
        </w:rPr>
        <w:t xml:space="preserve">Table </w:t>
      </w:r>
      <w:r>
        <w:rPr>
          <w:b/>
          <w:bCs/>
          <w:color w:val="000000" w:themeColor="text1"/>
        </w:rPr>
        <w:t>E</w:t>
      </w:r>
      <w:r w:rsidRPr="00604DEC">
        <w:rPr>
          <w:b/>
          <w:bCs/>
          <w:color w:val="000000" w:themeColor="text1"/>
        </w:rPr>
        <w:t xml:space="preserve">2: </w:t>
      </w:r>
      <w:r w:rsidRPr="00BD2FC3">
        <w:rPr>
          <w:b/>
          <w:bCs/>
          <w:color w:val="000000" w:themeColor="text1"/>
        </w:rPr>
        <w:t>Fixed-Effect Panel Regression Poverty Gap Index</w:t>
      </w:r>
    </w:p>
    <w:tbl>
      <w:tblPr>
        <w:tblW w:w="8364" w:type="dxa"/>
        <w:tblLook w:val="04A0" w:firstRow="1" w:lastRow="0" w:firstColumn="1" w:lastColumn="0" w:noHBand="0" w:noVBand="1"/>
      </w:tblPr>
      <w:tblGrid>
        <w:gridCol w:w="21"/>
        <w:gridCol w:w="4722"/>
        <w:gridCol w:w="1920"/>
        <w:gridCol w:w="1701"/>
      </w:tblGrid>
      <w:tr w:rsidR="00EE5514" w:rsidRPr="00251676" w:rsidTr="00251676">
        <w:trPr>
          <w:gridBefore w:val="1"/>
          <w:wBefore w:w="21" w:type="dxa"/>
          <w:trHeight w:val="239"/>
        </w:trPr>
        <w:tc>
          <w:tcPr>
            <w:tcW w:w="4722"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rPr>
            </w:pPr>
          </w:p>
        </w:tc>
        <w:tc>
          <w:tcPr>
            <w:tcW w:w="1920" w:type="dxa"/>
            <w:tcBorders>
              <w:top w:val="single" w:sz="4" w:space="0" w:color="auto"/>
              <w:bottom w:val="single" w:sz="4" w:space="0" w:color="auto"/>
            </w:tcBorders>
            <w:shd w:val="clear" w:color="auto" w:fill="D9D9D9" w:themeFill="background1" w:themeFillShade="D9"/>
            <w:noWrap/>
            <w:vAlign w:val="bottom"/>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Model 1</w:t>
            </w:r>
          </w:p>
        </w:tc>
        <w:tc>
          <w:tcPr>
            <w:tcW w:w="1701" w:type="dxa"/>
            <w:tcBorders>
              <w:top w:val="single" w:sz="4" w:space="0" w:color="auto"/>
              <w:bottom w:val="single" w:sz="4" w:space="0" w:color="auto"/>
            </w:tcBorders>
            <w:shd w:val="clear" w:color="auto" w:fill="D9D9D9" w:themeFill="background1" w:themeFillShade="D9"/>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Model 2</w:t>
            </w:r>
          </w:p>
        </w:tc>
      </w:tr>
      <w:tr w:rsidR="00EE5514" w:rsidRPr="00251676" w:rsidTr="00251676">
        <w:trPr>
          <w:gridBefore w:val="1"/>
          <w:wBefore w:w="21" w:type="dxa"/>
          <w:trHeight w:val="650"/>
        </w:trPr>
        <w:tc>
          <w:tcPr>
            <w:tcW w:w="4722"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Phase</w:t>
            </w:r>
          </w:p>
        </w:tc>
        <w:tc>
          <w:tcPr>
            <w:tcW w:w="1920"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p>
        </w:tc>
        <w:tc>
          <w:tcPr>
            <w:tcW w:w="1701"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18.70***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(6.15)</w:t>
            </w:r>
          </w:p>
        </w:tc>
      </w:tr>
      <w:tr w:rsidR="00EE5514" w:rsidRPr="00251676" w:rsidTr="00251676">
        <w:trPr>
          <w:gridBefore w:val="1"/>
          <w:wBefore w:w="21" w:type="dxa"/>
          <w:trHeight w:val="650"/>
        </w:trPr>
        <w:tc>
          <w:tcPr>
            <w:tcW w:w="4722" w:type="dxa"/>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Log Cash Transfer </w:t>
            </w:r>
            <m:oMath>
              <m:r>
                <w:rPr>
                  <w:rFonts w:ascii="Cambria Math" w:hAnsi="Cambria Math" w:cstheme="majorBidi"/>
                </w:rPr>
                <m:t>×</m:t>
              </m:r>
            </m:oMath>
            <w:r w:rsidRPr="00251676">
              <w:rPr>
                <w:rFonts w:asciiTheme="majorBidi" w:hAnsiTheme="majorBidi" w:cstheme="majorBidi"/>
              </w:rPr>
              <w:t xml:space="preserve"> Phase I</w:t>
            </w:r>
          </w:p>
        </w:tc>
        <w:tc>
          <w:tcPr>
            <w:tcW w:w="1920" w:type="dxa"/>
            <w:shd w:val="clear" w:color="auto" w:fill="auto"/>
            <w:noWrap/>
            <w:vAlign w:val="center"/>
          </w:tcPr>
          <w:p w:rsidR="00EE5514" w:rsidRPr="00251676" w:rsidRDefault="00EE5514" w:rsidP="009553BA">
            <w:pPr>
              <w:pStyle w:val="NoSpacing"/>
              <w:rPr>
                <w:rFonts w:asciiTheme="majorBidi" w:hAnsiTheme="majorBidi" w:cstheme="majorBidi"/>
              </w:rPr>
            </w:pP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(0.32)</w:t>
            </w:r>
          </w:p>
        </w:tc>
      </w:tr>
      <w:tr w:rsidR="00EE5514" w:rsidRPr="00251676" w:rsidTr="00251676">
        <w:trPr>
          <w:gridBefore w:val="1"/>
          <w:wBefore w:w="21" w:type="dxa"/>
          <w:trHeight w:val="65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Log Cash Transfers</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(0.34)</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-1.79***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(0.39)</w:t>
            </w:r>
          </w:p>
        </w:tc>
      </w:tr>
      <w:tr w:rsidR="00EE5514" w:rsidRPr="00251676" w:rsidTr="00251676">
        <w:trPr>
          <w:gridBefore w:val="1"/>
          <w:wBefore w:w="21" w:type="dxa"/>
          <w:trHeight w:val="65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5.67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(14.5)</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9.56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(14.40)</w:t>
            </w:r>
          </w:p>
        </w:tc>
      </w:tr>
      <w:tr w:rsidR="00EE5514" w:rsidRPr="00251676" w:rsidTr="00251676">
        <w:trPr>
          <w:gridBefore w:val="1"/>
          <w:wBefore w:w="21" w:type="dxa"/>
          <w:trHeight w:val="65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 headed Household</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(4.89)</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6.48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(4.99)</w:t>
            </w:r>
          </w:p>
        </w:tc>
      </w:tr>
      <w:tr w:rsidR="00EE5514" w:rsidRPr="00251676" w:rsidTr="00251676">
        <w:trPr>
          <w:gridBefore w:val="1"/>
          <w:wBefore w:w="21" w:type="dxa"/>
          <w:trHeight w:val="65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 who can read</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-5.46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(4.15)</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-4.83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(4.11)</w:t>
            </w:r>
          </w:p>
        </w:tc>
      </w:tr>
      <w:tr w:rsidR="00EE5514" w:rsidRPr="00251676" w:rsidTr="00251676">
        <w:trPr>
          <w:gridBefore w:val="1"/>
          <w:wBefore w:w="21" w:type="dxa"/>
          <w:trHeight w:val="65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Working population</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-38.24***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(3.36)</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-36.29***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(3.38)</w:t>
            </w:r>
          </w:p>
        </w:tc>
      </w:tr>
      <w:tr w:rsidR="00EE5514" w:rsidRPr="00251676" w:rsidTr="00251676">
        <w:trPr>
          <w:gridBefore w:val="1"/>
          <w:wBefore w:w="21" w:type="dxa"/>
          <w:trHeight w:val="65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gas</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-8.19***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(3.17)</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-12.89***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(2.98)</w:t>
            </w:r>
          </w:p>
        </w:tc>
      </w:tr>
      <w:tr w:rsidR="00EE5514" w:rsidRPr="00251676" w:rsidTr="00251676">
        <w:trPr>
          <w:gridBefore w:val="1"/>
          <w:wBefore w:w="21" w:type="dxa"/>
          <w:trHeight w:val="65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electricity</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(2.98)</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-8.42***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(3.19)</w:t>
            </w:r>
          </w:p>
        </w:tc>
      </w:tr>
      <w:tr w:rsidR="00EE5514" w:rsidRPr="00251676" w:rsidTr="00251676">
        <w:trPr>
          <w:gridBefore w:val="1"/>
          <w:wBefore w:w="21" w:type="dxa"/>
          <w:trHeight w:val="650"/>
        </w:trPr>
        <w:tc>
          <w:tcPr>
            <w:tcW w:w="4722"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High school in 30min return</w:t>
            </w:r>
          </w:p>
        </w:tc>
        <w:tc>
          <w:tcPr>
            <w:tcW w:w="1920"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-10.51***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(3.14)</w:t>
            </w:r>
          </w:p>
        </w:tc>
        <w:tc>
          <w:tcPr>
            <w:tcW w:w="1701"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-2.70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(1.70)</w:t>
            </w:r>
          </w:p>
        </w:tc>
      </w:tr>
      <w:tr w:rsidR="00EE5514" w:rsidRPr="00251676" w:rsidTr="00251676">
        <w:trPr>
          <w:gridBefore w:val="1"/>
          <w:wBefore w:w="21" w:type="dxa"/>
          <w:trHeight w:val="320"/>
        </w:trPr>
        <w:tc>
          <w:tcPr>
            <w:tcW w:w="4722"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within</w:t>
            </w:r>
          </w:p>
        </w:tc>
        <w:tc>
          <w:tcPr>
            <w:tcW w:w="1920"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0.6375</w:t>
            </w:r>
          </w:p>
        </w:tc>
        <w:tc>
          <w:tcPr>
            <w:tcW w:w="1701"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0.6490</w:t>
            </w:r>
          </w:p>
        </w:tc>
      </w:tr>
      <w:tr w:rsidR="00EE5514" w:rsidRPr="00251676" w:rsidTr="00251676">
        <w:trPr>
          <w:gridBefore w:val="1"/>
          <w:wBefore w:w="21" w:type="dxa"/>
          <w:trHeight w:val="32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between</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0.1198</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0.1242</w:t>
            </w:r>
          </w:p>
        </w:tc>
      </w:tr>
      <w:tr w:rsidR="00EE5514" w:rsidRPr="00251676" w:rsidTr="00251676">
        <w:trPr>
          <w:gridBefore w:val="1"/>
          <w:wBefore w:w="21" w:type="dxa"/>
          <w:trHeight w:val="32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overall</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0.2778</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0.2799</w:t>
            </w:r>
          </w:p>
        </w:tc>
      </w:tr>
      <w:tr w:rsidR="00EE5514" w:rsidRPr="00251676" w:rsidTr="00251676">
        <w:trPr>
          <w:gridBefore w:val="1"/>
          <w:wBefore w:w="21" w:type="dxa"/>
          <w:trHeight w:val="32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Sigma_u</w:t>
            </w:r>
            <w:proofErr w:type="spellEnd"/>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5.48</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5.60</w:t>
            </w:r>
          </w:p>
        </w:tc>
      </w:tr>
      <w:tr w:rsidR="00EE5514" w:rsidRPr="00251676" w:rsidTr="00251676">
        <w:trPr>
          <w:gridBefore w:val="1"/>
          <w:wBefore w:w="21" w:type="dxa"/>
          <w:trHeight w:val="32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Sigma_e</w:t>
            </w:r>
            <w:proofErr w:type="spellEnd"/>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3.40</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3.36</w:t>
            </w:r>
          </w:p>
        </w:tc>
      </w:tr>
      <w:tr w:rsidR="00EE5514" w:rsidRPr="00251676" w:rsidTr="00251676">
        <w:trPr>
          <w:gridBefore w:val="1"/>
          <w:wBefore w:w="21" w:type="dxa"/>
          <w:trHeight w:val="320"/>
        </w:trPr>
        <w:tc>
          <w:tcPr>
            <w:tcW w:w="4722"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proofErr w:type="gramStart"/>
            <w:r w:rsidRPr="00251676">
              <w:rPr>
                <w:rFonts w:asciiTheme="majorBidi" w:hAnsiTheme="majorBidi" w:cstheme="majorBidi"/>
              </w:rPr>
              <w:t>Corr</w:t>
            </w:r>
            <w:proofErr w:type="spellEnd"/>
            <w:r w:rsidRPr="00251676">
              <w:rPr>
                <w:rFonts w:asciiTheme="majorBidi" w:hAnsiTheme="majorBidi" w:cstheme="majorBidi"/>
              </w:rPr>
              <w:t>(</w:t>
            </w:r>
            <w:proofErr w:type="spellStart"/>
            <w:proofErr w:type="gramEnd"/>
            <w:r w:rsidRPr="00251676">
              <w:rPr>
                <w:rFonts w:asciiTheme="majorBidi" w:hAnsiTheme="majorBidi" w:cstheme="majorBidi"/>
              </w:rPr>
              <w:t>u_i</w:t>
            </w:r>
            <w:proofErr w:type="spellEnd"/>
            <w:r w:rsidRPr="00251676">
              <w:rPr>
                <w:rFonts w:asciiTheme="majorBidi" w:hAnsiTheme="majorBidi" w:cstheme="majorBidi"/>
              </w:rPr>
              <w:t xml:space="preserve">, </w:t>
            </w:r>
            <w:proofErr w:type="spellStart"/>
            <w:r w:rsidRPr="00251676">
              <w:rPr>
                <w:rFonts w:asciiTheme="majorBidi" w:hAnsiTheme="majorBidi" w:cstheme="majorBidi"/>
              </w:rPr>
              <w:t>Xb</w:t>
            </w:r>
            <w:proofErr w:type="spellEnd"/>
            <w:r w:rsidRPr="00251676">
              <w:rPr>
                <w:rFonts w:asciiTheme="majorBidi" w:hAnsiTheme="majorBidi" w:cstheme="majorBidi"/>
              </w:rPr>
              <w:t>)</w:t>
            </w:r>
          </w:p>
        </w:tc>
        <w:tc>
          <w:tcPr>
            <w:tcW w:w="1920"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-0.7466</w:t>
            </w:r>
          </w:p>
        </w:tc>
        <w:tc>
          <w:tcPr>
            <w:tcW w:w="1701"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-0.7547</w:t>
            </w:r>
          </w:p>
        </w:tc>
      </w:tr>
      <w:tr w:rsidR="00EE5514" w:rsidRPr="00251676" w:rsidTr="00251676">
        <w:trPr>
          <w:gridBefore w:val="1"/>
          <w:wBefore w:w="21" w:type="dxa"/>
          <w:trHeight w:val="320"/>
        </w:trPr>
        <w:tc>
          <w:tcPr>
            <w:tcW w:w="4722"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Prob F-stats</w:t>
            </w:r>
          </w:p>
        </w:tc>
        <w:tc>
          <w:tcPr>
            <w:tcW w:w="1920"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c>
          <w:tcPr>
            <w:tcW w:w="1701"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trHeight w:val="108"/>
        </w:trPr>
        <w:tc>
          <w:tcPr>
            <w:tcW w:w="8364" w:type="dxa"/>
            <w:gridSpan w:val="4"/>
            <w:shd w:val="clear" w:color="auto" w:fill="auto"/>
            <w:noWrap/>
            <w:vAlign w:val="bottom"/>
          </w:tcPr>
          <w:p w:rsidR="00EE5514" w:rsidRPr="00251676" w:rsidRDefault="00EE5514" w:rsidP="009553BA">
            <w:pPr>
              <w:pStyle w:val="NoSpacing"/>
              <w:rPr>
                <w:rFonts w:asciiTheme="majorBidi" w:hAnsiTheme="majorBidi" w:cstheme="majorBidi"/>
                <w:i/>
                <w:iCs/>
                <w:sz w:val="16"/>
                <w:szCs w:val="16"/>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tc>
      </w:tr>
    </w:tbl>
    <w:p w:rsidR="00EE5514" w:rsidRPr="00604DEC" w:rsidRDefault="00EE5514" w:rsidP="00EE5514">
      <w:pPr>
        <w:jc w:val="right"/>
        <w:rPr>
          <w:color w:val="000000" w:themeColor="text1"/>
          <w:sz w:val="20"/>
          <w:szCs w:val="20"/>
        </w:rPr>
      </w:pPr>
    </w:p>
    <w:p w:rsidR="00EE5514" w:rsidRDefault="00EE5514" w:rsidP="00EE5514">
      <w:pPr>
        <w:jc w:val="right"/>
        <w:rPr>
          <w:color w:val="000000" w:themeColor="text1"/>
          <w:sz w:val="20"/>
          <w:szCs w:val="20"/>
        </w:rPr>
      </w:pPr>
    </w:p>
    <w:p w:rsidR="00EE5514" w:rsidRDefault="00EE5514" w:rsidP="00EE5514">
      <w:pPr>
        <w:jc w:val="right"/>
        <w:rPr>
          <w:color w:val="000000" w:themeColor="text1"/>
          <w:sz w:val="20"/>
          <w:szCs w:val="20"/>
        </w:rPr>
      </w:pPr>
    </w:p>
    <w:p w:rsidR="00EE5514" w:rsidRDefault="00EE5514" w:rsidP="00EE5514">
      <w:pPr>
        <w:spacing w:before="240" w:after="240"/>
        <w:rPr>
          <w:color w:val="000000" w:themeColor="text1"/>
          <w:sz w:val="20"/>
          <w:szCs w:val="20"/>
        </w:rPr>
      </w:pPr>
      <w:r>
        <w:rPr>
          <w:color w:val="000000" w:themeColor="text1"/>
          <w:sz w:val="20"/>
          <w:szCs w:val="20"/>
        </w:rPr>
        <w:br w:type="page"/>
      </w:r>
    </w:p>
    <w:p w:rsidR="00EE5514" w:rsidRDefault="00EE5514" w:rsidP="00EE5514">
      <w:pPr>
        <w:jc w:val="right"/>
        <w:rPr>
          <w:color w:val="000000" w:themeColor="text1"/>
          <w:sz w:val="20"/>
          <w:szCs w:val="20"/>
        </w:rPr>
      </w:pPr>
    </w:p>
    <w:p w:rsidR="00EE5514" w:rsidRDefault="00EE5514" w:rsidP="00EE5514">
      <w:pPr>
        <w:jc w:val="right"/>
        <w:rPr>
          <w:color w:val="000000" w:themeColor="text1"/>
          <w:sz w:val="20"/>
          <w:szCs w:val="20"/>
        </w:rPr>
      </w:pPr>
    </w:p>
    <w:p w:rsidR="00EE5514" w:rsidRDefault="00EE5514" w:rsidP="00EE5514">
      <w:pPr>
        <w:rPr>
          <w:b/>
          <w:bCs/>
          <w:i/>
          <w:iCs/>
          <w:color w:val="000000" w:themeColor="text1"/>
        </w:rPr>
      </w:pPr>
      <w:r w:rsidRPr="00604DEC">
        <w:rPr>
          <w:b/>
          <w:bCs/>
          <w:color w:val="000000" w:themeColor="text1"/>
        </w:rPr>
        <w:t xml:space="preserve">Table </w:t>
      </w:r>
      <w:r>
        <w:rPr>
          <w:b/>
          <w:bCs/>
          <w:color w:val="000000" w:themeColor="text1"/>
        </w:rPr>
        <w:t>E3</w:t>
      </w:r>
      <w:r w:rsidRPr="00604DEC">
        <w:rPr>
          <w:b/>
          <w:bCs/>
          <w:color w:val="000000" w:themeColor="text1"/>
        </w:rPr>
        <w:t xml:space="preserve">: </w:t>
      </w:r>
      <w:r w:rsidRPr="00BD2FC3">
        <w:rPr>
          <w:b/>
          <w:bCs/>
          <w:color w:val="000000" w:themeColor="text1"/>
        </w:rPr>
        <w:t>Fixed-Effect Panel Regression Squared Poverty Gap Index</w:t>
      </w:r>
    </w:p>
    <w:tbl>
      <w:tblPr>
        <w:tblW w:w="8931" w:type="dxa"/>
        <w:tblLook w:val="04A0" w:firstRow="1" w:lastRow="0" w:firstColumn="1" w:lastColumn="0" w:noHBand="0" w:noVBand="1"/>
      </w:tblPr>
      <w:tblGrid>
        <w:gridCol w:w="21"/>
        <w:gridCol w:w="5376"/>
        <w:gridCol w:w="1974"/>
        <w:gridCol w:w="1560"/>
      </w:tblGrid>
      <w:tr w:rsidR="00EE5514" w:rsidRPr="00251676" w:rsidTr="00251676">
        <w:trPr>
          <w:gridBefore w:val="1"/>
          <w:wBefore w:w="21" w:type="dxa"/>
          <w:trHeight w:val="82"/>
        </w:trPr>
        <w:tc>
          <w:tcPr>
            <w:tcW w:w="5376"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b/>
                <w:bCs/>
              </w:rPr>
            </w:pPr>
          </w:p>
        </w:tc>
        <w:tc>
          <w:tcPr>
            <w:tcW w:w="1974" w:type="dxa"/>
            <w:tcBorders>
              <w:top w:val="single" w:sz="4" w:space="0" w:color="auto"/>
              <w:bottom w:val="single" w:sz="4" w:space="0" w:color="auto"/>
            </w:tcBorders>
            <w:shd w:val="clear" w:color="auto" w:fill="D9D9D9" w:themeFill="background1" w:themeFillShade="D9"/>
            <w:noWrap/>
            <w:vAlign w:val="bottom"/>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1</w:t>
            </w:r>
          </w:p>
        </w:tc>
        <w:tc>
          <w:tcPr>
            <w:tcW w:w="1560" w:type="dxa"/>
            <w:tcBorders>
              <w:top w:val="single" w:sz="4" w:space="0" w:color="auto"/>
              <w:bottom w:val="single" w:sz="4" w:space="0" w:color="auto"/>
            </w:tcBorders>
            <w:shd w:val="clear" w:color="auto" w:fill="D9D9D9" w:themeFill="background1" w:themeFillShade="D9"/>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2</w:t>
            </w:r>
          </w:p>
        </w:tc>
      </w:tr>
      <w:tr w:rsidR="00EE5514" w:rsidRPr="00251676" w:rsidTr="00251676">
        <w:trPr>
          <w:gridBefore w:val="1"/>
          <w:wBefore w:w="21" w:type="dxa"/>
          <w:trHeight w:val="650"/>
        </w:trPr>
        <w:tc>
          <w:tcPr>
            <w:tcW w:w="5376"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Phase</w:t>
            </w:r>
          </w:p>
        </w:tc>
        <w:tc>
          <w:tcPr>
            <w:tcW w:w="1974"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p>
        </w:tc>
        <w:tc>
          <w:tcPr>
            <w:tcW w:w="1560"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5.69***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(0.12)</w:t>
            </w:r>
          </w:p>
        </w:tc>
      </w:tr>
      <w:tr w:rsidR="00EE5514" w:rsidRPr="00251676" w:rsidTr="00251676">
        <w:trPr>
          <w:gridBefore w:val="1"/>
          <w:wBefore w:w="21" w:type="dxa"/>
          <w:trHeight w:val="650"/>
        </w:trPr>
        <w:tc>
          <w:tcPr>
            <w:tcW w:w="5376" w:type="dxa"/>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Log Cash Transfer </w:t>
            </w:r>
            <m:oMath>
              <m:r>
                <w:rPr>
                  <w:rFonts w:ascii="Cambria Math" w:hAnsi="Cambria Math" w:cstheme="majorBidi"/>
                </w:rPr>
                <m:t>×</m:t>
              </m:r>
            </m:oMath>
            <w:r w:rsidRPr="00251676">
              <w:rPr>
                <w:rFonts w:asciiTheme="majorBidi" w:hAnsiTheme="majorBidi" w:cstheme="majorBidi"/>
              </w:rPr>
              <w:t xml:space="preserve"> Phase I</w:t>
            </w:r>
          </w:p>
        </w:tc>
        <w:tc>
          <w:tcPr>
            <w:tcW w:w="1974" w:type="dxa"/>
            <w:shd w:val="clear" w:color="auto" w:fill="auto"/>
            <w:noWrap/>
            <w:vAlign w:val="center"/>
          </w:tcPr>
          <w:p w:rsidR="00EE5514" w:rsidRPr="00251676" w:rsidRDefault="00EE5514" w:rsidP="009553BA">
            <w:pPr>
              <w:pStyle w:val="NoSpacing"/>
              <w:rPr>
                <w:rFonts w:asciiTheme="majorBidi" w:hAnsiTheme="majorBidi" w:cstheme="majorBidi"/>
              </w:rPr>
            </w:pP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(0.09)</w:t>
            </w:r>
          </w:p>
        </w:tc>
      </w:tr>
      <w:tr w:rsidR="00EE5514" w:rsidRPr="00251676" w:rsidTr="00251676">
        <w:trPr>
          <w:gridBefore w:val="1"/>
          <w:wBefore w:w="21" w:type="dxa"/>
          <w:trHeight w:val="65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Log Cash Transfers</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(0.101)</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(0.12)</w:t>
            </w:r>
          </w:p>
        </w:tc>
      </w:tr>
      <w:tr w:rsidR="00EE5514" w:rsidRPr="00251676" w:rsidTr="00251676">
        <w:trPr>
          <w:gridBefore w:val="1"/>
          <w:wBefore w:w="21" w:type="dxa"/>
          <w:trHeight w:val="65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3.73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(4.28)</w:t>
            </w:r>
          </w:p>
        </w:tc>
      </w:tr>
      <w:tr w:rsidR="00EE5514" w:rsidRPr="00251676" w:rsidTr="00251676">
        <w:trPr>
          <w:gridBefore w:val="1"/>
          <w:wBefore w:w="21" w:type="dxa"/>
          <w:trHeight w:val="65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 headed Household</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(1.45)</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(1.48)</w:t>
            </w:r>
          </w:p>
        </w:tc>
      </w:tr>
      <w:tr w:rsidR="00EE5514" w:rsidRPr="00251676" w:rsidTr="00251676">
        <w:trPr>
          <w:gridBefore w:val="1"/>
          <w:wBefore w:w="21" w:type="dxa"/>
          <w:trHeight w:val="65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 who can read</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(1.23)</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(1.22)</w:t>
            </w:r>
          </w:p>
        </w:tc>
      </w:tr>
      <w:tr w:rsidR="00EE5514" w:rsidRPr="00251676" w:rsidTr="00251676">
        <w:trPr>
          <w:gridBefore w:val="1"/>
          <w:wBefore w:w="21" w:type="dxa"/>
          <w:trHeight w:val="65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Working population</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(0.99)</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-12.08***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(1.00)</w:t>
            </w:r>
          </w:p>
        </w:tc>
      </w:tr>
      <w:tr w:rsidR="00EE5514" w:rsidRPr="00251676" w:rsidTr="00251676">
        <w:trPr>
          <w:gridBefore w:val="1"/>
          <w:wBefore w:w="21" w:type="dxa"/>
          <w:trHeight w:val="65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gas</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(0.89)</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(0.88)</w:t>
            </w:r>
          </w:p>
        </w:tc>
      </w:tr>
      <w:tr w:rsidR="00EE5514" w:rsidRPr="00251676" w:rsidTr="00251676">
        <w:trPr>
          <w:gridBefore w:val="1"/>
          <w:wBefore w:w="21" w:type="dxa"/>
          <w:trHeight w:val="65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electricity</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(0.93)</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(0.95)</w:t>
            </w:r>
          </w:p>
        </w:tc>
      </w:tr>
      <w:tr w:rsidR="00EE5514" w:rsidRPr="00251676" w:rsidTr="00251676">
        <w:trPr>
          <w:gridBefore w:val="1"/>
          <w:wBefore w:w="21" w:type="dxa"/>
          <w:trHeight w:val="650"/>
        </w:trPr>
        <w:tc>
          <w:tcPr>
            <w:tcW w:w="5376"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High school in 30min return</w:t>
            </w:r>
          </w:p>
        </w:tc>
        <w:tc>
          <w:tcPr>
            <w:tcW w:w="1974"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w:t>
            </w:r>
          </w:p>
        </w:tc>
        <w:tc>
          <w:tcPr>
            <w:tcW w:w="1560"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(0.50)</w:t>
            </w:r>
          </w:p>
        </w:tc>
      </w:tr>
      <w:tr w:rsidR="00EE5514" w:rsidRPr="00251676" w:rsidTr="00251676">
        <w:trPr>
          <w:gridBefore w:val="1"/>
          <w:wBefore w:w="21" w:type="dxa"/>
          <w:trHeight w:val="320"/>
        </w:trPr>
        <w:tc>
          <w:tcPr>
            <w:tcW w:w="5376"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within</w:t>
            </w:r>
          </w:p>
        </w:tc>
        <w:tc>
          <w:tcPr>
            <w:tcW w:w="1974"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0.6400</w:t>
            </w:r>
          </w:p>
        </w:tc>
        <w:tc>
          <w:tcPr>
            <w:tcW w:w="1560"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0.6519</w:t>
            </w:r>
          </w:p>
        </w:tc>
      </w:tr>
      <w:tr w:rsidR="00EE5514" w:rsidRPr="00251676" w:rsidTr="00251676">
        <w:trPr>
          <w:gridBefore w:val="1"/>
          <w:wBefore w:w="21" w:type="dxa"/>
          <w:trHeight w:val="32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between</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0.0339</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0.0368</w:t>
            </w:r>
          </w:p>
        </w:tc>
      </w:tr>
      <w:tr w:rsidR="00EE5514" w:rsidRPr="00251676" w:rsidTr="00251676">
        <w:trPr>
          <w:gridBefore w:val="1"/>
          <w:wBefore w:w="21" w:type="dxa"/>
          <w:trHeight w:val="32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overall</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0.2321</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0.2356</w:t>
            </w:r>
          </w:p>
        </w:tc>
      </w:tr>
      <w:tr w:rsidR="00EE5514" w:rsidRPr="00251676" w:rsidTr="00251676">
        <w:trPr>
          <w:gridBefore w:val="1"/>
          <w:wBefore w:w="21" w:type="dxa"/>
          <w:trHeight w:val="32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Sigma_u</w:t>
            </w:r>
            <w:proofErr w:type="spellEnd"/>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1.67</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1.69</w:t>
            </w:r>
          </w:p>
        </w:tc>
      </w:tr>
      <w:tr w:rsidR="00EE5514" w:rsidRPr="00251676" w:rsidTr="00251676">
        <w:trPr>
          <w:gridBefore w:val="1"/>
          <w:wBefore w:w="21" w:type="dxa"/>
          <w:trHeight w:val="32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Sigma_e</w:t>
            </w:r>
            <w:proofErr w:type="spellEnd"/>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1.01</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1.00</w:t>
            </w:r>
          </w:p>
        </w:tc>
      </w:tr>
      <w:tr w:rsidR="00EE5514" w:rsidRPr="00251676" w:rsidTr="00251676">
        <w:trPr>
          <w:gridBefore w:val="1"/>
          <w:wBefore w:w="21" w:type="dxa"/>
          <w:trHeight w:val="320"/>
        </w:trPr>
        <w:tc>
          <w:tcPr>
            <w:tcW w:w="5376"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proofErr w:type="gramStart"/>
            <w:r w:rsidRPr="00251676">
              <w:rPr>
                <w:rFonts w:asciiTheme="majorBidi" w:hAnsiTheme="majorBidi" w:cstheme="majorBidi"/>
              </w:rPr>
              <w:t>Corr</w:t>
            </w:r>
            <w:proofErr w:type="spellEnd"/>
            <w:r w:rsidRPr="00251676">
              <w:rPr>
                <w:rFonts w:asciiTheme="majorBidi" w:hAnsiTheme="majorBidi" w:cstheme="majorBidi"/>
              </w:rPr>
              <w:t>(</w:t>
            </w:r>
            <w:proofErr w:type="spellStart"/>
            <w:proofErr w:type="gramEnd"/>
            <w:r w:rsidRPr="00251676">
              <w:rPr>
                <w:rFonts w:asciiTheme="majorBidi" w:hAnsiTheme="majorBidi" w:cstheme="majorBidi"/>
              </w:rPr>
              <w:t>u_i</w:t>
            </w:r>
            <w:proofErr w:type="spellEnd"/>
            <w:r w:rsidRPr="00251676">
              <w:rPr>
                <w:rFonts w:asciiTheme="majorBidi" w:hAnsiTheme="majorBidi" w:cstheme="majorBidi"/>
              </w:rPr>
              <w:t xml:space="preserve">, </w:t>
            </w:r>
            <w:proofErr w:type="spellStart"/>
            <w:r w:rsidRPr="00251676">
              <w:rPr>
                <w:rFonts w:asciiTheme="majorBidi" w:hAnsiTheme="majorBidi" w:cstheme="majorBidi"/>
              </w:rPr>
              <w:t>Xb</w:t>
            </w:r>
            <w:proofErr w:type="spellEnd"/>
            <w:r w:rsidRPr="00251676">
              <w:rPr>
                <w:rFonts w:asciiTheme="majorBidi" w:hAnsiTheme="majorBidi" w:cstheme="majorBidi"/>
              </w:rPr>
              <w:t>)</w:t>
            </w:r>
          </w:p>
        </w:tc>
        <w:tc>
          <w:tcPr>
            <w:tcW w:w="197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-0.7443</w:t>
            </w:r>
          </w:p>
        </w:tc>
        <w:tc>
          <w:tcPr>
            <w:tcW w:w="156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-0.7496</w:t>
            </w:r>
          </w:p>
        </w:tc>
      </w:tr>
      <w:tr w:rsidR="00EE5514" w:rsidRPr="00251676" w:rsidTr="00251676">
        <w:trPr>
          <w:gridBefore w:val="1"/>
          <w:wBefore w:w="21" w:type="dxa"/>
          <w:trHeight w:val="320"/>
        </w:trPr>
        <w:tc>
          <w:tcPr>
            <w:tcW w:w="5376"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Prob F-stats</w:t>
            </w:r>
          </w:p>
        </w:tc>
        <w:tc>
          <w:tcPr>
            <w:tcW w:w="1974"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c>
          <w:tcPr>
            <w:tcW w:w="1560"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trHeight w:val="108"/>
        </w:trPr>
        <w:tc>
          <w:tcPr>
            <w:tcW w:w="8931" w:type="dxa"/>
            <w:gridSpan w:val="4"/>
            <w:shd w:val="clear" w:color="auto" w:fill="auto"/>
            <w:noWrap/>
            <w:vAlign w:val="bottom"/>
          </w:tcPr>
          <w:p w:rsidR="00EE5514" w:rsidRPr="00251676" w:rsidRDefault="00EE5514" w:rsidP="009553BA">
            <w:pPr>
              <w:pStyle w:val="NoSpacing"/>
              <w:rPr>
                <w:rFonts w:asciiTheme="majorBidi" w:hAnsiTheme="majorBidi" w:cstheme="majorBidi"/>
                <w:i/>
                <w:iCs/>
                <w:sz w:val="16"/>
                <w:szCs w:val="16"/>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tc>
      </w:tr>
    </w:tbl>
    <w:p w:rsidR="00EE5514" w:rsidRDefault="00EE5514" w:rsidP="00EE5514">
      <w:pPr>
        <w:rPr>
          <w:b/>
          <w:bCs/>
          <w:i/>
          <w:iCs/>
          <w:color w:val="000000" w:themeColor="text1"/>
        </w:rPr>
      </w:pPr>
    </w:p>
    <w:p w:rsidR="00EE5514" w:rsidRDefault="00EE5514" w:rsidP="00EE5514">
      <w:pPr>
        <w:rPr>
          <w:b/>
          <w:bCs/>
          <w:i/>
          <w:iCs/>
          <w:color w:val="000000" w:themeColor="text1"/>
        </w:rPr>
      </w:pPr>
    </w:p>
    <w:p w:rsidR="00EE5514" w:rsidRDefault="00EE5514" w:rsidP="00EE5514">
      <w:pPr>
        <w:rPr>
          <w:b/>
          <w:bCs/>
          <w:i/>
          <w:iCs/>
          <w:color w:val="000000" w:themeColor="text1"/>
        </w:rPr>
      </w:pPr>
    </w:p>
    <w:p w:rsidR="00EE5514" w:rsidRDefault="00EE5514" w:rsidP="00EE5514">
      <w:pPr>
        <w:rPr>
          <w:b/>
          <w:bCs/>
          <w:i/>
          <w:iCs/>
          <w:color w:val="000000" w:themeColor="text1"/>
        </w:rPr>
      </w:pPr>
    </w:p>
    <w:p w:rsidR="00251676" w:rsidRDefault="00251676" w:rsidP="00EE5514">
      <w:pPr>
        <w:rPr>
          <w:b/>
          <w:bCs/>
          <w:i/>
          <w:iCs/>
          <w:color w:val="000000" w:themeColor="text1"/>
        </w:rPr>
      </w:pPr>
    </w:p>
    <w:p w:rsidR="00251676" w:rsidRDefault="00251676" w:rsidP="00EE5514">
      <w:pPr>
        <w:rPr>
          <w:b/>
          <w:bCs/>
          <w:i/>
          <w:iCs/>
          <w:color w:val="000000" w:themeColor="text1"/>
        </w:rPr>
      </w:pPr>
    </w:p>
    <w:p w:rsidR="00EE5514" w:rsidRPr="00604DEC" w:rsidRDefault="00EE5514" w:rsidP="00EE5514">
      <w:pPr>
        <w:rPr>
          <w:b/>
          <w:bCs/>
          <w:i/>
          <w:iCs/>
          <w:color w:val="000000" w:themeColor="text1"/>
        </w:rPr>
      </w:pPr>
    </w:p>
    <w:p w:rsidR="00EE5514" w:rsidRDefault="00EE5514" w:rsidP="00EE5514">
      <w:pPr>
        <w:spacing w:after="0" w:line="240" w:lineRule="auto"/>
        <w:rPr>
          <w:b/>
          <w:bCs/>
          <w:color w:val="000000" w:themeColor="text1"/>
        </w:rPr>
      </w:pPr>
      <w:r w:rsidRPr="00604DEC">
        <w:rPr>
          <w:b/>
          <w:bCs/>
          <w:color w:val="000000" w:themeColor="text1"/>
        </w:rPr>
        <w:lastRenderedPageBreak/>
        <w:t xml:space="preserve">Table </w:t>
      </w:r>
      <w:r>
        <w:rPr>
          <w:b/>
          <w:bCs/>
          <w:color w:val="000000" w:themeColor="text1"/>
        </w:rPr>
        <w:t>E</w:t>
      </w:r>
      <w:r w:rsidRPr="00604DEC">
        <w:rPr>
          <w:b/>
          <w:bCs/>
          <w:color w:val="000000" w:themeColor="text1"/>
        </w:rPr>
        <w:t xml:space="preserve">4: </w:t>
      </w:r>
      <w:r w:rsidRPr="00BD2FC3">
        <w:rPr>
          <w:b/>
          <w:bCs/>
          <w:color w:val="000000" w:themeColor="text1"/>
        </w:rPr>
        <w:t>Fixed-Effect Panel Regression Multidimension</w:t>
      </w:r>
      <w:r>
        <w:rPr>
          <w:b/>
          <w:bCs/>
          <w:color w:val="000000" w:themeColor="text1"/>
        </w:rPr>
        <w:t xml:space="preserve">al </w:t>
      </w:r>
      <w:r w:rsidRPr="00BD2FC3">
        <w:rPr>
          <w:b/>
          <w:bCs/>
          <w:color w:val="000000" w:themeColor="text1"/>
        </w:rPr>
        <w:t>Poverty Index</w:t>
      </w:r>
    </w:p>
    <w:p w:rsidR="00251676" w:rsidRPr="00604DEC" w:rsidRDefault="00251676" w:rsidP="00EE5514">
      <w:pPr>
        <w:spacing w:after="0" w:line="240" w:lineRule="auto"/>
        <w:rPr>
          <w:color w:val="000000" w:themeColor="text1"/>
          <w:sz w:val="20"/>
          <w:szCs w:val="20"/>
        </w:rPr>
      </w:pPr>
    </w:p>
    <w:tbl>
      <w:tblPr>
        <w:tblW w:w="8647" w:type="dxa"/>
        <w:tblInd w:w="279" w:type="dxa"/>
        <w:tblLook w:val="04A0" w:firstRow="1" w:lastRow="0" w:firstColumn="1" w:lastColumn="0" w:noHBand="0" w:noVBand="1"/>
      </w:tblPr>
      <w:tblGrid>
        <w:gridCol w:w="4683"/>
        <w:gridCol w:w="1761"/>
        <w:gridCol w:w="2203"/>
      </w:tblGrid>
      <w:tr w:rsidR="00EE5514" w:rsidRPr="00251676" w:rsidTr="00251676">
        <w:trPr>
          <w:trHeight w:val="223"/>
        </w:trPr>
        <w:tc>
          <w:tcPr>
            <w:tcW w:w="4683"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b/>
                <w:bCs/>
              </w:rPr>
            </w:pPr>
          </w:p>
        </w:tc>
        <w:tc>
          <w:tcPr>
            <w:tcW w:w="1761" w:type="dxa"/>
            <w:tcBorders>
              <w:top w:val="single" w:sz="4" w:space="0" w:color="auto"/>
              <w:bottom w:val="single" w:sz="4" w:space="0" w:color="auto"/>
            </w:tcBorders>
            <w:shd w:val="clear" w:color="auto" w:fill="D9D9D9" w:themeFill="background1" w:themeFillShade="D9"/>
            <w:noWrap/>
            <w:vAlign w:val="bottom"/>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1</w:t>
            </w:r>
          </w:p>
        </w:tc>
        <w:tc>
          <w:tcPr>
            <w:tcW w:w="2203" w:type="dxa"/>
            <w:tcBorders>
              <w:top w:val="single" w:sz="4" w:space="0" w:color="auto"/>
              <w:bottom w:val="single" w:sz="4" w:space="0" w:color="auto"/>
            </w:tcBorders>
            <w:shd w:val="clear" w:color="auto" w:fill="D9D9D9" w:themeFill="background1" w:themeFillShade="D9"/>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2</w:t>
            </w:r>
          </w:p>
        </w:tc>
      </w:tr>
      <w:tr w:rsidR="00EE5514" w:rsidRPr="00251676" w:rsidTr="00251676">
        <w:trPr>
          <w:trHeight w:val="650"/>
        </w:trPr>
        <w:tc>
          <w:tcPr>
            <w:tcW w:w="4683"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Phase</w:t>
            </w:r>
          </w:p>
        </w:tc>
        <w:tc>
          <w:tcPr>
            <w:tcW w:w="1761"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p>
        </w:tc>
        <w:tc>
          <w:tcPr>
            <w:tcW w:w="2203"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-24.62***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(6.57)</w:t>
            </w:r>
          </w:p>
        </w:tc>
      </w:tr>
      <w:tr w:rsidR="00EE5514" w:rsidRPr="00251676" w:rsidTr="00251676">
        <w:trPr>
          <w:trHeight w:val="650"/>
        </w:trPr>
        <w:tc>
          <w:tcPr>
            <w:tcW w:w="4683" w:type="dxa"/>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Log Cash Transfer </w:t>
            </w:r>
            <m:oMath>
              <m:r>
                <w:rPr>
                  <w:rFonts w:ascii="Cambria Math" w:hAnsi="Cambria Math" w:cstheme="majorBidi"/>
                </w:rPr>
                <m:t>×</m:t>
              </m:r>
            </m:oMath>
            <w:r w:rsidRPr="00251676">
              <w:rPr>
                <w:rFonts w:asciiTheme="majorBidi" w:hAnsiTheme="majorBidi" w:cstheme="majorBidi"/>
              </w:rPr>
              <w:t xml:space="preserve"> Phase I</w:t>
            </w:r>
          </w:p>
        </w:tc>
        <w:tc>
          <w:tcPr>
            <w:tcW w:w="1761" w:type="dxa"/>
            <w:shd w:val="clear" w:color="auto" w:fill="auto"/>
            <w:noWrap/>
            <w:vAlign w:val="center"/>
          </w:tcPr>
          <w:p w:rsidR="00EE5514" w:rsidRPr="00251676" w:rsidRDefault="00EE5514" w:rsidP="009553BA">
            <w:pPr>
              <w:pStyle w:val="NoSpacing"/>
              <w:rPr>
                <w:rFonts w:asciiTheme="majorBidi" w:hAnsiTheme="majorBidi" w:cstheme="majorBidi"/>
              </w:rPr>
            </w:pP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(0.34)</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Log Cash Transfers</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-0.97***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(0.38)</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(0.42)</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14.09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(14.7)</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21.03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(15.00)</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Adult people &gt;35 &amp; &lt;60 years</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-86.5***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(16.4)</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-68.37***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(16.81)</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 who can read</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-32.8***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-37.28***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(4.32)</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Education till 10th</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(2.98)</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-15.08***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(3.04)</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water in home</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-2.37**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(1.26)</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Working population</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-9.62***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(3.51)</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-12.73***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(3.67)</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More than 2 rooms</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-4.32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(4.45)</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-10.42**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(4.54)</w:t>
            </w:r>
          </w:p>
        </w:tc>
      </w:tr>
      <w:tr w:rsidR="00EE5514" w:rsidRPr="00251676" w:rsidTr="00251676">
        <w:trPr>
          <w:trHeight w:val="293"/>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Hospital in 30 min return</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-9.22***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(1.75)</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trHeight w:val="315"/>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tractor</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-9.06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(10.73)</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trHeight w:val="397"/>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agriculture land</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-11.35***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(3.44)</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-12.85***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(3.40)</w:t>
            </w:r>
          </w:p>
        </w:tc>
      </w:tr>
      <w:tr w:rsidR="00EE5514" w:rsidRPr="00251676" w:rsidTr="00251676">
        <w:trPr>
          <w:trHeight w:val="65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gas</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-12.96***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(3.21)</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-14.24***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(3.13)</w:t>
            </w:r>
          </w:p>
        </w:tc>
      </w:tr>
      <w:tr w:rsidR="00EE5514" w:rsidRPr="00251676" w:rsidTr="00251676">
        <w:trPr>
          <w:trHeight w:val="500"/>
        </w:trPr>
        <w:tc>
          <w:tcPr>
            <w:tcW w:w="4683"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Concrete roof</w:t>
            </w:r>
          </w:p>
        </w:tc>
        <w:tc>
          <w:tcPr>
            <w:tcW w:w="1761"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(2.33)</w:t>
            </w:r>
          </w:p>
        </w:tc>
        <w:tc>
          <w:tcPr>
            <w:tcW w:w="2203"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-2.88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(2.39)</w:t>
            </w:r>
          </w:p>
        </w:tc>
      </w:tr>
      <w:tr w:rsidR="00EE5514" w:rsidRPr="00251676" w:rsidTr="00251676">
        <w:trPr>
          <w:trHeight w:val="320"/>
        </w:trPr>
        <w:tc>
          <w:tcPr>
            <w:tcW w:w="4683"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within</w:t>
            </w:r>
          </w:p>
        </w:tc>
        <w:tc>
          <w:tcPr>
            <w:tcW w:w="1761"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0.5756</w:t>
            </w:r>
          </w:p>
        </w:tc>
        <w:tc>
          <w:tcPr>
            <w:tcW w:w="2203"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0.5557</w:t>
            </w:r>
          </w:p>
        </w:tc>
      </w:tr>
      <w:tr w:rsidR="00EE5514" w:rsidRPr="00251676" w:rsidTr="00251676">
        <w:trPr>
          <w:trHeight w:val="32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between</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0.8084</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0.6738</w:t>
            </w:r>
          </w:p>
        </w:tc>
      </w:tr>
      <w:tr w:rsidR="00EE5514" w:rsidRPr="00251676" w:rsidTr="00251676">
        <w:trPr>
          <w:trHeight w:val="32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overall</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0.7742</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0.6494</w:t>
            </w:r>
          </w:p>
        </w:tc>
      </w:tr>
      <w:tr w:rsidR="00EE5514" w:rsidRPr="00251676" w:rsidTr="00251676">
        <w:trPr>
          <w:trHeight w:val="32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Sigma_u</w:t>
            </w:r>
            <w:proofErr w:type="spellEnd"/>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8.21</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9.72</w:t>
            </w:r>
          </w:p>
        </w:tc>
      </w:tr>
      <w:tr w:rsidR="00EE5514" w:rsidRPr="00251676" w:rsidTr="00251676">
        <w:trPr>
          <w:trHeight w:val="32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Sigma_e</w:t>
            </w:r>
            <w:proofErr w:type="spellEnd"/>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3.48</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3.55</w:t>
            </w:r>
          </w:p>
        </w:tc>
      </w:tr>
      <w:tr w:rsidR="00EE5514" w:rsidRPr="00251676" w:rsidTr="00251676">
        <w:trPr>
          <w:trHeight w:val="320"/>
        </w:trPr>
        <w:tc>
          <w:tcPr>
            <w:tcW w:w="4683"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proofErr w:type="gramStart"/>
            <w:r w:rsidRPr="00251676">
              <w:rPr>
                <w:rFonts w:asciiTheme="majorBidi" w:hAnsiTheme="majorBidi" w:cstheme="majorBidi"/>
              </w:rPr>
              <w:t>Corr</w:t>
            </w:r>
            <w:proofErr w:type="spellEnd"/>
            <w:r w:rsidRPr="00251676">
              <w:rPr>
                <w:rFonts w:asciiTheme="majorBidi" w:hAnsiTheme="majorBidi" w:cstheme="majorBidi"/>
              </w:rPr>
              <w:t>(</w:t>
            </w:r>
            <w:proofErr w:type="spellStart"/>
            <w:proofErr w:type="gramEnd"/>
            <w:r w:rsidRPr="00251676">
              <w:rPr>
                <w:rFonts w:asciiTheme="majorBidi" w:hAnsiTheme="majorBidi" w:cstheme="majorBidi"/>
              </w:rPr>
              <w:t>u_i</w:t>
            </w:r>
            <w:proofErr w:type="spellEnd"/>
            <w:r w:rsidRPr="00251676">
              <w:rPr>
                <w:rFonts w:asciiTheme="majorBidi" w:hAnsiTheme="majorBidi" w:cstheme="majorBidi"/>
              </w:rPr>
              <w:t xml:space="preserve">, </w:t>
            </w:r>
            <w:proofErr w:type="spellStart"/>
            <w:r w:rsidRPr="00251676">
              <w:rPr>
                <w:rFonts w:asciiTheme="majorBidi" w:hAnsiTheme="majorBidi" w:cstheme="majorBidi"/>
              </w:rPr>
              <w:t>Xb</w:t>
            </w:r>
            <w:proofErr w:type="spellEnd"/>
            <w:r w:rsidRPr="00251676">
              <w:rPr>
                <w:rFonts w:asciiTheme="majorBidi" w:hAnsiTheme="majorBidi" w:cstheme="majorBidi"/>
              </w:rPr>
              <w:t>)</w:t>
            </w:r>
          </w:p>
        </w:tc>
        <w:tc>
          <w:tcPr>
            <w:tcW w:w="1761"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0.5475</w:t>
            </w:r>
          </w:p>
        </w:tc>
        <w:tc>
          <w:tcPr>
            <w:tcW w:w="2203"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0.4185</w:t>
            </w:r>
          </w:p>
        </w:tc>
      </w:tr>
      <w:tr w:rsidR="00EE5514" w:rsidRPr="00251676" w:rsidTr="00251676">
        <w:trPr>
          <w:trHeight w:val="320"/>
        </w:trPr>
        <w:tc>
          <w:tcPr>
            <w:tcW w:w="4683"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Prob F-stats</w:t>
            </w:r>
          </w:p>
        </w:tc>
        <w:tc>
          <w:tcPr>
            <w:tcW w:w="1761"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c>
          <w:tcPr>
            <w:tcW w:w="2203"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trHeight w:val="108"/>
        </w:trPr>
        <w:tc>
          <w:tcPr>
            <w:tcW w:w="8647" w:type="dxa"/>
            <w:gridSpan w:val="3"/>
            <w:tcBorders>
              <w:top w:val="single" w:sz="4" w:space="0" w:color="auto"/>
            </w:tcBorders>
            <w:shd w:val="clear" w:color="auto" w:fill="auto"/>
            <w:noWrap/>
            <w:vAlign w:val="bottom"/>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p w:rsidR="00EE5514" w:rsidRPr="00251676" w:rsidRDefault="00EE5514" w:rsidP="009553BA">
            <w:pPr>
              <w:pStyle w:val="NoSpacing"/>
              <w:rPr>
                <w:rFonts w:asciiTheme="majorBidi" w:hAnsiTheme="majorBidi" w:cstheme="majorBidi"/>
                <w:i/>
                <w:iCs/>
                <w:sz w:val="20"/>
                <w:szCs w:val="20"/>
              </w:rPr>
            </w:pPr>
          </w:p>
          <w:p w:rsidR="00EE5514" w:rsidRPr="00251676" w:rsidRDefault="00EE5514" w:rsidP="009553BA">
            <w:pPr>
              <w:pStyle w:val="NoSpacing"/>
              <w:rPr>
                <w:rFonts w:asciiTheme="majorBidi" w:hAnsiTheme="majorBidi" w:cstheme="majorBidi"/>
                <w:i/>
                <w:iCs/>
                <w:sz w:val="20"/>
                <w:szCs w:val="20"/>
              </w:rPr>
            </w:pPr>
          </w:p>
          <w:p w:rsidR="00EE5514" w:rsidRDefault="00EE5514" w:rsidP="009553BA">
            <w:pPr>
              <w:pStyle w:val="NoSpacing"/>
              <w:rPr>
                <w:rFonts w:asciiTheme="majorBidi" w:hAnsiTheme="majorBidi" w:cstheme="majorBidi"/>
                <w:i/>
                <w:iCs/>
                <w:sz w:val="16"/>
                <w:szCs w:val="16"/>
              </w:rPr>
            </w:pPr>
          </w:p>
          <w:p w:rsidR="00251676" w:rsidRDefault="00251676" w:rsidP="009553BA">
            <w:pPr>
              <w:pStyle w:val="NoSpacing"/>
              <w:rPr>
                <w:rFonts w:asciiTheme="majorBidi" w:hAnsiTheme="majorBidi" w:cstheme="majorBidi"/>
                <w:i/>
                <w:iCs/>
                <w:sz w:val="16"/>
                <w:szCs w:val="16"/>
              </w:rPr>
            </w:pPr>
          </w:p>
          <w:p w:rsidR="00251676" w:rsidRPr="00251676" w:rsidRDefault="00251676" w:rsidP="009553BA">
            <w:pPr>
              <w:pStyle w:val="NoSpacing"/>
              <w:rPr>
                <w:rFonts w:asciiTheme="majorBidi" w:hAnsiTheme="majorBidi" w:cstheme="majorBidi"/>
                <w:i/>
                <w:iCs/>
                <w:sz w:val="16"/>
                <w:szCs w:val="16"/>
              </w:rPr>
            </w:pPr>
          </w:p>
        </w:tc>
      </w:tr>
    </w:tbl>
    <w:p w:rsidR="00251676" w:rsidRDefault="00EE5514" w:rsidP="00251676">
      <w:pPr>
        <w:spacing w:after="0" w:line="240" w:lineRule="auto"/>
        <w:ind w:left="993" w:hanging="993"/>
        <w:jc w:val="both"/>
        <w:rPr>
          <w:b/>
          <w:bCs/>
          <w:color w:val="000000" w:themeColor="text1"/>
        </w:rPr>
      </w:pPr>
      <w:r w:rsidRPr="00604DEC">
        <w:rPr>
          <w:b/>
          <w:bCs/>
          <w:color w:val="000000" w:themeColor="text1"/>
        </w:rPr>
        <w:lastRenderedPageBreak/>
        <w:t xml:space="preserve">Table </w:t>
      </w:r>
      <w:r>
        <w:rPr>
          <w:b/>
          <w:bCs/>
          <w:color w:val="000000" w:themeColor="text1"/>
        </w:rPr>
        <w:t>E</w:t>
      </w:r>
      <w:r w:rsidRPr="00604DEC">
        <w:rPr>
          <w:b/>
          <w:bCs/>
          <w:color w:val="000000" w:themeColor="text1"/>
        </w:rPr>
        <w:t xml:space="preserve">5: </w:t>
      </w:r>
      <w:r w:rsidRPr="00BD2FC3">
        <w:rPr>
          <w:b/>
          <w:bCs/>
          <w:color w:val="000000" w:themeColor="text1"/>
        </w:rPr>
        <w:t xml:space="preserve">Random-Effect Panel Regression Multidimension Distribution-sensitive </w:t>
      </w:r>
      <w:r w:rsidR="00251676">
        <w:rPr>
          <w:b/>
          <w:bCs/>
          <w:color w:val="000000" w:themeColor="text1"/>
        </w:rPr>
        <w:t xml:space="preserve"> </w:t>
      </w:r>
    </w:p>
    <w:p w:rsidR="00EE5514" w:rsidRPr="00604DEC" w:rsidRDefault="00251676" w:rsidP="00251676">
      <w:pPr>
        <w:spacing w:after="0" w:line="240" w:lineRule="auto"/>
        <w:ind w:left="993" w:hanging="993"/>
        <w:jc w:val="both"/>
        <w:rPr>
          <w:color w:val="000000" w:themeColor="text1"/>
          <w:sz w:val="20"/>
          <w:szCs w:val="20"/>
        </w:rPr>
      </w:pPr>
      <w:r>
        <w:rPr>
          <w:b/>
          <w:bCs/>
          <w:color w:val="000000" w:themeColor="text1"/>
        </w:rPr>
        <w:t xml:space="preserve">                  </w:t>
      </w:r>
      <w:r w:rsidR="00EE5514" w:rsidRPr="00BD2FC3">
        <w:rPr>
          <w:b/>
          <w:bCs/>
          <w:color w:val="000000" w:themeColor="text1"/>
        </w:rPr>
        <w:t>Poverty   Index</w:t>
      </w:r>
    </w:p>
    <w:tbl>
      <w:tblPr>
        <w:tblW w:w="9016" w:type="dxa"/>
        <w:tblLook w:val="04A0" w:firstRow="1" w:lastRow="0" w:firstColumn="1" w:lastColumn="0" w:noHBand="0" w:noVBand="1"/>
      </w:tblPr>
      <w:tblGrid>
        <w:gridCol w:w="5387"/>
        <w:gridCol w:w="1989"/>
        <w:gridCol w:w="1640"/>
      </w:tblGrid>
      <w:tr w:rsidR="00EE5514" w:rsidRPr="00251676" w:rsidTr="00251676">
        <w:trPr>
          <w:trHeight w:val="174"/>
        </w:trPr>
        <w:tc>
          <w:tcPr>
            <w:tcW w:w="5387"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b/>
                <w:bCs/>
              </w:rPr>
            </w:pPr>
          </w:p>
        </w:tc>
        <w:tc>
          <w:tcPr>
            <w:tcW w:w="1989" w:type="dxa"/>
            <w:tcBorders>
              <w:top w:val="single" w:sz="4" w:space="0" w:color="auto"/>
              <w:bottom w:val="single" w:sz="4" w:space="0" w:color="auto"/>
            </w:tcBorders>
            <w:shd w:val="clear" w:color="auto" w:fill="D9D9D9" w:themeFill="background1" w:themeFillShade="D9"/>
            <w:noWrap/>
            <w:vAlign w:val="bottom"/>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1</w:t>
            </w:r>
          </w:p>
        </w:tc>
        <w:tc>
          <w:tcPr>
            <w:tcW w:w="1640" w:type="dxa"/>
            <w:tcBorders>
              <w:top w:val="single" w:sz="4" w:space="0" w:color="auto"/>
              <w:bottom w:val="single" w:sz="4" w:space="0" w:color="auto"/>
            </w:tcBorders>
            <w:shd w:val="clear" w:color="auto" w:fill="D9D9D9" w:themeFill="background1" w:themeFillShade="D9"/>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2</w:t>
            </w:r>
          </w:p>
        </w:tc>
      </w:tr>
      <w:tr w:rsidR="00EE5514" w:rsidRPr="00251676" w:rsidTr="00251676">
        <w:trPr>
          <w:trHeight w:val="650"/>
        </w:trPr>
        <w:tc>
          <w:tcPr>
            <w:tcW w:w="5387"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Phase</w:t>
            </w:r>
          </w:p>
        </w:tc>
        <w:tc>
          <w:tcPr>
            <w:tcW w:w="1989"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p>
        </w:tc>
        <w:tc>
          <w:tcPr>
            <w:tcW w:w="1640"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-7.95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(6.10)</w:t>
            </w:r>
          </w:p>
        </w:tc>
      </w:tr>
      <w:tr w:rsidR="00EE5514" w:rsidRPr="00251676" w:rsidTr="00251676">
        <w:trPr>
          <w:trHeight w:val="650"/>
        </w:trPr>
        <w:tc>
          <w:tcPr>
            <w:tcW w:w="5387" w:type="dxa"/>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Log Cash Transfer </w:t>
            </w:r>
            <m:oMath>
              <m:r>
                <w:rPr>
                  <w:rFonts w:ascii="Cambria Math" w:hAnsi="Cambria Math" w:cstheme="majorBidi"/>
                </w:rPr>
                <m:t>×</m:t>
              </m:r>
            </m:oMath>
            <w:r w:rsidRPr="00251676">
              <w:rPr>
                <w:rFonts w:asciiTheme="majorBidi" w:hAnsiTheme="majorBidi" w:cstheme="majorBidi"/>
              </w:rPr>
              <w:t xml:space="preserve"> Phase I</w:t>
            </w:r>
          </w:p>
        </w:tc>
        <w:tc>
          <w:tcPr>
            <w:tcW w:w="1989" w:type="dxa"/>
            <w:shd w:val="clear" w:color="auto" w:fill="auto"/>
            <w:noWrap/>
            <w:vAlign w:val="center"/>
          </w:tcPr>
          <w:p w:rsidR="00EE5514" w:rsidRPr="00251676" w:rsidRDefault="00EE5514" w:rsidP="009553BA">
            <w:pPr>
              <w:pStyle w:val="NoSpacing"/>
              <w:rPr>
                <w:rFonts w:asciiTheme="majorBidi" w:hAnsiTheme="majorBidi" w:cstheme="majorBidi"/>
              </w:rPr>
            </w:pP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(0.32)</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Log Cash Transfers</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(0.27)</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Concrete roof</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-5.42***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(1.89)</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-4.19**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(1.95)</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Adult people &gt;35 &amp; &lt;60 years</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-36.77**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(15.76)</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-36.13**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(15.76)</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Education till 10th</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-7.47***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(2.57)</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-8.32***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(2.60)</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Males</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31.16***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(11.64)</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35.13***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(11.62)</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gas</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-10.92***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(1.97)</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-10.70***</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(1.95)</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High school in 30min return</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(3.51)</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(3.50)</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car</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-7.93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(5.92)</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-8.66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(5.88)</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Young people</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40.83***</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(7.32)</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40.12***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(7.30)</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agriculture land</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-8.84***</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(2.26)</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-8.75***</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(2.25)</w:t>
            </w:r>
          </w:p>
        </w:tc>
      </w:tr>
      <w:tr w:rsidR="00EE5514" w:rsidRPr="00251676" w:rsidTr="00251676">
        <w:trPr>
          <w:trHeight w:val="65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Access to water in home</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(1.07)</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(1.19)</w:t>
            </w:r>
          </w:p>
        </w:tc>
      </w:tr>
      <w:tr w:rsidR="00EE5514" w:rsidRPr="00251676" w:rsidTr="00251676">
        <w:trPr>
          <w:trHeight w:val="650"/>
        </w:trPr>
        <w:tc>
          <w:tcPr>
            <w:tcW w:w="5387"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Hospital in 30 min return</w:t>
            </w:r>
          </w:p>
        </w:tc>
        <w:tc>
          <w:tcPr>
            <w:tcW w:w="1989"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-12.59***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(10.82)</w:t>
            </w:r>
          </w:p>
        </w:tc>
        <w:tc>
          <w:tcPr>
            <w:tcW w:w="1640"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13.58***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(3.38)</w:t>
            </w:r>
          </w:p>
        </w:tc>
      </w:tr>
      <w:tr w:rsidR="00EE5514" w:rsidRPr="00251676" w:rsidTr="00251676">
        <w:trPr>
          <w:trHeight w:val="320"/>
        </w:trPr>
        <w:tc>
          <w:tcPr>
            <w:tcW w:w="5387"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within</w:t>
            </w:r>
          </w:p>
        </w:tc>
        <w:tc>
          <w:tcPr>
            <w:tcW w:w="1989"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0.4161</w:t>
            </w:r>
          </w:p>
        </w:tc>
        <w:tc>
          <w:tcPr>
            <w:tcW w:w="1640"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0.4167</w:t>
            </w:r>
          </w:p>
        </w:tc>
      </w:tr>
      <w:tr w:rsidR="00EE5514" w:rsidRPr="00251676" w:rsidTr="00251676">
        <w:trPr>
          <w:trHeight w:val="32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between</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0.8192</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0.8252</w:t>
            </w:r>
          </w:p>
        </w:tc>
      </w:tr>
      <w:tr w:rsidR="00EE5514" w:rsidRPr="00251676" w:rsidTr="00251676">
        <w:trPr>
          <w:trHeight w:val="32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overall</w:t>
            </w:r>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0.7642</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0.7715</w:t>
            </w:r>
          </w:p>
        </w:tc>
      </w:tr>
      <w:tr w:rsidR="00EE5514" w:rsidRPr="00251676" w:rsidTr="00251676">
        <w:trPr>
          <w:trHeight w:val="32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Sigma_u</w:t>
            </w:r>
            <w:proofErr w:type="spellEnd"/>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3.13</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3.03</w:t>
            </w:r>
          </w:p>
        </w:tc>
      </w:tr>
      <w:tr w:rsidR="00EE5514" w:rsidRPr="00251676" w:rsidTr="00251676">
        <w:trPr>
          <w:trHeight w:val="320"/>
        </w:trPr>
        <w:tc>
          <w:tcPr>
            <w:tcW w:w="5387"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Sigma_e</w:t>
            </w:r>
            <w:proofErr w:type="spellEnd"/>
          </w:p>
        </w:tc>
        <w:tc>
          <w:tcPr>
            <w:tcW w:w="1989"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2.96</w:t>
            </w:r>
          </w:p>
        </w:tc>
        <w:tc>
          <w:tcPr>
            <w:tcW w:w="1640"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2.95</w:t>
            </w:r>
          </w:p>
        </w:tc>
      </w:tr>
      <w:tr w:rsidR="00EE5514" w:rsidRPr="00251676" w:rsidTr="00251676">
        <w:trPr>
          <w:trHeight w:val="320"/>
        </w:trPr>
        <w:tc>
          <w:tcPr>
            <w:tcW w:w="5387"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proofErr w:type="gramStart"/>
            <w:r w:rsidRPr="00251676">
              <w:rPr>
                <w:rFonts w:asciiTheme="majorBidi" w:hAnsiTheme="majorBidi" w:cstheme="majorBidi"/>
              </w:rPr>
              <w:t>Corr</w:t>
            </w:r>
            <w:proofErr w:type="spellEnd"/>
            <w:r w:rsidRPr="00251676">
              <w:rPr>
                <w:rFonts w:asciiTheme="majorBidi" w:hAnsiTheme="majorBidi" w:cstheme="majorBidi"/>
              </w:rPr>
              <w:t>(</w:t>
            </w:r>
            <w:proofErr w:type="spellStart"/>
            <w:proofErr w:type="gramEnd"/>
            <w:r w:rsidRPr="00251676">
              <w:rPr>
                <w:rFonts w:asciiTheme="majorBidi" w:hAnsiTheme="majorBidi" w:cstheme="majorBidi"/>
              </w:rPr>
              <w:t>u_i</w:t>
            </w:r>
            <w:proofErr w:type="spellEnd"/>
            <w:r w:rsidRPr="00251676">
              <w:rPr>
                <w:rFonts w:asciiTheme="majorBidi" w:hAnsiTheme="majorBidi" w:cstheme="majorBidi"/>
              </w:rPr>
              <w:t xml:space="preserve">, </w:t>
            </w:r>
            <w:proofErr w:type="spellStart"/>
            <w:r w:rsidRPr="00251676">
              <w:rPr>
                <w:rFonts w:asciiTheme="majorBidi" w:hAnsiTheme="majorBidi" w:cstheme="majorBidi"/>
              </w:rPr>
              <w:t>Xb</w:t>
            </w:r>
            <w:proofErr w:type="spellEnd"/>
            <w:r w:rsidRPr="00251676">
              <w:rPr>
                <w:rFonts w:asciiTheme="majorBidi" w:hAnsiTheme="majorBidi" w:cstheme="majorBidi"/>
              </w:rPr>
              <w:t>)</w:t>
            </w:r>
          </w:p>
        </w:tc>
        <w:tc>
          <w:tcPr>
            <w:tcW w:w="1989"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RE</w:t>
            </w:r>
          </w:p>
        </w:tc>
        <w:tc>
          <w:tcPr>
            <w:tcW w:w="1640"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RE</w:t>
            </w:r>
          </w:p>
        </w:tc>
      </w:tr>
      <w:tr w:rsidR="00EE5514" w:rsidRPr="00251676" w:rsidTr="00251676">
        <w:trPr>
          <w:trHeight w:val="108"/>
        </w:trPr>
        <w:tc>
          <w:tcPr>
            <w:tcW w:w="9016" w:type="dxa"/>
            <w:gridSpan w:val="3"/>
            <w:tcBorders>
              <w:top w:val="single" w:sz="4" w:space="0" w:color="auto"/>
            </w:tcBorders>
            <w:shd w:val="clear" w:color="auto" w:fill="auto"/>
            <w:noWrap/>
            <w:vAlign w:val="bottom"/>
          </w:tcPr>
          <w:p w:rsidR="00EE5514" w:rsidRPr="00251676" w:rsidRDefault="00EE5514" w:rsidP="009553BA">
            <w:pPr>
              <w:pStyle w:val="NoSpacing"/>
              <w:rPr>
                <w:rFonts w:asciiTheme="majorBidi" w:hAnsiTheme="majorBidi" w:cstheme="majorBidi"/>
                <w:i/>
                <w:iCs/>
                <w:sz w:val="16"/>
                <w:szCs w:val="16"/>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tc>
      </w:tr>
    </w:tbl>
    <w:p w:rsidR="00EE5514" w:rsidRDefault="00EE5514" w:rsidP="00EE5514">
      <w:pPr>
        <w:jc w:val="right"/>
        <w:rPr>
          <w:color w:val="000000" w:themeColor="text1"/>
          <w:sz w:val="20"/>
          <w:szCs w:val="20"/>
        </w:rPr>
      </w:pPr>
    </w:p>
    <w:p w:rsidR="00EE5514" w:rsidRDefault="00EE5514" w:rsidP="00EE5514">
      <w:pPr>
        <w:spacing w:before="240" w:after="240"/>
        <w:rPr>
          <w:color w:val="000000" w:themeColor="text1"/>
          <w:sz w:val="20"/>
          <w:szCs w:val="20"/>
        </w:rPr>
      </w:pPr>
      <w:r>
        <w:rPr>
          <w:color w:val="000000" w:themeColor="text1"/>
          <w:sz w:val="20"/>
          <w:szCs w:val="20"/>
        </w:rPr>
        <w:br w:type="page"/>
      </w:r>
    </w:p>
    <w:p w:rsidR="00EE5514" w:rsidRPr="00604DEC" w:rsidRDefault="00EE5514" w:rsidP="00EE5514">
      <w:pPr>
        <w:jc w:val="right"/>
        <w:rPr>
          <w:color w:val="000000" w:themeColor="text1"/>
          <w:sz w:val="20"/>
          <w:szCs w:val="20"/>
        </w:rPr>
      </w:pPr>
    </w:p>
    <w:p w:rsidR="00EE5514" w:rsidRPr="00604DEC" w:rsidRDefault="00EE5514" w:rsidP="00EE5514">
      <w:pPr>
        <w:rPr>
          <w:color w:val="000000" w:themeColor="text1"/>
          <w:sz w:val="20"/>
          <w:szCs w:val="20"/>
        </w:rPr>
      </w:pPr>
      <w:r w:rsidRPr="00604DEC">
        <w:rPr>
          <w:b/>
          <w:bCs/>
          <w:color w:val="000000" w:themeColor="text1"/>
        </w:rPr>
        <w:t xml:space="preserve">Table </w:t>
      </w:r>
      <w:r>
        <w:rPr>
          <w:b/>
          <w:bCs/>
          <w:color w:val="000000" w:themeColor="text1"/>
        </w:rPr>
        <w:t>E</w:t>
      </w:r>
      <w:r w:rsidRPr="00604DEC">
        <w:rPr>
          <w:b/>
          <w:bCs/>
          <w:color w:val="000000" w:themeColor="text1"/>
        </w:rPr>
        <w:t xml:space="preserve">6: </w:t>
      </w:r>
      <w:r w:rsidRPr="00BD2FC3">
        <w:rPr>
          <w:b/>
          <w:bCs/>
          <w:color w:val="000000" w:themeColor="text1"/>
        </w:rPr>
        <w:t>Fixed-Effect Panel Regression MPI Headcount Index</w:t>
      </w:r>
    </w:p>
    <w:tbl>
      <w:tblPr>
        <w:tblW w:w="9634" w:type="dxa"/>
        <w:tblLook w:val="04A0" w:firstRow="1" w:lastRow="0" w:firstColumn="1" w:lastColumn="0" w:noHBand="0" w:noVBand="1"/>
      </w:tblPr>
      <w:tblGrid>
        <w:gridCol w:w="5670"/>
        <w:gridCol w:w="2405"/>
        <w:gridCol w:w="1559"/>
      </w:tblGrid>
      <w:tr w:rsidR="00EE5514" w:rsidRPr="00251676" w:rsidTr="00251676">
        <w:trPr>
          <w:trHeight w:val="168"/>
        </w:trPr>
        <w:tc>
          <w:tcPr>
            <w:tcW w:w="5670"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b/>
                <w:bCs/>
              </w:rPr>
            </w:pPr>
          </w:p>
        </w:tc>
        <w:tc>
          <w:tcPr>
            <w:tcW w:w="2405" w:type="dxa"/>
            <w:tcBorders>
              <w:top w:val="single" w:sz="4" w:space="0" w:color="auto"/>
              <w:bottom w:val="single" w:sz="4" w:space="0" w:color="auto"/>
            </w:tcBorders>
            <w:shd w:val="clear" w:color="auto" w:fill="D9D9D9" w:themeFill="background1" w:themeFillShade="D9"/>
            <w:noWrap/>
            <w:vAlign w:val="bottom"/>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sz w:val="20"/>
                <w:szCs w:val="20"/>
              </w:rPr>
              <w:t>Model 1</w:t>
            </w:r>
          </w:p>
        </w:tc>
        <w:tc>
          <w:tcPr>
            <w:tcW w:w="1559" w:type="dxa"/>
            <w:tcBorders>
              <w:top w:val="single" w:sz="4" w:space="0" w:color="auto"/>
              <w:bottom w:val="single" w:sz="4" w:space="0" w:color="auto"/>
            </w:tcBorders>
            <w:shd w:val="clear" w:color="auto" w:fill="D9D9D9" w:themeFill="background1" w:themeFillShade="D9"/>
          </w:tcPr>
          <w:p w:rsidR="00EE5514" w:rsidRPr="00251676" w:rsidRDefault="00EE5514" w:rsidP="009553BA">
            <w:pPr>
              <w:pStyle w:val="NoSpacing"/>
              <w:rPr>
                <w:rFonts w:asciiTheme="majorBidi" w:hAnsiTheme="majorBidi" w:cstheme="majorBidi"/>
                <w:b/>
                <w:bCs/>
                <w:sz w:val="20"/>
                <w:szCs w:val="20"/>
              </w:rPr>
            </w:pPr>
            <w:r w:rsidRPr="00251676">
              <w:rPr>
                <w:rFonts w:asciiTheme="majorBidi" w:hAnsiTheme="majorBidi" w:cstheme="majorBidi"/>
                <w:b/>
                <w:bCs/>
                <w:sz w:val="20"/>
                <w:szCs w:val="20"/>
              </w:rPr>
              <w:t>Model 2</w:t>
            </w:r>
          </w:p>
        </w:tc>
      </w:tr>
      <w:tr w:rsidR="00EE5514" w:rsidRPr="00251676" w:rsidTr="00251676">
        <w:trPr>
          <w:trHeight w:val="452"/>
        </w:trPr>
        <w:tc>
          <w:tcPr>
            <w:tcW w:w="5670"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Phase</w:t>
            </w:r>
          </w:p>
        </w:tc>
        <w:tc>
          <w:tcPr>
            <w:tcW w:w="2405"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sz w:val="20"/>
                <w:szCs w:val="20"/>
              </w:rPr>
            </w:pPr>
          </w:p>
        </w:tc>
        <w:tc>
          <w:tcPr>
            <w:tcW w:w="1559" w:type="dxa"/>
            <w:tcBorders>
              <w:top w:val="single" w:sz="4" w:space="0" w:color="auto"/>
            </w:tcBorders>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-31.47***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(8.52)</w:t>
            </w:r>
          </w:p>
        </w:tc>
      </w:tr>
      <w:tr w:rsidR="00EE5514" w:rsidRPr="00251676" w:rsidTr="00251676">
        <w:trPr>
          <w:trHeight w:val="362"/>
        </w:trPr>
        <w:tc>
          <w:tcPr>
            <w:tcW w:w="5670" w:type="dxa"/>
            <w:shd w:val="clear" w:color="auto" w:fill="auto"/>
            <w:noWrap/>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rPr>
              <w:t xml:space="preserve">Log Cash Transfer </w:t>
            </w:r>
            <m:oMath>
              <m:r>
                <w:rPr>
                  <w:rFonts w:ascii="Cambria Math" w:hAnsi="Cambria Math" w:cstheme="majorBidi"/>
                </w:rPr>
                <m:t>×</m:t>
              </m:r>
            </m:oMath>
            <w:r w:rsidRPr="00251676">
              <w:rPr>
                <w:rFonts w:asciiTheme="majorBidi" w:hAnsiTheme="majorBidi" w:cstheme="majorBidi"/>
              </w:rPr>
              <w:t xml:space="preserve"> Phase I</w:t>
            </w:r>
          </w:p>
        </w:tc>
        <w:tc>
          <w:tcPr>
            <w:tcW w:w="2405" w:type="dxa"/>
            <w:shd w:val="clear" w:color="auto" w:fill="auto"/>
            <w:noWrap/>
            <w:vAlign w:val="center"/>
          </w:tcPr>
          <w:p w:rsidR="00EE5514" w:rsidRPr="00251676" w:rsidRDefault="00EE5514" w:rsidP="009553BA">
            <w:pPr>
              <w:pStyle w:val="NoSpacing"/>
              <w:rPr>
                <w:rFonts w:asciiTheme="majorBidi" w:hAnsiTheme="majorBidi" w:cstheme="majorBidi"/>
                <w:sz w:val="20"/>
                <w:szCs w:val="20"/>
              </w:rPr>
            </w:pP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1.79***</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(0.45)</w:t>
            </w:r>
          </w:p>
        </w:tc>
      </w:tr>
      <w:tr w:rsidR="00EE5514" w:rsidRPr="00251676" w:rsidTr="00251676">
        <w:trPr>
          <w:trHeight w:val="271"/>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Log Cash Transfers</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-0.96*</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(0.55)</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-1.81**</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(0.55)</w:t>
            </w:r>
          </w:p>
        </w:tc>
      </w:tr>
      <w:tr w:rsidR="00EE5514" w:rsidRPr="00251676" w:rsidTr="00251676">
        <w:trPr>
          <w:trHeight w:val="308"/>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Male</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49.61***</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(19.66)</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43.28**</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(19.60)</w:t>
            </w:r>
          </w:p>
        </w:tc>
      </w:tr>
      <w:tr w:rsidR="00EE5514" w:rsidRPr="00251676" w:rsidTr="00251676">
        <w:trPr>
          <w:trHeight w:val="361"/>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Youth people &gt;15 &amp; &lt;35 years</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-33.24***</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(12.85)</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-39.96***</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(12.55)</w:t>
            </w:r>
          </w:p>
        </w:tc>
      </w:tr>
      <w:tr w:rsidR="00EE5514" w:rsidRPr="00251676" w:rsidTr="00251676">
        <w:trPr>
          <w:trHeight w:val="271"/>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Adult people &gt;35 &amp; &lt;60 years</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-80.57***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(22.0)</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-81.72***</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(21.99)</w:t>
            </w:r>
          </w:p>
        </w:tc>
      </w:tr>
      <w:tr w:rsidR="00EE5514" w:rsidRPr="00251676" w:rsidTr="00251676">
        <w:trPr>
          <w:trHeight w:val="323"/>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Male who can read</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-31.07***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(5.9)</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-36.77***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(5.69)</w:t>
            </w:r>
          </w:p>
        </w:tc>
      </w:tr>
      <w:tr w:rsidR="00EE5514" w:rsidRPr="00251676" w:rsidTr="00251676">
        <w:trPr>
          <w:trHeight w:val="233"/>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More than 2 rooms</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-7.97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(5.96)</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-12.27**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(5.95)</w:t>
            </w:r>
          </w:p>
        </w:tc>
      </w:tr>
      <w:tr w:rsidR="00EE5514" w:rsidRPr="00251676" w:rsidTr="00251676">
        <w:trPr>
          <w:trHeight w:val="271"/>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Own car</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-3.58</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(12.2)</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w:t>
            </w:r>
          </w:p>
        </w:tc>
      </w:tr>
      <w:tr w:rsidR="00EE5514" w:rsidRPr="00251676" w:rsidTr="00251676">
        <w:trPr>
          <w:trHeight w:val="181"/>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Education till 10th</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-14.4***</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(4.1)</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-15.59***</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(4.06)</w:t>
            </w:r>
          </w:p>
        </w:tc>
      </w:tr>
      <w:tr w:rsidR="00EE5514" w:rsidRPr="00251676" w:rsidTr="00251676">
        <w:trPr>
          <w:trHeight w:val="375"/>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Working population</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-11.54***</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(4.69)</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-10.13**</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(4.66)</w:t>
            </w:r>
          </w:p>
        </w:tc>
      </w:tr>
      <w:tr w:rsidR="00EE5514" w:rsidRPr="00251676" w:rsidTr="00251676">
        <w:trPr>
          <w:trHeight w:val="285"/>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Access to water in home</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-1.46</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(1.76)</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w:t>
            </w:r>
          </w:p>
        </w:tc>
      </w:tr>
      <w:tr w:rsidR="00EE5514" w:rsidRPr="00251676" w:rsidTr="00251676">
        <w:trPr>
          <w:trHeight w:val="323"/>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Own agriculture land</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-12.47***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(4.69)</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-15.09***</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(4.60)</w:t>
            </w:r>
          </w:p>
        </w:tc>
      </w:tr>
      <w:tr w:rsidR="00EE5514" w:rsidRPr="00251676" w:rsidTr="00251676">
        <w:trPr>
          <w:trHeight w:val="375"/>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Access to toilet in home</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-7.38***</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(2.51)</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w:t>
            </w:r>
          </w:p>
        </w:tc>
      </w:tr>
      <w:tr w:rsidR="00EE5514" w:rsidRPr="00251676" w:rsidTr="00251676">
        <w:trPr>
          <w:trHeight w:val="568"/>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Own tractor</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-27.2*</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(15.7)</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-27.48*</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(14.33)</w:t>
            </w:r>
          </w:p>
        </w:tc>
      </w:tr>
      <w:tr w:rsidR="00EE5514" w:rsidRPr="00251676" w:rsidTr="00251676">
        <w:trPr>
          <w:trHeight w:val="478"/>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Access to gas</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-13.07***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(4.46)</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-11.67**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(4.39)</w:t>
            </w:r>
          </w:p>
        </w:tc>
      </w:tr>
      <w:tr w:rsidR="00EE5514" w:rsidRPr="00251676" w:rsidTr="00251676">
        <w:trPr>
          <w:trHeight w:val="531"/>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Hospital in 30 min return</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-9.65***</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(2.44)</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-10.47***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(2.32)</w:t>
            </w:r>
          </w:p>
        </w:tc>
      </w:tr>
      <w:tr w:rsidR="00EE5514" w:rsidRPr="00251676" w:rsidTr="00251676">
        <w:trPr>
          <w:trHeight w:val="427"/>
        </w:trPr>
        <w:tc>
          <w:tcPr>
            <w:tcW w:w="5670"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Concrete walls</w:t>
            </w:r>
          </w:p>
        </w:tc>
        <w:tc>
          <w:tcPr>
            <w:tcW w:w="2405"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-17.47***</w:t>
            </w:r>
          </w:p>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(6.1)</w:t>
            </w:r>
          </w:p>
        </w:tc>
        <w:tc>
          <w:tcPr>
            <w:tcW w:w="1559" w:type="dxa"/>
            <w:tcBorders>
              <w:bottom w:val="single" w:sz="4" w:space="0" w:color="auto"/>
            </w:tcBorders>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w:t>
            </w:r>
          </w:p>
        </w:tc>
      </w:tr>
      <w:tr w:rsidR="00EE5514" w:rsidRPr="00251676" w:rsidTr="00251676">
        <w:trPr>
          <w:trHeight w:val="320"/>
        </w:trPr>
        <w:tc>
          <w:tcPr>
            <w:tcW w:w="5670"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 xml:space="preserve">R </w:t>
            </w:r>
            <w:proofErr w:type="spellStart"/>
            <w:r w:rsidRPr="00251676">
              <w:rPr>
                <w:rFonts w:asciiTheme="majorBidi" w:hAnsiTheme="majorBidi" w:cstheme="majorBidi"/>
                <w:sz w:val="20"/>
                <w:szCs w:val="20"/>
              </w:rPr>
              <w:t>sq</w:t>
            </w:r>
            <w:proofErr w:type="spellEnd"/>
            <w:r w:rsidRPr="00251676">
              <w:rPr>
                <w:rFonts w:asciiTheme="majorBidi" w:hAnsiTheme="majorBidi" w:cstheme="majorBidi"/>
                <w:sz w:val="20"/>
                <w:szCs w:val="20"/>
              </w:rPr>
              <w:t xml:space="preserve"> within</w:t>
            </w:r>
          </w:p>
        </w:tc>
        <w:tc>
          <w:tcPr>
            <w:tcW w:w="2405"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0.5878</w:t>
            </w:r>
          </w:p>
        </w:tc>
        <w:tc>
          <w:tcPr>
            <w:tcW w:w="1559" w:type="dxa"/>
            <w:tcBorders>
              <w:top w:val="single" w:sz="4" w:space="0" w:color="auto"/>
            </w:tcBorders>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0.5889</w:t>
            </w:r>
          </w:p>
        </w:tc>
      </w:tr>
      <w:tr w:rsidR="00EE5514" w:rsidRPr="00251676" w:rsidTr="00251676">
        <w:trPr>
          <w:trHeight w:val="320"/>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 xml:space="preserve">R </w:t>
            </w:r>
            <w:proofErr w:type="spellStart"/>
            <w:r w:rsidRPr="00251676">
              <w:rPr>
                <w:rFonts w:asciiTheme="majorBidi" w:hAnsiTheme="majorBidi" w:cstheme="majorBidi"/>
                <w:sz w:val="20"/>
                <w:szCs w:val="20"/>
              </w:rPr>
              <w:t>sq</w:t>
            </w:r>
            <w:proofErr w:type="spellEnd"/>
            <w:r w:rsidRPr="00251676">
              <w:rPr>
                <w:rFonts w:asciiTheme="majorBidi" w:hAnsiTheme="majorBidi" w:cstheme="majorBidi"/>
                <w:sz w:val="20"/>
                <w:szCs w:val="20"/>
              </w:rPr>
              <w:t xml:space="preserve"> between</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0.9124</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0.7887</w:t>
            </w:r>
          </w:p>
        </w:tc>
      </w:tr>
      <w:tr w:rsidR="00EE5514" w:rsidRPr="00251676" w:rsidTr="00251676">
        <w:trPr>
          <w:trHeight w:val="320"/>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 xml:space="preserve">R </w:t>
            </w:r>
            <w:proofErr w:type="spellStart"/>
            <w:r w:rsidRPr="00251676">
              <w:rPr>
                <w:rFonts w:asciiTheme="majorBidi" w:hAnsiTheme="majorBidi" w:cstheme="majorBidi"/>
                <w:sz w:val="20"/>
                <w:szCs w:val="20"/>
              </w:rPr>
              <w:t>sq</w:t>
            </w:r>
            <w:proofErr w:type="spellEnd"/>
            <w:r w:rsidRPr="00251676">
              <w:rPr>
                <w:rFonts w:asciiTheme="majorBidi" w:hAnsiTheme="majorBidi" w:cstheme="majorBidi"/>
                <w:sz w:val="20"/>
                <w:szCs w:val="20"/>
              </w:rPr>
              <w:t xml:space="preserve"> overall</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0.8853</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0.7426</w:t>
            </w:r>
          </w:p>
        </w:tc>
      </w:tr>
      <w:tr w:rsidR="00EE5514" w:rsidRPr="00251676" w:rsidTr="00251676">
        <w:trPr>
          <w:trHeight w:val="320"/>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proofErr w:type="spellStart"/>
            <w:r w:rsidRPr="00251676">
              <w:rPr>
                <w:rFonts w:asciiTheme="majorBidi" w:hAnsiTheme="majorBidi" w:cstheme="majorBidi"/>
                <w:sz w:val="20"/>
                <w:szCs w:val="20"/>
              </w:rPr>
              <w:t>Sigma_u</w:t>
            </w:r>
            <w:proofErr w:type="spellEnd"/>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9.16</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14.67</w:t>
            </w:r>
          </w:p>
        </w:tc>
      </w:tr>
      <w:tr w:rsidR="00EE5514" w:rsidRPr="00251676" w:rsidTr="00251676">
        <w:trPr>
          <w:trHeight w:val="320"/>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proofErr w:type="spellStart"/>
            <w:r w:rsidRPr="00251676">
              <w:rPr>
                <w:rFonts w:asciiTheme="majorBidi" w:hAnsiTheme="majorBidi" w:cstheme="majorBidi"/>
                <w:sz w:val="20"/>
                <w:szCs w:val="20"/>
              </w:rPr>
              <w:t>Sigma_e</w:t>
            </w:r>
            <w:proofErr w:type="spellEnd"/>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4.64</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4.62</w:t>
            </w:r>
          </w:p>
        </w:tc>
      </w:tr>
      <w:tr w:rsidR="00EE5514" w:rsidRPr="00251676" w:rsidTr="00251676">
        <w:trPr>
          <w:trHeight w:val="320"/>
        </w:trPr>
        <w:tc>
          <w:tcPr>
            <w:tcW w:w="5670"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proofErr w:type="spellStart"/>
            <w:proofErr w:type="gramStart"/>
            <w:r w:rsidRPr="00251676">
              <w:rPr>
                <w:rFonts w:asciiTheme="majorBidi" w:hAnsiTheme="majorBidi" w:cstheme="majorBidi"/>
                <w:sz w:val="20"/>
                <w:szCs w:val="20"/>
              </w:rPr>
              <w:t>Corr</w:t>
            </w:r>
            <w:proofErr w:type="spellEnd"/>
            <w:r w:rsidRPr="00251676">
              <w:rPr>
                <w:rFonts w:asciiTheme="majorBidi" w:hAnsiTheme="majorBidi" w:cstheme="majorBidi"/>
                <w:sz w:val="20"/>
                <w:szCs w:val="20"/>
              </w:rPr>
              <w:t>(</w:t>
            </w:r>
            <w:proofErr w:type="spellStart"/>
            <w:proofErr w:type="gramEnd"/>
            <w:r w:rsidRPr="00251676">
              <w:rPr>
                <w:rFonts w:asciiTheme="majorBidi" w:hAnsiTheme="majorBidi" w:cstheme="majorBidi"/>
                <w:sz w:val="20"/>
                <w:szCs w:val="20"/>
              </w:rPr>
              <w:t>u_i</w:t>
            </w:r>
            <w:proofErr w:type="spellEnd"/>
            <w:r w:rsidRPr="00251676">
              <w:rPr>
                <w:rFonts w:asciiTheme="majorBidi" w:hAnsiTheme="majorBidi" w:cstheme="majorBidi"/>
                <w:sz w:val="20"/>
                <w:szCs w:val="20"/>
              </w:rPr>
              <w:t xml:space="preserve">, </w:t>
            </w:r>
            <w:proofErr w:type="spellStart"/>
            <w:r w:rsidRPr="00251676">
              <w:rPr>
                <w:rFonts w:asciiTheme="majorBidi" w:hAnsiTheme="majorBidi" w:cstheme="majorBidi"/>
                <w:sz w:val="20"/>
                <w:szCs w:val="20"/>
              </w:rPr>
              <w:t>Xb</w:t>
            </w:r>
            <w:proofErr w:type="spellEnd"/>
            <w:r w:rsidRPr="00251676">
              <w:rPr>
                <w:rFonts w:asciiTheme="majorBidi" w:hAnsiTheme="majorBidi" w:cstheme="majorBidi"/>
                <w:sz w:val="20"/>
                <w:szCs w:val="20"/>
              </w:rPr>
              <w:t>)</w:t>
            </w:r>
          </w:p>
        </w:tc>
        <w:tc>
          <w:tcPr>
            <w:tcW w:w="2405" w:type="dxa"/>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0.6420</w:t>
            </w:r>
          </w:p>
        </w:tc>
        <w:tc>
          <w:tcPr>
            <w:tcW w:w="1559" w:type="dxa"/>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0.6287</w:t>
            </w:r>
          </w:p>
        </w:tc>
      </w:tr>
      <w:tr w:rsidR="00EE5514" w:rsidRPr="00251676" w:rsidTr="00251676">
        <w:trPr>
          <w:trHeight w:val="320"/>
        </w:trPr>
        <w:tc>
          <w:tcPr>
            <w:tcW w:w="5670"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Prob F-stats</w:t>
            </w:r>
          </w:p>
        </w:tc>
        <w:tc>
          <w:tcPr>
            <w:tcW w:w="2405"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w:t>
            </w:r>
          </w:p>
        </w:tc>
        <w:tc>
          <w:tcPr>
            <w:tcW w:w="1559" w:type="dxa"/>
            <w:tcBorders>
              <w:bottom w:val="single" w:sz="4" w:space="0" w:color="auto"/>
            </w:tcBorders>
            <w:vAlign w:val="center"/>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sz w:val="20"/>
                <w:szCs w:val="20"/>
              </w:rPr>
              <w:t>***</w:t>
            </w:r>
          </w:p>
        </w:tc>
      </w:tr>
      <w:tr w:rsidR="00EE5514" w:rsidRPr="00251676" w:rsidTr="00251676">
        <w:trPr>
          <w:trHeight w:val="108"/>
        </w:trPr>
        <w:tc>
          <w:tcPr>
            <w:tcW w:w="9634" w:type="dxa"/>
            <w:gridSpan w:val="3"/>
            <w:tcBorders>
              <w:top w:val="single" w:sz="4" w:space="0" w:color="auto"/>
            </w:tcBorders>
            <w:shd w:val="clear" w:color="auto" w:fill="auto"/>
            <w:noWrap/>
            <w:vAlign w:val="bottom"/>
          </w:tcPr>
          <w:p w:rsidR="00EE5514" w:rsidRPr="00251676" w:rsidRDefault="00EE5514" w:rsidP="009553BA">
            <w:pPr>
              <w:pStyle w:val="NoSpacing"/>
              <w:rPr>
                <w:rFonts w:asciiTheme="majorBidi" w:hAnsiTheme="majorBidi" w:cstheme="majorBidi"/>
                <w:sz w:val="20"/>
                <w:szCs w:val="20"/>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p w:rsidR="00EE5514" w:rsidRPr="00251676" w:rsidRDefault="00EE5514" w:rsidP="009553BA">
            <w:pPr>
              <w:pStyle w:val="NoSpacing"/>
              <w:rPr>
                <w:rFonts w:asciiTheme="majorBidi" w:hAnsiTheme="majorBidi" w:cstheme="majorBidi"/>
                <w:i/>
                <w:iCs/>
                <w:sz w:val="20"/>
                <w:szCs w:val="20"/>
              </w:rPr>
            </w:pPr>
          </w:p>
          <w:p w:rsidR="00EE5514" w:rsidRPr="00251676" w:rsidRDefault="00EE5514" w:rsidP="009553BA">
            <w:pPr>
              <w:pStyle w:val="NoSpacing"/>
              <w:rPr>
                <w:rFonts w:asciiTheme="majorBidi" w:hAnsiTheme="majorBidi" w:cstheme="majorBidi"/>
                <w:i/>
                <w:iCs/>
                <w:sz w:val="20"/>
                <w:szCs w:val="20"/>
              </w:rPr>
            </w:pPr>
          </w:p>
          <w:p w:rsidR="00EE5514" w:rsidRPr="00251676" w:rsidRDefault="00EE5514" w:rsidP="009553BA">
            <w:pPr>
              <w:pStyle w:val="NoSpacing"/>
              <w:rPr>
                <w:rFonts w:asciiTheme="majorBidi" w:hAnsiTheme="majorBidi" w:cstheme="majorBidi"/>
                <w:i/>
                <w:iCs/>
                <w:sz w:val="20"/>
                <w:szCs w:val="20"/>
              </w:rPr>
            </w:pPr>
          </w:p>
          <w:p w:rsidR="00251676" w:rsidRPr="00251676" w:rsidRDefault="00251676" w:rsidP="009553BA">
            <w:pPr>
              <w:pStyle w:val="NoSpacing"/>
              <w:rPr>
                <w:rFonts w:asciiTheme="majorBidi" w:hAnsiTheme="majorBidi" w:cstheme="majorBidi"/>
                <w:i/>
                <w:iCs/>
                <w:sz w:val="20"/>
                <w:szCs w:val="20"/>
              </w:rPr>
            </w:pPr>
          </w:p>
          <w:p w:rsidR="00EE5514" w:rsidRDefault="00EE5514" w:rsidP="009553BA">
            <w:pPr>
              <w:pStyle w:val="NoSpacing"/>
              <w:rPr>
                <w:rFonts w:asciiTheme="majorBidi" w:hAnsiTheme="majorBidi" w:cstheme="majorBidi"/>
                <w:i/>
                <w:iCs/>
                <w:sz w:val="16"/>
                <w:szCs w:val="16"/>
              </w:rPr>
            </w:pPr>
          </w:p>
          <w:p w:rsidR="00251676" w:rsidRDefault="00251676" w:rsidP="009553BA">
            <w:pPr>
              <w:pStyle w:val="NoSpacing"/>
              <w:rPr>
                <w:rFonts w:asciiTheme="majorBidi" w:hAnsiTheme="majorBidi" w:cstheme="majorBidi"/>
                <w:i/>
                <w:iCs/>
                <w:sz w:val="16"/>
                <w:szCs w:val="16"/>
              </w:rPr>
            </w:pPr>
          </w:p>
          <w:p w:rsidR="00251676" w:rsidRDefault="00251676" w:rsidP="009553BA">
            <w:pPr>
              <w:pStyle w:val="NoSpacing"/>
              <w:rPr>
                <w:rFonts w:asciiTheme="majorBidi" w:hAnsiTheme="majorBidi" w:cstheme="majorBidi"/>
                <w:i/>
                <w:iCs/>
                <w:sz w:val="16"/>
                <w:szCs w:val="16"/>
              </w:rPr>
            </w:pPr>
          </w:p>
          <w:p w:rsidR="00251676" w:rsidRPr="00251676" w:rsidRDefault="00251676" w:rsidP="009553BA">
            <w:pPr>
              <w:pStyle w:val="NoSpacing"/>
              <w:rPr>
                <w:rFonts w:asciiTheme="majorBidi" w:hAnsiTheme="majorBidi" w:cstheme="majorBidi"/>
                <w:i/>
                <w:iCs/>
                <w:sz w:val="16"/>
                <w:szCs w:val="16"/>
              </w:rPr>
            </w:pPr>
          </w:p>
        </w:tc>
      </w:tr>
    </w:tbl>
    <w:p w:rsidR="00EE5514" w:rsidRPr="00604DEC" w:rsidRDefault="00EE5514" w:rsidP="00EE5514">
      <w:pPr>
        <w:rPr>
          <w:color w:val="000000" w:themeColor="text1"/>
          <w:sz w:val="20"/>
          <w:szCs w:val="20"/>
        </w:rPr>
      </w:pPr>
      <w:r w:rsidRPr="00604DEC">
        <w:rPr>
          <w:b/>
          <w:bCs/>
          <w:color w:val="000000" w:themeColor="text1"/>
        </w:rPr>
        <w:lastRenderedPageBreak/>
        <w:t xml:space="preserve">Table </w:t>
      </w:r>
      <w:r>
        <w:rPr>
          <w:b/>
          <w:bCs/>
          <w:color w:val="000000" w:themeColor="text1"/>
        </w:rPr>
        <w:t>E</w:t>
      </w:r>
      <w:r w:rsidRPr="00604DEC">
        <w:rPr>
          <w:b/>
          <w:bCs/>
          <w:color w:val="000000" w:themeColor="text1"/>
        </w:rPr>
        <w:t xml:space="preserve">7: </w:t>
      </w:r>
      <w:r w:rsidRPr="00BD2FC3">
        <w:rPr>
          <w:b/>
          <w:bCs/>
          <w:color w:val="000000" w:themeColor="text1"/>
        </w:rPr>
        <w:t>Random-Effect Panel Regression MDPI Headcount Index</w:t>
      </w:r>
      <w:r>
        <w:rPr>
          <w:b/>
          <w:bCs/>
          <w:i/>
          <w:iCs/>
          <w:color w:val="000000" w:themeColor="text1"/>
        </w:rPr>
        <w:t xml:space="preserve"> </w:t>
      </w:r>
    </w:p>
    <w:tbl>
      <w:tblPr>
        <w:tblW w:w="8500" w:type="dxa"/>
        <w:tblLook w:val="04A0" w:firstRow="1" w:lastRow="0" w:firstColumn="1" w:lastColumn="0" w:noHBand="0" w:noVBand="1"/>
      </w:tblPr>
      <w:tblGrid>
        <w:gridCol w:w="21"/>
        <w:gridCol w:w="4657"/>
        <w:gridCol w:w="2044"/>
        <w:gridCol w:w="1778"/>
      </w:tblGrid>
      <w:tr w:rsidR="00EE5514" w:rsidRPr="00251676" w:rsidTr="00251676">
        <w:trPr>
          <w:gridBefore w:val="1"/>
          <w:wBefore w:w="21" w:type="dxa"/>
          <w:trHeight w:val="190"/>
        </w:trPr>
        <w:tc>
          <w:tcPr>
            <w:tcW w:w="4657" w:type="dxa"/>
            <w:tcBorders>
              <w:top w:val="single" w:sz="4" w:space="0" w:color="auto"/>
              <w:bottom w:val="single" w:sz="4" w:space="0" w:color="auto"/>
            </w:tcBorders>
            <w:shd w:val="clear" w:color="auto" w:fill="D9D9D9" w:themeFill="background1" w:themeFillShade="D9"/>
            <w:noWrap/>
            <w:vAlign w:val="center"/>
          </w:tcPr>
          <w:p w:rsidR="00EE5514" w:rsidRPr="00251676" w:rsidRDefault="00EE5514" w:rsidP="009553BA">
            <w:pPr>
              <w:pStyle w:val="NoSpacing"/>
              <w:rPr>
                <w:rFonts w:asciiTheme="majorBidi" w:hAnsiTheme="majorBidi" w:cstheme="majorBidi"/>
                <w:b/>
                <w:bCs/>
              </w:rPr>
            </w:pPr>
          </w:p>
        </w:tc>
        <w:tc>
          <w:tcPr>
            <w:tcW w:w="2044" w:type="dxa"/>
            <w:tcBorders>
              <w:top w:val="single" w:sz="4" w:space="0" w:color="auto"/>
              <w:bottom w:val="single" w:sz="4" w:space="0" w:color="auto"/>
            </w:tcBorders>
            <w:shd w:val="clear" w:color="auto" w:fill="D9D9D9" w:themeFill="background1" w:themeFillShade="D9"/>
            <w:noWrap/>
            <w:vAlign w:val="bottom"/>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1</w:t>
            </w:r>
          </w:p>
        </w:tc>
        <w:tc>
          <w:tcPr>
            <w:tcW w:w="1778" w:type="dxa"/>
            <w:tcBorders>
              <w:top w:val="single" w:sz="4" w:space="0" w:color="auto"/>
              <w:bottom w:val="single" w:sz="4" w:space="0" w:color="auto"/>
            </w:tcBorders>
            <w:shd w:val="clear" w:color="auto" w:fill="D9D9D9" w:themeFill="background1" w:themeFillShade="D9"/>
          </w:tcPr>
          <w:p w:rsidR="00EE5514" w:rsidRPr="00251676" w:rsidRDefault="00EE5514" w:rsidP="009553BA">
            <w:pPr>
              <w:pStyle w:val="NoSpacing"/>
              <w:rPr>
                <w:rFonts w:asciiTheme="majorBidi" w:hAnsiTheme="majorBidi" w:cstheme="majorBidi"/>
                <w:b/>
                <w:bCs/>
              </w:rPr>
            </w:pPr>
            <w:r w:rsidRPr="00251676">
              <w:rPr>
                <w:rFonts w:asciiTheme="majorBidi" w:hAnsiTheme="majorBidi" w:cstheme="majorBidi"/>
                <w:b/>
                <w:bCs/>
              </w:rPr>
              <w:t>Model 2</w:t>
            </w:r>
          </w:p>
        </w:tc>
      </w:tr>
      <w:tr w:rsidR="00EE5514" w:rsidRPr="00251676" w:rsidTr="00251676">
        <w:trPr>
          <w:gridBefore w:val="1"/>
          <w:wBefore w:w="21" w:type="dxa"/>
          <w:trHeight w:val="650"/>
        </w:trPr>
        <w:tc>
          <w:tcPr>
            <w:tcW w:w="4657"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Phase</w:t>
            </w:r>
          </w:p>
        </w:tc>
        <w:tc>
          <w:tcPr>
            <w:tcW w:w="2044" w:type="dxa"/>
            <w:tcBorders>
              <w:top w:val="single" w:sz="4" w:space="0" w:color="auto"/>
            </w:tcBorders>
            <w:shd w:val="clear" w:color="auto" w:fill="auto"/>
            <w:noWrap/>
            <w:vAlign w:val="center"/>
          </w:tcPr>
          <w:p w:rsidR="00EE5514" w:rsidRPr="00251676" w:rsidRDefault="00EE5514" w:rsidP="009553BA">
            <w:pPr>
              <w:pStyle w:val="NoSpacing"/>
              <w:rPr>
                <w:rFonts w:asciiTheme="majorBidi" w:hAnsiTheme="majorBidi" w:cstheme="majorBidi"/>
              </w:rPr>
            </w:pPr>
          </w:p>
        </w:tc>
        <w:tc>
          <w:tcPr>
            <w:tcW w:w="1778"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-4.59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(3.44)</w:t>
            </w:r>
          </w:p>
        </w:tc>
      </w:tr>
      <w:tr w:rsidR="00EE5514" w:rsidRPr="00251676" w:rsidTr="00251676">
        <w:trPr>
          <w:gridBefore w:val="1"/>
          <w:wBefore w:w="21" w:type="dxa"/>
          <w:trHeight w:val="650"/>
        </w:trPr>
        <w:tc>
          <w:tcPr>
            <w:tcW w:w="4657" w:type="dxa"/>
            <w:shd w:val="clear" w:color="auto" w:fill="auto"/>
            <w:noWrap/>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Log Cash Transfer </w:t>
            </w:r>
            <m:oMath>
              <m:r>
                <w:rPr>
                  <w:rFonts w:ascii="Cambria Math" w:hAnsi="Cambria Math" w:cstheme="majorBidi"/>
                </w:rPr>
                <m:t>×</m:t>
              </m:r>
            </m:oMath>
            <w:r w:rsidRPr="00251676">
              <w:rPr>
                <w:rFonts w:asciiTheme="majorBidi" w:hAnsiTheme="majorBidi" w:cstheme="majorBidi"/>
              </w:rPr>
              <w:t xml:space="preserve"> Phase I</w:t>
            </w:r>
          </w:p>
        </w:tc>
        <w:tc>
          <w:tcPr>
            <w:tcW w:w="2044" w:type="dxa"/>
            <w:shd w:val="clear" w:color="auto" w:fill="auto"/>
            <w:noWrap/>
            <w:vAlign w:val="center"/>
          </w:tcPr>
          <w:p w:rsidR="00EE5514" w:rsidRPr="00251676" w:rsidRDefault="00EE5514" w:rsidP="009553BA">
            <w:pPr>
              <w:pStyle w:val="NoSpacing"/>
              <w:rPr>
                <w:rFonts w:asciiTheme="majorBidi" w:hAnsiTheme="majorBidi" w:cstheme="majorBidi"/>
              </w:rPr>
            </w:pP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0.26</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(0.18)</w:t>
            </w:r>
          </w:p>
        </w:tc>
      </w:tr>
      <w:tr w:rsidR="00EE5514" w:rsidRPr="00251676" w:rsidTr="00251676">
        <w:trPr>
          <w:gridBefore w:val="1"/>
          <w:wBefore w:w="21" w:type="dxa"/>
          <w:trHeight w:val="65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Log Cash Transfers</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-0.28*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(0.16)</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(0.19)</w:t>
            </w:r>
          </w:p>
        </w:tc>
      </w:tr>
      <w:tr w:rsidR="00EE5514" w:rsidRPr="00251676" w:rsidTr="00251676">
        <w:trPr>
          <w:gridBefore w:val="1"/>
          <w:wBefore w:w="21" w:type="dxa"/>
          <w:trHeight w:val="65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Male</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8.32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(7.68)</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9.39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(7.64)</w:t>
            </w:r>
          </w:p>
        </w:tc>
      </w:tr>
      <w:tr w:rsidR="00EE5514" w:rsidRPr="00251676" w:rsidTr="00251676">
        <w:trPr>
          <w:gridBefore w:val="1"/>
          <w:wBefore w:w="21" w:type="dxa"/>
          <w:trHeight w:val="65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Education till 10th</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-2.42</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(1.60)</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-4.59***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(1.57)</w:t>
            </w:r>
          </w:p>
        </w:tc>
      </w:tr>
      <w:tr w:rsidR="00EE5514" w:rsidRPr="00251676" w:rsidTr="00251676">
        <w:trPr>
          <w:gridBefore w:val="1"/>
          <w:wBefore w:w="21" w:type="dxa"/>
          <w:trHeight w:val="65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Adult people &gt;35 &amp; &lt;60 years</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-41.57***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(8.12)</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-34.47***</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(8.21)</w:t>
            </w:r>
          </w:p>
        </w:tc>
      </w:tr>
      <w:tr w:rsidR="00EE5514" w:rsidRPr="00251676" w:rsidTr="00251676">
        <w:trPr>
          <w:gridBefore w:val="1"/>
          <w:wBefore w:w="21" w:type="dxa"/>
          <w:trHeight w:val="65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Hospital in 30 min return</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-3.39*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(2.06)</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gridBefore w:val="1"/>
          <w:wBefore w:w="21" w:type="dxa"/>
          <w:trHeight w:val="65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High school in 30min return</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-1.58</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(2.10)</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w:t>
            </w:r>
          </w:p>
        </w:tc>
      </w:tr>
      <w:tr w:rsidR="00EE5514" w:rsidRPr="00251676" w:rsidTr="00251676">
        <w:trPr>
          <w:gridBefore w:val="1"/>
          <w:wBefore w:w="21" w:type="dxa"/>
          <w:trHeight w:val="650"/>
        </w:trPr>
        <w:tc>
          <w:tcPr>
            <w:tcW w:w="4657"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Own car</w:t>
            </w:r>
          </w:p>
        </w:tc>
        <w:tc>
          <w:tcPr>
            <w:tcW w:w="2044"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-27.61***</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(3.99)</w:t>
            </w:r>
          </w:p>
        </w:tc>
        <w:tc>
          <w:tcPr>
            <w:tcW w:w="1778"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-20.99***</w:t>
            </w:r>
          </w:p>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(3.96)</w:t>
            </w:r>
          </w:p>
        </w:tc>
      </w:tr>
      <w:tr w:rsidR="00EE5514" w:rsidRPr="00251676" w:rsidTr="00251676">
        <w:trPr>
          <w:gridBefore w:val="1"/>
          <w:wBefore w:w="21" w:type="dxa"/>
          <w:trHeight w:val="320"/>
        </w:trPr>
        <w:tc>
          <w:tcPr>
            <w:tcW w:w="4657"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within</w:t>
            </w:r>
          </w:p>
        </w:tc>
        <w:tc>
          <w:tcPr>
            <w:tcW w:w="2044" w:type="dxa"/>
            <w:tcBorders>
              <w:top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0.1490</w:t>
            </w:r>
          </w:p>
        </w:tc>
        <w:tc>
          <w:tcPr>
            <w:tcW w:w="1778" w:type="dxa"/>
            <w:tcBorders>
              <w:top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0.1790</w:t>
            </w:r>
          </w:p>
        </w:tc>
      </w:tr>
      <w:tr w:rsidR="00EE5514" w:rsidRPr="00251676" w:rsidTr="00251676">
        <w:trPr>
          <w:gridBefore w:val="1"/>
          <w:wBefore w:w="21" w:type="dxa"/>
          <w:trHeight w:val="32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between</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0.7198</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0.6741</w:t>
            </w:r>
          </w:p>
        </w:tc>
      </w:tr>
      <w:tr w:rsidR="00EE5514" w:rsidRPr="00251676" w:rsidTr="00251676">
        <w:trPr>
          <w:gridBefore w:val="1"/>
          <w:wBefore w:w="21" w:type="dxa"/>
          <w:trHeight w:val="32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 xml:space="preserve">R </w:t>
            </w:r>
            <w:proofErr w:type="spellStart"/>
            <w:r w:rsidRPr="00251676">
              <w:rPr>
                <w:rFonts w:asciiTheme="majorBidi" w:hAnsiTheme="majorBidi" w:cstheme="majorBidi"/>
              </w:rPr>
              <w:t>sq</w:t>
            </w:r>
            <w:proofErr w:type="spellEnd"/>
            <w:r w:rsidRPr="00251676">
              <w:rPr>
                <w:rFonts w:asciiTheme="majorBidi" w:hAnsiTheme="majorBidi" w:cstheme="majorBidi"/>
              </w:rPr>
              <w:t xml:space="preserve"> overall</w:t>
            </w:r>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0.6323</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0.5748</w:t>
            </w:r>
          </w:p>
        </w:tc>
      </w:tr>
      <w:tr w:rsidR="00EE5514" w:rsidRPr="00251676" w:rsidTr="00251676">
        <w:trPr>
          <w:gridBefore w:val="1"/>
          <w:wBefore w:w="21" w:type="dxa"/>
          <w:trHeight w:val="32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Sigma_u</w:t>
            </w:r>
            <w:proofErr w:type="spellEnd"/>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3.93</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3.83</w:t>
            </w:r>
          </w:p>
        </w:tc>
      </w:tr>
      <w:tr w:rsidR="00EE5514" w:rsidRPr="00251676" w:rsidTr="00251676">
        <w:trPr>
          <w:gridBefore w:val="1"/>
          <w:wBefore w:w="21" w:type="dxa"/>
          <w:trHeight w:val="320"/>
        </w:trPr>
        <w:tc>
          <w:tcPr>
            <w:tcW w:w="4657" w:type="dxa"/>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r w:rsidRPr="00251676">
              <w:rPr>
                <w:rFonts w:asciiTheme="majorBidi" w:hAnsiTheme="majorBidi" w:cstheme="majorBidi"/>
              </w:rPr>
              <w:t>Sigma_e</w:t>
            </w:r>
            <w:proofErr w:type="spellEnd"/>
          </w:p>
        </w:tc>
        <w:tc>
          <w:tcPr>
            <w:tcW w:w="2044" w:type="dxa"/>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1.67</w:t>
            </w:r>
          </w:p>
        </w:tc>
        <w:tc>
          <w:tcPr>
            <w:tcW w:w="1778" w:type="dxa"/>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1.56</w:t>
            </w:r>
          </w:p>
        </w:tc>
      </w:tr>
      <w:tr w:rsidR="00EE5514" w:rsidRPr="00251676" w:rsidTr="00251676">
        <w:trPr>
          <w:gridBefore w:val="1"/>
          <w:wBefore w:w="21" w:type="dxa"/>
          <w:trHeight w:val="320"/>
        </w:trPr>
        <w:tc>
          <w:tcPr>
            <w:tcW w:w="4657"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proofErr w:type="spellStart"/>
            <w:proofErr w:type="gramStart"/>
            <w:r w:rsidRPr="00251676">
              <w:rPr>
                <w:rFonts w:asciiTheme="majorBidi" w:hAnsiTheme="majorBidi" w:cstheme="majorBidi"/>
              </w:rPr>
              <w:t>Corr</w:t>
            </w:r>
            <w:proofErr w:type="spellEnd"/>
            <w:r w:rsidRPr="00251676">
              <w:rPr>
                <w:rFonts w:asciiTheme="majorBidi" w:hAnsiTheme="majorBidi" w:cstheme="majorBidi"/>
              </w:rPr>
              <w:t>(</w:t>
            </w:r>
            <w:proofErr w:type="spellStart"/>
            <w:proofErr w:type="gramEnd"/>
            <w:r w:rsidRPr="00251676">
              <w:rPr>
                <w:rFonts w:asciiTheme="majorBidi" w:hAnsiTheme="majorBidi" w:cstheme="majorBidi"/>
              </w:rPr>
              <w:t>u_i</w:t>
            </w:r>
            <w:proofErr w:type="spellEnd"/>
            <w:r w:rsidRPr="00251676">
              <w:rPr>
                <w:rFonts w:asciiTheme="majorBidi" w:hAnsiTheme="majorBidi" w:cstheme="majorBidi"/>
              </w:rPr>
              <w:t xml:space="preserve">, </w:t>
            </w:r>
            <w:proofErr w:type="spellStart"/>
            <w:r w:rsidRPr="00251676">
              <w:rPr>
                <w:rFonts w:asciiTheme="majorBidi" w:hAnsiTheme="majorBidi" w:cstheme="majorBidi"/>
              </w:rPr>
              <w:t>Xb</w:t>
            </w:r>
            <w:proofErr w:type="spellEnd"/>
            <w:r w:rsidRPr="00251676">
              <w:rPr>
                <w:rFonts w:asciiTheme="majorBidi" w:hAnsiTheme="majorBidi" w:cstheme="majorBidi"/>
              </w:rPr>
              <w:t>)</w:t>
            </w:r>
          </w:p>
        </w:tc>
        <w:tc>
          <w:tcPr>
            <w:tcW w:w="2044" w:type="dxa"/>
            <w:tcBorders>
              <w:bottom w:val="single" w:sz="4" w:space="0" w:color="auto"/>
            </w:tcBorders>
            <w:shd w:val="clear" w:color="auto" w:fill="auto"/>
            <w:noWrap/>
            <w:vAlign w:val="center"/>
            <w:hideMark/>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RE</w:t>
            </w:r>
          </w:p>
        </w:tc>
        <w:tc>
          <w:tcPr>
            <w:tcW w:w="1778" w:type="dxa"/>
            <w:tcBorders>
              <w:bottom w:val="single" w:sz="4" w:space="0" w:color="auto"/>
            </w:tcBorders>
            <w:vAlign w:val="center"/>
          </w:tcPr>
          <w:p w:rsidR="00EE5514" w:rsidRPr="00251676" w:rsidRDefault="00EE5514" w:rsidP="009553BA">
            <w:pPr>
              <w:pStyle w:val="NoSpacing"/>
              <w:rPr>
                <w:rFonts w:asciiTheme="majorBidi" w:hAnsiTheme="majorBidi" w:cstheme="majorBidi"/>
              </w:rPr>
            </w:pPr>
            <w:r w:rsidRPr="00251676">
              <w:rPr>
                <w:rFonts w:asciiTheme="majorBidi" w:hAnsiTheme="majorBidi" w:cstheme="majorBidi"/>
              </w:rPr>
              <w:t>RE</w:t>
            </w:r>
          </w:p>
        </w:tc>
      </w:tr>
      <w:tr w:rsidR="00EE5514" w:rsidRPr="00251676" w:rsidTr="00251676">
        <w:trPr>
          <w:trHeight w:val="108"/>
        </w:trPr>
        <w:tc>
          <w:tcPr>
            <w:tcW w:w="8500" w:type="dxa"/>
            <w:gridSpan w:val="4"/>
            <w:shd w:val="clear" w:color="auto" w:fill="auto"/>
            <w:noWrap/>
            <w:vAlign w:val="bottom"/>
          </w:tcPr>
          <w:p w:rsidR="00EE5514" w:rsidRPr="00251676" w:rsidRDefault="00EE5514" w:rsidP="009553BA">
            <w:pPr>
              <w:pStyle w:val="NoSpacing"/>
              <w:rPr>
                <w:rFonts w:asciiTheme="majorBidi" w:hAnsiTheme="majorBidi" w:cstheme="majorBidi"/>
                <w:i/>
                <w:iCs/>
                <w:sz w:val="16"/>
                <w:szCs w:val="16"/>
              </w:rPr>
            </w:pPr>
            <w:r w:rsidRPr="00251676">
              <w:rPr>
                <w:rFonts w:asciiTheme="majorBidi" w:hAnsiTheme="majorBidi" w:cstheme="majorBidi"/>
                <w:i/>
                <w:iCs/>
                <w:sz w:val="20"/>
                <w:szCs w:val="20"/>
              </w:rPr>
              <w:t>Notes:</w:t>
            </w:r>
            <w:r w:rsidRPr="00251676">
              <w:rPr>
                <w:rFonts w:asciiTheme="majorBidi" w:hAnsiTheme="majorBidi" w:cstheme="majorBidi"/>
              </w:rPr>
              <w:t xml:space="preserve"> </w:t>
            </w:r>
            <w:r w:rsidRPr="00251676">
              <w:rPr>
                <w:rFonts w:asciiTheme="majorBidi" w:hAnsiTheme="majorBidi" w:cstheme="majorBidi"/>
                <w:sz w:val="20"/>
                <w:szCs w:val="20"/>
              </w:rPr>
              <w:t>Standard errors in () with ***, **, * denoting statistical significance at the 1%, 5% and 10% level.</w:t>
            </w:r>
          </w:p>
        </w:tc>
      </w:tr>
    </w:tbl>
    <w:p w:rsidR="006E1A33" w:rsidRDefault="006E1A33" w:rsidP="00EE5514">
      <w:pPr>
        <w:rPr>
          <w:rFonts w:asciiTheme="majorBidi" w:eastAsia="Times New Roman" w:hAnsiTheme="majorBidi" w:cstheme="majorBidi"/>
          <w:lang w:bidi="he-IL"/>
        </w:rPr>
      </w:pPr>
    </w:p>
    <w:p w:rsidR="0028356F" w:rsidRDefault="0028356F" w:rsidP="009A15CD">
      <w:pPr>
        <w:spacing w:after="80" w:line="276" w:lineRule="auto"/>
        <w:ind w:left="720" w:hanging="720"/>
        <w:rPr>
          <w:rFonts w:eastAsia="Times New Roman" w:cs="Arial"/>
          <w:lang w:bidi="he-IL"/>
        </w:rPr>
      </w:pPr>
    </w:p>
    <w:sectPr w:rsidR="0028356F" w:rsidSect="00C37EA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0F9" w:rsidRDefault="00CF00F9" w:rsidP="00A97771">
      <w:pPr>
        <w:spacing w:after="0" w:line="240" w:lineRule="auto"/>
      </w:pPr>
      <w:r>
        <w:separator/>
      </w:r>
    </w:p>
  </w:endnote>
  <w:endnote w:type="continuationSeparator" w:id="0">
    <w:p w:rsidR="00CF00F9" w:rsidRDefault="00CF00F9" w:rsidP="00A97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171763"/>
      <w:docPartObj>
        <w:docPartGallery w:val="Page Numbers (Bottom of Page)"/>
        <w:docPartUnique/>
      </w:docPartObj>
    </w:sdtPr>
    <w:sdtEndPr>
      <w:rPr>
        <w:noProof/>
      </w:rPr>
    </w:sdtEndPr>
    <w:sdtContent>
      <w:p w:rsidR="00BB1739" w:rsidRDefault="00BB1739" w:rsidP="00FE286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035993"/>
      <w:docPartObj>
        <w:docPartGallery w:val="Page Numbers (Bottom of Page)"/>
        <w:docPartUnique/>
      </w:docPartObj>
    </w:sdtPr>
    <w:sdtEndPr>
      <w:rPr>
        <w:noProof/>
      </w:rPr>
    </w:sdtEndPr>
    <w:sdtContent>
      <w:p w:rsidR="00BB1739" w:rsidRDefault="00CF00F9">
        <w:pPr>
          <w:pStyle w:val="Footer"/>
          <w:jc w:val="center"/>
        </w:pPr>
      </w:p>
    </w:sdtContent>
  </w:sdt>
  <w:p w:rsidR="00BB1739" w:rsidRDefault="00BB17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544967"/>
      <w:docPartObj>
        <w:docPartGallery w:val="Page Numbers (Bottom of Page)"/>
        <w:docPartUnique/>
      </w:docPartObj>
    </w:sdtPr>
    <w:sdtEndPr>
      <w:rPr>
        <w:noProof/>
      </w:rPr>
    </w:sdtEndPr>
    <w:sdtContent>
      <w:p w:rsidR="00BB1739" w:rsidRDefault="00BB17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B1739" w:rsidRDefault="00BB1739" w:rsidP="00FE286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759635"/>
      <w:docPartObj>
        <w:docPartGallery w:val="Page Numbers (Bottom of Page)"/>
        <w:docPartUnique/>
      </w:docPartObj>
    </w:sdtPr>
    <w:sdtEndPr>
      <w:rPr>
        <w:noProof/>
      </w:rPr>
    </w:sdtEndPr>
    <w:sdtContent>
      <w:p w:rsidR="00BB1739" w:rsidRDefault="00BB17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B1739" w:rsidRDefault="00BB17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739" w:rsidRDefault="00BB17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030628"/>
      <w:docPartObj>
        <w:docPartGallery w:val="Page Numbers (Bottom of Page)"/>
        <w:docPartUnique/>
      </w:docPartObj>
    </w:sdtPr>
    <w:sdtEndPr>
      <w:rPr>
        <w:noProof/>
      </w:rPr>
    </w:sdtEndPr>
    <w:sdtContent>
      <w:p w:rsidR="00BB1739" w:rsidRDefault="00BB17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B1739" w:rsidRDefault="00BB1739">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102129"/>
      <w:docPartObj>
        <w:docPartGallery w:val="Page Numbers (Bottom of Page)"/>
        <w:docPartUnique/>
      </w:docPartObj>
    </w:sdtPr>
    <w:sdtEndPr>
      <w:rPr>
        <w:noProof/>
      </w:rPr>
    </w:sdtEndPr>
    <w:sdtContent>
      <w:p w:rsidR="00BB1739" w:rsidRDefault="00BB17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B1739" w:rsidRDefault="00BB1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0F9" w:rsidRDefault="00CF00F9" w:rsidP="00A97771">
      <w:pPr>
        <w:spacing w:after="0" w:line="240" w:lineRule="auto"/>
      </w:pPr>
      <w:r>
        <w:separator/>
      </w:r>
    </w:p>
  </w:footnote>
  <w:footnote w:type="continuationSeparator" w:id="0">
    <w:p w:rsidR="00CF00F9" w:rsidRDefault="00CF00F9" w:rsidP="00A97771">
      <w:pPr>
        <w:spacing w:after="0" w:line="240" w:lineRule="auto"/>
      </w:pPr>
      <w:r>
        <w:continuationSeparator/>
      </w:r>
    </w:p>
  </w:footnote>
  <w:footnote w:id="1">
    <w:p w:rsidR="00BB1739" w:rsidRPr="00EE0777" w:rsidRDefault="00BB1739" w:rsidP="00EE5514">
      <w:pPr>
        <w:pStyle w:val="FootnoteText"/>
        <w:rPr>
          <w:i/>
          <w:iCs/>
        </w:rPr>
      </w:pPr>
      <w:r>
        <w:rPr>
          <w:rStyle w:val="FootnoteReference"/>
        </w:rPr>
        <w:footnoteRef/>
      </w:r>
      <w:r>
        <w:t xml:space="preserve"> Later known as </w:t>
      </w:r>
      <w:proofErr w:type="spellStart"/>
      <w:r>
        <w:rPr>
          <w:i/>
          <w:iCs/>
        </w:rPr>
        <w:t>Oportunidades</w:t>
      </w:r>
      <w:proofErr w:type="spellEnd"/>
      <w:r>
        <w:rPr>
          <w:i/>
          <w:iCs/>
        </w:rPr>
        <w:t xml:space="preserve"> </w:t>
      </w:r>
      <w:r>
        <w:t xml:space="preserve">and now </w:t>
      </w:r>
      <w:proofErr w:type="spellStart"/>
      <w:r>
        <w:rPr>
          <w:i/>
          <w:iCs/>
        </w:rPr>
        <w:t>Prospera</w:t>
      </w:r>
      <w:proofErr w:type="spellEnd"/>
      <w:r>
        <w:rPr>
          <w:i/>
          <w:iCs/>
        </w:rPr>
        <w:t xml:space="preserve"> </w:t>
      </w:r>
    </w:p>
  </w:footnote>
  <w:footnote w:id="2">
    <w:p w:rsidR="00BB1739" w:rsidRPr="00AC74F5" w:rsidRDefault="00BB1739" w:rsidP="00EE5514">
      <w:pPr>
        <w:pStyle w:val="FootnoteText"/>
      </w:pPr>
      <w:r>
        <w:rPr>
          <w:rStyle w:val="FootnoteReference"/>
        </w:rPr>
        <w:footnoteRef/>
      </w:r>
      <w:r>
        <w:t xml:space="preserve"> BISP chose a 16.17 cut off score keeping in view the budget availability and proposed amount of monthly stipend (Cheema et al., 2015) </w:t>
      </w:r>
    </w:p>
  </w:footnote>
  <w:footnote w:id="3">
    <w:p w:rsidR="00BB1739" w:rsidRPr="007D7A7B" w:rsidRDefault="00BB1739" w:rsidP="004E6B68">
      <w:pPr>
        <w:pStyle w:val="FootnoteText"/>
        <w:rPr>
          <w:lang w:val="en-US"/>
        </w:rPr>
      </w:pPr>
      <w:r>
        <w:rPr>
          <w:rStyle w:val="FootnoteReference"/>
        </w:rPr>
        <w:footnoteRef/>
      </w:r>
      <w:r>
        <w:t xml:space="preserve"> </w:t>
      </w:r>
      <w:r>
        <w:rPr>
          <w:lang w:val="en-US"/>
        </w:rPr>
        <w:t xml:space="preserve">The details on development projects in Pakistan can be found at </w:t>
      </w:r>
      <w:hyperlink r:id="rId1" w:history="1">
        <w:r w:rsidRPr="007D7A7B">
          <w:rPr>
            <w:rStyle w:val="Hyperlink"/>
            <w:lang w:val="en-US"/>
          </w:rPr>
          <w:t>https://www.pc.gov.pk/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739" w:rsidRDefault="00BB1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739" w:rsidRDefault="00BB17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739" w:rsidRDefault="00BB1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5pt;height:.75pt;visibility:visible;mso-wrap-style:square" o:bullet="t">
        <v:imagedata r:id="rId1" o:title=""/>
      </v:shape>
    </w:pict>
  </w:numPicBullet>
  <w:abstractNum w:abstractNumId="0" w15:restartNumberingAfterBreak="0">
    <w:nsid w:val="041724E7"/>
    <w:multiLevelType w:val="multilevel"/>
    <w:tmpl w:val="EC6A6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A55590"/>
    <w:multiLevelType w:val="hybridMultilevel"/>
    <w:tmpl w:val="E990C78E"/>
    <w:lvl w:ilvl="0" w:tplc="BA061FD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64ED4"/>
    <w:multiLevelType w:val="hybridMultilevel"/>
    <w:tmpl w:val="EDA0C574"/>
    <w:lvl w:ilvl="0" w:tplc="0F0E0A1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0D8B2CC1"/>
    <w:multiLevelType w:val="multilevel"/>
    <w:tmpl w:val="5E56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8377A"/>
    <w:multiLevelType w:val="hybridMultilevel"/>
    <w:tmpl w:val="9E6C0520"/>
    <w:lvl w:ilvl="0" w:tplc="8DEC09E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11366A36"/>
    <w:multiLevelType w:val="hybridMultilevel"/>
    <w:tmpl w:val="F376BF32"/>
    <w:lvl w:ilvl="0" w:tplc="99F6EEC8">
      <w:start w:val="1"/>
      <w:numFmt w:val="bullet"/>
      <w:lvlText w:val="•"/>
      <w:lvlJc w:val="left"/>
      <w:pPr>
        <w:tabs>
          <w:tab w:val="num" w:pos="720"/>
        </w:tabs>
        <w:ind w:left="720" w:hanging="360"/>
      </w:pPr>
      <w:rPr>
        <w:rFonts w:ascii="Arial" w:hAnsi="Arial" w:hint="default"/>
      </w:rPr>
    </w:lvl>
    <w:lvl w:ilvl="1" w:tplc="0CBE2CF0" w:tentative="1">
      <w:start w:val="1"/>
      <w:numFmt w:val="bullet"/>
      <w:lvlText w:val="•"/>
      <w:lvlJc w:val="left"/>
      <w:pPr>
        <w:tabs>
          <w:tab w:val="num" w:pos="1440"/>
        </w:tabs>
        <w:ind w:left="1440" w:hanging="360"/>
      </w:pPr>
      <w:rPr>
        <w:rFonts w:ascii="Arial" w:hAnsi="Arial" w:hint="default"/>
      </w:rPr>
    </w:lvl>
    <w:lvl w:ilvl="2" w:tplc="7E0AE330" w:tentative="1">
      <w:start w:val="1"/>
      <w:numFmt w:val="bullet"/>
      <w:lvlText w:val="•"/>
      <w:lvlJc w:val="left"/>
      <w:pPr>
        <w:tabs>
          <w:tab w:val="num" w:pos="2160"/>
        </w:tabs>
        <w:ind w:left="2160" w:hanging="360"/>
      </w:pPr>
      <w:rPr>
        <w:rFonts w:ascii="Arial" w:hAnsi="Arial" w:hint="default"/>
      </w:rPr>
    </w:lvl>
    <w:lvl w:ilvl="3" w:tplc="301E56B0" w:tentative="1">
      <w:start w:val="1"/>
      <w:numFmt w:val="bullet"/>
      <w:lvlText w:val="•"/>
      <w:lvlJc w:val="left"/>
      <w:pPr>
        <w:tabs>
          <w:tab w:val="num" w:pos="2880"/>
        </w:tabs>
        <w:ind w:left="2880" w:hanging="360"/>
      </w:pPr>
      <w:rPr>
        <w:rFonts w:ascii="Arial" w:hAnsi="Arial" w:hint="default"/>
      </w:rPr>
    </w:lvl>
    <w:lvl w:ilvl="4" w:tplc="0FB05136" w:tentative="1">
      <w:start w:val="1"/>
      <w:numFmt w:val="bullet"/>
      <w:lvlText w:val="•"/>
      <w:lvlJc w:val="left"/>
      <w:pPr>
        <w:tabs>
          <w:tab w:val="num" w:pos="3600"/>
        </w:tabs>
        <w:ind w:left="3600" w:hanging="360"/>
      </w:pPr>
      <w:rPr>
        <w:rFonts w:ascii="Arial" w:hAnsi="Arial" w:hint="default"/>
      </w:rPr>
    </w:lvl>
    <w:lvl w:ilvl="5" w:tplc="EBD034CA" w:tentative="1">
      <w:start w:val="1"/>
      <w:numFmt w:val="bullet"/>
      <w:lvlText w:val="•"/>
      <w:lvlJc w:val="left"/>
      <w:pPr>
        <w:tabs>
          <w:tab w:val="num" w:pos="4320"/>
        </w:tabs>
        <w:ind w:left="4320" w:hanging="360"/>
      </w:pPr>
      <w:rPr>
        <w:rFonts w:ascii="Arial" w:hAnsi="Arial" w:hint="default"/>
      </w:rPr>
    </w:lvl>
    <w:lvl w:ilvl="6" w:tplc="7070D802" w:tentative="1">
      <w:start w:val="1"/>
      <w:numFmt w:val="bullet"/>
      <w:lvlText w:val="•"/>
      <w:lvlJc w:val="left"/>
      <w:pPr>
        <w:tabs>
          <w:tab w:val="num" w:pos="5040"/>
        </w:tabs>
        <w:ind w:left="5040" w:hanging="360"/>
      </w:pPr>
      <w:rPr>
        <w:rFonts w:ascii="Arial" w:hAnsi="Arial" w:hint="default"/>
      </w:rPr>
    </w:lvl>
    <w:lvl w:ilvl="7" w:tplc="5CB28350" w:tentative="1">
      <w:start w:val="1"/>
      <w:numFmt w:val="bullet"/>
      <w:lvlText w:val="•"/>
      <w:lvlJc w:val="left"/>
      <w:pPr>
        <w:tabs>
          <w:tab w:val="num" w:pos="5760"/>
        </w:tabs>
        <w:ind w:left="5760" w:hanging="360"/>
      </w:pPr>
      <w:rPr>
        <w:rFonts w:ascii="Arial" w:hAnsi="Arial" w:hint="default"/>
      </w:rPr>
    </w:lvl>
    <w:lvl w:ilvl="8" w:tplc="FB14E8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51315A"/>
    <w:multiLevelType w:val="multilevel"/>
    <w:tmpl w:val="EC806F5C"/>
    <w:styleLink w:val="CurrentList1"/>
    <w:lvl w:ilvl="0">
      <w:start w:val="1"/>
      <w:numFmt w:val="decimal"/>
      <w:lvlText w:val="%1."/>
      <w:lvlJc w:val="left"/>
      <w:pPr>
        <w:ind w:left="1211" w:hanging="360"/>
      </w:pPr>
    </w:lvl>
    <w:lvl w:ilvl="1">
      <w:start w:val="1"/>
      <w:numFmt w:val="decimal"/>
      <w:lvlText w:val="%1.%2."/>
      <w:lvlJc w:val="left"/>
      <w:pPr>
        <w:ind w:left="1643" w:hanging="432"/>
      </w:pPr>
      <w:rPr>
        <w:b/>
        <w:bCs/>
      </w:r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7" w15:restartNumberingAfterBreak="0">
    <w:nsid w:val="196622C3"/>
    <w:multiLevelType w:val="multilevel"/>
    <w:tmpl w:val="A686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D1463A"/>
    <w:multiLevelType w:val="hybridMultilevel"/>
    <w:tmpl w:val="3BB02E90"/>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DC95601"/>
    <w:multiLevelType w:val="hybridMultilevel"/>
    <w:tmpl w:val="AC68B130"/>
    <w:lvl w:ilvl="0" w:tplc="43D0EC7A">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0D01252"/>
    <w:multiLevelType w:val="multilevel"/>
    <w:tmpl w:val="ADC4BC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4D501F"/>
    <w:multiLevelType w:val="hybridMultilevel"/>
    <w:tmpl w:val="75B415A0"/>
    <w:lvl w:ilvl="0" w:tplc="CDEA10C4">
      <w:start w:val="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12" w15:restartNumberingAfterBreak="0">
    <w:nsid w:val="21AB60EE"/>
    <w:multiLevelType w:val="hybridMultilevel"/>
    <w:tmpl w:val="2EDCF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D46F1A"/>
    <w:multiLevelType w:val="hybridMultilevel"/>
    <w:tmpl w:val="67E2E9C6"/>
    <w:lvl w:ilvl="0" w:tplc="FBBC02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00903A7"/>
    <w:multiLevelType w:val="hybridMultilevel"/>
    <w:tmpl w:val="B2C01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67D8B"/>
    <w:multiLevelType w:val="multilevel"/>
    <w:tmpl w:val="0B844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C65CF6"/>
    <w:multiLevelType w:val="hybridMultilevel"/>
    <w:tmpl w:val="12F2275A"/>
    <w:lvl w:ilvl="0" w:tplc="195A1250">
      <w:start w:val="1"/>
      <w:numFmt w:val="decimal"/>
      <w:lvlText w:val="%1."/>
      <w:lvlJc w:val="left"/>
      <w:pPr>
        <w:ind w:left="340" w:hanging="240"/>
      </w:pPr>
      <w:rPr>
        <w:rFonts w:ascii="Times New Roman" w:eastAsia="Times New Roman" w:hAnsi="Times New Roman" w:cs="Times New Roman" w:hint="default"/>
        <w:b/>
        <w:bCs/>
        <w:spacing w:val="-2"/>
        <w:w w:val="99"/>
        <w:sz w:val="24"/>
        <w:szCs w:val="24"/>
      </w:rPr>
    </w:lvl>
    <w:lvl w:ilvl="1" w:tplc="CA883E12">
      <w:numFmt w:val="bullet"/>
      <w:lvlText w:val="•"/>
      <w:lvlJc w:val="left"/>
      <w:pPr>
        <w:ind w:left="1234" w:hanging="240"/>
      </w:pPr>
      <w:rPr>
        <w:rFonts w:hint="default"/>
      </w:rPr>
    </w:lvl>
    <w:lvl w:ilvl="2" w:tplc="C64848E4">
      <w:numFmt w:val="bullet"/>
      <w:lvlText w:val="•"/>
      <w:lvlJc w:val="left"/>
      <w:pPr>
        <w:ind w:left="2129" w:hanging="240"/>
      </w:pPr>
      <w:rPr>
        <w:rFonts w:hint="default"/>
      </w:rPr>
    </w:lvl>
    <w:lvl w:ilvl="3" w:tplc="A46EAD6E">
      <w:numFmt w:val="bullet"/>
      <w:lvlText w:val="•"/>
      <w:lvlJc w:val="left"/>
      <w:pPr>
        <w:ind w:left="3023" w:hanging="240"/>
      </w:pPr>
      <w:rPr>
        <w:rFonts w:hint="default"/>
      </w:rPr>
    </w:lvl>
    <w:lvl w:ilvl="4" w:tplc="00BEE48E">
      <w:numFmt w:val="bullet"/>
      <w:lvlText w:val="•"/>
      <w:lvlJc w:val="left"/>
      <w:pPr>
        <w:ind w:left="3918" w:hanging="240"/>
      </w:pPr>
      <w:rPr>
        <w:rFonts w:hint="default"/>
      </w:rPr>
    </w:lvl>
    <w:lvl w:ilvl="5" w:tplc="B112A97C">
      <w:numFmt w:val="bullet"/>
      <w:lvlText w:val="•"/>
      <w:lvlJc w:val="left"/>
      <w:pPr>
        <w:ind w:left="4813" w:hanging="240"/>
      </w:pPr>
      <w:rPr>
        <w:rFonts w:hint="default"/>
      </w:rPr>
    </w:lvl>
    <w:lvl w:ilvl="6" w:tplc="ADB0E096">
      <w:numFmt w:val="bullet"/>
      <w:lvlText w:val="•"/>
      <w:lvlJc w:val="left"/>
      <w:pPr>
        <w:ind w:left="5707" w:hanging="240"/>
      </w:pPr>
      <w:rPr>
        <w:rFonts w:hint="default"/>
      </w:rPr>
    </w:lvl>
    <w:lvl w:ilvl="7" w:tplc="7D20BBB0">
      <w:numFmt w:val="bullet"/>
      <w:lvlText w:val="•"/>
      <w:lvlJc w:val="left"/>
      <w:pPr>
        <w:ind w:left="6602" w:hanging="240"/>
      </w:pPr>
      <w:rPr>
        <w:rFonts w:hint="default"/>
      </w:rPr>
    </w:lvl>
    <w:lvl w:ilvl="8" w:tplc="EFAEA098">
      <w:numFmt w:val="bullet"/>
      <w:lvlText w:val="•"/>
      <w:lvlJc w:val="left"/>
      <w:pPr>
        <w:ind w:left="7497" w:hanging="240"/>
      </w:pPr>
      <w:rPr>
        <w:rFonts w:hint="default"/>
      </w:rPr>
    </w:lvl>
  </w:abstractNum>
  <w:abstractNum w:abstractNumId="17" w15:restartNumberingAfterBreak="0">
    <w:nsid w:val="363A14A6"/>
    <w:multiLevelType w:val="multilevel"/>
    <w:tmpl w:val="D3ECA5A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8348E9"/>
    <w:multiLevelType w:val="hybridMultilevel"/>
    <w:tmpl w:val="C3DC6C28"/>
    <w:lvl w:ilvl="0" w:tplc="BFE8C434">
      <w:start w:val="1"/>
      <w:numFmt w:val="lowerRoman"/>
      <w:lvlText w:val="(%1)"/>
      <w:lvlJc w:val="left"/>
      <w:pPr>
        <w:ind w:left="1093" w:hanging="300"/>
        <w:jc w:val="right"/>
      </w:pPr>
      <w:rPr>
        <w:rFonts w:hint="default"/>
        <w:w w:val="104"/>
      </w:rPr>
    </w:lvl>
    <w:lvl w:ilvl="1" w:tplc="8B52496A">
      <w:numFmt w:val="bullet"/>
      <w:lvlText w:val="•"/>
      <w:lvlJc w:val="left"/>
      <w:pPr>
        <w:ind w:left="1738" w:hanging="300"/>
      </w:pPr>
      <w:rPr>
        <w:rFonts w:hint="default"/>
      </w:rPr>
    </w:lvl>
    <w:lvl w:ilvl="2" w:tplc="E592C2DA">
      <w:numFmt w:val="bullet"/>
      <w:lvlText w:val="•"/>
      <w:lvlJc w:val="left"/>
      <w:pPr>
        <w:ind w:left="2377" w:hanging="300"/>
      </w:pPr>
      <w:rPr>
        <w:rFonts w:hint="default"/>
      </w:rPr>
    </w:lvl>
    <w:lvl w:ilvl="3" w:tplc="DE70F7A0">
      <w:numFmt w:val="bullet"/>
      <w:lvlText w:val="•"/>
      <w:lvlJc w:val="left"/>
      <w:pPr>
        <w:ind w:left="3016" w:hanging="300"/>
      </w:pPr>
      <w:rPr>
        <w:rFonts w:hint="default"/>
      </w:rPr>
    </w:lvl>
    <w:lvl w:ilvl="4" w:tplc="6D0608EC">
      <w:numFmt w:val="bullet"/>
      <w:lvlText w:val="•"/>
      <w:lvlJc w:val="left"/>
      <w:pPr>
        <w:ind w:left="3655" w:hanging="300"/>
      </w:pPr>
      <w:rPr>
        <w:rFonts w:hint="default"/>
      </w:rPr>
    </w:lvl>
    <w:lvl w:ilvl="5" w:tplc="7F52CB70">
      <w:numFmt w:val="bullet"/>
      <w:lvlText w:val="•"/>
      <w:lvlJc w:val="left"/>
      <w:pPr>
        <w:ind w:left="4294" w:hanging="300"/>
      </w:pPr>
      <w:rPr>
        <w:rFonts w:hint="default"/>
      </w:rPr>
    </w:lvl>
    <w:lvl w:ilvl="6" w:tplc="0CF2E2C8">
      <w:numFmt w:val="bullet"/>
      <w:lvlText w:val="•"/>
      <w:lvlJc w:val="left"/>
      <w:pPr>
        <w:ind w:left="4933" w:hanging="300"/>
      </w:pPr>
      <w:rPr>
        <w:rFonts w:hint="default"/>
      </w:rPr>
    </w:lvl>
    <w:lvl w:ilvl="7" w:tplc="B56437EA">
      <w:numFmt w:val="bullet"/>
      <w:lvlText w:val="•"/>
      <w:lvlJc w:val="left"/>
      <w:pPr>
        <w:ind w:left="5572" w:hanging="300"/>
      </w:pPr>
      <w:rPr>
        <w:rFonts w:hint="default"/>
      </w:rPr>
    </w:lvl>
    <w:lvl w:ilvl="8" w:tplc="7A56A6A4">
      <w:numFmt w:val="bullet"/>
      <w:lvlText w:val="•"/>
      <w:lvlJc w:val="left"/>
      <w:pPr>
        <w:ind w:left="6211" w:hanging="300"/>
      </w:pPr>
      <w:rPr>
        <w:rFonts w:hint="default"/>
      </w:rPr>
    </w:lvl>
  </w:abstractNum>
  <w:abstractNum w:abstractNumId="19" w15:restartNumberingAfterBreak="0">
    <w:nsid w:val="3F264F59"/>
    <w:multiLevelType w:val="hybridMultilevel"/>
    <w:tmpl w:val="83C48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37E8D"/>
    <w:multiLevelType w:val="hybridMultilevel"/>
    <w:tmpl w:val="62C0C904"/>
    <w:lvl w:ilvl="0" w:tplc="24066C42">
      <w:start w:val="1"/>
      <w:numFmt w:val="lowerRoman"/>
      <w:lvlText w:val="(%1)"/>
      <w:lvlJc w:val="left"/>
      <w:pPr>
        <w:ind w:left="1218" w:hanging="379"/>
        <w:jc w:val="right"/>
      </w:pPr>
      <w:rPr>
        <w:rFonts w:hint="default"/>
        <w:w w:val="104"/>
      </w:rPr>
    </w:lvl>
    <w:lvl w:ilvl="1" w:tplc="815C49B2">
      <w:numFmt w:val="bullet"/>
      <w:lvlText w:val="•"/>
      <w:lvlJc w:val="left"/>
      <w:pPr>
        <w:ind w:left="1844" w:hanging="379"/>
      </w:pPr>
      <w:rPr>
        <w:rFonts w:hint="default"/>
      </w:rPr>
    </w:lvl>
    <w:lvl w:ilvl="2" w:tplc="B5DADF7C">
      <w:numFmt w:val="bullet"/>
      <w:lvlText w:val="•"/>
      <w:lvlJc w:val="left"/>
      <w:pPr>
        <w:ind w:left="2469" w:hanging="379"/>
      </w:pPr>
      <w:rPr>
        <w:rFonts w:hint="default"/>
      </w:rPr>
    </w:lvl>
    <w:lvl w:ilvl="3" w:tplc="4426D29A">
      <w:numFmt w:val="bullet"/>
      <w:lvlText w:val="•"/>
      <w:lvlJc w:val="left"/>
      <w:pPr>
        <w:ind w:left="3094" w:hanging="379"/>
      </w:pPr>
      <w:rPr>
        <w:rFonts w:hint="default"/>
      </w:rPr>
    </w:lvl>
    <w:lvl w:ilvl="4" w:tplc="F9A0FC42">
      <w:numFmt w:val="bullet"/>
      <w:lvlText w:val="•"/>
      <w:lvlJc w:val="left"/>
      <w:pPr>
        <w:ind w:left="3719" w:hanging="379"/>
      </w:pPr>
      <w:rPr>
        <w:rFonts w:hint="default"/>
      </w:rPr>
    </w:lvl>
    <w:lvl w:ilvl="5" w:tplc="10A0439E">
      <w:numFmt w:val="bullet"/>
      <w:lvlText w:val="•"/>
      <w:lvlJc w:val="left"/>
      <w:pPr>
        <w:ind w:left="4344" w:hanging="379"/>
      </w:pPr>
      <w:rPr>
        <w:rFonts w:hint="default"/>
      </w:rPr>
    </w:lvl>
    <w:lvl w:ilvl="6" w:tplc="71F67AF6">
      <w:numFmt w:val="bullet"/>
      <w:lvlText w:val="•"/>
      <w:lvlJc w:val="left"/>
      <w:pPr>
        <w:ind w:left="4969" w:hanging="379"/>
      </w:pPr>
      <w:rPr>
        <w:rFonts w:hint="default"/>
      </w:rPr>
    </w:lvl>
    <w:lvl w:ilvl="7" w:tplc="945E7820">
      <w:numFmt w:val="bullet"/>
      <w:lvlText w:val="•"/>
      <w:lvlJc w:val="left"/>
      <w:pPr>
        <w:ind w:left="5594" w:hanging="379"/>
      </w:pPr>
      <w:rPr>
        <w:rFonts w:hint="default"/>
      </w:rPr>
    </w:lvl>
    <w:lvl w:ilvl="8" w:tplc="D35AB85E">
      <w:numFmt w:val="bullet"/>
      <w:lvlText w:val="•"/>
      <w:lvlJc w:val="left"/>
      <w:pPr>
        <w:ind w:left="6219" w:hanging="379"/>
      </w:pPr>
      <w:rPr>
        <w:rFonts w:hint="default"/>
      </w:rPr>
    </w:lvl>
  </w:abstractNum>
  <w:abstractNum w:abstractNumId="21" w15:restartNumberingAfterBreak="0">
    <w:nsid w:val="466667D8"/>
    <w:multiLevelType w:val="hybridMultilevel"/>
    <w:tmpl w:val="69E85BDC"/>
    <w:lvl w:ilvl="0" w:tplc="14090001">
      <w:start w:val="89"/>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7F5506A"/>
    <w:multiLevelType w:val="multilevel"/>
    <w:tmpl w:val="D7B606C4"/>
    <w:styleLink w:val="CurrentList3"/>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972802"/>
    <w:multiLevelType w:val="hybridMultilevel"/>
    <w:tmpl w:val="B7E4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84DC3"/>
    <w:multiLevelType w:val="hybridMultilevel"/>
    <w:tmpl w:val="C5D2BD9A"/>
    <w:lvl w:ilvl="0" w:tplc="0809000F">
      <w:start w:val="3"/>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5" w15:restartNumberingAfterBreak="0">
    <w:nsid w:val="5C9E60E1"/>
    <w:multiLevelType w:val="multilevel"/>
    <w:tmpl w:val="D3ECA5AA"/>
    <w:styleLink w:val="CurrentList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1D276A"/>
    <w:multiLevelType w:val="multilevel"/>
    <w:tmpl w:val="B16E7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6366B7"/>
    <w:multiLevelType w:val="hybridMultilevel"/>
    <w:tmpl w:val="7EAE38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FF25E9"/>
    <w:multiLevelType w:val="hybridMultilevel"/>
    <w:tmpl w:val="5906BDA2"/>
    <w:lvl w:ilvl="0" w:tplc="BE9E6AF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4916439"/>
    <w:multiLevelType w:val="hybridMultilevel"/>
    <w:tmpl w:val="762C03D4"/>
    <w:lvl w:ilvl="0" w:tplc="08090009">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7428B5"/>
    <w:multiLevelType w:val="hybridMultilevel"/>
    <w:tmpl w:val="55B4556E"/>
    <w:lvl w:ilvl="0" w:tplc="0809000F">
      <w:start w:val="3"/>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1" w15:restartNumberingAfterBreak="0">
    <w:nsid w:val="69BD3417"/>
    <w:multiLevelType w:val="hybridMultilevel"/>
    <w:tmpl w:val="210C3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0C09A1"/>
    <w:multiLevelType w:val="hybridMultilevel"/>
    <w:tmpl w:val="F55EA79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6A1F6EBA"/>
    <w:multiLevelType w:val="multilevel"/>
    <w:tmpl w:val="288E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C9765A"/>
    <w:multiLevelType w:val="hybridMultilevel"/>
    <w:tmpl w:val="43D240EC"/>
    <w:lvl w:ilvl="0" w:tplc="074E8DE0">
      <w:start w:val="1"/>
      <w:numFmt w:val="bullet"/>
      <w:lvlText w:val=""/>
      <w:lvlPicBulletId w:val="0"/>
      <w:lvlJc w:val="left"/>
      <w:pPr>
        <w:tabs>
          <w:tab w:val="num" w:pos="800"/>
        </w:tabs>
        <w:ind w:left="800" w:hanging="400"/>
      </w:pPr>
      <w:rPr>
        <w:rFonts w:ascii="Symbol" w:hAnsi="Symbol" w:hint="default"/>
      </w:rPr>
    </w:lvl>
    <w:lvl w:ilvl="1" w:tplc="39525844" w:tentative="1">
      <w:start w:val="1"/>
      <w:numFmt w:val="bullet"/>
      <w:lvlText w:val=""/>
      <w:lvlJc w:val="left"/>
      <w:pPr>
        <w:tabs>
          <w:tab w:val="num" w:pos="1600"/>
        </w:tabs>
        <w:ind w:left="1600" w:hanging="400"/>
      </w:pPr>
      <w:rPr>
        <w:rFonts w:ascii="Symbol" w:hAnsi="Symbol" w:hint="default"/>
      </w:rPr>
    </w:lvl>
    <w:lvl w:ilvl="2" w:tplc="A0045648" w:tentative="1">
      <w:start w:val="1"/>
      <w:numFmt w:val="bullet"/>
      <w:lvlText w:val=""/>
      <w:lvlJc w:val="left"/>
      <w:pPr>
        <w:tabs>
          <w:tab w:val="num" w:pos="2400"/>
        </w:tabs>
        <w:ind w:left="2400" w:hanging="400"/>
      </w:pPr>
      <w:rPr>
        <w:rFonts w:ascii="Symbol" w:hAnsi="Symbol" w:hint="default"/>
      </w:rPr>
    </w:lvl>
    <w:lvl w:ilvl="3" w:tplc="67FEEFA0" w:tentative="1">
      <w:start w:val="1"/>
      <w:numFmt w:val="bullet"/>
      <w:lvlText w:val=""/>
      <w:lvlJc w:val="left"/>
      <w:pPr>
        <w:tabs>
          <w:tab w:val="num" w:pos="3200"/>
        </w:tabs>
        <w:ind w:left="3200" w:hanging="400"/>
      </w:pPr>
      <w:rPr>
        <w:rFonts w:ascii="Symbol" w:hAnsi="Symbol" w:hint="default"/>
      </w:rPr>
    </w:lvl>
    <w:lvl w:ilvl="4" w:tplc="8EE2E302" w:tentative="1">
      <w:start w:val="1"/>
      <w:numFmt w:val="bullet"/>
      <w:lvlText w:val=""/>
      <w:lvlJc w:val="left"/>
      <w:pPr>
        <w:tabs>
          <w:tab w:val="num" w:pos="4000"/>
        </w:tabs>
        <w:ind w:left="4000" w:hanging="400"/>
      </w:pPr>
      <w:rPr>
        <w:rFonts w:ascii="Symbol" w:hAnsi="Symbol" w:hint="default"/>
      </w:rPr>
    </w:lvl>
    <w:lvl w:ilvl="5" w:tplc="4BC89882" w:tentative="1">
      <w:start w:val="1"/>
      <w:numFmt w:val="bullet"/>
      <w:lvlText w:val=""/>
      <w:lvlJc w:val="left"/>
      <w:pPr>
        <w:tabs>
          <w:tab w:val="num" w:pos="4800"/>
        </w:tabs>
        <w:ind w:left="4800" w:hanging="400"/>
      </w:pPr>
      <w:rPr>
        <w:rFonts w:ascii="Symbol" w:hAnsi="Symbol" w:hint="default"/>
      </w:rPr>
    </w:lvl>
    <w:lvl w:ilvl="6" w:tplc="3CA0500C" w:tentative="1">
      <w:start w:val="1"/>
      <w:numFmt w:val="bullet"/>
      <w:lvlText w:val=""/>
      <w:lvlJc w:val="left"/>
      <w:pPr>
        <w:tabs>
          <w:tab w:val="num" w:pos="5600"/>
        </w:tabs>
        <w:ind w:left="5600" w:hanging="400"/>
      </w:pPr>
      <w:rPr>
        <w:rFonts w:ascii="Symbol" w:hAnsi="Symbol" w:hint="default"/>
      </w:rPr>
    </w:lvl>
    <w:lvl w:ilvl="7" w:tplc="4F142564" w:tentative="1">
      <w:start w:val="1"/>
      <w:numFmt w:val="bullet"/>
      <w:lvlText w:val=""/>
      <w:lvlJc w:val="left"/>
      <w:pPr>
        <w:tabs>
          <w:tab w:val="num" w:pos="6400"/>
        </w:tabs>
        <w:ind w:left="6400" w:hanging="400"/>
      </w:pPr>
      <w:rPr>
        <w:rFonts w:ascii="Symbol" w:hAnsi="Symbol" w:hint="default"/>
      </w:rPr>
    </w:lvl>
    <w:lvl w:ilvl="8" w:tplc="D2CA2910" w:tentative="1">
      <w:start w:val="1"/>
      <w:numFmt w:val="bullet"/>
      <w:lvlText w:val=""/>
      <w:lvlJc w:val="left"/>
      <w:pPr>
        <w:tabs>
          <w:tab w:val="num" w:pos="7200"/>
        </w:tabs>
        <w:ind w:left="7200" w:hanging="400"/>
      </w:pPr>
      <w:rPr>
        <w:rFonts w:ascii="Symbol" w:hAnsi="Symbol" w:hint="default"/>
      </w:rPr>
    </w:lvl>
  </w:abstractNum>
  <w:abstractNum w:abstractNumId="35" w15:restartNumberingAfterBreak="0">
    <w:nsid w:val="6BB549C3"/>
    <w:multiLevelType w:val="hybridMultilevel"/>
    <w:tmpl w:val="5906BDA2"/>
    <w:lvl w:ilvl="0" w:tplc="BE9E6AF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15:restartNumberingAfterBreak="0">
    <w:nsid w:val="6C357C86"/>
    <w:multiLevelType w:val="hybridMultilevel"/>
    <w:tmpl w:val="6F54638A"/>
    <w:lvl w:ilvl="0" w:tplc="14090001">
      <w:start w:val="89"/>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03440EA"/>
    <w:multiLevelType w:val="hybridMultilevel"/>
    <w:tmpl w:val="D3BA3ABC"/>
    <w:lvl w:ilvl="0" w:tplc="FC88B936">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727D7A6D"/>
    <w:multiLevelType w:val="hybridMultilevel"/>
    <w:tmpl w:val="ED14CA7A"/>
    <w:lvl w:ilvl="0" w:tplc="779876C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4A82AD9"/>
    <w:multiLevelType w:val="hybridMultilevel"/>
    <w:tmpl w:val="E6C8219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76183AA4"/>
    <w:multiLevelType w:val="multilevel"/>
    <w:tmpl w:val="EC806F5C"/>
    <w:styleLink w:val="CurrentList2"/>
    <w:lvl w:ilvl="0">
      <w:start w:val="1"/>
      <w:numFmt w:val="decimal"/>
      <w:lvlText w:val="%1."/>
      <w:lvlJc w:val="left"/>
      <w:pPr>
        <w:ind w:left="1211" w:hanging="360"/>
      </w:pPr>
    </w:lvl>
    <w:lvl w:ilvl="1">
      <w:start w:val="1"/>
      <w:numFmt w:val="decimal"/>
      <w:lvlText w:val="%1.%2."/>
      <w:lvlJc w:val="left"/>
      <w:pPr>
        <w:ind w:left="1643" w:hanging="432"/>
      </w:pPr>
      <w:rPr>
        <w:b/>
        <w:bCs/>
      </w:r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41" w15:restartNumberingAfterBreak="0">
    <w:nsid w:val="7A345D52"/>
    <w:multiLevelType w:val="hybridMultilevel"/>
    <w:tmpl w:val="3FE8F152"/>
    <w:lvl w:ilvl="0" w:tplc="7DD6E9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15:restartNumberingAfterBreak="0">
    <w:nsid w:val="7CA16F74"/>
    <w:multiLevelType w:val="multilevel"/>
    <w:tmpl w:val="05D8A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6"/>
  </w:num>
  <w:num w:numId="3">
    <w:abstractNumId w:val="42"/>
  </w:num>
  <w:num w:numId="4">
    <w:abstractNumId w:val="27"/>
  </w:num>
  <w:num w:numId="5">
    <w:abstractNumId w:val="1"/>
  </w:num>
  <w:num w:numId="6">
    <w:abstractNumId w:val="4"/>
  </w:num>
  <w:num w:numId="7">
    <w:abstractNumId w:val="38"/>
  </w:num>
  <w:num w:numId="8">
    <w:abstractNumId w:val="2"/>
  </w:num>
  <w:num w:numId="9">
    <w:abstractNumId w:val="11"/>
  </w:num>
  <w:num w:numId="10">
    <w:abstractNumId w:val="20"/>
  </w:num>
  <w:num w:numId="11">
    <w:abstractNumId w:val="18"/>
  </w:num>
  <w:num w:numId="12">
    <w:abstractNumId w:val="16"/>
  </w:num>
  <w:num w:numId="13">
    <w:abstractNumId w:val="15"/>
  </w:num>
  <w:num w:numId="14">
    <w:abstractNumId w:val="21"/>
  </w:num>
  <w:num w:numId="15">
    <w:abstractNumId w:val="36"/>
  </w:num>
  <w:num w:numId="16">
    <w:abstractNumId w:val="3"/>
  </w:num>
  <w:num w:numId="17">
    <w:abstractNumId w:val="33"/>
  </w:num>
  <w:num w:numId="18">
    <w:abstractNumId w:val="31"/>
  </w:num>
  <w:num w:numId="19">
    <w:abstractNumId w:val="19"/>
  </w:num>
  <w:num w:numId="20">
    <w:abstractNumId w:val="5"/>
  </w:num>
  <w:num w:numId="21">
    <w:abstractNumId w:val="9"/>
  </w:num>
  <w:num w:numId="22">
    <w:abstractNumId w:val="8"/>
  </w:num>
  <w:num w:numId="23">
    <w:abstractNumId w:val="30"/>
  </w:num>
  <w:num w:numId="24">
    <w:abstractNumId w:val="24"/>
  </w:num>
  <w:num w:numId="25">
    <w:abstractNumId w:val="39"/>
  </w:num>
  <w:num w:numId="26">
    <w:abstractNumId w:val="32"/>
  </w:num>
  <w:num w:numId="27">
    <w:abstractNumId w:val="23"/>
  </w:num>
  <w:num w:numId="28">
    <w:abstractNumId w:val="14"/>
  </w:num>
  <w:num w:numId="29">
    <w:abstractNumId w:val="41"/>
  </w:num>
  <w:num w:numId="30">
    <w:abstractNumId w:val="37"/>
  </w:num>
  <w:num w:numId="31">
    <w:abstractNumId w:val="34"/>
  </w:num>
  <w:num w:numId="32">
    <w:abstractNumId w:val="28"/>
  </w:num>
  <w:num w:numId="33">
    <w:abstractNumId w:val="35"/>
  </w:num>
  <w:num w:numId="34">
    <w:abstractNumId w:val="10"/>
  </w:num>
  <w:num w:numId="35">
    <w:abstractNumId w:val="17"/>
  </w:num>
  <w:num w:numId="36">
    <w:abstractNumId w:val="6"/>
  </w:num>
  <w:num w:numId="37">
    <w:abstractNumId w:val="40"/>
  </w:num>
  <w:num w:numId="38">
    <w:abstractNumId w:val="22"/>
  </w:num>
  <w:num w:numId="39">
    <w:abstractNumId w:val="25"/>
  </w:num>
  <w:num w:numId="40">
    <w:abstractNumId w:val="29"/>
  </w:num>
  <w:num w:numId="41">
    <w:abstractNumId w:val="0"/>
  </w:num>
  <w:num w:numId="42">
    <w:abstractNumId w:val="7"/>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B8B"/>
    <w:rsid w:val="00001B7E"/>
    <w:rsid w:val="00002279"/>
    <w:rsid w:val="00004403"/>
    <w:rsid w:val="00004567"/>
    <w:rsid w:val="000053DA"/>
    <w:rsid w:val="000065F2"/>
    <w:rsid w:val="00007462"/>
    <w:rsid w:val="00007A41"/>
    <w:rsid w:val="00010C53"/>
    <w:rsid w:val="00012246"/>
    <w:rsid w:val="00013328"/>
    <w:rsid w:val="0001424F"/>
    <w:rsid w:val="0001456C"/>
    <w:rsid w:val="000150BC"/>
    <w:rsid w:val="00016A72"/>
    <w:rsid w:val="000200EC"/>
    <w:rsid w:val="00020702"/>
    <w:rsid w:val="00020BEC"/>
    <w:rsid w:val="00021D2E"/>
    <w:rsid w:val="00023C81"/>
    <w:rsid w:val="00023ED8"/>
    <w:rsid w:val="0002469C"/>
    <w:rsid w:val="0002480B"/>
    <w:rsid w:val="0002493E"/>
    <w:rsid w:val="00025317"/>
    <w:rsid w:val="00026615"/>
    <w:rsid w:val="000271F1"/>
    <w:rsid w:val="00027ABC"/>
    <w:rsid w:val="00027AC8"/>
    <w:rsid w:val="000302A6"/>
    <w:rsid w:val="000304BD"/>
    <w:rsid w:val="00031CE0"/>
    <w:rsid w:val="00031EE7"/>
    <w:rsid w:val="00032873"/>
    <w:rsid w:val="00032B6E"/>
    <w:rsid w:val="00032F1D"/>
    <w:rsid w:val="000359F4"/>
    <w:rsid w:val="00036F59"/>
    <w:rsid w:val="00041814"/>
    <w:rsid w:val="00041C56"/>
    <w:rsid w:val="000429B6"/>
    <w:rsid w:val="000430B4"/>
    <w:rsid w:val="00044576"/>
    <w:rsid w:val="0004457F"/>
    <w:rsid w:val="00044689"/>
    <w:rsid w:val="00045373"/>
    <w:rsid w:val="00047C60"/>
    <w:rsid w:val="0005182B"/>
    <w:rsid w:val="00051CFA"/>
    <w:rsid w:val="00052401"/>
    <w:rsid w:val="00052767"/>
    <w:rsid w:val="00055721"/>
    <w:rsid w:val="00056FE0"/>
    <w:rsid w:val="00057774"/>
    <w:rsid w:val="000663C4"/>
    <w:rsid w:val="00066616"/>
    <w:rsid w:val="00066A91"/>
    <w:rsid w:val="00066F0C"/>
    <w:rsid w:val="000679C1"/>
    <w:rsid w:val="00070934"/>
    <w:rsid w:val="00070E29"/>
    <w:rsid w:val="00071E99"/>
    <w:rsid w:val="000728C5"/>
    <w:rsid w:val="00072F37"/>
    <w:rsid w:val="00074ECB"/>
    <w:rsid w:val="00075759"/>
    <w:rsid w:val="00075D6D"/>
    <w:rsid w:val="000766F8"/>
    <w:rsid w:val="00080066"/>
    <w:rsid w:val="00080123"/>
    <w:rsid w:val="0008015C"/>
    <w:rsid w:val="00081B74"/>
    <w:rsid w:val="0008350E"/>
    <w:rsid w:val="000841D6"/>
    <w:rsid w:val="00084D97"/>
    <w:rsid w:val="000851F0"/>
    <w:rsid w:val="000875B9"/>
    <w:rsid w:val="00087C02"/>
    <w:rsid w:val="000900CE"/>
    <w:rsid w:val="00091BAC"/>
    <w:rsid w:val="00092079"/>
    <w:rsid w:val="000A3580"/>
    <w:rsid w:val="000A3E9C"/>
    <w:rsid w:val="000A4237"/>
    <w:rsid w:val="000A5474"/>
    <w:rsid w:val="000A5E46"/>
    <w:rsid w:val="000A6977"/>
    <w:rsid w:val="000A6BBC"/>
    <w:rsid w:val="000A75AB"/>
    <w:rsid w:val="000A7729"/>
    <w:rsid w:val="000A79BC"/>
    <w:rsid w:val="000B11EE"/>
    <w:rsid w:val="000B26C3"/>
    <w:rsid w:val="000B384A"/>
    <w:rsid w:val="000B69D0"/>
    <w:rsid w:val="000B78E9"/>
    <w:rsid w:val="000B7C0F"/>
    <w:rsid w:val="000C0044"/>
    <w:rsid w:val="000C0821"/>
    <w:rsid w:val="000C096F"/>
    <w:rsid w:val="000C0A63"/>
    <w:rsid w:val="000C12C7"/>
    <w:rsid w:val="000C1545"/>
    <w:rsid w:val="000C1DA7"/>
    <w:rsid w:val="000C21D9"/>
    <w:rsid w:val="000C2308"/>
    <w:rsid w:val="000C2DBE"/>
    <w:rsid w:val="000C368B"/>
    <w:rsid w:val="000C572C"/>
    <w:rsid w:val="000C5757"/>
    <w:rsid w:val="000C63F5"/>
    <w:rsid w:val="000C6826"/>
    <w:rsid w:val="000C6960"/>
    <w:rsid w:val="000C6F48"/>
    <w:rsid w:val="000D158E"/>
    <w:rsid w:val="000D1706"/>
    <w:rsid w:val="000D4B3C"/>
    <w:rsid w:val="000D5669"/>
    <w:rsid w:val="000D727D"/>
    <w:rsid w:val="000D76FE"/>
    <w:rsid w:val="000D79D7"/>
    <w:rsid w:val="000E0071"/>
    <w:rsid w:val="000E00AD"/>
    <w:rsid w:val="000E1BF8"/>
    <w:rsid w:val="000E4023"/>
    <w:rsid w:val="000E4879"/>
    <w:rsid w:val="000E4A01"/>
    <w:rsid w:val="000E5AC1"/>
    <w:rsid w:val="000E5ACF"/>
    <w:rsid w:val="000E6DC9"/>
    <w:rsid w:val="000E752E"/>
    <w:rsid w:val="000E75E5"/>
    <w:rsid w:val="000E7A10"/>
    <w:rsid w:val="000E7DE0"/>
    <w:rsid w:val="000F0020"/>
    <w:rsid w:val="000F06D5"/>
    <w:rsid w:val="000F0817"/>
    <w:rsid w:val="000F0884"/>
    <w:rsid w:val="000F0F9C"/>
    <w:rsid w:val="000F170D"/>
    <w:rsid w:val="000F180D"/>
    <w:rsid w:val="000F1892"/>
    <w:rsid w:val="000F199B"/>
    <w:rsid w:val="000F3FBA"/>
    <w:rsid w:val="000F5A73"/>
    <w:rsid w:val="000F5EB6"/>
    <w:rsid w:val="000F622A"/>
    <w:rsid w:val="000F63D2"/>
    <w:rsid w:val="00100D22"/>
    <w:rsid w:val="00101073"/>
    <w:rsid w:val="0010124A"/>
    <w:rsid w:val="001017B9"/>
    <w:rsid w:val="00101C23"/>
    <w:rsid w:val="00102929"/>
    <w:rsid w:val="00104533"/>
    <w:rsid w:val="001046FC"/>
    <w:rsid w:val="001106A9"/>
    <w:rsid w:val="00110C8B"/>
    <w:rsid w:val="00112AC7"/>
    <w:rsid w:val="00114D29"/>
    <w:rsid w:val="001151B0"/>
    <w:rsid w:val="0011643E"/>
    <w:rsid w:val="001224B2"/>
    <w:rsid w:val="00123084"/>
    <w:rsid w:val="00124D49"/>
    <w:rsid w:val="001250FD"/>
    <w:rsid w:val="0012512A"/>
    <w:rsid w:val="00126BFD"/>
    <w:rsid w:val="00126FD2"/>
    <w:rsid w:val="0013034C"/>
    <w:rsid w:val="00133C61"/>
    <w:rsid w:val="001340E6"/>
    <w:rsid w:val="001341B4"/>
    <w:rsid w:val="00134337"/>
    <w:rsid w:val="00134537"/>
    <w:rsid w:val="001347AC"/>
    <w:rsid w:val="001358D4"/>
    <w:rsid w:val="00137DC8"/>
    <w:rsid w:val="00144B68"/>
    <w:rsid w:val="00144D60"/>
    <w:rsid w:val="001464CD"/>
    <w:rsid w:val="001514FA"/>
    <w:rsid w:val="00151C20"/>
    <w:rsid w:val="001521B9"/>
    <w:rsid w:val="00152B75"/>
    <w:rsid w:val="00153566"/>
    <w:rsid w:val="001547C0"/>
    <w:rsid w:val="001548D2"/>
    <w:rsid w:val="00156B76"/>
    <w:rsid w:val="00161EE3"/>
    <w:rsid w:val="001629B2"/>
    <w:rsid w:val="00163B89"/>
    <w:rsid w:val="001653E3"/>
    <w:rsid w:val="00170A57"/>
    <w:rsid w:val="00171B42"/>
    <w:rsid w:val="00171CB6"/>
    <w:rsid w:val="001745CF"/>
    <w:rsid w:val="00176C50"/>
    <w:rsid w:val="0018220C"/>
    <w:rsid w:val="00182DF0"/>
    <w:rsid w:val="0018427F"/>
    <w:rsid w:val="00184897"/>
    <w:rsid w:val="00184EBC"/>
    <w:rsid w:val="001862F5"/>
    <w:rsid w:val="0018663B"/>
    <w:rsid w:val="001879DA"/>
    <w:rsid w:val="001903B8"/>
    <w:rsid w:val="0019091C"/>
    <w:rsid w:val="00191F05"/>
    <w:rsid w:val="001936B0"/>
    <w:rsid w:val="00194405"/>
    <w:rsid w:val="00194DE6"/>
    <w:rsid w:val="001953B5"/>
    <w:rsid w:val="00196DEE"/>
    <w:rsid w:val="0019712A"/>
    <w:rsid w:val="00197D19"/>
    <w:rsid w:val="001A1111"/>
    <w:rsid w:val="001A1AE4"/>
    <w:rsid w:val="001A1E83"/>
    <w:rsid w:val="001A330D"/>
    <w:rsid w:val="001A3F51"/>
    <w:rsid w:val="001A4573"/>
    <w:rsid w:val="001A62B0"/>
    <w:rsid w:val="001A6B9B"/>
    <w:rsid w:val="001A7193"/>
    <w:rsid w:val="001B0B56"/>
    <w:rsid w:val="001B0EFF"/>
    <w:rsid w:val="001B307F"/>
    <w:rsid w:val="001B33D1"/>
    <w:rsid w:val="001B4E73"/>
    <w:rsid w:val="001B5F59"/>
    <w:rsid w:val="001C1F4D"/>
    <w:rsid w:val="001C3FE8"/>
    <w:rsid w:val="001C7364"/>
    <w:rsid w:val="001D52FC"/>
    <w:rsid w:val="001D68E2"/>
    <w:rsid w:val="001D6BC7"/>
    <w:rsid w:val="001E0F73"/>
    <w:rsid w:val="001E1D87"/>
    <w:rsid w:val="001E2802"/>
    <w:rsid w:val="001E7415"/>
    <w:rsid w:val="001E7B15"/>
    <w:rsid w:val="001E7DBB"/>
    <w:rsid w:val="001F0321"/>
    <w:rsid w:val="001F0D09"/>
    <w:rsid w:val="001F6018"/>
    <w:rsid w:val="001F64DA"/>
    <w:rsid w:val="001F75DB"/>
    <w:rsid w:val="001F76DE"/>
    <w:rsid w:val="0020106C"/>
    <w:rsid w:val="00201281"/>
    <w:rsid w:val="0020252C"/>
    <w:rsid w:val="0020283B"/>
    <w:rsid w:val="00202E7E"/>
    <w:rsid w:val="00206140"/>
    <w:rsid w:val="002113A9"/>
    <w:rsid w:val="00213A18"/>
    <w:rsid w:val="00213C1D"/>
    <w:rsid w:val="00213D13"/>
    <w:rsid w:val="00214622"/>
    <w:rsid w:val="00214726"/>
    <w:rsid w:val="002147F0"/>
    <w:rsid w:val="00214A7D"/>
    <w:rsid w:val="00214C92"/>
    <w:rsid w:val="00214D94"/>
    <w:rsid w:val="0021726B"/>
    <w:rsid w:val="00217731"/>
    <w:rsid w:val="00220548"/>
    <w:rsid w:val="00221253"/>
    <w:rsid w:val="002224BF"/>
    <w:rsid w:val="002227FE"/>
    <w:rsid w:val="002235D3"/>
    <w:rsid w:val="0022401B"/>
    <w:rsid w:val="002240A8"/>
    <w:rsid w:val="00224732"/>
    <w:rsid w:val="00225D79"/>
    <w:rsid w:val="00227BD1"/>
    <w:rsid w:val="00227D7A"/>
    <w:rsid w:val="0023069C"/>
    <w:rsid w:val="002319E5"/>
    <w:rsid w:val="00233546"/>
    <w:rsid w:val="00235687"/>
    <w:rsid w:val="00235A3B"/>
    <w:rsid w:val="002428BD"/>
    <w:rsid w:val="00242CDB"/>
    <w:rsid w:val="00243BE9"/>
    <w:rsid w:val="00244069"/>
    <w:rsid w:val="00244F1A"/>
    <w:rsid w:val="002452E6"/>
    <w:rsid w:val="002466E8"/>
    <w:rsid w:val="00247ABE"/>
    <w:rsid w:val="00250584"/>
    <w:rsid w:val="00250D8F"/>
    <w:rsid w:val="00251676"/>
    <w:rsid w:val="00251D61"/>
    <w:rsid w:val="002520F7"/>
    <w:rsid w:val="002524F6"/>
    <w:rsid w:val="00254DE6"/>
    <w:rsid w:val="0025570B"/>
    <w:rsid w:val="00260C95"/>
    <w:rsid w:val="002619E2"/>
    <w:rsid w:val="00261AB7"/>
    <w:rsid w:val="00267618"/>
    <w:rsid w:val="00271BB7"/>
    <w:rsid w:val="00274481"/>
    <w:rsid w:val="00274AE9"/>
    <w:rsid w:val="00275508"/>
    <w:rsid w:val="00275D16"/>
    <w:rsid w:val="00276FD8"/>
    <w:rsid w:val="0028352F"/>
    <w:rsid w:val="0028356F"/>
    <w:rsid w:val="00284373"/>
    <w:rsid w:val="002858B5"/>
    <w:rsid w:val="00287E18"/>
    <w:rsid w:val="002903EF"/>
    <w:rsid w:val="00291A78"/>
    <w:rsid w:val="00291F25"/>
    <w:rsid w:val="002920BD"/>
    <w:rsid w:val="0029226C"/>
    <w:rsid w:val="002936EA"/>
    <w:rsid w:val="00293F73"/>
    <w:rsid w:val="00294D67"/>
    <w:rsid w:val="00296C04"/>
    <w:rsid w:val="00296F29"/>
    <w:rsid w:val="00297677"/>
    <w:rsid w:val="002A1F76"/>
    <w:rsid w:val="002A21F3"/>
    <w:rsid w:val="002A2603"/>
    <w:rsid w:val="002A30C8"/>
    <w:rsid w:val="002A423A"/>
    <w:rsid w:val="002A5E2D"/>
    <w:rsid w:val="002A6915"/>
    <w:rsid w:val="002A6B07"/>
    <w:rsid w:val="002B06A5"/>
    <w:rsid w:val="002B1F34"/>
    <w:rsid w:val="002B3897"/>
    <w:rsid w:val="002B71DC"/>
    <w:rsid w:val="002B7418"/>
    <w:rsid w:val="002C0CBB"/>
    <w:rsid w:val="002C127F"/>
    <w:rsid w:val="002C1C8A"/>
    <w:rsid w:val="002C1FBF"/>
    <w:rsid w:val="002C2413"/>
    <w:rsid w:val="002C25F9"/>
    <w:rsid w:val="002C3EE7"/>
    <w:rsid w:val="002C44AA"/>
    <w:rsid w:val="002C5554"/>
    <w:rsid w:val="002C56FF"/>
    <w:rsid w:val="002C5B8B"/>
    <w:rsid w:val="002C6994"/>
    <w:rsid w:val="002C74C4"/>
    <w:rsid w:val="002D0466"/>
    <w:rsid w:val="002D05F2"/>
    <w:rsid w:val="002D2D8E"/>
    <w:rsid w:val="002D3117"/>
    <w:rsid w:val="002D31C8"/>
    <w:rsid w:val="002D50DC"/>
    <w:rsid w:val="002D59F7"/>
    <w:rsid w:val="002D6353"/>
    <w:rsid w:val="002E09AF"/>
    <w:rsid w:val="002E115F"/>
    <w:rsid w:val="002E13C3"/>
    <w:rsid w:val="002E25B7"/>
    <w:rsid w:val="002E3247"/>
    <w:rsid w:val="002E3741"/>
    <w:rsid w:val="002E579F"/>
    <w:rsid w:val="002E62D9"/>
    <w:rsid w:val="002E6937"/>
    <w:rsid w:val="002F0C3F"/>
    <w:rsid w:val="002F1C9E"/>
    <w:rsid w:val="002F23D5"/>
    <w:rsid w:val="002F35F1"/>
    <w:rsid w:val="002F5BBC"/>
    <w:rsid w:val="002F6CD4"/>
    <w:rsid w:val="0030131B"/>
    <w:rsid w:val="003015B5"/>
    <w:rsid w:val="00301C42"/>
    <w:rsid w:val="00302711"/>
    <w:rsid w:val="00303F15"/>
    <w:rsid w:val="00304E9C"/>
    <w:rsid w:val="00305809"/>
    <w:rsid w:val="00307CB8"/>
    <w:rsid w:val="00310A4D"/>
    <w:rsid w:val="003115C3"/>
    <w:rsid w:val="00312C8D"/>
    <w:rsid w:val="003176A2"/>
    <w:rsid w:val="003215DC"/>
    <w:rsid w:val="003220E4"/>
    <w:rsid w:val="003226F2"/>
    <w:rsid w:val="00322983"/>
    <w:rsid w:val="00323192"/>
    <w:rsid w:val="0032325D"/>
    <w:rsid w:val="0032581D"/>
    <w:rsid w:val="0032699D"/>
    <w:rsid w:val="00326CF7"/>
    <w:rsid w:val="003270BE"/>
    <w:rsid w:val="00327A5A"/>
    <w:rsid w:val="0033098D"/>
    <w:rsid w:val="0033209F"/>
    <w:rsid w:val="0033214C"/>
    <w:rsid w:val="00332AAD"/>
    <w:rsid w:val="0033540C"/>
    <w:rsid w:val="00336CA2"/>
    <w:rsid w:val="0034053E"/>
    <w:rsid w:val="003416E7"/>
    <w:rsid w:val="00342A26"/>
    <w:rsid w:val="00342E38"/>
    <w:rsid w:val="003461E2"/>
    <w:rsid w:val="003466ED"/>
    <w:rsid w:val="00346E44"/>
    <w:rsid w:val="00350B84"/>
    <w:rsid w:val="00351228"/>
    <w:rsid w:val="00351695"/>
    <w:rsid w:val="00352283"/>
    <w:rsid w:val="00352725"/>
    <w:rsid w:val="00357070"/>
    <w:rsid w:val="003575FD"/>
    <w:rsid w:val="0035782B"/>
    <w:rsid w:val="00360994"/>
    <w:rsid w:val="003639E3"/>
    <w:rsid w:val="0036420A"/>
    <w:rsid w:val="0036596F"/>
    <w:rsid w:val="00367361"/>
    <w:rsid w:val="003705EA"/>
    <w:rsid w:val="00371247"/>
    <w:rsid w:val="00372189"/>
    <w:rsid w:val="0037219C"/>
    <w:rsid w:val="0037345B"/>
    <w:rsid w:val="0037378E"/>
    <w:rsid w:val="00373DC9"/>
    <w:rsid w:val="00374734"/>
    <w:rsid w:val="00374ADC"/>
    <w:rsid w:val="00377520"/>
    <w:rsid w:val="00377714"/>
    <w:rsid w:val="003802F8"/>
    <w:rsid w:val="003815C0"/>
    <w:rsid w:val="00381D95"/>
    <w:rsid w:val="003832DF"/>
    <w:rsid w:val="00385A0E"/>
    <w:rsid w:val="00385E02"/>
    <w:rsid w:val="00386B5A"/>
    <w:rsid w:val="00386EE0"/>
    <w:rsid w:val="00387156"/>
    <w:rsid w:val="00387464"/>
    <w:rsid w:val="0038767B"/>
    <w:rsid w:val="0039140B"/>
    <w:rsid w:val="00391E8D"/>
    <w:rsid w:val="0039259D"/>
    <w:rsid w:val="00392A11"/>
    <w:rsid w:val="003965A5"/>
    <w:rsid w:val="003965EC"/>
    <w:rsid w:val="003967E9"/>
    <w:rsid w:val="003A0386"/>
    <w:rsid w:val="003A1456"/>
    <w:rsid w:val="003A36C0"/>
    <w:rsid w:val="003A496E"/>
    <w:rsid w:val="003A56CD"/>
    <w:rsid w:val="003A75AA"/>
    <w:rsid w:val="003A75AB"/>
    <w:rsid w:val="003A7F49"/>
    <w:rsid w:val="003B03BA"/>
    <w:rsid w:val="003B042D"/>
    <w:rsid w:val="003B0607"/>
    <w:rsid w:val="003B0C66"/>
    <w:rsid w:val="003B1580"/>
    <w:rsid w:val="003B427C"/>
    <w:rsid w:val="003B4381"/>
    <w:rsid w:val="003B4D8E"/>
    <w:rsid w:val="003B5740"/>
    <w:rsid w:val="003B64A6"/>
    <w:rsid w:val="003B7672"/>
    <w:rsid w:val="003B7A69"/>
    <w:rsid w:val="003C2496"/>
    <w:rsid w:val="003C24DF"/>
    <w:rsid w:val="003C5D9F"/>
    <w:rsid w:val="003C60B8"/>
    <w:rsid w:val="003C617A"/>
    <w:rsid w:val="003C6226"/>
    <w:rsid w:val="003C66B6"/>
    <w:rsid w:val="003C7709"/>
    <w:rsid w:val="003D043B"/>
    <w:rsid w:val="003D2AA7"/>
    <w:rsid w:val="003D33C9"/>
    <w:rsid w:val="003D33D2"/>
    <w:rsid w:val="003D4B34"/>
    <w:rsid w:val="003D5189"/>
    <w:rsid w:val="003D5D8A"/>
    <w:rsid w:val="003E023A"/>
    <w:rsid w:val="003E026B"/>
    <w:rsid w:val="003E1DEE"/>
    <w:rsid w:val="003E2175"/>
    <w:rsid w:val="003E2743"/>
    <w:rsid w:val="003E642B"/>
    <w:rsid w:val="003E73FE"/>
    <w:rsid w:val="003E77F0"/>
    <w:rsid w:val="003E7847"/>
    <w:rsid w:val="003F0198"/>
    <w:rsid w:val="003F1987"/>
    <w:rsid w:val="003F1BC3"/>
    <w:rsid w:val="003F2177"/>
    <w:rsid w:val="003F3282"/>
    <w:rsid w:val="003F359E"/>
    <w:rsid w:val="003F465D"/>
    <w:rsid w:val="003F490C"/>
    <w:rsid w:val="003F4B87"/>
    <w:rsid w:val="003F4C23"/>
    <w:rsid w:val="003F6961"/>
    <w:rsid w:val="003F6D59"/>
    <w:rsid w:val="004001ED"/>
    <w:rsid w:val="00402043"/>
    <w:rsid w:val="00404764"/>
    <w:rsid w:val="00404AE6"/>
    <w:rsid w:val="00405EAA"/>
    <w:rsid w:val="00410006"/>
    <w:rsid w:val="0041000D"/>
    <w:rsid w:val="004101BE"/>
    <w:rsid w:val="00410ABE"/>
    <w:rsid w:val="00413C37"/>
    <w:rsid w:val="0041438D"/>
    <w:rsid w:val="004148FF"/>
    <w:rsid w:val="00421CC7"/>
    <w:rsid w:val="00423254"/>
    <w:rsid w:val="0043256F"/>
    <w:rsid w:val="004327EE"/>
    <w:rsid w:val="00433461"/>
    <w:rsid w:val="00434F1E"/>
    <w:rsid w:val="004355AB"/>
    <w:rsid w:val="00435FB9"/>
    <w:rsid w:val="00437255"/>
    <w:rsid w:val="004378F9"/>
    <w:rsid w:val="00446258"/>
    <w:rsid w:val="0044662D"/>
    <w:rsid w:val="00447027"/>
    <w:rsid w:val="00451C9A"/>
    <w:rsid w:val="00451CD2"/>
    <w:rsid w:val="00452061"/>
    <w:rsid w:val="004527A1"/>
    <w:rsid w:val="004529B6"/>
    <w:rsid w:val="00453EAA"/>
    <w:rsid w:val="0045572F"/>
    <w:rsid w:val="00456343"/>
    <w:rsid w:val="00456E61"/>
    <w:rsid w:val="00456F71"/>
    <w:rsid w:val="0045731C"/>
    <w:rsid w:val="00457FE2"/>
    <w:rsid w:val="00461097"/>
    <w:rsid w:val="004640A5"/>
    <w:rsid w:val="00464B9C"/>
    <w:rsid w:val="0046574C"/>
    <w:rsid w:val="004660CE"/>
    <w:rsid w:val="00467A48"/>
    <w:rsid w:val="00467E26"/>
    <w:rsid w:val="00470B2C"/>
    <w:rsid w:val="0047304A"/>
    <w:rsid w:val="00474F4A"/>
    <w:rsid w:val="00475F32"/>
    <w:rsid w:val="00477CC3"/>
    <w:rsid w:val="0048060A"/>
    <w:rsid w:val="00482133"/>
    <w:rsid w:val="0048292E"/>
    <w:rsid w:val="0048381D"/>
    <w:rsid w:val="0048394C"/>
    <w:rsid w:val="004839DE"/>
    <w:rsid w:val="004855B9"/>
    <w:rsid w:val="004862F3"/>
    <w:rsid w:val="004872D2"/>
    <w:rsid w:val="004901F9"/>
    <w:rsid w:val="00493EE6"/>
    <w:rsid w:val="00494324"/>
    <w:rsid w:val="00496EA0"/>
    <w:rsid w:val="004976CA"/>
    <w:rsid w:val="004A1E78"/>
    <w:rsid w:val="004A2068"/>
    <w:rsid w:val="004A2F9C"/>
    <w:rsid w:val="004A3AE2"/>
    <w:rsid w:val="004A3EAC"/>
    <w:rsid w:val="004A5144"/>
    <w:rsid w:val="004A621D"/>
    <w:rsid w:val="004B0257"/>
    <w:rsid w:val="004B0396"/>
    <w:rsid w:val="004B0F83"/>
    <w:rsid w:val="004B1019"/>
    <w:rsid w:val="004B2158"/>
    <w:rsid w:val="004B48CE"/>
    <w:rsid w:val="004B4D63"/>
    <w:rsid w:val="004B6CCC"/>
    <w:rsid w:val="004C0DAC"/>
    <w:rsid w:val="004C1709"/>
    <w:rsid w:val="004C21C8"/>
    <w:rsid w:val="004C344C"/>
    <w:rsid w:val="004C43EE"/>
    <w:rsid w:val="004C47DB"/>
    <w:rsid w:val="004C5945"/>
    <w:rsid w:val="004C5EA1"/>
    <w:rsid w:val="004C6DA3"/>
    <w:rsid w:val="004D26F5"/>
    <w:rsid w:val="004D2BD7"/>
    <w:rsid w:val="004D315B"/>
    <w:rsid w:val="004D5A97"/>
    <w:rsid w:val="004D5CDB"/>
    <w:rsid w:val="004D5DA7"/>
    <w:rsid w:val="004E01F9"/>
    <w:rsid w:val="004E6525"/>
    <w:rsid w:val="004E6B68"/>
    <w:rsid w:val="004E73C3"/>
    <w:rsid w:val="004F1F88"/>
    <w:rsid w:val="004F3372"/>
    <w:rsid w:val="004F3C54"/>
    <w:rsid w:val="004F3FCB"/>
    <w:rsid w:val="004F4504"/>
    <w:rsid w:val="004F612E"/>
    <w:rsid w:val="004F762C"/>
    <w:rsid w:val="004F7B6C"/>
    <w:rsid w:val="004F7F1B"/>
    <w:rsid w:val="005017BD"/>
    <w:rsid w:val="00501E32"/>
    <w:rsid w:val="005046F4"/>
    <w:rsid w:val="0050594D"/>
    <w:rsid w:val="00505C64"/>
    <w:rsid w:val="00506047"/>
    <w:rsid w:val="005063EA"/>
    <w:rsid w:val="00506830"/>
    <w:rsid w:val="00507E37"/>
    <w:rsid w:val="00510E58"/>
    <w:rsid w:val="00511731"/>
    <w:rsid w:val="005125C9"/>
    <w:rsid w:val="0051580D"/>
    <w:rsid w:val="0052052A"/>
    <w:rsid w:val="0052077C"/>
    <w:rsid w:val="00520C02"/>
    <w:rsid w:val="00522690"/>
    <w:rsid w:val="00523356"/>
    <w:rsid w:val="005245E3"/>
    <w:rsid w:val="0052490F"/>
    <w:rsid w:val="00526856"/>
    <w:rsid w:val="00526A0C"/>
    <w:rsid w:val="00527085"/>
    <w:rsid w:val="00527356"/>
    <w:rsid w:val="0052796B"/>
    <w:rsid w:val="00530D91"/>
    <w:rsid w:val="00530FC8"/>
    <w:rsid w:val="00530FF0"/>
    <w:rsid w:val="005321E5"/>
    <w:rsid w:val="0053301E"/>
    <w:rsid w:val="005336B5"/>
    <w:rsid w:val="005338E9"/>
    <w:rsid w:val="005353DE"/>
    <w:rsid w:val="00536611"/>
    <w:rsid w:val="00537144"/>
    <w:rsid w:val="00537736"/>
    <w:rsid w:val="005378DF"/>
    <w:rsid w:val="00540940"/>
    <w:rsid w:val="0054147B"/>
    <w:rsid w:val="00541F35"/>
    <w:rsid w:val="00542CBB"/>
    <w:rsid w:val="00544737"/>
    <w:rsid w:val="00544901"/>
    <w:rsid w:val="00547562"/>
    <w:rsid w:val="00547B30"/>
    <w:rsid w:val="00547BE5"/>
    <w:rsid w:val="005503B6"/>
    <w:rsid w:val="005523DF"/>
    <w:rsid w:val="00555CD4"/>
    <w:rsid w:val="00560CD2"/>
    <w:rsid w:val="00561DAD"/>
    <w:rsid w:val="00564EA6"/>
    <w:rsid w:val="0056551B"/>
    <w:rsid w:val="00566909"/>
    <w:rsid w:val="00566FA7"/>
    <w:rsid w:val="00570C35"/>
    <w:rsid w:val="00571242"/>
    <w:rsid w:val="005722DC"/>
    <w:rsid w:val="005741F4"/>
    <w:rsid w:val="0057675C"/>
    <w:rsid w:val="005769F7"/>
    <w:rsid w:val="00576CF1"/>
    <w:rsid w:val="005775C2"/>
    <w:rsid w:val="00577BF6"/>
    <w:rsid w:val="005811DF"/>
    <w:rsid w:val="00582836"/>
    <w:rsid w:val="00582C7C"/>
    <w:rsid w:val="00582FD6"/>
    <w:rsid w:val="00583170"/>
    <w:rsid w:val="00583A9D"/>
    <w:rsid w:val="00584009"/>
    <w:rsid w:val="00585703"/>
    <w:rsid w:val="005865E9"/>
    <w:rsid w:val="00586929"/>
    <w:rsid w:val="00587157"/>
    <w:rsid w:val="00587A31"/>
    <w:rsid w:val="00587F1D"/>
    <w:rsid w:val="00590169"/>
    <w:rsid w:val="005922B7"/>
    <w:rsid w:val="00592C8E"/>
    <w:rsid w:val="0059408F"/>
    <w:rsid w:val="005966D7"/>
    <w:rsid w:val="00596E37"/>
    <w:rsid w:val="005977D7"/>
    <w:rsid w:val="005A0260"/>
    <w:rsid w:val="005A1042"/>
    <w:rsid w:val="005A243F"/>
    <w:rsid w:val="005A2993"/>
    <w:rsid w:val="005A461C"/>
    <w:rsid w:val="005A4794"/>
    <w:rsid w:val="005A4B57"/>
    <w:rsid w:val="005A545A"/>
    <w:rsid w:val="005A66DE"/>
    <w:rsid w:val="005B3645"/>
    <w:rsid w:val="005B473E"/>
    <w:rsid w:val="005B4C84"/>
    <w:rsid w:val="005B59A4"/>
    <w:rsid w:val="005B6B2D"/>
    <w:rsid w:val="005B7948"/>
    <w:rsid w:val="005B7D6B"/>
    <w:rsid w:val="005C2836"/>
    <w:rsid w:val="005C2E59"/>
    <w:rsid w:val="005C323B"/>
    <w:rsid w:val="005C3C5E"/>
    <w:rsid w:val="005C51A6"/>
    <w:rsid w:val="005C6074"/>
    <w:rsid w:val="005C777B"/>
    <w:rsid w:val="005C7A41"/>
    <w:rsid w:val="005C7FCF"/>
    <w:rsid w:val="005D1361"/>
    <w:rsid w:val="005D1A93"/>
    <w:rsid w:val="005D1F08"/>
    <w:rsid w:val="005D2698"/>
    <w:rsid w:val="005D3F48"/>
    <w:rsid w:val="005D4F7F"/>
    <w:rsid w:val="005D6CFF"/>
    <w:rsid w:val="005E0399"/>
    <w:rsid w:val="005E160E"/>
    <w:rsid w:val="005E43E2"/>
    <w:rsid w:val="005E6824"/>
    <w:rsid w:val="005E7897"/>
    <w:rsid w:val="005F0720"/>
    <w:rsid w:val="005F11CF"/>
    <w:rsid w:val="005F4DDD"/>
    <w:rsid w:val="005F75C7"/>
    <w:rsid w:val="005F7860"/>
    <w:rsid w:val="006004F8"/>
    <w:rsid w:val="00600B4D"/>
    <w:rsid w:val="00601072"/>
    <w:rsid w:val="00601715"/>
    <w:rsid w:val="0060211C"/>
    <w:rsid w:val="0060230A"/>
    <w:rsid w:val="00602CB3"/>
    <w:rsid w:val="006032F9"/>
    <w:rsid w:val="00603843"/>
    <w:rsid w:val="00604524"/>
    <w:rsid w:val="00605454"/>
    <w:rsid w:val="00607DB5"/>
    <w:rsid w:val="0061099C"/>
    <w:rsid w:val="0061127D"/>
    <w:rsid w:val="00611B1C"/>
    <w:rsid w:val="00611FE5"/>
    <w:rsid w:val="00612E4D"/>
    <w:rsid w:val="0061317E"/>
    <w:rsid w:val="00613502"/>
    <w:rsid w:val="00615CB9"/>
    <w:rsid w:val="00616F31"/>
    <w:rsid w:val="00617583"/>
    <w:rsid w:val="00621BA8"/>
    <w:rsid w:val="00622006"/>
    <w:rsid w:val="00623641"/>
    <w:rsid w:val="00624A4E"/>
    <w:rsid w:val="00630706"/>
    <w:rsid w:val="0063343D"/>
    <w:rsid w:val="006351C8"/>
    <w:rsid w:val="00637834"/>
    <w:rsid w:val="00637B96"/>
    <w:rsid w:val="00640C1E"/>
    <w:rsid w:val="00641F5D"/>
    <w:rsid w:val="0064256F"/>
    <w:rsid w:val="006430B8"/>
    <w:rsid w:val="006432D6"/>
    <w:rsid w:val="00645D7F"/>
    <w:rsid w:val="00646F3E"/>
    <w:rsid w:val="00647C21"/>
    <w:rsid w:val="00647CE4"/>
    <w:rsid w:val="00647F65"/>
    <w:rsid w:val="0065168B"/>
    <w:rsid w:val="00652EB5"/>
    <w:rsid w:val="00655ADB"/>
    <w:rsid w:val="00656259"/>
    <w:rsid w:val="006577A8"/>
    <w:rsid w:val="006579F2"/>
    <w:rsid w:val="00657A8F"/>
    <w:rsid w:val="00661687"/>
    <w:rsid w:val="00663AEB"/>
    <w:rsid w:val="00664E1D"/>
    <w:rsid w:val="0066585D"/>
    <w:rsid w:val="00665FB1"/>
    <w:rsid w:val="006702A7"/>
    <w:rsid w:val="00670698"/>
    <w:rsid w:val="00670752"/>
    <w:rsid w:val="0067241A"/>
    <w:rsid w:val="00673043"/>
    <w:rsid w:val="006741F0"/>
    <w:rsid w:val="00674F26"/>
    <w:rsid w:val="00675115"/>
    <w:rsid w:val="006760E8"/>
    <w:rsid w:val="00680335"/>
    <w:rsid w:val="00681A39"/>
    <w:rsid w:val="0068603E"/>
    <w:rsid w:val="00692DA7"/>
    <w:rsid w:val="006932DE"/>
    <w:rsid w:val="006935DB"/>
    <w:rsid w:val="00694592"/>
    <w:rsid w:val="00695332"/>
    <w:rsid w:val="00695ACB"/>
    <w:rsid w:val="00695E2D"/>
    <w:rsid w:val="006A0942"/>
    <w:rsid w:val="006A1853"/>
    <w:rsid w:val="006A30C2"/>
    <w:rsid w:val="006A49CA"/>
    <w:rsid w:val="006A5436"/>
    <w:rsid w:val="006A59AD"/>
    <w:rsid w:val="006A6529"/>
    <w:rsid w:val="006A7104"/>
    <w:rsid w:val="006A7767"/>
    <w:rsid w:val="006A7F30"/>
    <w:rsid w:val="006B141F"/>
    <w:rsid w:val="006B23E4"/>
    <w:rsid w:val="006B374C"/>
    <w:rsid w:val="006B396D"/>
    <w:rsid w:val="006B3BED"/>
    <w:rsid w:val="006B4336"/>
    <w:rsid w:val="006B4FF6"/>
    <w:rsid w:val="006B7C93"/>
    <w:rsid w:val="006C422F"/>
    <w:rsid w:val="006C44B6"/>
    <w:rsid w:val="006C482B"/>
    <w:rsid w:val="006C52D9"/>
    <w:rsid w:val="006C6424"/>
    <w:rsid w:val="006C76B3"/>
    <w:rsid w:val="006D18AA"/>
    <w:rsid w:val="006D1D0A"/>
    <w:rsid w:val="006D28EA"/>
    <w:rsid w:val="006D49D1"/>
    <w:rsid w:val="006D6658"/>
    <w:rsid w:val="006E1698"/>
    <w:rsid w:val="006E1A33"/>
    <w:rsid w:val="006E474F"/>
    <w:rsid w:val="006E6113"/>
    <w:rsid w:val="006E6954"/>
    <w:rsid w:val="006E6EA7"/>
    <w:rsid w:val="006E7291"/>
    <w:rsid w:val="006F0748"/>
    <w:rsid w:val="006F1946"/>
    <w:rsid w:val="006F26DF"/>
    <w:rsid w:val="006F29EE"/>
    <w:rsid w:val="006F2CD4"/>
    <w:rsid w:val="006F4F14"/>
    <w:rsid w:val="006F5FB3"/>
    <w:rsid w:val="006F6526"/>
    <w:rsid w:val="006F6B8E"/>
    <w:rsid w:val="006F707D"/>
    <w:rsid w:val="006F799B"/>
    <w:rsid w:val="00700872"/>
    <w:rsid w:val="00702703"/>
    <w:rsid w:val="0070376E"/>
    <w:rsid w:val="00703ED8"/>
    <w:rsid w:val="007114A4"/>
    <w:rsid w:val="00711B5B"/>
    <w:rsid w:val="0071265F"/>
    <w:rsid w:val="007126D4"/>
    <w:rsid w:val="00714DA8"/>
    <w:rsid w:val="007151C1"/>
    <w:rsid w:val="00715ECB"/>
    <w:rsid w:val="007177A8"/>
    <w:rsid w:val="0071780B"/>
    <w:rsid w:val="00717F08"/>
    <w:rsid w:val="00720DBF"/>
    <w:rsid w:val="00723937"/>
    <w:rsid w:val="00725EE4"/>
    <w:rsid w:val="00727528"/>
    <w:rsid w:val="0073232E"/>
    <w:rsid w:val="00733A30"/>
    <w:rsid w:val="00734351"/>
    <w:rsid w:val="00735301"/>
    <w:rsid w:val="00735A9C"/>
    <w:rsid w:val="0073600F"/>
    <w:rsid w:val="00740A96"/>
    <w:rsid w:val="00741202"/>
    <w:rsid w:val="00741776"/>
    <w:rsid w:val="007437F7"/>
    <w:rsid w:val="00744BAC"/>
    <w:rsid w:val="00745450"/>
    <w:rsid w:val="007468AF"/>
    <w:rsid w:val="00747049"/>
    <w:rsid w:val="007474C2"/>
    <w:rsid w:val="00747BA5"/>
    <w:rsid w:val="00751316"/>
    <w:rsid w:val="00756DB4"/>
    <w:rsid w:val="00757943"/>
    <w:rsid w:val="00757F22"/>
    <w:rsid w:val="007600F8"/>
    <w:rsid w:val="0076032F"/>
    <w:rsid w:val="007624DF"/>
    <w:rsid w:val="007632DB"/>
    <w:rsid w:val="00763CF9"/>
    <w:rsid w:val="00763D6E"/>
    <w:rsid w:val="00770263"/>
    <w:rsid w:val="007717B8"/>
    <w:rsid w:val="007729F5"/>
    <w:rsid w:val="00772E71"/>
    <w:rsid w:val="007732CD"/>
    <w:rsid w:val="007737A3"/>
    <w:rsid w:val="00773D1F"/>
    <w:rsid w:val="0077567C"/>
    <w:rsid w:val="00775A95"/>
    <w:rsid w:val="007760BF"/>
    <w:rsid w:val="007766CE"/>
    <w:rsid w:val="007813CB"/>
    <w:rsid w:val="0078287D"/>
    <w:rsid w:val="007835D8"/>
    <w:rsid w:val="00790CFD"/>
    <w:rsid w:val="0079186E"/>
    <w:rsid w:val="00791ABA"/>
    <w:rsid w:val="00791BEA"/>
    <w:rsid w:val="00793B70"/>
    <w:rsid w:val="007957AB"/>
    <w:rsid w:val="007968C5"/>
    <w:rsid w:val="00796B00"/>
    <w:rsid w:val="00796DC9"/>
    <w:rsid w:val="00797832"/>
    <w:rsid w:val="007A04FA"/>
    <w:rsid w:val="007A34C1"/>
    <w:rsid w:val="007A415D"/>
    <w:rsid w:val="007A4302"/>
    <w:rsid w:val="007A5055"/>
    <w:rsid w:val="007A722F"/>
    <w:rsid w:val="007B0726"/>
    <w:rsid w:val="007B1338"/>
    <w:rsid w:val="007B45F3"/>
    <w:rsid w:val="007B4B54"/>
    <w:rsid w:val="007B5B95"/>
    <w:rsid w:val="007B5EEB"/>
    <w:rsid w:val="007B5F42"/>
    <w:rsid w:val="007C0060"/>
    <w:rsid w:val="007C0AFD"/>
    <w:rsid w:val="007C1CDD"/>
    <w:rsid w:val="007C2C05"/>
    <w:rsid w:val="007C3222"/>
    <w:rsid w:val="007C3E25"/>
    <w:rsid w:val="007C4988"/>
    <w:rsid w:val="007C6206"/>
    <w:rsid w:val="007C676A"/>
    <w:rsid w:val="007C6C7B"/>
    <w:rsid w:val="007D0313"/>
    <w:rsid w:val="007D1FD1"/>
    <w:rsid w:val="007D4330"/>
    <w:rsid w:val="007D4367"/>
    <w:rsid w:val="007D670F"/>
    <w:rsid w:val="007D716A"/>
    <w:rsid w:val="007E1017"/>
    <w:rsid w:val="007E2BC4"/>
    <w:rsid w:val="007E3A94"/>
    <w:rsid w:val="007E3C3D"/>
    <w:rsid w:val="007E5B69"/>
    <w:rsid w:val="007E6A7D"/>
    <w:rsid w:val="007E6B91"/>
    <w:rsid w:val="007F23E7"/>
    <w:rsid w:val="007F268F"/>
    <w:rsid w:val="007F4B11"/>
    <w:rsid w:val="007F6D64"/>
    <w:rsid w:val="007F7137"/>
    <w:rsid w:val="0080262D"/>
    <w:rsid w:val="00802A80"/>
    <w:rsid w:val="0080380C"/>
    <w:rsid w:val="00803C8B"/>
    <w:rsid w:val="00804449"/>
    <w:rsid w:val="00804780"/>
    <w:rsid w:val="008065A8"/>
    <w:rsid w:val="00806D4F"/>
    <w:rsid w:val="00807C5A"/>
    <w:rsid w:val="00807E7C"/>
    <w:rsid w:val="0081149C"/>
    <w:rsid w:val="0081286D"/>
    <w:rsid w:val="00813802"/>
    <w:rsid w:val="008168B6"/>
    <w:rsid w:val="00817218"/>
    <w:rsid w:val="00817F8F"/>
    <w:rsid w:val="00821D4F"/>
    <w:rsid w:val="00822078"/>
    <w:rsid w:val="00822860"/>
    <w:rsid w:val="00823957"/>
    <w:rsid w:val="0082626C"/>
    <w:rsid w:val="008268F1"/>
    <w:rsid w:val="00832B4A"/>
    <w:rsid w:val="008335F6"/>
    <w:rsid w:val="00833CB7"/>
    <w:rsid w:val="00836317"/>
    <w:rsid w:val="00837F99"/>
    <w:rsid w:val="00837F9B"/>
    <w:rsid w:val="0084159F"/>
    <w:rsid w:val="008419DE"/>
    <w:rsid w:val="00841BCF"/>
    <w:rsid w:val="00842746"/>
    <w:rsid w:val="00842D3D"/>
    <w:rsid w:val="008463EB"/>
    <w:rsid w:val="00846DD6"/>
    <w:rsid w:val="0085025E"/>
    <w:rsid w:val="00851883"/>
    <w:rsid w:val="008518B7"/>
    <w:rsid w:val="008528BF"/>
    <w:rsid w:val="00853925"/>
    <w:rsid w:val="00854781"/>
    <w:rsid w:val="00854C0C"/>
    <w:rsid w:val="00855250"/>
    <w:rsid w:val="00860C38"/>
    <w:rsid w:val="00860F17"/>
    <w:rsid w:val="0086182F"/>
    <w:rsid w:val="0086485E"/>
    <w:rsid w:val="00865E08"/>
    <w:rsid w:val="00866465"/>
    <w:rsid w:val="008673D0"/>
    <w:rsid w:val="0087183B"/>
    <w:rsid w:val="0087247F"/>
    <w:rsid w:val="008743F1"/>
    <w:rsid w:val="00880B07"/>
    <w:rsid w:val="00880F72"/>
    <w:rsid w:val="0088156A"/>
    <w:rsid w:val="00881831"/>
    <w:rsid w:val="00882924"/>
    <w:rsid w:val="00884525"/>
    <w:rsid w:val="008854F8"/>
    <w:rsid w:val="00885FF3"/>
    <w:rsid w:val="00886096"/>
    <w:rsid w:val="008866A2"/>
    <w:rsid w:val="008904AC"/>
    <w:rsid w:val="008952F5"/>
    <w:rsid w:val="008961C1"/>
    <w:rsid w:val="008976CE"/>
    <w:rsid w:val="00897E09"/>
    <w:rsid w:val="008A06E0"/>
    <w:rsid w:val="008A070C"/>
    <w:rsid w:val="008A08FC"/>
    <w:rsid w:val="008A1FCF"/>
    <w:rsid w:val="008A34A9"/>
    <w:rsid w:val="008A36B5"/>
    <w:rsid w:val="008A622D"/>
    <w:rsid w:val="008A6487"/>
    <w:rsid w:val="008A6CA9"/>
    <w:rsid w:val="008A795D"/>
    <w:rsid w:val="008B0E66"/>
    <w:rsid w:val="008B16CA"/>
    <w:rsid w:val="008B2515"/>
    <w:rsid w:val="008B5C22"/>
    <w:rsid w:val="008B5CF7"/>
    <w:rsid w:val="008B6E69"/>
    <w:rsid w:val="008C2B5E"/>
    <w:rsid w:val="008C31C3"/>
    <w:rsid w:val="008C40E6"/>
    <w:rsid w:val="008C6430"/>
    <w:rsid w:val="008D0CCD"/>
    <w:rsid w:val="008D36D0"/>
    <w:rsid w:val="008D4729"/>
    <w:rsid w:val="008D4CA7"/>
    <w:rsid w:val="008D63A2"/>
    <w:rsid w:val="008D6BA3"/>
    <w:rsid w:val="008E07BD"/>
    <w:rsid w:val="008E3BE5"/>
    <w:rsid w:val="008E5462"/>
    <w:rsid w:val="008E5EBA"/>
    <w:rsid w:val="008E6427"/>
    <w:rsid w:val="008F08C9"/>
    <w:rsid w:val="008F1A12"/>
    <w:rsid w:val="008F58AB"/>
    <w:rsid w:val="008F5DB8"/>
    <w:rsid w:val="008F627B"/>
    <w:rsid w:val="00900526"/>
    <w:rsid w:val="009009ED"/>
    <w:rsid w:val="009013F2"/>
    <w:rsid w:val="0090187B"/>
    <w:rsid w:val="00901F58"/>
    <w:rsid w:val="00904060"/>
    <w:rsid w:val="0090557B"/>
    <w:rsid w:val="00906556"/>
    <w:rsid w:val="00907EFF"/>
    <w:rsid w:val="00912F6D"/>
    <w:rsid w:val="0091339E"/>
    <w:rsid w:val="00914658"/>
    <w:rsid w:val="00915AD8"/>
    <w:rsid w:val="0091664F"/>
    <w:rsid w:val="00920210"/>
    <w:rsid w:val="00920E18"/>
    <w:rsid w:val="009217E3"/>
    <w:rsid w:val="0092277C"/>
    <w:rsid w:val="009238F5"/>
    <w:rsid w:val="00923A3D"/>
    <w:rsid w:val="009254ED"/>
    <w:rsid w:val="00925695"/>
    <w:rsid w:val="00926FDA"/>
    <w:rsid w:val="00927C7B"/>
    <w:rsid w:val="00927D43"/>
    <w:rsid w:val="009302E0"/>
    <w:rsid w:val="00933546"/>
    <w:rsid w:val="0093367E"/>
    <w:rsid w:val="00933726"/>
    <w:rsid w:val="00933E9A"/>
    <w:rsid w:val="00935460"/>
    <w:rsid w:val="00936B60"/>
    <w:rsid w:val="00936FE4"/>
    <w:rsid w:val="00937089"/>
    <w:rsid w:val="009376CD"/>
    <w:rsid w:val="00937A04"/>
    <w:rsid w:val="00937D8B"/>
    <w:rsid w:val="00942A59"/>
    <w:rsid w:val="009457EF"/>
    <w:rsid w:val="009465AE"/>
    <w:rsid w:val="009472D2"/>
    <w:rsid w:val="00950212"/>
    <w:rsid w:val="009509B4"/>
    <w:rsid w:val="00951103"/>
    <w:rsid w:val="00952701"/>
    <w:rsid w:val="00952F3C"/>
    <w:rsid w:val="009553BA"/>
    <w:rsid w:val="00955FCE"/>
    <w:rsid w:val="00956728"/>
    <w:rsid w:val="00956EED"/>
    <w:rsid w:val="0096039C"/>
    <w:rsid w:val="00960511"/>
    <w:rsid w:val="00961B9F"/>
    <w:rsid w:val="0096670D"/>
    <w:rsid w:val="00967384"/>
    <w:rsid w:val="0096772C"/>
    <w:rsid w:val="00967C19"/>
    <w:rsid w:val="00970235"/>
    <w:rsid w:val="0097049A"/>
    <w:rsid w:val="0097064A"/>
    <w:rsid w:val="00970860"/>
    <w:rsid w:val="00970D74"/>
    <w:rsid w:val="0097136B"/>
    <w:rsid w:val="00972422"/>
    <w:rsid w:val="00972651"/>
    <w:rsid w:val="00973A2D"/>
    <w:rsid w:val="00974AEA"/>
    <w:rsid w:val="00975662"/>
    <w:rsid w:val="009760A6"/>
    <w:rsid w:val="0098105F"/>
    <w:rsid w:val="00981A1A"/>
    <w:rsid w:val="00981CAB"/>
    <w:rsid w:val="00983639"/>
    <w:rsid w:val="00987810"/>
    <w:rsid w:val="00991682"/>
    <w:rsid w:val="00991DF9"/>
    <w:rsid w:val="009928CA"/>
    <w:rsid w:val="009936F7"/>
    <w:rsid w:val="00993D21"/>
    <w:rsid w:val="0099494D"/>
    <w:rsid w:val="009954ED"/>
    <w:rsid w:val="00995DE9"/>
    <w:rsid w:val="009969BD"/>
    <w:rsid w:val="009979C0"/>
    <w:rsid w:val="00997F40"/>
    <w:rsid w:val="009A0C91"/>
    <w:rsid w:val="009A152E"/>
    <w:rsid w:val="009A15CD"/>
    <w:rsid w:val="009A2126"/>
    <w:rsid w:val="009A3C97"/>
    <w:rsid w:val="009A4271"/>
    <w:rsid w:val="009A5730"/>
    <w:rsid w:val="009A62B9"/>
    <w:rsid w:val="009A7CA1"/>
    <w:rsid w:val="009B03C5"/>
    <w:rsid w:val="009B1E94"/>
    <w:rsid w:val="009B4576"/>
    <w:rsid w:val="009B47E4"/>
    <w:rsid w:val="009B5F78"/>
    <w:rsid w:val="009B64F1"/>
    <w:rsid w:val="009B66D3"/>
    <w:rsid w:val="009B68FA"/>
    <w:rsid w:val="009B6960"/>
    <w:rsid w:val="009C0A86"/>
    <w:rsid w:val="009C0D82"/>
    <w:rsid w:val="009C1234"/>
    <w:rsid w:val="009C1A97"/>
    <w:rsid w:val="009C25C6"/>
    <w:rsid w:val="009C399B"/>
    <w:rsid w:val="009C4471"/>
    <w:rsid w:val="009C50B9"/>
    <w:rsid w:val="009C54B6"/>
    <w:rsid w:val="009D1035"/>
    <w:rsid w:val="009D12B3"/>
    <w:rsid w:val="009D1406"/>
    <w:rsid w:val="009D29A5"/>
    <w:rsid w:val="009D3011"/>
    <w:rsid w:val="009D3C28"/>
    <w:rsid w:val="009D4771"/>
    <w:rsid w:val="009D51DB"/>
    <w:rsid w:val="009D5A9C"/>
    <w:rsid w:val="009D6AAB"/>
    <w:rsid w:val="009D6EB8"/>
    <w:rsid w:val="009E0BDB"/>
    <w:rsid w:val="009E1F26"/>
    <w:rsid w:val="009E3BAC"/>
    <w:rsid w:val="009E3CD4"/>
    <w:rsid w:val="009E4750"/>
    <w:rsid w:val="009E5B10"/>
    <w:rsid w:val="009E5FD5"/>
    <w:rsid w:val="009F0F6F"/>
    <w:rsid w:val="009F1C24"/>
    <w:rsid w:val="009F21F4"/>
    <w:rsid w:val="009F2468"/>
    <w:rsid w:val="009F309D"/>
    <w:rsid w:val="009F4386"/>
    <w:rsid w:val="009F56F6"/>
    <w:rsid w:val="009F5929"/>
    <w:rsid w:val="009F5AE6"/>
    <w:rsid w:val="009F6004"/>
    <w:rsid w:val="00A0065E"/>
    <w:rsid w:val="00A02C51"/>
    <w:rsid w:val="00A0302B"/>
    <w:rsid w:val="00A046B0"/>
    <w:rsid w:val="00A04EEE"/>
    <w:rsid w:val="00A0700C"/>
    <w:rsid w:val="00A07280"/>
    <w:rsid w:val="00A07708"/>
    <w:rsid w:val="00A1336E"/>
    <w:rsid w:val="00A135CD"/>
    <w:rsid w:val="00A13ABC"/>
    <w:rsid w:val="00A157E3"/>
    <w:rsid w:val="00A15972"/>
    <w:rsid w:val="00A159BD"/>
    <w:rsid w:val="00A1606E"/>
    <w:rsid w:val="00A21D41"/>
    <w:rsid w:val="00A225E8"/>
    <w:rsid w:val="00A227E1"/>
    <w:rsid w:val="00A22BAB"/>
    <w:rsid w:val="00A247A1"/>
    <w:rsid w:val="00A25CCA"/>
    <w:rsid w:val="00A25F4E"/>
    <w:rsid w:val="00A312F3"/>
    <w:rsid w:val="00A320FC"/>
    <w:rsid w:val="00A33118"/>
    <w:rsid w:val="00A3690A"/>
    <w:rsid w:val="00A406A2"/>
    <w:rsid w:val="00A419CC"/>
    <w:rsid w:val="00A43367"/>
    <w:rsid w:val="00A446C2"/>
    <w:rsid w:val="00A4478D"/>
    <w:rsid w:val="00A47B1B"/>
    <w:rsid w:val="00A50826"/>
    <w:rsid w:val="00A5399B"/>
    <w:rsid w:val="00A53B58"/>
    <w:rsid w:val="00A547B2"/>
    <w:rsid w:val="00A55DA9"/>
    <w:rsid w:val="00A55FF2"/>
    <w:rsid w:val="00A566A9"/>
    <w:rsid w:val="00A57C1A"/>
    <w:rsid w:val="00A60352"/>
    <w:rsid w:val="00A60D4A"/>
    <w:rsid w:val="00A61755"/>
    <w:rsid w:val="00A62CED"/>
    <w:rsid w:val="00A63080"/>
    <w:rsid w:val="00A6622D"/>
    <w:rsid w:val="00A67CD1"/>
    <w:rsid w:val="00A71303"/>
    <w:rsid w:val="00A7220C"/>
    <w:rsid w:val="00A7229C"/>
    <w:rsid w:val="00A73ECA"/>
    <w:rsid w:val="00A754CF"/>
    <w:rsid w:val="00A76ED8"/>
    <w:rsid w:val="00A82C8D"/>
    <w:rsid w:val="00A82D8A"/>
    <w:rsid w:val="00A8428F"/>
    <w:rsid w:val="00A84E22"/>
    <w:rsid w:val="00A86049"/>
    <w:rsid w:val="00A86AF2"/>
    <w:rsid w:val="00A87A02"/>
    <w:rsid w:val="00A9155A"/>
    <w:rsid w:val="00A93490"/>
    <w:rsid w:val="00A93E81"/>
    <w:rsid w:val="00A94CA5"/>
    <w:rsid w:val="00A97771"/>
    <w:rsid w:val="00AA2444"/>
    <w:rsid w:val="00AA25FD"/>
    <w:rsid w:val="00AA37C6"/>
    <w:rsid w:val="00AA39EC"/>
    <w:rsid w:val="00AA3F1F"/>
    <w:rsid w:val="00AA4CD3"/>
    <w:rsid w:val="00AA4ECC"/>
    <w:rsid w:val="00AA4FA0"/>
    <w:rsid w:val="00AA5625"/>
    <w:rsid w:val="00AA6C14"/>
    <w:rsid w:val="00AA6EFF"/>
    <w:rsid w:val="00AA73A5"/>
    <w:rsid w:val="00AB08BA"/>
    <w:rsid w:val="00AB0D18"/>
    <w:rsid w:val="00AB0E57"/>
    <w:rsid w:val="00AB1E12"/>
    <w:rsid w:val="00AB2207"/>
    <w:rsid w:val="00AB2378"/>
    <w:rsid w:val="00AB595B"/>
    <w:rsid w:val="00AB6226"/>
    <w:rsid w:val="00AB7015"/>
    <w:rsid w:val="00AB72C3"/>
    <w:rsid w:val="00AC04ED"/>
    <w:rsid w:val="00AC0A86"/>
    <w:rsid w:val="00AC0F07"/>
    <w:rsid w:val="00AC21C2"/>
    <w:rsid w:val="00AC290E"/>
    <w:rsid w:val="00AC3E52"/>
    <w:rsid w:val="00AC4D37"/>
    <w:rsid w:val="00AC50B1"/>
    <w:rsid w:val="00AC5685"/>
    <w:rsid w:val="00AC6564"/>
    <w:rsid w:val="00AC7E1F"/>
    <w:rsid w:val="00AD0A3C"/>
    <w:rsid w:val="00AD1C2A"/>
    <w:rsid w:val="00AD2BBA"/>
    <w:rsid w:val="00AD3145"/>
    <w:rsid w:val="00AD35AC"/>
    <w:rsid w:val="00AD35ED"/>
    <w:rsid w:val="00AE131F"/>
    <w:rsid w:val="00AE2CE5"/>
    <w:rsid w:val="00AE404C"/>
    <w:rsid w:val="00AE40F5"/>
    <w:rsid w:val="00AE6EED"/>
    <w:rsid w:val="00AE73E2"/>
    <w:rsid w:val="00AF07D5"/>
    <w:rsid w:val="00AF0C78"/>
    <w:rsid w:val="00AF1135"/>
    <w:rsid w:val="00AF2CB8"/>
    <w:rsid w:val="00AF31AC"/>
    <w:rsid w:val="00AF32B3"/>
    <w:rsid w:val="00AF33F8"/>
    <w:rsid w:val="00AF399A"/>
    <w:rsid w:val="00AF478A"/>
    <w:rsid w:val="00AF51C8"/>
    <w:rsid w:val="00AF547A"/>
    <w:rsid w:val="00B00AA3"/>
    <w:rsid w:val="00B01003"/>
    <w:rsid w:val="00B01446"/>
    <w:rsid w:val="00B01B5E"/>
    <w:rsid w:val="00B05871"/>
    <w:rsid w:val="00B0656D"/>
    <w:rsid w:val="00B10789"/>
    <w:rsid w:val="00B107FD"/>
    <w:rsid w:val="00B1094A"/>
    <w:rsid w:val="00B13A4D"/>
    <w:rsid w:val="00B15348"/>
    <w:rsid w:val="00B15458"/>
    <w:rsid w:val="00B15D84"/>
    <w:rsid w:val="00B16101"/>
    <w:rsid w:val="00B21CCC"/>
    <w:rsid w:val="00B22682"/>
    <w:rsid w:val="00B2284D"/>
    <w:rsid w:val="00B2300A"/>
    <w:rsid w:val="00B23263"/>
    <w:rsid w:val="00B24D38"/>
    <w:rsid w:val="00B254CE"/>
    <w:rsid w:val="00B25AD0"/>
    <w:rsid w:val="00B25BD1"/>
    <w:rsid w:val="00B2616F"/>
    <w:rsid w:val="00B3232F"/>
    <w:rsid w:val="00B33662"/>
    <w:rsid w:val="00B336D4"/>
    <w:rsid w:val="00B34841"/>
    <w:rsid w:val="00B35B11"/>
    <w:rsid w:val="00B35D0D"/>
    <w:rsid w:val="00B36FAF"/>
    <w:rsid w:val="00B4175A"/>
    <w:rsid w:val="00B42705"/>
    <w:rsid w:val="00B427C0"/>
    <w:rsid w:val="00B42B1B"/>
    <w:rsid w:val="00B430F1"/>
    <w:rsid w:val="00B43ADD"/>
    <w:rsid w:val="00B43FED"/>
    <w:rsid w:val="00B44491"/>
    <w:rsid w:val="00B45DE7"/>
    <w:rsid w:val="00B4606E"/>
    <w:rsid w:val="00B46773"/>
    <w:rsid w:val="00B46CE8"/>
    <w:rsid w:val="00B503EC"/>
    <w:rsid w:val="00B5041D"/>
    <w:rsid w:val="00B52546"/>
    <w:rsid w:val="00B52D27"/>
    <w:rsid w:val="00B5301F"/>
    <w:rsid w:val="00B53744"/>
    <w:rsid w:val="00B54528"/>
    <w:rsid w:val="00B566E2"/>
    <w:rsid w:val="00B576E4"/>
    <w:rsid w:val="00B5790D"/>
    <w:rsid w:val="00B57E84"/>
    <w:rsid w:val="00B61E16"/>
    <w:rsid w:val="00B6276A"/>
    <w:rsid w:val="00B63294"/>
    <w:rsid w:val="00B6383A"/>
    <w:rsid w:val="00B63D7C"/>
    <w:rsid w:val="00B64166"/>
    <w:rsid w:val="00B650E7"/>
    <w:rsid w:val="00B654A3"/>
    <w:rsid w:val="00B65675"/>
    <w:rsid w:val="00B65938"/>
    <w:rsid w:val="00B664DA"/>
    <w:rsid w:val="00B668C8"/>
    <w:rsid w:val="00B66A5C"/>
    <w:rsid w:val="00B67E99"/>
    <w:rsid w:val="00B7141B"/>
    <w:rsid w:val="00B71CDD"/>
    <w:rsid w:val="00B72AEE"/>
    <w:rsid w:val="00B732CF"/>
    <w:rsid w:val="00B73375"/>
    <w:rsid w:val="00B762C6"/>
    <w:rsid w:val="00B8066A"/>
    <w:rsid w:val="00B83E10"/>
    <w:rsid w:val="00B85B32"/>
    <w:rsid w:val="00B86F7F"/>
    <w:rsid w:val="00B910AE"/>
    <w:rsid w:val="00B91BC9"/>
    <w:rsid w:val="00B91F19"/>
    <w:rsid w:val="00B95680"/>
    <w:rsid w:val="00B95BFD"/>
    <w:rsid w:val="00B97C47"/>
    <w:rsid w:val="00BA01F3"/>
    <w:rsid w:val="00BA04BD"/>
    <w:rsid w:val="00BA1121"/>
    <w:rsid w:val="00BA2AD7"/>
    <w:rsid w:val="00BA2BFB"/>
    <w:rsid w:val="00BA38DC"/>
    <w:rsid w:val="00BA4D9B"/>
    <w:rsid w:val="00BA5778"/>
    <w:rsid w:val="00BA58DD"/>
    <w:rsid w:val="00BA5C29"/>
    <w:rsid w:val="00BA66D2"/>
    <w:rsid w:val="00BA7790"/>
    <w:rsid w:val="00BA791D"/>
    <w:rsid w:val="00BB12D9"/>
    <w:rsid w:val="00BB1739"/>
    <w:rsid w:val="00BB2BAA"/>
    <w:rsid w:val="00BB5B2E"/>
    <w:rsid w:val="00BB6CD3"/>
    <w:rsid w:val="00BB70A4"/>
    <w:rsid w:val="00BB766F"/>
    <w:rsid w:val="00BB769A"/>
    <w:rsid w:val="00BB7F49"/>
    <w:rsid w:val="00BC038A"/>
    <w:rsid w:val="00BC0811"/>
    <w:rsid w:val="00BC222A"/>
    <w:rsid w:val="00BC38B5"/>
    <w:rsid w:val="00BC4E80"/>
    <w:rsid w:val="00BC5145"/>
    <w:rsid w:val="00BD103E"/>
    <w:rsid w:val="00BD25C3"/>
    <w:rsid w:val="00BD260C"/>
    <w:rsid w:val="00BD56E7"/>
    <w:rsid w:val="00BD5D45"/>
    <w:rsid w:val="00BD6111"/>
    <w:rsid w:val="00BD6660"/>
    <w:rsid w:val="00BD6E8A"/>
    <w:rsid w:val="00BD7E64"/>
    <w:rsid w:val="00BE12E6"/>
    <w:rsid w:val="00BE1A47"/>
    <w:rsid w:val="00BE1A4E"/>
    <w:rsid w:val="00BE4C3E"/>
    <w:rsid w:val="00BE534D"/>
    <w:rsid w:val="00BE5437"/>
    <w:rsid w:val="00BE6B4B"/>
    <w:rsid w:val="00BF1615"/>
    <w:rsid w:val="00BF5CB7"/>
    <w:rsid w:val="00BF7E70"/>
    <w:rsid w:val="00C013E5"/>
    <w:rsid w:val="00C03265"/>
    <w:rsid w:val="00C03B42"/>
    <w:rsid w:val="00C03C18"/>
    <w:rsid w:val="00C06396"/>
    <w:rsid w:val="00C063AC"/>
    <w:rsid w:val="00C0661B"/>
    <w:rsid w:val="00C06F28"/>
    <w:rsid w:val="00C079FA"/>
    <w:rsid w:val="00C1162C"/>
    <w:rsid w:val="00C117F7"/>
    <w:rsid w:val="00C122A2"/>
    <w:rsid w:val="00C13FCF"/>
    <w:rsid w:val="00C154A4"/>
    <w:rsid w:val="00C15A41"/>
    <w:rsid w:val="00C167EA"/>
    <w:rsid w:val="00C16A67"/>
    <w:rsid w:val="00C16CF7"/>
    <w:rsid w:val="00C16FBB"/>
    <w:rsid w:val="00C1755C"/>
    <w:rsid w:val="00C2056D"/>
    <w:rsid w:val="00C21F7A"/>
    <w:rsid w:val="00C224CE"/>
    <w:rsid w:val="00C23239"/>
    <w:rsid w:val="00C23955"/>
    <w:rsid w:val="00C24084"/>
    <w:rsid w:val="00C241D9"/>
    <w:rsid w:val="00C24BEB"/>
    <w:rsid w:val="00C27525"/>
    <w:rsid w:val="00C343D9"/>
    <w:rsid w:val="00C3544B"/>
    <w:rsid w:val="00C357CF"/>
    <w:rsid w:val="00C37ADB"/>
    <w:rsid w:val="00C37EA6"/>
    <w:rsid w:val="00C37F68"/>
    <w:rsid w:val="00C40988"/>
    <w:rsid w:val="00C40E8E"/>
    <w:rsid w:val="00C41B68"/>
    <w:rsid w:val="00C43A0B"/>
    <w:rsid w:val="00C45501"/>
    <w:rsid w:val="00C45905"/>
    <w:rsid w:val="00C461E6"/>
    <w:rsid w:val="00C513B4"/>
    <w:rsid w:val="00C5177A"/>
    <w:rsid w:val="00C52D82"/>
    <w:rsid w:val="00C56785"/>
    <w:rsid w:val="00C573B4"/>
    <w:rsid w:val="00C57A3A"/>
    <w:rsid w:val="00C57C44"/>
    <w:rsid w:val="00C602AA"/>
    <w:rsid w:val="00C61197"/>
    <w:rsid w:val="00C61245"/>
    <w:rsid w:val="00C637EE"/>
    <w:rsid w:val="00C6428E"/>
    <w:rsid w:val="00C653CB"/>
    <w:rsid w:val="00C66173"/>
    <w:rsid w:val="00C70578"/>
    <w:rsid w:val="00C7195D"/>
    <w:rsid w:val="00C723B3"/>
    <w:rsid w:val="00C72511"/>
    <w:rsid w:val="00C731D3"/>
    <w:rsid w:val="00C75BF2"/>
    <w:rsid w:val="00C768FB"/>
    <w:rsid w:val="00C7708E"/>
    <w:rsid w:val="00C77932"/>
    <w:rsid w:val="00C77CC0"/>
    <w:rsid w:val="00C8047A"/>
    <w:rsid w:val="00C81443"/>
    <w:rsid w:val="00C81E8C"/>
    <w:rsid w:val="00C825A3"/>
    <w:rsid w:val="00C84DA6"/>
    <w:rsid w:val="00C8503F"/>
    <w:rsid w:val="00C854E2"/>
    <w:rsid w:val="00C86204"/>
    <w:rsid w:val="00C90E88"/>
    <w:rsid w:val="00C9210B"/>
    <w:rsid w:val="00C933A5"/>
    <w:rsid w:val="00C942A1"/>
    <w:rsid w:val="00C943FC"/>
    <w:rsid w:val="00C94C9F"/>
    <w:rsid w:val="00C966CA"/>
    <w:rsid w:val="00C97326"/>
    <w:rsid w:val="00C97D41"/>
    <w:rsid w:val="00CA2717"/>
    <w:rsid w:val="00CA32C7"/>
    <w:rsid w:val="00CA3CF1"/>
    <w:rsid w:val="00CA426E"/>
    <w:rsid w:val="00CB216E"/>
    <w:rsid w:val="00CB34D3"/>
    <w:rsid w:val="00CB5AC3"/>
    <w:rsid w:val="00CB5C19"/>
    <w:rsid w:val="00CB5D16"/>
    <w:rsid w:val="00CC1295"/>
    <w:rsid w:val="00CC1BCF"/>
    <w:rsid w:val="00CC1F37"/>
    <w:rsid w:val="00CC22A1"/>
    <w:rsid w:val="00CC3CE0"/>
    <w:rsid w:val="00CC4092"/>
    <w:rsid w:val="00CC6FB3"/>
    <w:rsid w:val="00CC746F"/>
    <w:rsid w:val="00CD1075"/>
    <w:rsid w:val="00CD1F79"/>
    <w:rsid w:val="00CD23FF"/>
    <w:rsid w:val="00CD2588"/>
    <w:rsid w:val="00CD2CD3"/>
    <w:rsid w:val="00CD4930"/>
    <w:rsid w:val="00CD5653"/>
    <w:rsid w:val="00CD62A6"/>
    <w:rsid w:val="00CD7F22"/>
    <w:rsid w:val="00CE09ED"/>
    <w:rsid w:val="00CE17EB"/>
    <w:rsid w:val="00CE27EF"/>
    <w:rsid w:val="00CE5774"/>
    <w:rsid w:val="00CE5AA7"/>
    <w:rsid w:val="00CE6708"/>
    <w:rsid w:val="00CE6D4F"/>
    <w:rsid w:val="00CE7A5D"/>
    <w:rsid w:val="00CF00F9"/>
    <w:rsid w:val="00CF11DF"/>
    <w:rsid w:val="00CF1B23"/>
    <w:rsid w:val="00CF3D5C"/>
    <w:rsid w:val="00CF55C0"/>
    <w:rsid w:val="00CF5788"/>
    <w:rsid w:val="00D00136"/>
    <w:rsid w:val="00D00213"/>
    <w:rsid w:val="00D01563"/>
    <w:rsid w:val="00D01751"/>
    <w:rsid w:val="00D01924"/>
    <w:rsid w:val="00D035A4"/>
    <w:rsid w:val="00D0365F"/>
    <w:rsid w:val="00D04893"/>
    <w:rsid w:val="00D04B9C"/>
    <w:rsid w:val="00D04BBB"/>
    <w:rsid w:val="00D07231"/>
    <w:rsid w:val="00D07FD2"/>
    <w:rsid w:val="00D10542"/>
    <w:rsid w:val="00D11745"/>
    <w:rsid w:val="00D1202F"/>
    <w:rsid w:val="00D121C1"/>
    <w:rsid w:val="00D12B69"/>
    <w:rsid w:val="00D14111"/>
    <w:rsid w:val="00D15381"/>
    <w:rsid w:val="00D16B36"/>
    <w:rsid w:val="00D1721C"/>
    <w:rsid w:val="00D20FE3"/>
    <w:rsid w:val="00D21DAA"/>
    <w:rsid w:val="00D220D6"/>
    <w:rsid w:val="00D23E5D"/>
    <w:rsid w:val="00D24303"/>
    <w:rsid w:val="00D27980"/>
    <w:rsid w:val="00D3100C"/>
    <w:rsid w:val="00D319F9"/>
    <w:rsid w:val="00D31DFA"/>
    <w:rsid w:val="00D3266D"/>
    <w:rsid w:val="00D3503B"/>
    <w:rsid w:val="00D36BF8"/>
    <w:rsid w:val="00D37747"/>
    <w:rsid w:val="00D40362"/>
    <w:rsid w:val="00D40416"/>
    <w:rsid w:val="00D406F2"/>
    <w:rsid w:val="00D409F8"/>
    <w:rsid w:val="00D4156A"/>
    <w:rsid w:val="00D41DB6"/>
    <w:rsid w:val="00D42E54"/>
    <w:rsid w:val="00D44640"/>
    <w:rsid w:val="00D44B51"/>
    <w:rsid w:val="00D45821"/>
    <w:rsid w:val="00D47449"/>
    <w:rsid w:val="00D47958"/>
    <w:rsid w:val="00D47B5A"/>
    <w:rsid w:val="00D47F3C"/>
    <w:rsid w:val="00D5356D"/>
    <w:rsid w:val="00D5359A"/>
    <w:rsid w:val="00D55187"/>
    <w:rsid w:val="00D571E6"/>
    <w:rsid w:val="00D573D0"/>
    <w:rsid w:val="00D57494"/>
    <w:rsid w:val="00D61AC1"/>
    <w:rsid w:val="00D61BB3"/>
    <w:rsid w:val="00D633AE"/>
    <w:rsid w:val="00D63E54"/>
    <w:rsid w:val="00D63F2C"/>
    <w:rsid w:val="00D646D5"/>
    <w:rsid w:val="00D66673"/>
    <w:rsid w:val="00D676AD"/>
    <w:rsid w:val="00D71713"/>
    <w:rsid w:val="00D73BDE"/>
    <w:rsid w:val="00D73C64"/>
    <w:rsid w:val="00D7714F"/>
    <w:rsid w:val="00D77470"/>
    <w:rsid w:val="00D808C0"/>
    <w:rsid w:val="00D81873"/>
    <w:rsid w:val="00D825C4"/>
    <w:rsid w:val="00D84A8B"/>
    <w:rsid w:val="00D85381"/>
    <w:rsid w:val="00D865EC"/>
    <w:rsid w:val="00D86BF6"/>
    <w:rsid w:val="00D9009D"/>
    <w:rsid w:val="00D903FA"/>
    <w:rsid w:val="00D9131E"/>
    <w:rsid w:val="00D92CF8"/>
    <w:rsid w:val="00D93F18"/>
    <w:rsid w:val="00D943DD"/>
    <w:rsid w:val="00D964B0"/>
    <w:rsid w:val="00D96F7E"/>
    <w:rsid w:val="00D96FE5"/>
    <w:rsid w:val="00D97BC8"/>
    <w:rsid w:val="00DA0B00"/>
    <w:rsid w:val="00DA0EA5"/>
    <w:rsid w:val="00DA1B99"/>
    <w:rsid w:val="00DA34FB"/>
    <w:rsid w:val="00DA561D"/>
    <w:rsid w:val="00DA58F1"/>
    <w:rsid w:val="00DB034C"/>
    <w:rsid w:val="00DB03A4"/>
    <w:rsid w:val="00DB0D33"/>
    <w:rsid w:val="00DB3261"/>
    <w:rsid w:val="00DB47D3"/>
    <w:rsid w:val="00DB58E0"/>
    <w:rsid w:val="00DB6F71"/>
    <w:rsid w:val="00DB7E64"/>
    <w:rsid w:val="00DC0191"/>
    <w:rsid w:val="00DC0ECC"/>
    <w:rsid w:val="00DD2768"/>
    <w:rsid w:val="00DD6F8E"/>
    <w:rsid w:val="00DE2107"/>
    <w:rsid w:val="00DE2529"/>
    <w:rsid w:val="00DE28EA"/>
    <w:rsid w:val="00DE3BC1"/>
    <w:rsid w:val="00DE3E20"/>
    <w:rsid w:val="00DE4D7F"/>
    <w:rsid w:val="00DE65D2"/>
    <w:rsid w:val="00DE6734"/>
    <w:rsid w:val="00DE7627"/>
    <w:rsid w:val="00DF10AE"/>
    <w:rsid w:val="00DF1831"/>
    <w:rsid w:val="00DF2E71"/>
    <w:rsid w:val="00DF3147"/>
    <w:rsid w:val="00DF465F"/>
    <w:rsid w:val="00DF5DA3"/>
    <w:rsid w:val="00E00C60"/>
    <w:rsid w:val="00E00D7C"/>
    <w:rsid w:val="00E0243C"/>
    <w:rsid w:val="00E03CEE"/>
    <w:rsid w:val="00E04D3B"/>
    <w:rsid w:val="00E05661"/>
    <w:rsid w:val="00E05CCA"/>
    <w:rsid w:val="00E07E8C"/>
    <w:rsid w:val="00E103CA"/>
    <w:rsid w:val="00E106CB"/>
    <w:rsid w:val="00E11630"/>
    <w:rsid w:val="00E11683"/>
    <w:rsid w:val="00E118C4"/>
    <w:rsid w:val="00E11DD1"/>
    <w:rsid w:val="00E122D0"/>
    <w:rsid w:val="00E137C3"/>
    <w:rsid w:val="00E20602"/>
    <w:rsid w:val="00E2232B"/>
    <w:rsid w:val="00E22B51"/>
    <w:rsid w:val="00E22D7A"/>
    <w:rsid w:val="00E23253"/>
    <w:rsid w:val="00E24720"/>
    <w:rsid w:val="00E26DB3"/>
    <w:rsid w:val="00E31807"/>
    <w:rsid w:val="00E32486"/>
    <w:rsid w:val="00E32701"/>
    <w:rsid w:val="00E32E1C"/>
    <w:rsid w:val="00E34CD1"/>
    <w:rsid w:val="00E35903"/>
    <w:rsid w:val="00E405EE"/>
    <w:rsid w:val="00E41003"/>
    <w:rsid w:val="00E43B33"/>
    <w:rsid w:val="00E43D61"/>
    <w:rsid w:val="00E45228"/>
    <w:rsid w:val="00E46AD0"/>
    <w:rsid w:val="00E47E1D"/>
    <w:rsid w:val="00E5009B"/>
    <w:rsid w:val="00E50445"/>
    <w:rsid w:val="00E5156B"/>
    <w:rsid w:val="00E5165A"/>
    <w:rsid w:val="00E52AB6"/>
    <w:rsid w:val="00E54150"/>
    <w:rsid w:val="00E5469A"/>
    <w:rsid w:val="00E56EF1"/>
    <w:rsid w:val="00E573A3"/>
    <w:rsid w:val="00E60104"/>
    <w:rsid w:val="00E60A10"/>
    <w:rsid w:val="00E61E6D"/>
    <w:rsid w:val="00E635CD"/>
    <w:rsid w:val="00E63939"/>
    <w:rsid w:val="00E63F84"/>
    <w:rsid w:val="00E64A99"/>
    <w:rsid w:val="00E64D5E"/>
    <w:rsid w:val="00E65BEC"/>
    <w:rsid w:val="00E65FAE"/>
    <w:rsid w:val="00E66958"/>
    <w:rsid w:val="00E67C79"/>
    <w:rsid w:val="00E72AC4"/>
    <w:rsid w:val="00E72EE2"/>
    <w:rsid w:val="00E741A9"/>
    <w:rsid w:val="00E74ADA"/>
    <w:rsid w:val="00E74E43"/>
    <w:rsid w:val="00E759C1"/>
    <w:rsid w:val="00E75A17"/>
    <w:rsid w:val="00E77C07"/>
    <w:rsid w:val="00E77E0C"/>
    <w:rsid w:val="00E80FD9"/>
    <w:rsid w:val="00E81246"/>
    <w:rsid w:val="00E8144F"/>
    <w:rsid w:val="00E81C59"/>
    <w:rsid w:val="00E82B9E"/>
    <w:rsid w:val="00E84BEE"/>
    <w:rsid w:val="00E85C83"/>
    <w:rsid w:val="00E8683A"/>
    <w:rsid w:val="00E87829"/>
    <w:rsid w:val="00E87EFC"/>
    <w:rsid w:val="00E90075"/>
    <w:rsid w:val="00E90B98"/>
    <w:rsid w:val="00E90EC3"/>
    <w:rsid w:val="00E916D5"/>
    <w:rsid w:val="00E91D2D"/>
    <w:rsid w:val="00E92719"/>
    <w:rsid w:val="00E92CE4"/>
    <w:rsid w:val="00E93ABC"/>
    <w:rsid w:val="00E95FC6"/>
    <w:rsid w:val="00EA1E0B"/>
    <w:rsid w:val="00EA273E"/>
    <w:rsid w:val="00EA41A0"/>
    <w:rsid w:val="00EA43C8"/>
    <w:rsid w:val="00EA4854"/>
    <w:rsid w:val="00EA4D34"/>
    <w:rsid w:val="00EA5114"/>
    <w:rsid w:val="00EA66F3"/>
    <w:rsid w:val="00EA6E1A"/>
    <w:rsid w:val="00EA7090"/>
    <w:rsid w:val="00EA7427"/>
    <w:rsid w:val="00EA769E"/>
    <w:rsid w:val="00EB221F"/>
    <w:rsid w:val="00EB36A1"/>
    <w:rsid w:val="00EB3B0A"/>
    <w:rsid w:val="00EB3D73"/>
    <w:rsid w:val="00EB5D6B"/>
    <w:rsid w:val="00EC12CF"/>
    <w:rsid w:val="00EC16E8"/>
    <w:rsid w:val="00EC595B"/>
    <w:rsid w:val="00EC5BB4"/>
    <w:rsid w:val="00EC6AA7"/>
    <w:rsid w:val="00EC735B"/>
    <w:rsid w:val="00EC7FE5"/>
    <w:rsid w:val="00ED1EB5"/>
    <w:rsid w:val="00ED5CD1"/>
    <w:rsid w:val="00ED5E9B"/>
    <w:rsid w:val="00EE1AAA"/>
    <w:rsid w:val="00EE1DFD"/>
    <w:rsid w:val="00EE1EF4"/>
    <w:rsid w:val="00EE3270"/>
    <w:rsid w:val="00EE4F21"/>
    <w:rsid w:val="00EE5514"/>
    <w:rsid w:val="00EE6CE9"/>
    <w:rsid w:val="00EE7128"/>
    <w:rsid w:val="00EF364D"/>
    <w:rsid w:val="00EF365E"/>
    <w:rsid w:val="00EF4291"/>
    <w:rsid w:val="00EF4F66"/>
    <w:rsid w:val="00EF5434"/>
    <w:rsid w:val="00EF6CE3"/>
    <w:rsid w:val="00EF7482"/>
    <w:rsid w:val="00F01264"/>
    <w:rsid w:val="00F0149A"/>
    <w:rsid w:val="00F039AC"/>
    <w:rsid w:val="00F03DB3"/>
    <w:rsid w:val="00F06B30"/>
    <w:rsid w:val="00F07464"/>
    <w:rsid w:val="00F07FEC"/>
    <w:rsid w:val="00F16FC9"/>
    <w:rsid w:val="00F177CF"/>
    <w:rsid w:val="00F201CD"/>
    <w:rsid w:val="00F212A8"/>
    <w:rsid w:val="00F2165E"/>
    <w:rsid w:val="00F221A0"/>
    <w:rsid w:val="00F23BE4"/>
    <w:rsid w:val="00F24828"/>
    <w:rsid w:val="00F24BA6"/>
    <w:rsid w:val="00F2521C"/>
    <w:rsid w:val="00F25298"/>
    <w:rsid w:val="00F2581B"/>
    <w:rsid w:val="00F26D97"/>
    <w:rsid w:val="00F3005F"/>
    <w:rsid w:val="00F327D7"/>
    <w:rsid w:val="00F33527"/>
    <w:rsid w:val="00F35108"/>
    <w:rsid w:val="00F360E8"/>
    <w:rsid w:val="00F361EA"/>
    <w:rsid w:val="00F36B5A"/>
    <w:rsid w:val="00F40B31"/>
    <w:rsid w:val="00F40E38"/>
    <w:rsid w:val="00F43497"/>
    <w:rsid w:val="00F4471B"/>
    <w:rsid w:val="00F4565A"/>
    <w:rsid w:val="00F465C8"/>
    <w:rsid w:val="00F47232"/>
    <w:rsid w:val="00F47606"/>
    <w:rsid w:val="00F52159"/>
    <w:rsid w:val="00F54EF0"/>
    <w:rsid w:val="00F5611B"/>
    <w:rsid w:val="00F56C2F"/>
    <w:rsid w:val="00F57697"/>
    <w:rsid w:val="00F60D82"/>
    <w:rsid w:val="00F62AF0"/>
    <w:rsid w:val="00F6306F"/>
    <w:rsid w:val="00F65609"/>
    <w:rsid w:val="00F6666B"/>
    <w:rsid w:val="00F66849"/>
    <w:rsid w:val="00F67582"/>
    <w:rsid w:val="00F734B1"/>
    <w:rsid w:val="00F73C9C"/>
    <w:rsid w:val="00F74D9D"/>
    <w:rsid w:val="00F75524"/>
    <w:rsid w:val="00F770AD"/>
    <w:rsid w:val="00F77E67"/>
    <w:rsid w:val="00F80469"/>
    <w:rsid w:val="00F806FB"/>
    <w:rsid w:val="00F84335"/>
    <w:rsid w:val="00F902A7"/>
    <w:rsid w:val="00F90D87"/>
    <w:rsid w:val="00F90FAF"/>
    <w:rsid w:val="00F914C4"/>
    <w:rsid w:val="00F92B7B"/>
    <w:rsid w:val="00F92C47"/>
    <w:rsid w:val="00F93A98"/>
    <w:rsid w:val="00F95057"/>
    <w:rsid w:val="00F96420"/>
    <w:rsid w:val="00FA1384"/>
    <w:rsid w:val="00FA265F"/>
    <w:rsid w:val="00FA3849"/>
    <w:rsid w:val="00FB0DFC"/>
    <w:rsid w:val="00FB24E8"/>
    <w:rsid w:val="00FB532F"/>
    <w:rsid w:val="00FC1095"/>
    <w:rsid w:val="00FC1242"/>
    <w:rsid w:val="00FC1CB2"/>
    <w:rsid w:val="00FC3E2B"/>
    <w:rsid w:val="00FC6A49"/>
    <w:rsid w:val="00FC6F44"/>
    <w:rsid w:val="00FC73A0"/>
    <w:rsid w:val="00FC74F0"/>
    <w:rsid w:val="00FC78A0"/>
    <w:rsid w:val="00FC78D1"/>
    <w:rsid w:val="00FD0052"/>
    <w:rsid w:val="00FD22A8"/>
    <w:rsid w:val="00FD5C43"/>
    <w:rsid w:val="00FD7FB0"/>
    <w:rsid w:val="00FE1BE3"/>
    <w:rsid w:val="00FE225D"/>
    <w:rsid w:val="00FE2719"/>
    <w:rsid w:val="00FE2861"/>
    <w:rsid w:val="00FE317D"/>
    <w:rsid w:val="00FE38C9"/>
    <w:rsid w:val="00FE3CD4"/>
    <w:rsid w:val="00FE4C55"/>
    <w:rsid w:val="00FE51E0"/>
    <w:rsid w:val="00FE5311"/>
    <w:rsid w:val="00FE56C8"/>
    <w:rsid w:val="00FE6948"/>
    <w:rsid w:val="00FE694E"/>
    <w:rsid w:val="00FE6FE9"/>
    <w:rsid w:val="00FE7970"/>
    <w:rsid w:val="00FF295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EFAEC3"/>
  <w14:defaultImageDpi w14:val="330"/>
  <w15:docId w15:val="{8B27B79A-E8CB-4BFF-A50D-920BEA7F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6CD"/>
  </w:style>
  <w:style w:type="paragraph" w:styleId="Heading1">
    <w:name w:val="heading 1"/>
    <w:aliases w:val="APA Heading 1,1 thesis Heading 1"/>
    <w:basedOn w:val="Normal"/>
    <w:next w:val="Normal"/>
    <w:link w:val="Heading1Char"/>
    <w:uiPriority w:val="9"/>
    <w:qFormat/>
    <w:rsid w:val="00AA56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APA Heading 2,2 thesis Heading 2"/>
    <w:basedOn w:val="Normal"/>
    <w:next w:val="Normal"/>
    <w:link w:val="Heading2Char"/>
    <w:uiPriority w:val="9"/>
    <w:unhideWhenUsed/>
    <w:qFormat/>
    <w:rsid w:val="00EE55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APA Heading 3,3 thesis Heading 3"/>
    <w:basedOn w:val="Normal"/>
    <w:next w:val="Normal"/>
    <w:link w:val="Heading3Char"/>
    <w:uiPriority w:val="9"/>
    <w:unhideWhenUsed/>
    <w:qFormat/>
    <w:rsid w:val="00EE5514"/>
    <w:pPr>
      <w:keepNext/>
      <w:keepLines/>
      <w:spacing w:before="40" w:after="120" w:line="480" w:lineRule="auto"/>
      <w:ind w:firstLine="851"/>
      <w:jc w:val="both"/>
      <w:outlineLvl w:val="2"/>
    </w:pPr>
    <w:rPr>
      <w:rFonts w:asciiTheme="majorBidi" w:eastAsiaTheme="majorEastAsia" w:hAnsiTheme="majorBidi" w:cstheme="majorBidi"/>
      <w:b/>
      <w:i/>
      <w:color w:val="000000" w:themeColor="text1"/>
      <w:lang w:val="en-GB" w:eastAsia="en-GB"/>
    </w:rPr>
  </w:style>
  <w:style w:type="paragraph" w:styleId="Heading4">
    <w:name w:val="heading 4"/>
    <w:basedOn w:val="Normal"/>
    <w:next w:val="Normal"/>
    <w:link w:val="Heading4Char"/>
    <w:uiPriority w:val="9"/>
    <w:semiHidden/>
    <w:unhideWhenUsed/>
    <w:qFormat/>
    <w:rsid w:val="00EE5514"/>
    <w:pPr>
      <w:keepNext/>
      <w:keepLines/>
      <w:spacing w:before="40" w:after="120" w:line="360" w:lineRule="auto"/>
      <w:ind w:firstLine="720"/>
      <w:jc w:val="both"/>
      <w:outlineLvl w:val="3"/>
    </w:pPr>
    <w:rPr>
      <w:rFonts w:asciiTheme="majorHAnsi" w:eastAsiaTheme="majorEastAsia" w:hAnsiTheme="majorHAnsi" w:cstheme="majorBidi"/>
      <w:i/>
      <w:iCs/>
      <w:color w:val="2E74B5" w:themeColor="accent1" w:themeShade="BF"/>
      <w:lang w:val="en-GB" w:eastAsia="en-GB"/>
    </w:rPr>
  </w:style>
  <w:style w:type="paragraph" w:styleId="Heading5">
    <w:name w:val="heading 5"/>
    <w:basedOn w:val="Normal"/>
    <w:next w:val="Normal"/>
    <w:link w:val="Heading5Char"/>
    <w:uiPriority w:val="9"/>
    <w:semiHidden/>
    <w:unhideWhenUsed/>
    <w:qFormat/>
    <w:rsid w:val="00AA4F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E5514"/>
    <w:pPr>
      <w:keepNext/>
      <w:keepLines/>
      <w:spacing w:before="40" w:after="120" w:line="360" w:lineRule="auto"/>
      <w:ind w:firstLine="720"/>
      <w:jc w:val="both"/>
      <w:outlineLvl w:val="5"/>
    </w:pPr>
    <w:rPr>
      <w:rFonts w:asciiTheme="majorHAnsi" w:eastAsiaTheme="majorEastAsia" w:hAnsiTheme="majorHAnsi" w:cstheme="majorBidi"/>
      <w:color w:val="1F4D78" w:themeColor="accent1" w:themeShade="7F"/>
      <w:lang w:val="en-GB" w:eastAsia="en-GB"/>
    </w:rPr>
  </w:style>
  <w:style w:type="paragraph" w:styleId="Heading7">
    <w:name w:val="heading 7"/>
    <w:basedOn w:val="Normal"/>
    <w:next w:val="Normal"/>
    <w:link w:val="Heading7Char"/>
    <w:uiPriority w:val="9"/>
    <w:semiHidden/>
    <w:unhideWhenUsed/>
    <w:qFormat/>
    <w:rsid w:val="00EE5514"/>
    <w:pPr>
      <w:keepNext/>
      <w:keepLines/>
      <w:spacing w:before="40" w:after="120" w:line="360" w:lineRule="auto"/>
      <w:ind w:firstLine="720"/>
      <w:jc w:val="both"/>
      <w:outlineLvl w:val="6"/>
    </w:pPr>
    <w:rPr>
      <w:rFonts w:asciiTheme="majorHAnsi" w:eastAsiaTheme="majorEastAsia" w:hAnsiTheme="majorHAnsi" w:cstheme="majorBidi"/>
      <w:i/>
      <w:iCs/>
      <w:color w:val="1F4D78" w:themeColor="accent1" w:themeShade="7F"/>
      <w:lang w:val="en-GB" w:eastAsia="en-GB"/>
    </w:rPr>
  </w:style>
  <w:style w:type="paragraph" w:styleId="Heading8">
    <w:name w:val="heading 8"/>
    <w:basedOn w:val="Normal"/>
    <w:next w:val="Normal"/>
    <w:link w:val="Heading8Char"/>
    <w:uiPriority w:val="9"/>
    <w:semiHidden/>
    <w:unhideWhenUsed/>
    <w:qFormat/>
    <w:rsid w:val="00EE5514"/>
    <w:pPr>
      <w:keepNext/>
      <w:keepLines/>
      <w:spacing w:before="40" w:after="120" w:line="360" w:lineRule="auto"/>
      <w:ind w:firstLine="720"/>
      <w:jc w:val="both"/>
      <w:outlineLvl w:val="7"/>
    </w:pPr>
    <w:rPr>
      <w:rFonts w:asciiTheme="majorHAnsi" w:eastAsiaTheme="majorEastAsia" w:hAnsiTheme="majorHAnsi" w:cstheme="majorBidi"/>
      <w:color w:val="272727" w:themeColor="text1" w:themeTint="D8"/>
      <w:sz w:val="21"/>
      <w:szCs w:val="21"/>
      <w:lang w:val="en-GB" w:eastAsia="en-GB"/>
    </w:rPr>
  </w:style>
  <w:style w:type="paragraph" w:styleId="Heading9">
    <w:name w:val="heading 9"/>
    <w:basedOn w:val="Normal"/>
    <w:next w:val="Normal"/>
    <w:link w:val="Heading9Char"/>
    <w:uiPriority w:val="9"/>
    <w:semiHidden/>
    <w:unhideWhenUsed/>
    <w:qFormat/>
    <w:rsid w:val="00EE5514"/>
    <w:pPr>
      <w:keepNext/>
      <w:keepLines/>
      <w:spacing w:before="40" w:after="120" w:line="360" w:lineRule="auto"/>
      <w:ind w:firstLine="720"/>
      <w:jc w:val="both"/>
      <w:outlineLvl w:val="8"/>
    </w:pPr>
    <w:rPr>
      <w:rFonts w:asciiTheme="majorHAnsi" w:eastAsiaTheme="majorEastAsia" w:hAnsiTheme="majorHAnsi" w:cstheme="majorBidi"/>
      <w:i/>
      <w:iCs/>
      <w:color w:val="272727" w:themeColor="text1" w:themeTint="D8"/>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
    <w:name w:val="1AutoList2"/>
    <w:rsid w:val="002C5B8B"/>
    <w:pPr>
      <w:widowControl w:val="0"/>
      <w:tabs>
        <w:tab w:val="left" w:pos="720"/>
      </w:tabs>
      <w:spacing w:after="0" w:line="240" w:lineRule="auto"/>
      <w:ind w:left="720" w:hanging="720"/>
      <w:jc w:val="both"/>
    </w:pPr>
    <w:rPr>
      <w:rFonts w:eastAsia="Times New Roman"/>
      <w:snapToGrid w:val="0"/>
      <w:szCs w:val="20"/>
      <w:lang w:val="en-AU"/>
    </w:rPr>
  </w:style>
  <w:style w:type="paragraph" w:styleId="BalloonText">
    <w:name w:val="Balloon Text"/>
    <w:basedOn w:val="Normal"/>
    <w:link w:val="BalloonTextChar"/>
    <w:uiPriority w:val="99"/>
    <w:semiHidden/>
    <w:unhideWhenUsed/>
    <w:rsid w:val="00E10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3CA"/>
    <w:rPr>
      <w:rFonts w:ascii="Segoe UI" w:hAnsi="Segoe UI" w:cs="Segoe UI"/>
      <w:sz w:val="18"/>
      <w:szCs w:val="18"/>
    </w:rPr>
  </w:style>
  <w:style w:type="paragraph" w:styleId="FootnoteText">
    <w:name w:val="footnote text"/>
    <w:aliases w:val="single space,FOOTNOTES,ft,footnote text,Footnote Text Char2 Char,Footnote Text Char1 Char Char,Footnote Text Char Char Char Char,Footnote Text Char2 Char Char Char Char,Footnote Text Char Char Char Char Char Char,ADB"/>
    <w:basedOn w:val="Normal"/>
    <w:link w:val="FootnoteTextChar"/>
    <w:unhideWhenUsed/>
    <w:qFormat/>
    <w:rsid w:val="00A97771"/>
    <w:pPr>
      <w:spacing w:after="0" w:line="240" w:lineRule="auto"/>
    </w:pPr>
    <w:rPr>
      <w:sz w:val="20"/>
      <w:szCs w:val="20"/>
    </w:rPr>
  </w:style>
  <w:style w:type="character" w:customStyle="1" w:styleId="FootnoteTextChar">
    <w:name w:val="Footnote Text Char"/>
    <w:aliases w:val="single space Char,FOOTNOTES Char,ft Char,footnote text Char,Footnote Text Char2 Char Char,Footnote Text Char1 Char Char Char,Footnote Text Char Char Char Char Char,Footnote Text Char2 Char Char Char Char Char,ADB Char"/>
    <w:basedOn w:val="DefaultParagraphFont"/>
    <w:link w:val="FootnoteText"/>
    <w:rsid w:val="00A97771"/>
    <w:rPr>
      <w:sz w:val="20"/>
      <w:szCs w:val="20"/>
    </w:rPr>
  </w:style>
  <w:style w:type="character" w:styleId="FootnoteReference">
    <w:name w:val="footnote reference"/>
    <w:aliases w:val="ftref,Error-Fußnotenzeichen5,Error-Fußnotenzeichen6,Error-Fußnotenzeichen3,Footnote Reference1,referencia nota al pie,Знак сноски 1,Footnote Reference Number,Footnote Reference_LVL6,Footnote Reference_LVL61,Footnote Reference_LVL62"/>
    <w:basedOn w:val="DefaultParagraphFont"/>
    <w:uiPriority w:val="99"/>
    <w:unhideWhenUsed/>
    <w:rsid w:val="00A97771"/>
    <w:rPr>
      <w:vertAlign w:val="superscript"/>
    </w:rPr>
  </w:style>
  <w:style w:type="character" w:styleId="Hyperlink">
    <w:name w:val="Hyperlink"/>
    <w:basedOn w:val="DefaultParagraphFont"/>
    <w:uiPriority w:val="99"/>
    <w:unhideWhenUsed/>
    <w:rsid w:val="00FE56C8"/>
    <w:rPr>
      <w:color w:val="0563C1" w:themeColor="hyperlink"/>
      <w:u w:val="single"/>
    </w:rPr>
  </w:style>
  <w:style w:type="character" w:customStyle="1" w:styleId="Heading1Char">
    <w:name w:val="Heading 1 Char"/>
    <w:aliases w:val="APA Heading 1 Char,1 thesis Heading 1 Char"/>
    <w:basedOn w:val="DefaultParagraphFont"/>
    <w:link w:val="Heading1"/>
    <w:uiPriority w:val="9"/>
    <w:rsid w:val="00AA562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811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1DF"/>
  </w:style>
  <w:style w:type="paragraph" w:styleId="Footer">
    <w:name w:val="footer"/>
    <w:basedOn w:val="Normal"/>
    <w:link w:val="FooterChar"/>
    <w:uiPriority w:val="99"/>
    <w:unhideWhenUsed/>
    <w:rsid w:val="005811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1DF"/>
  </w:style>
  <w:style w:type="paragraph" w:styleId="ListParagraph">
    <w:name w:val="List Paragraph"/>
    <w:basedOn w:val="Normal"/>
    <w:uiPriority w:val="34"/>
    <w:qFormat/>
    <w:rsid w:val="004327EE"/>
    <w:pPr>
      <w:ind w:left="720"/>
      <w:contextualSpacing/>
    </w:pPr>
  </w:style>
  <w:style w:type="paragraph" w:styleId="BodyText3">
    <w:name w:val="Body Text 3"/>
    <w:basedOn w:val="Normal"/>
    <w:link w:val="BodyText3Char"/>
    <w:uiPriority w:val="99"/>
    <w:rsid w:val="0032699D"/>
    <w:pPr>
      <w:spacing w:after="120" w:line="240" w:lineRule="auto"/>
    </w:pPr>
    <w:rPr>
      <w:rFonts w:eastAsia="Times New Roman"/>
      <w:sz w:val="16"/>
      <w:szCs w:val="20"/>
      <w:lang w:val="en-US"/>
    </w:rPr>
  </w:style>
  <w:style w:type="character" w:customStyle="1" w:styleId="BodyText3Char">
    <w:name w:val="Body Text 3 Char"/>
    <w:basedOn w:val="DefaultParagraphFont"/>
    <w:link w:val="BodyText3"/>
    <w:uiPriority w:val="99"/>
    <w:rsid w:val="0032699D"/>
    <w:rPr>
      <w:rFonts w:eastAsia="Times New Roman"/>
      <w:sz w:val="16"/>
      <w:szCs w:val="20"/>
      <w:lang w:val="en-US"/>
    </w:rPr>
  </w:style>
  <w:style w:type="character" w:styleId="HTMLCite">
    <w:name w:val="HTML Cite"/>
    <w:basedOn w:val="DefaultParagraphFont"/>
    <w:uiPriority w:val="99"/>
    <w:semiHidden/>
    <w:unhideWhenUsed/>
    <w:rsid w:val="00467A48"/>
    <w:rPr>
      <w:i/>
      <w:iCs/>
    </w:rPr>
  </w:style>
  <w:style w:type="paragraph" w:styleId="PlainText">
    <w:name w:val="Plain Text"/>
    <w:basedOn w:val="Normal"/>
    <w:link w:val="PlainTextChar"/>
    <w:uiPriority w:val="99"/>
    <w:unhideWhenUsed/>
    <w:rsid w:val="00FE286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2861"/>
    <w:rPr>
      <w:rFonts w:ascii="Consolas" w:hAnsi="Consolas"/>
      <w:sz w:val="21"/>
      <w:szCs w:val="21"/>
    </w:rPr>
  </w:style>
  <w:style w:type="table" w:styleId="TableGrid">
    <w:name w:val="Table Grid"/>
    <w:basedOn w:val="TableNormal"/>
    <w:uiPriority w:val="39"/>
    <w:rsid w:val="00FE2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author">
    <w:name w:val="post-author"/>
    <w:basedOn w:val="DefaultParagraphFont"/>
    <w:rsid w:val="001A3F51"/>
  </w:style>
  <w:style w:type="character" w:customStyle="1" w:styleId="apple-converted-space">
    <w:name w:val="apple-converted-space"/>
    <w:basedOn w:val="DefaultParagraphFont"/>
    <w:rsid w:val="001A3F51"/>
  </w:style>
  <w:style w:type="character" w:styleId="CommentReference">
    <w:name w:val="annotation reference"/>
    <w:basedOn w:val="DefaultParagraphFont"/>
    <w:uiPriority w:val="99"/>
    <w:semiHidden/>
    <w:unhideWhenUsed/>
    <w:rsid w:val="00C43A0B"/>
    <w:rPr>
      <w:sz w:val="16"/>
      <w:szCs w:val="16"/>
    </w:rPr>
  </w:style>
  <w:style w:type="paragraph" w:styleId="CommentText">
    <w:name w:val="annotation text"/>
    <w:basedOn w:val="Normal"/>
    <w:link w:val="CommentTextChar"/>
    <w:uiPriority w:val="99"/>
    <w:unhideWhenUsed/>
    <w:rsid w:val="00C43A0B"/>
    <w:pPr>
      <w:spacing w:line="240" w:lineRule="auto"/>
    </w:pPr>
    <w:rPr>
      <w:sz w:val="20"/>
      <w:szCs w:val="20"/>
    </w:rPr>
  </w:style>
  <w:style w:type="character" w:customStyle="1" w:styleId="CommentTextChar">
    <w:name w:val="Comment Text Char"/>
    <w:basedOn w:val="DefaultParagraphFont"/>
    <w:link w:val="CommentText"/>
    <w:uiPriority w:val="99"/>
    <w:rsid w:val="00C43A0B"/>
    <w:rPr>
      <w:sz w:val="20"/>
      <w:szCs w:val="20"/>
    </w:rPr>
  </w:style>
  <w:style w:type="paragraph" w:styleId="CommentSubject">
    <w:name w:val="annotation subject"/>
    <w:basedOn w:val="CommentText"/>
    <w:next w:val="CommentText"/>
    <w:link w:val="CommentSubjectChar"/>
    <w:uiPriority w:val="99"/>
    <w:semiHidden/>
    <w:unhideWhenUsed/>
    <w:rsid w:val="00C43A0B"/>
    <w:rPr>
      <w:b/>
      <w:bCs/>
    </w:rPr>
  </w:style>
  <w:style w:type="character" w:customStyle="1" w:styleId="CommentSubjectChar">
    <w:name w:val="Comment Subject Char"/>
    <w:basedOn w:val="CommentTextChar"/>
    <w:link w:val="CommentSubject"/>
    <w:uiPriority w:val="99"/>
    <w:semiHidden/>
    <w:rsid w:val="00C43A0B"/>
    <w:rPr>
      <w:b/>
      <w:bCs/>
      <w:sz w:val="20"/>
      <w:szCs w:val="20"/>
    </w:rPr>
  </w:style>
  <w:style w:type="character" w:styleId="PlaceholderText">
    <w:name w:val="Placeholder Text"/>
    <w:basedOn w:val="DefaultParagraphFont"/>
    <w:uiPriority w:val="99"/>
    <w:semiHidden/>
    <w:rsid w:val="00CF3D5C"/>
    <w:rPr>
      <w:color w:val="808080"/>
    </w:rPr>
  </w:style>
  <w:style w:type="paragraph" w:styleId="NormalWeb">
    <w:name w:val="Normal (Web)"/>
    <w:basedOn w:val="Normal"/>
    <w:uiPriority w:val="99"/>
    <w:unhideWhenUsed/>
    <w:rsid w:val="00B16101"/>
    <w:pPr>
      <w:spacing w:before="100" w:beforeAutospacing="1" w:after="100" w:afterAutospacing="1" w:line="240" w:lineRule="auto"/>
    </w:pPr>
    <w:rPr>
      <w:rFonts w:eastAsia="Times New Roman"/>
      <w:lang w:val="en-US"/>
    </w:rPr>
  </w:style>
  <w:style w:type="character" w:customStyle="1" w:styleId="Heading5Char">
    <w:name w:val="Heading 5 Char"/>
    <w:basedOn w:val="DefaultParagraphFont"/>
    <w:link w:val="Heading5"/>
    <w:uiPriority w:val="9"/>
    <w:semiHidden/>
    <w:rsid w:val="00AA4FA0"/>
    <w:rPr>
      <w:rFonts w:asciiTheme="majorHAnsi" w:eastAsiaTheme="majorEastAsia" w:hAnsiTheme="majorHAnsi" w:cstheme="majorBidi"/>
      <w:color w:val="2E74B5" w:themeColor="accent1" w:themeShade="BF"/>
    </w:rPr>
  </w:style>
  <w:style w:type="paragraph" w:styleId="HTMLPreformatted">
    <w:name w:val="HTML Preformatted"/>
    <w:basedOn w:val="Normal"/>
    <w:link w:val="HTMLPreformattedChar"/>
    <w:uiPriority w:val="99"/>
    <w:semiHidden/>
    <w:unhideWhenUsed/>
    <w:rsid w:val="00F476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606"/>
    <w:rPr>
      <w:rFonts w:ascii="Consolas" w:hAnsi="Consolas"/>
      <w:sz w:val="20"/>
      <w:szCs w:val="20"/>
    </w:rPr>
  </w:style>
  <w:style w:type="character" w:customStyle="1" w:styleId="PlainTextChar1">
    <w:name w:val="Plain Text Char1"/>
    <w:basedOn w:val="DefaultParagraphFont"/>
    <w:uiPriority w:val="99"/>
    <w:rsid w:val="005B7D6B"/>
    <w:rPr>
      <w:rFonts w:ascii="Consolas" w:hAnsi="Consolas" w:cs="Consolas"/>
      <w:sz w:val="21"/>
      <w:szCs w:val="21"/>
    </w:rPr>
  </w:style>
  <w:style w:type="character" w:styleId="FollowedHyperlink">
    <w:name w:val="FollowedHyperlink"/>
    <w:basedOn w:val="DefaultParagraphFont"/>
    <w:uiPriority w:val="99"/>
    <w:semiHidden/>
    <w:unhideWhenUsed/>
    <w:rsid w:val="00F40E38"/>
    <w:rPr>
      <w:color w:val="954F72" w:themeColor="followedHyperlink"/>
      <w:u w:val="single"/>
    </w:rPr>
  </w:style>
  <w:style w:type="character" w:customStyle="1" w:styleId="hgkelc">
    <w:name w:val="hgkelc"/>
    <w:basedOn w:val="DefaultParagraphFont"/>
    <w:rsid w:val="00133C61"/>
  </w:style>
  <w:style w:type="paragraph" w:customStyle="1" w:styleId="Default">
    <w:name w:val="Default"/>
    <w:rsid w:val="00E67C79"/>
    <w:pPr>
      <w:autoSpaceDE w:val="0"/>
      <w:autoSpaceDN w:val="0"/>
      <w:adjustRightInd w:val="0"/>
      <w:spacing w:after="0" w:line="240" w:lineRule="auto"/>
    </w:pPr>
    <w:rPr>
      <w:rFonts w:eastAsia="Times New Roman"/>
      <w:color w:val="000000"/>
      <w:lang w:eastAsia="en-NZ"/>
    </w:rPr>
  </w:style>
  <w:style w:type="paragraph" w:customStyle="1" w:styleId="CM3">
    <w:name w:val="CM3"/>
    <w:basedOn w:val="Default"/>
    <w:next w:val="Default"/>
    <w:rsid w:val="00E67C79"/>
    <w:pPr>
      <w:widowControl w:val="0"/>
    </w:pPr>
    <w:rPr>
      <w:color w:val="auto"/>
      <w:lang w:val="en-US" w:eastAsia="en-US"/>
    </w:rPr>
  </w:style>
  <w:style w:type="paragraph" w:customStyle="1" w:styleId="CM4">
    <w:name w:val="CM4"/>
    <w:basedOn w:val="Default"/>
    <w:next w:val="Default"/>
    <w:rsid w:val="00E67C79"/>
    <w:pPr>
      <w:widowControl w:val="0"/>
      <w:spacing w:line="253" w:lineRule="atLeast"/>
    </w:pPr>
    <w:rPr>
      <w:color w:val="auto"/>
      <w:lang w:val="en-US" w:eastAsia="en-US"/>
    </w:rPr>
  </w:style>
  <w:style w:type="paragraph" w:customStyle="1" w:styleId="CM23">
    <w:name w:val="CM23"/>
    <w:basedOn w:val="Default"/>
    <w:next w:val="Default"/>
    <w:rsid w:val="00E67C79"/>
    <w:pPr>
      <w:widowControl w:val="0"/>
      <w:spacing w:after="233"/>
    </w:pPr>
    <w:rPr>
      <w:color w:val="auto"/>
      <w:lang w:val="en-US" w:eastAsia="en-US"/>
    </w:rPr>
  </w:style>
  <w:style w:type="paragraph" w:styleId="Date">
    <w:name w:val="Date"/>
    <w:basedOn w:val="Normal"/>
    <w:next w:val="Normal"/>
    <w:link w:val="DateChar"/>
    <w:uiPriority w:val="99"/>
    <w:semiHidden/>
    <w:unhideWhenUsed/>
    <w:rsid w:val="006032F9"/>
  </w:style>
  <w:style w:type="character" w:customStyle="1" w:styleId="DateChar">
    <w:name w:val="Date Char"/>
    <w:basedOn w:val="DefaultParagraphFont"/>
    <w:link w:val="Date"/>
    <w:uiPriority w:val="99"/>
    <w:semiHidden/>
    <w:rsid w:val="006032F9"/>
  </w:style>
  <w:style w:type="character" w:customStyle="1" w:styleId="Heading2Char">
    <w:name w:val="Heading 2 Char"/>
    <w:aliases w:val="APA Heading 2 Char,2 thesis Heading 2 Char"/>
    <w:basedOn w:val="DefaultParagraphFont"/>
    <w:link w:val="Heading2"/>
    <w:uiPriority w:val="9"/>
    <w:rsid w:val="00EE5514"/>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EE5514"/>
    <w:pPr>
      <w:spacing w:after="120"/>
    </w:pPr>
  </w:style>
  <w:style w:type="character" w:customStyle="1" w:styleId="BodyTextChar">
    <w:name w:val="Body Text Char"/>
    <w:basedOn w:val="DefaultParagraphFont"/>
    <w:link w:val="BodyText"/>
    <w:uiPriority w:val="1"/>
    <w:rsid w:val="00EE5514"/>
  </w:style>
  <w:style w:type="character" w:customStyle="1" w:styleId="Heading3Char">
    <w:name w:val="Heading 3 Char"/>
    <w:aliases w:val="APA Heading 3 Char,3 thesis Heading 3 Char"/>
    <w:basedOn w:val="DefaultParagraphFont"/>
    <w:link w:val="Heading3"/>
    <w:uiPriority w:val="9"/>
    <w:rsid w:val="00EE5514"/>
    <w:rPr>
      <w:rFonts w:asciiTheme="majorBidi" w:eastAsiaTheme="majorEastAsia" w:hAnsiTheme="majorBidi" w:cstheme="majorBidi"/>
      <w:b/>
      <w:i/>
      <w:color w:val="000000" w:themeColor="text1"/>
      <w:lang w:val="en-GB" w:eastAsia="en-GB"/>
    </w:rPr>
  </w:style>
  <w:style w:type="character" w:customStyle="1" w:styleId="Heading4Char">
    <w:name w:val="Heading 4 Char"/>
    <w:basedOn w:val="DefaultParagraphFont"/>
    <w:link w:val="Heading4"/>
    <w:uiPriority w:val="9"/>
    <w:semiHidden/>
    <w:rsid w:val="00EE5514"/>
    <w:rPr>
      <w:rFonts w:asciiTheme="majorHAnsi" w:eastAsiaTheme="majorEastAsia" w:hAnsiTheme="majorHAnsi" w:cstheme="majorBidi"/>
      <w:i/>
      <w:iCs/>
      <w:color w:val="2E74B5" w:themeColor="accent1" w:themeShade="BF"/>
      <w:lang w:val="en-GB" w:eastAsia="en-GB"/>
    </w:rPr>
  </w:style>
  <w:style w:type="character" w:customStyle="1" w:styleId="Heading6Char">
    <w:name w:val="Heading 6 Char"/>
    <w:basedOn w:val="DefaultParagraphFont"/>
    <w:link w:val="Heading6"/>
    <w:uiPriority w:val="9"/>
    <w:rsid w:val="00EE5514"/>
    <w:rPr>
      <w:rFonts w:asciiTheme="majorHAnsi" w:eastAsiaTheme="majorEastAsia" w:hAnsiTheme="majorHAnsi" w:cstheme="majorBidi"/>
      <w:color w:val="1F4D78" w:themeColor="accent1" w:themeShade="7F"/>
      <w:lang w:val="en-GB" w:eastAsia="en-GB"/>
    </w:rPr>
  </w:style>
  <w:style w:type="character" w:customStyle="1" w:styleId="Heading7Char">
    <w:name w:val="Heading 7 Char"/>
    <w:basedOn w:val="DefaultParagraphFont"/>
    <w:link w:val="Heading7"/>
    <w:uiPriority w:val="9"/>
    <w:semiHidden/>
    <w:rsid w:val="00EE5514"/>
    <w:rPr>
      <w:rFonts w:asciiTheme="majorHAnsi" w:eastAsiaTheme="majorEastAsia" w:hAnsiTheme="majorHAnsi" w:cstheme="majorBidi"/>
      <w:i/>
      <w:iCs/>
      <w:color w:val="1F4D78" w:themeColor="accent1" w:themeShade="7F"/>
      <w:lang w:val="en-GB" w:eastAsia="en-GB"/>
    </w:rPr>
  </w:style>
  <w:style w:type="character" w:customStyle="1" w:styleId="Heading8Char">
    <w:name w:val="Heading 8 Char"/>
    <w:basedOn w:val="DefaultParagraphFont"/>
    <w:link w:val="Heading8"/>
    <w:uiPriority w:val="9"/>
    <w:semiHidden/>
    <w:rsid w:val="00EE5514"/>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EE5514"/>
    <w:rPr>
      <w:rFonts w:asciiTheme="majorHAnsi" w:eastAsiaTheme="majorEastAsia" w:hAnsiTheme="majorHAnsi" w:cstheme="majorBidi"/>
      <w:i/>
      <w:iCs/>
      <w:color w:val="272727" w:themeColor="text1" w:themeTint="D8"/>
      <w:sz w:val="21"/>
      <w:szCs w:val="21"/>
      <w:lang w:val="en-GB" w:eastAsia="en-GB"/>
    </w:rPr>
  </w:style>
  <w:style w:type="character" w:customStyle="1" w:styleId="citationref">
    <w:name w:val="citationref"/>
    <w:basedOn w:val="DefaultParagraphFont"/>
    <w:rsid w:val="00EE5514"/>
  </w:style>
  <w:style w:type="character" w:customStyle="1" w:styleId="ref-lnk">
    <w:name w:val="ref-lnk"/>
    <w:basedOn w:val="DefaultParagraphFont"/>
    <w:rsid w:val="00EE5514"/>
  </w:style>
  <w:style w:type="character" w:customStyle="1" w:styleId="hlfld-contribauthor">
    <w:name w:val="hlfld-contribauthor"/>
    <w:basedOn w:val="DefaultParagraphFont"/>
    <w:rsid w:val="00EE5514"/>
  </w:style>
  <w:style w:type="character" w:customStyle="1" w:styleId="nlmgiven-names">
    <w:name w:val="nlm_given-names"/>
    <w:basedOn w:val="DefaultParagraphFont"/>
    <w:rsid w:val="00EE5514"/>
  </w:style>
  <w:style w:type="character" w:customStyle="1" w:styleId="nlmyear">
    <w:name w:val="nlm_year"/>
    <w:basedOn w:val="DefaultParagraphFont"/>
    <w:rsid w:val="00EE5514"/>
  </w:style>
  <w:style w:type="character" w:customStyle="1" w:styleId="nlmpublisher-loc">
    <w:name w:val="nlm_publisher-loc"/>
    <w:basedOn w:val="DefaultParagraphFont"/>
    <w:rsid w:val="00EE5514"/>
  </w:style>
  <w:style w:type="character" w:customStyle="1" w:styleId="nlmpublisher-name">
    <w:name w:val="nlm_publisher-name"/>
    <w:basedOn w:val="DefaultParagraphFont"/>
    <w:rsid w:val="00EE5514"/>
  </w:style>
  <w:style w:type="character" w:customStyle="1" w:styleId="reflink-block">
    <w:name w:val="reflink-block"/>
    <w:basedOn w:val="DefaultParagraphFont"/>
    <w:rsid w:val="00EE5514"/>
  </w:style>
  <w:style w:type="character" w:customStyle="1" w:styleId="googlescholar-container">
    <w:name w:val="googlescholar-container"/>
    <w:basedOn w:val="DefaultParagraphFont"/>
    <w:rsid w:val="00EE5514"/>
  </w:style>
  <w:style w:type="character" w:customStyle="1" w:styleId="nlmarticle-title">
    <w:name w:val="nlm_article-title"/>
    <w:basedOn w:val="DefaultParagraphFont"/>
    <w:rsid w:val="00EE5514"/>
  </w:style>
  <w:style w:type="character" w:customStyle="1" w:styleId="nlmfpage">
    <w:name w:val="nlm_fpage"/>
    <w:basedOn w:val="DefaultParagraphFont"/>
    <w:rsid w:val="00EE5514"/>
  </w:style>
  <w:style w:type="character" w:customStyle="1" w:styleId="nlmlpage">
    <w:name w:val="nlm_lpage"/>
    <w:basedOn w:val="DefaultParagraphFont"/>
    <w:rsid w:val="00EE5514"/>
  </w:style>
  <w:style w:type="paragraph" w:styleId="Caption">
    <w:name w:val="caption"/>
    <w:basedOn w:val="Normal"/>
    <w:next w:val="Normal"/>
    <w:uiPriority w:val="35"/>
    <w:semiHidden/>
    <w:unhideWhenUsed/>
    <w:qFormat/>
    <w:rsid w:val="00EE5514"/>
    <w:pPr>
      <w:spacing w:before="120" w:after="200" w:line="360" w:lineRule="auto"/>
      <w:ind w:firstLine="720"/>
      <w:jc w:val="both"/>
    </w:pPr>
    <w:rPr>
      <w:rFonts w:eastAsia="Times New Roman"/>
      <w:i/>
      <w:iCs/>
      <w:color w:val="44546A" w:themeColor="text2"/>
      <w:sz w:val="18"/>
      <w:szCs w:val="18"/>
      <w:lang w:val="en-GB" w:eastAsia="en-GB"/>
    </w:rPr>
  </w:style>
  <w:style w:type="paragraph" w:styleId="Title">
    <w:name w:val="Title"/>
    <w:basedOn w:val="Normal"/>
    <w:next w:val="Normal"/>
    <w:link w:val="TitleChar"/>
    <w:uiPriority w:val="10"/>
    <w:qFormat/>
    <w:rsid w:val="00EE5514"/>
    <w:pPr>
      <w:spacing w:before="120" w:after="120" w:line="360" w:lineRule="auto"/>
      <w:ind w:firstLine="720"/>
      <w:contextualSpacing/>
      <w:jc w:val="both"/>
    </w:pPr>
    <w:rPr>
      <w:rFonts w:asciiTheme="majorHAnsi" w:eastAsiaTheme="majorEastAsia" w:hAnsiTheme="majorHAnsi" w:cstheme="majorBidi"/>
      <w:spacing w:val="-10"/>
      <w:kern w:val="28"/>
      <w:sz w:val="56"/>
      <w:szCs w:val="56"/>
      <w:lang w:val="en-GB" w:eastAsia="en-GB"/>
    </w:rPr>
  </w:style>
  <w:style w:type="character" w:customStyle="1" w:styleId="TitleChar">
    <w:name w:val="Title Char"/>
    <w:basedOn w:val="DefaultParagraphFont"/>
    <w:link w:val="Title"/>
    <w:uiPriority w:val="10"/>
    <w:rsid w:val="00EE5514"/>
    <w:rPr>
      <w:rFonts w:asciiTheme="majorHAnsi" w:eastAsiaTheme="majorEastAsia" w:hAnsiTheme="majorHAnsi" w:cstheme="majorBidi"/>
      <w:spacing w:val="-10"/>
      <w:kern w:val="28"/>
      <w:sz w:val="56"/>
      <w:szCs w:val="56"/>
      <w:lang w:val="en-GB" w:eastAsia="en-GB"/>
    </w:rPr>
  </w:style>
  <w:style w:type="paragraph" w:styleId="Subtitle">
    <w:name w:val="Subtitle"/>
    <w:aliases w:val="references"/>
    <w:basedOn w:val="Normal"/>
    <w:next w:val="Normal"/>
    <w:link w:val="SubtitleChar"/>
    <w:uiPriority w:val="11"/>
    <w:qFormat/>
    <w:rsid w:val="00EE5514"/>
    <w:pPr>
      <w:numPr>
        <w:ilvl w:val="1"/>
      </w:numPr>
      <w:spacing w:before="120" w:line="360" w:lineRule="auto"/>
      <w:ind w:firstLine="720"/>
      <w:jc w:val="both"/>
    </w:pPr>
    <w:rPr>
      <w:rFonts w:asciiTheme="minorHAnsi" w:eastAsiaTheme="minorEastAsia" w:hAnsiTheme="minorHAnsi" w:cstheme="minorBidi"/>
      <w:color w:val="5A5A5A" w:themeColor="text1" w:themeTint="A5"/>
      <w:spacing w:val="15"/>
      <w:sz w:val="22"/>
      <w:szCs w:val="22"/>
      <w:lang w:val="en-GB" w:eastAsia="en-GB"/>
    </w:rPr>
  </w:style>
  <w:style w:type="character" w:customStyle="1" w:styleId="SubtitleChar">
    <w:name w:val="Subtitle Char"/>
    <w:aliases w:val="references Char"/>
    <w:basedOn w:val="DefaultParagraphFont"/>
    <w:link w:val="Subtitle"/>
    <w:uiPriority w:val="11"/>
    <w:rsid w:val="00EE5514"/>
    <w:rPr>
      <w:rFonts w:asciiTheme="minorHAnsi" w:eastAsiaTheme="minorEastAsia" w:hAnsiTheme="minorHAnsi" w:cstheme="minorBidi"/>
      <w:color w:val="5A5A5A" w:themeColor="text1" w:themeTint="A5"/>
      <w:spacing w:val="15"/>
      <w:sz w:val="22"/>
      <w:szCs w:val="22"/>
      <w:lang w:val="en-GB" w:eastAsia="en-GB"/>
    </w:rPr>
  </w:style>
  <w:style w:type="character" w:styleId="Strong">
    <w:name w:val="Strong"/>
    <w:basedOn w:val="DefaultParagraphFont"/>
    <w:uiPriority w:val="22"/>
    <w:qFormat/>
    <w:rsid w:val="00EE5514"/>
    <w:rPr>
      <w:b/>
      <w:bCs/>
    </w:rPr>
  </w:style>
  <w:style w:type="character" w:styleId="Emphasis">
    <w:name w:val="Emphasis"/>
    <w:basedOn w:val="DefaultParagraphFont"/>
    <w:uiPriority w:val="20"/>
    <w:qFormat/>
    <w:rsid w:val="00EE5514"/>
    <w:rPr>
      <w:i/>
      <w:iCs/>
    </w:rPr>
  </w:style>
  <w:style w:type="paragraph" w:styleId="NoSpacing">
    <w:name w:val="No Spacing"/>
    <w:link w:val="NoSpacingChar"/>
    <w:uiPriority w:val="1"/>
    <w:qFormat/>
    <w:rsid w:val="00EE5514"/>
    <w:pPr>
      <w:spacing w:after="0" w:line="240" w:lineRule="auto"/>
    </w:pPr>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EE5514"/>
    <w:rPr>
      <w:rFonts w:asciiTheme="minorHAnsi" w:eastAsiaTheme="minorEastAsia" w:hAnsiTheme="minorHAnsi" w:cstheme="minorBidi"/>
      <w:sz w:val="22"/>
      <w:szCs w:val="22"/>
      <w:lang w:val="en-US" w:eastAsia="zh-CN"/>
    </w:rPr>
  </w:style>
  <w:style w:type="paragraph" w:styleId="Quote">
    <w:name w:val="Quote"/>
    <w:basedOn w:val="Normal"/>
    <w:next w:val="Normal"/>
    <w:link w:val="QuoteChar"/>
    <w:uiPriority w:val="29"/>
    <w:qFormat/>
    <w:rsid w:val="00EE5514"/>
    <w:pPr>
      <w:spacing w:before="200" w:line="360" w:lineRule="auto"/>
      <w:ind w:left="864" w:right="864" w:firstLine="720"/>
      <w:jc w:val="center"/>
    </w:pPr>
    <w:rPr>
      <w:rFonts w:eastAsia="Times New Roman" w:cstheme="majorBidi"/>
      <w:i/>
      <w:iCs/>
      <w:color w:val="404040" w:themeColor="text1" w:themeTint="BF"/>
      <w:lang w:val="en-GB" w:eastAsia="en-GB"/>
    </w:rPr>
  </w:style>
  <w:style w:type="character" w:customStyle="1" w:styleId="QuoteChar">
    <w:name w:val="Quote Char"/>
    <w:basedOn w:val="DefaultParagraphFont"/>
    <w:link w:val="Quote"/>
    <w:uiPriority w:val="29"/>
    <w:rsid w:val="00EE5514"/>
    <w:rPr>
      <w:rFonts w:eastAsia="Times New Roman" w:cstheme="majorBidi"/>
      <w:i/>
      <w:iCs/>
      <w:color w:val="404040" w:themeColor="text1" w:themeTint="BF"/>
      <w:lang w:val="en-GB" w:eastAsia="en-GB"/>
    </w:rPr>
  </w:style>
  <w:style w:type="paragraph" w:styleId="IntenseQuote">
    <w:name w:val="Intense Quote"/>
    <w:basedOn w:val="Normal"/>
    <w:next w:val="Normal"/>
    <w:link w:val="IntenseQuoteChar"/>
    <w:uiPriority w:val="30"/>
    <w:qFormat/>
    <w:rsid w:val="00EE5514"/>
    <w:pPr>
      <w:pBdr>
        <w:top w:val="single" w:sz="4" w:space="10" w:color="5B9BD5" w:themeColor="accent1"/>
        <w:bottom w:val="single" w:sz="4" w:space="10" w:color="5B9BD5" w:themeColor="accent1"/>
      </w:pBdr>
      <w:spacing w:before="360" w:after="360" w:line="360" w:lineRule="auto"/>
      <w:ind w:left="864" w:right="864" w:firstLine="720"/>
      <w:jc w:val="center"/>
    </w:pPr>
    <w:rPr>
      <w:rFonts w:eastAsiaTheme="majorEastAsia" w:cstheme="majorBidi"/>
      <w:i/>
      <w:iCs/>
      <w:color w:val="5B9BD5" w:themeColor="accent1"/>
      <w:lang w:val="en-GB" w:eastAsia="en-GB"/>
    </w:rPr>
  </w:style>
  <w:style w:type="character" w:customStyle="1" w:styleId="IntenseQuoteChar">
    <w:name w:val="Intense Quote Char"/>
    <w:basedOn w:val="DefaultParagraphFont"/>
    <w:link w:val="IntenseQuote"/>
    <w:uiPriority w:val="30"/>
    <w:rsid w:val="00EE5514"/>
    <w:rPr>
      <w:rFonts w:eastAsiaTheme="majorEastAsia" w:cstheme="majorBidi"/>
      <w:i/>
      <w:iCs/>
      <w:color w:val="5B9BD5" w:themeColor="accent1"/>
      <w:lang w:val="en-GB" w:eastAsia="en-GB"/>
    </w:rPr>
  </w:style>
  <w:style w:type="character" w:styleId="SubtleEmphasis">
    <w:name w:val="Subtle Emphasis"/>
    <w:uiPriority w:val="19"/>
    <w:qFormat/>
    <w:rsid w:val="00EE5514"/>
    <w:rPr>
      <w:i/>
      <w:iCs/>
      <w:color w:val="404040" w:themeColor="text1" w:themeTint="BF"/>
    </w:rPr>
  </w:style>
  <w:style w:type="character" w:styleId="IntenseEmphasis">
    <w:name w:val="Intense Emphasis"/>
    <w:uiPriority w:val="21"/>
    <w:qFormat/>
    <w:rsid w:val="00EE5514"/>
    <w:rPr>
      <w:i/>
      <w:iCs/>
      <w:color w:val="5B9BD5" w:themeColor="accent1"/>
    </w:rPr>
  </w:style>
  <w:style w:type="character" w:styleId="SubtleReference">
    <w:name w:val="Subtle Reference"/>
    <w:uiPriority w:val="31"/>
    <w:qFormat/>
    <w:rsid w:val="00EE5514"/>
    <w:rPr>
      <w:smallCaps/>
      <w:color w:val="5A5A5A" w:themeColor="text1" w:themeTint="A5"/>
    </w:rPr>
  </w:style>
  <w:style w:type="character" w:styleId="IntenseReference">
    <w:name w:val="Intense Reference"/>
    <w:uiPriority w:val="32"/>
    <w:qFormat/>
    <w:rsid w:val="00EE5514"/>
    <w:rPr>
      <w:b/>
      <w:bCs/>
      <w:smallCaps/>
      <w:color w:val="5B9BD5" w:themeColor="accent1"/>
      <w:spacing w:val="5"/>
    </w:rPr>
  </w:style>
  <w:style w:type="character" w:styleId="BookTitle">
    <w:name w:val="Book Title"/>
    <w:uiPriority w:val="33"/>
    <w:qFormat/>
    <w:rsid w:val="00EE5514"/>
    <w:rPr>
      <w:b/>
      <w:bCs/>
      <w:i/>
      <w:iCs/>
      <w:spacing w:val="5"/>
    </w:rPr>
  </w:style>
  <w:style w:type="paragraph" w:styleId="TOCHeading">
    <w:name w:val="TOC Heading"/>
    <w:basedOn w:val="Heading1"/>
    <w:next w:val="Normal"/>
    <w:uiPriority w:val="39"/>
    <w:unhideWhenUsed/>
    <w:qFormat/>
    <w:rsid w:val="00EE5514"/>
    <w:pPr>
      <w:spacing w:after="120" w:line="240" w:lineRule="auto"/>
      <w:outlineLvl w:val="9"/>
    </w:pPr>
    <w:rPr>
      <w:lang w:val="en-GB" w:eastAsia="en-GB"/>
    </w:rPr>
  </w:style>
  <w:style w:type="character" w:customStyle="1" w:styleId="UnresolvedMention1">
    <w:name w:val="Unresolved Mention1"/>
    <w:basedOn w:val="DefaultParagraphFont"/>
    <w:uiPriority w:val="99"/>
    <w:semiHidden/>
    <w:unhideWhenUsed/>
    <w:rsid w:val="00EE5514"/>
    <w:rPr>
      <w:color w:val="605E5C"/>
      <w:shd w:val="clear" w:color="auto" w:fill="E1DFDD"/>
    </w:rPr>
  </w:style>
  <w:style w:type="character" w:customStyle="1" w:styleId="nlmpub-id">
    <w:name w:val="nlm_pub-id"/>
    <w:basedOn w:val="DefaultParagraphFont"/>
    <w:rsid w:val="00EE5514"/>
  </w:style>
  <w:style w:type="character" w:customStyle="1" w:styleId="xlinks-container">
    <w:name w:val="xlinks-container"/>
    <w:basedOn w:val="DefaultParagraphFont"/>
    <w:rsid w:val="00EE5514"/>
  </w:style>
  <w:style w:type="paragraph" w:customStyle="1" w:styleId="EndNoteBibliography">
    <w:name w:val="EndNote Bibliography"/>
    <w:basedOn w:val="Normal"/>
    <w:link w:val="EndNoteBibliographyChar"/>
    <w:rsid w:val="00EE5514"/>
    <w:pPr>
      <w:spacing w:before="240" w:after="240" w:line="360" w:lineRule="auto"/>
      <w:ind w:firstLine="851"/>
      <w:jc w:val="both"/>
    </w:pPr>
    <w:rPr>
      <w:rFonts w:eastAsia="Times New Roman"/>
      <w:lang w:val="en-GB" w:eastAsia="en-GB"/>
    </w:rPr>
  </w:style>
  <w:style w:type="character" w:customStyle="1" w:styleId="EndNoteBibliographyChar">
    <w:name w:val="EndNote Bibliography Char"/>
    <w:basedOn w:val="DefaultParagraphFont"/>
    <w:link w:val="EndNoteBibliography"/>
    <w:rsid w:val="00EE5514"/>
    <w:rPr>
      <w:rFonts w:eastAsia="Times New Roman"/>
      <w:lang w:val="en-GB" w:eastAsia="en-GB"/>
    </w:rPr>
  </w:style>
  <w:style w:type="table" w:styleId="PlainTable3">
    <w:name w:val="Plain Table 3"/>
    <w:basedOn w:val="TableNormal"/>
    <w:uiPriority w:val="43"/>
    <w:rsid w:val="00EE5514"/>
    <w:pPr>
      <w:spacing w:before="24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EE5514"/>
    <w:rPr>
      <w:color w:val="605E5C"/>
      <w:shd w:val="clear" w:color="auto" w:fill="E1DFDD"/>
    </w:rPr>
  </w:style>
  <w:style w:type="character" w:customStyle="1" w:styleId="header-section-number">
    <w:name w:val="header-section-number"/>
    <w:basedOn w:val="DefaultParagraphFont"/>
    <w:rsid w:val="00EE5514"/>
  </w:style>
  <w:style w:type="character" w:customStyle="1" w:styleId="italic">
    <w:name w:val="italic"/>
    <w:basedOn w:val="DefaultParagraphFont"/>
    <w:rsid w:val="00EE5514"/>
  </w:style>
  <w:style w:type="paragraph" w:styleId="Revision">
    <w:name w:val="Revision"/>
    <w:hidden/>
    <w:uiPriority w:val="99"/>
    <w:semiHidden/>
    <w:rsid w:val="00EE5514"/>
    <w:pPr>
      <w:spacing w:after="0" w:line="240" w:lineRule="auto"/>
    </w:pPr>
    <w:rPr>
      <w:rFonts w:eastAsia="Times New Roman"/>
      <w:lang w:val="en-GB" w:eastAsia="en-GB"/>
    </w:rPr>
  </w:style>
  <w:style w:type="character" w:customStyle="1" w:styleId="nlmpage-range">
    <w:name w:val="nlm_page-range"/>
    <w:basedOn w:val="DefaultParagraphFont"/>
    <w:rsid w:val="00EE5514"/>
  </w:style>
  <w:style w:type="paragraph" w:customStyle="1" w:styleId="blurb-text">
    <w:name w:val="blurb-text"/>
    <w:basedOn w:val="Normal"/>
    <w:uiPriority w:val="99"/>
    <w:rsid w:val="00EE5514"/>
    <w:pPr>
      <w:spacing w:before="100" w:beforeAutospacing="1" w:after="100" w:afterAutospacing="1" w:line="240" w:lineRule="auto"/>
    </w:pPr>
    <w:rPr>
      <w:rFonts w:eastAsia="Times New Roman"/>
      <w:lang w:eastAsia="en-NZ"/>
    </w:rPr>
  </w:style>
  <w:style w:type="character" w:customStyle="1" w:styleId="ng-tns-c1-0">
    <w:name w:val="ng-tns-c1-0"/>
    <w:basedOn w:val="DefaultParagraphFont"/>
    <w:rsid w:val="00EE5514"/>
  </w:style>
  <w:style w:type="paragraph" w:customStyle="1" w:styleId="TableParagraph">
    <w:name w:val="Table Paragraph"/>
    <w:basedOn w:val="Normal"/>
    <w:uiPriority w:val="1"/>
    <w:qFormat/>
    <w:rsid w:val="00EE5514"/>
    <w:pPr>
      <w:widowControl w:val="0"/>
      <w:autoSpaceDE w:val="0"/>
      <w:autoSpaceDN w:val="0"/>
      <w:spacing w:after="0" w:line="240" w:lineRule="auto"/>
    </w:pPr>
    <w:rPr>
      <w:rFonts w:eastAsia="Times New Roman"/>
      <w:sz w:val="22"/>
      <w:szCs w:val="22"/>
      <w:lang w:val="en-US"/>
    </w:rPr>
  </w:style>
  <w:style w:type="table" w:styleId="TableGridLight">
    <w:name w:val="Grid Table Light"/>
    <w:basedOn w:val="TableNormal"/>
    <w:uiPriority w:val="40"/>
    <w:rsid w:val="00EE5514"/>
    <w:pPr>
      <w:spacing w:after="0" w:line="240" w:lineRule="auto"/>
    </w:pPr>
    <w:rPr>
      <w:rFonts w:ascii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nvas-atom">
    <w:name w:val="canvas-atom"/>
    <w:basedOn w:val="Normal"/>
    <w:rsid w:val="00EE5514"/>
    <w:pPr>
      <w:spacing w:before="100" w:beforeAutospacing="1" w:after="100" w:afterAutospacing="1" w:line="240" w:lineRule="auto"/>
    </w:pPr>
    <w:rPr>
      <w:rFonts w:eastAsia="Times New Roman"/>
      <w:lang w:val="en-US"/>
    </w:rPr>
  </w:style>
  <w:style w:type="character" w:customStyle="1" w:styleId="author">
    <w:name w:val="author"/>
    <w:basedOn w:val="DefaultParagraphFont"/>
    <w:rsid w:val="00EE5514"/>
  </w:style>
  <w:style w:type="character" w:customStyle="1" w:styleId="pubyear">
    <w:name w:val="pubyear"/>
    <w:basedOn w:val="DefaultParagraphFont"/>
    <w:rsid w:val="00EE5514"/>
  </w:style>
  <w:style w:type="character" w:customStyle="1" w:styleId="chaptertitle">
    <w:name w:val="chaptertitle"/>
    <w:basedOn w:val="DefaultParagraphFont"/>
    <w:rsid w:val="00EE5514"/>
  </w:style>
  <w:style w:type="character" w:customStyle="1" w:styleId="editor">
    <w:name w:val="editor"/>
    <w:basedOn w:val="DefaultParagraphFont"/>
    <w:rsid w:val="00EE5514"/>
  </w:style>
  <w:style w:type="character" w:customStyle="1" w:styleId="booktitle0">
    <w:name w:val="booktitle"/>
    <w:basedOn w:val="DefaultParagraphFont"/>
    <w:rsid w:val="00EE5514"/>
  </w:style>
  <w:style w:type="character" w:customStyle="1" w:styleId="pagefirst">
    <w:name w:val="pagefirst"/>
    <w:basedOn w:val="DefaultParagraphFont"/>
    <w:rsid w:val="00EE5514"/>
  </w:style>
  <w:style w:type="character" w:customStyle="1" w:styleId="pagelast">
    <w:name w:val="pagelast"/>
    <w:basedOn w:val="DefaultParagraphFont"/>
    <w:rsid w:val="00EE5514"/>
  </w:style>
  <w:style w:type="character" w:customStyle="1" w:styleId="publisherlocation">
    <w:name w:val="publisherlocation"/>
    <w:basedOn w:val="DefaultParagraphFont"/>
    <w:rsid w:val="00EE5514"/>
  </w:style>
  <w:style w:type="character" w:customStyle="1" w:styleId="name">
    <w:name w:val="name"/>
    <w:basedOn w:val="DefaultParagraphFont"/>
    <w:rsid w:val="00EE5514"/>
  </w:style>
  <w:style w:type="character" w:customStyle="1" w:styleId="surname">
    <w:name w:val="surname"/>
    <w:basedOn w:val="DefaultParagraphFont"/>
    <w:rsid w:val="00EE5514"/>
  </w:style>
  <w:style w:type="character" w:customStyle="1" w:styleId="given-names">
    <w:name w:val="given-names"/>
    <w:basedOn w:val="DefaultParagraphFont"/>
    <w:rsid w:val="00EE5514"/>
  </w:style>
  <w:style w:type="character" w:customStyle="1" w:styleId="year">
    <w:name w:val="year"/>
    <w:basedOn w:val="DefaultParagraphFont"/>
    <w:rsid w:val="00EE5514"/>
  </w:style>
  <w:style w:type="character" w:customStyle="1" w:styleId="source">
    <w:name w:val="source"/>
    <w:basedOn w:val="DefaultParagraphFont"/>
    <w:rsid w:val="00EE5514"/>
  </w:style>
  <w:style w:type="character" w:customStyle="1" w:styleId="publisher-loc">
    <w:name w:val="publisher-loc"/>
    <w:basedOn w:val="DefaultParagraphFont"/>
    <w:rsid w:val="00EE5514"/>
  </w:style>
  <w:style w:type="character" w:customStyle="1" w:styleId="publisher-name">
    <w:name w:val="publisher-name"/>
    <w:basedOn w:val="DefaultParagraphFont"/>
    <w:rsid w:val="00EE5514"/>
  </w:style>
  <w:style w:type="character" w:customStyle="1" w:styleId="article-title">
    <w:name w:val="article-title"/>
    <w:basedOn w:val="DefaultParagraphFont"/>
    <w:rsid w:val="00EE5514"/>
  </w:style>
  <w:style w:type="character" w:customStyle="1" w:styleId="volume">
    <w:name w:val="volume"/>
    <w:basedOn w:val="DefaultParagraphFont"/>
    <w:rsid w:val="00EE5514"/>
  </w:style>
  <w:style w:type="character" w:customStyle="1" w:styleId="fpage">
    <w:name w:val="fpage"/>
    <w:basedOn w:val="DefaultParagraphFont"/>
    <w:rsid w:val="00EE5514"/>
  </w:style>
  <w:style w:type="paragraph" w:styleId="TOC1">
    <w:name w:val="toc 1"/>
    <w:basedOn w:val="Normal"/>
    <w:next w:val="Normal"/>
    <w:autoRedefine/>
    <w:uiPriority w:val="39"/>
    <w:unhideWhenUsed/>
    <w:rsid w:val="00EE5514"/>
    <w:pPr>
      <w:tabs>
        <w:tab w:val="right" w:leader="dot" w:pos="9026"/>
      </w:tabs>
      <w:spacing w:after="0" w:line="240" w:lineRule="auto"/>
      <w:ind w:left="1276" w:right="521" w:hanging="1276"/>
    </w:pPr>
    <w:rPr>
      <w:rFonts w:asciiTheme="minorHAnsi" w:hAnsiTheme="minorHAnsi"/>
      <w:b/>
      <w:bCs/>
      <w:caps/>
      <w:sz w:val="20"/>
      <w:szCs w:val="20"/>
      <w:lang w:eastAsia="en-GB"/>
    </w:rPr>
  </w:style>
  <w:style w:type="paragraph" w:styleId="TOC2">
    <w:name w:val="toc 2"/>
    <w:basedOn w:val="Normal"/>
    <w:next w:val="Normal"/>
    <w:autoRedefine/>
    <w:uiPriority w:val="39"/>
    <w:unhideWhenUsed/>
    <w:rsid w:val="00EE5514"/>
    <w:pPr>
      <w:tabs>
        <w:tab w:val="left" w:pos="1843"/>
        <w:tab w:val="right" w:leader="dot" w:pos="9026"/>
      </w:tabs>
      <w:spacing w:after="0" w:line="240" w:lineRule="auto"/>
      <w:ind w:left="1843" w:right="521" w:hanging="611"/>
    </w:pPr>
    <w:rPr>
      <w:rFonts w:asciiTheme="minorHAnsi" w:hAnsiTheme="minorHAnsi"/>
      <w:smallCaps/>
      <w:sz w:val="20"/>
      <w:szCs w:val="20"/>
      <w:lang w:eastAsia="en-GB"/>
    </w:rPr>
  </w:style>
  <w:style w:type="paragraph" w:styleId="TOC3">
    <w:name w:val="toc 3"/>
    <w:basedOn w:val="Normal"/>
    <w:next w:val="Normal"/>
    <w:autoRedefine/>
    <w:uiPriority w:val="39"/>
    <w:unhideWhenUsed/>
    <w:rsid w:val="00EE5514"/>
    <w:pPr>
      <w:spacing w:after="0" w:line="480" w:lineRule="auto"/>
      <w:ind w:left="480"/>
    </w:pPr>
    <w:rPr>
      <w:rFonts w:asciiTheme="minorHAnsi" w:hAnsiTheme="minorHAnsi"/>
      <w:i/>
      <w:iCs/>
      <w:sz w:val="20"/>
      <w:szCs w:val="20"/>
      <w:lang w:eastAsia="en-GB"/>
    </w:rPr>
  </w:style>
  <w:style w:type="paragraph" w:styleId="TOC4">
    <w:name w:val="toc 4"/>
    <w:basedOn w:val="Normal"/>
    <w:next w:val="Normal"/>
    <w:autoRedefine/>
    <w:uiPriority w:val="39"/>
    <w:semiHidden/>
    <w:unhideWhenUsed/>
    <w:rsid w:val="00EE5514"/>
    <w:pPr>
      <w:spacing w:after="0" w:line="480" w:lineRule="auto"/>
      <w:ind w:left="720"/>
    </w:pPr>
    <w:rPr>
      <w:rFonts w:asciiTheme="minorHAnsi" w:hAnsiTheme="minorHAnsi"/>
      <w:sz w:val="18"/>
      <w:szCs w:val="18"/>
      <w:lang w:eastAsia="en-GB"/>
    </w:rPr>
  </w:style>
  <w:style w:type="paragraph" w:styleId="TOC5">
    <w:name w:val="toc 5"/>
    <w:basedOn w:val="Normal"/>
    <w:next w:val="Normal"/>
    <w:autoRedefine/>
    <w:uiPriority w:val="39"/>
    <w:semiHidden/>
    <w:unhideWhenUsed/>
    <w:rsid w:val="00EE5514"/>
    <w:pPr>
      <w:spacing w:after="0" w:line="480" w:lineRule="auto"/>
      <w:ind w:left="960"/>
    </w:pPr>
    <w:rPr>
      <w:rFonts w:asciiTheme="minorHAnsi" w:hAnsiTheme="minorHAnsi"/>
      <w:sz w:val="18"/>
      <w:szCs w:val="18"/>
      <w:lang w:eastAsia="en-GB"/>
    </w:rPr>
  </w:style>
  <w:style w:type="paragraph" w:styleId="TOC6">
    <w:name w:val="toc 6"/>
    <w:basedOn w:val="Normal"/>
    <w:next w:val="Normal"/>
    <w:autoRedefine/>
    <w:uiPriority w:val="39"/>
    <w:semiHidden/>
    <w:unhideWhenUsed/>
    <w:rsid w:val="00EE5514"/>
    <w:pPr>
      <w:spacing w:after="0" w:line="480" w:lineRule="auto"/>
      <w:ind w:left="1200"/>
    </w:pPr>
    <w:rPr>
      <w:rFonts w:asciiTheme="minorHAnsi" w:hAnsiTheme="minorHAnsi"/>
      <w:sz w:val="18"/>
      <w:szCs w:val="18"/>
      <w:lang w:eastAsia="en-GB"/>
    </w:rPr>
  </w:style>
  <w:style w:type="paragraph" w:styleId="TOC7">
    <w:name w:val="toc 7"/>
    <w:basedOn w:val="Normal"/>
    <w:next w:val="Normal"/>
    <w:autoRedefine/>
    <w:uiPriority w:val="39"/>
    <w:semiHidden/>
    <w:unhideWhenUsed/>
    <w:rsid w:val="00EE5514"/>
    <w:pPr>
      <w:spacing w:after="0" w:line="480" w:lineRule="auto"/>
      <w:ind w:left="1440"/>
    </w:pPr>
    <w:rPr>
      <w:rFonts w:asciiTheme="minorHAnsi" w:hAnsiTheme="minorHAnsi"/>
      <w:sz w:val="18"/>
      <w:szCs w:val="18"/>
      <w:lang w:eastAsia="en-GB"/>
    </w:rPr>
  </w:style>
  <w:style w:type="paragraph" w:styleId="TOC8">
    <w:name w:val="toc 8"/>
    <w:basedOn w:val="Normal"/>
    <w:next w:val="Normal"/>
    <w:autoRedefine/>
    <w:uiPriority w:val="39"/>
    <w:semiHidden/>
    <w:unhideWhenUsed/>
    <w:rsid w:val="00EE5514"/>
    <w:pPr>
      <w:spacing w:after="0" w:line="480" w:lineRule="auto"/>
      <w:ind w:left="1680"/>
    </w:pPr>
    <w:rPr>
      <w:rFonts w:asciiTheme="minorHAnsi" w:hAnsiTheme="minorHAnsi"/>
      <w:sz w:val="18"/>
      <w:szCs w:val="18"/>
      <w:lang w:eastAsia="en-GB"/>
    </w:rPr>
  </w:style>
  <w:style w:type="paragraph" w:styleId="TOC9">
    <w:name w:val="toc 9"/>
    <w:basedOn w:val="Normal"/>
    <w:next w:val="Normal"/>
    <w:autoRedefine/>
    <w:uiPriority w:val="39"/>
    <w:semiHidden/>
    <w:unhideWhenUsed/>
    <w:rsid w:val="00EE5514"/>
    <w:pPr>
      <w:spacing w:after="0" w:line="480" w:lineRule="auto"/>
      <w:ind w:left="1920"/>
    </w:pPr>
    <w:rPr>
      <w:rFonts w:asciiTheme="minorHAnsi" w:hAnsiTheme="minorHAnsi"/>
      <w:sz w:val="18"/>
      <w:szCs w:val="18"/>
      <w:lang w:eastAsia="en-GB"/>
    </w:rPr>
  </w:style>
  <w:style w:type="character" w:customStyle="1" w:styleId="BalloonTextChar1">
    <w:name w:val="Balloon Text Char1"/>
    <w:basedOn w:val="DefaultParagraphFont"/>
    <w:uiPriority w:val="99"/>
    <w:semiHidden/>
    <w:rsid w:val="00EE5514"/>
    <w:rPr>
      <w:rFonts w:ascii="Times New Roman" w:hAnsi="Times New Roman" w:cs="Times New Roman"/>
      <w:sz w:val="18"/>
      <w:szCs w:val="18"/>
      <w:lang w:eastAsia="en-GB"/>
    </w:rPr>
  </w:style>
  <w:style w:type="character" w:customStyle="1" w:styleId="CommentTextChar1">
    <w:name w:val="Comment Text Char1"/>
    <w:basedOn w:val="DefaultParagraphFont"/>
    <w:uiPriority w:val="99"/>
    <w:semiHidden/>
    <w:rsid w:val="00EE5514"/>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EE5514"/>
    <w:rPr>
      <w:rFonts w:ascii="Times New Roman" w:hAnsi="Times New Roman" w:cs="Times New Roman"/>
      <w:b/>
      <w:bCs/>
      <w:sz w:val="20"/>
      <w:szCs w:val="20"/>
      <w:lang w:eastAsia="en-GB"/>
    </w:rPr>
  </w:style>
  <w:style w:type="table" w:styleId="GridTable1Light">
    <w:name w:val="Grid Table 1 Light"/>
    <w:basedOn w:val="TableNormal"/>
    <w:uiPriority w:val="46"/>
    <w:rsid w:val="00EE5514"/>
    <w:pPr>
      <w:spacing w:before="240" w:after="0" w:line="240" w:lineRule="auto"/>
    </w:pPr>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styleId="PlainTable5">
    <w:name w:val="Plain Table 5"/>
    <w:basedOn w:val="TableNormal"/>
    <w:uiPriority w:val="45"/>
    <w:rsid w:val="00EE5514"/>
    <w:pPr>
      <w:spacing w:before="240" w:after="0" w:line="240" w:lineRule="auto"/>
    </w:pPr>
    <w:rPr>
      <w:rFonts w:eastAsia="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styleId="PlainTable2">
    <w:name w:val="Plain Table 2"/>
    <w:basedOn w:val="TableNormal"/>
    <w:uiPriority w:val="42"/>
    <w:rsid w:val="00EE5514"/>
    <w:pPr>
      <w:spacing w:before="240" w:after="0" w:line="240" w:lineRule="auto"/>
    </w:pPr>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EE5514"/>
    <w:pPr>
      <w:spacing w:before="240" w:after="0" w:line="240" w:lineRule="auto"/>
    </w:pPr>
    <w:rPr>
      <w:rFonts w:eastAsia="Times New Roma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styleId="GridTable1Light-Accent3">
    <w:name w:val="Grid Table 1 Light Accent 3"/>
    <w:basedOn w:val="TableNormal"/>
    <w:uiPriority w:val="46"/>
    <w:rsid w:val="00EE5514"/>
    <w:pPr>
      <w:spacing w:before="240" w:after="0" w:line="240" w:lineRule="auto"/>
    </w:pPr>
    <w:rPr>
      <w:rFonts w:eastAsia="Times New Roma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character" w:styleId="PageNumber">
    <w:name w:val="page number"/>
    <w:basedOn w:val="DefaultParagraphFont"/>
    <w:uiPriority w:val="99"/>
    <w:semiHidden/>
    <w:unhideWhenUsed/>
    <w:rsid w:val="00EE5514"/>
    <w:rPr>
      <w:rFonts w:cs="Times New Roman"/>
    </w:rPr>
  </w:style>
  <w:style w:type="paragraph" w:customStyle="1" w:styleId="EndNoteBibliographyTitle">
    <w:name w:val="EndNote Bibliography Title"/>
    <w:basedOn w:val="Normal"/>
    <w:link w:val="EndNoteBibliographyTitleChar"/>
    <w:rsid w:val="00EE5514"/>
    <w:pPr>
      <w:spacing w:before="240" w:after="240" w:line="480" w:lineRule="auto"/>
      <w:ind w:firstLine="851"/>
      <w:jc w:val="center"/>
    </w:pPr>
    <w:rPr>
      <w:rFonts w:eastAsia="Times New Roman"/>
      <w:lang w:val="en-GB" w:eastAsia="en-GB"/>
    </w:rPr>
  </w:style>
  <w:style w:type="character" w:customStyle="1" w:styleId="EndNoteBibliographyTitleChar">
    <w:name w:val="EndNote Bibliography Title Char"/>
    <w:basedOn w:val="DefaultParagraphFont"/>
    <w:link w:val="EndNoteBibliographyTitle"/>
    <w:locked/>
    <w:rsid w:val="00EE5514"/>
    <w:rPr>
      <w:rFonts w:eastAsia="Times New Roman"/>
      <w:lang w:val="en-GB" w:eastAsia="en-GB"/>
    </w:rPr>
  </w:style>
  <w:style w:type="character" w:customStyle="1" w:styleId="Heading1Char1">
    <w:name w:val="Heading 1 Char1"/>
    <w:aliases w:val="APA Heading 1 Char1"/>
    <w:basedOn w:val="DefaultParagraphFont"/>
    <w:uiPriority w:val="9"/>
    <w:rsid w:val="00EE5514"/>
    <w:rPr>
      <w:rFonts w:asciiTheme="majorHAnsi" w:eastAsiaTheme="majorEastAsia" w:hAnsiTheme="majorHAnsi" w:cstheme="majorBidi"/>
      <w:color w:val="2E74B5" w:themeColor="accent1" w:themeShade="BF"/>
      <w:sz w:val="32"/>
      <w:szCs w:val="32"/>
      <w:lang w:eastAsia="en-GB"/>
    </w:rPr>
  </w:style>
  <w:style w:type="paragraph" w:customStyle="1" w:styleId="msonormal0">
    <w:name w:val="msonormal"/>
    <w:basedOn w:val="Normal"/>
    <w:uiPriority w:val="99"/>
    <w:rsid w:val="00EE5514"/>
    <w:pPr>
      <w:spacing w:before="100" w:beforeAutospacing="1" w:after="100" w:afterAutospacing="1" w:line="480" w:lineRule="auto"/>
      <w:ind w:firstLine="851"/>
      <w:jc w:val="both"/>
    </w:pPr>
    <w:rPr>
      <w:lang w:eastAsia="zh-CN"/>
    </w:rPr>
  </w:style>
  <w:style w:type="paragraph" w:customStyle="1" w:styleId="xl66">
    <w:name w:val="xl66"/>
    <w:basedOn w:val="Normal"/>
    <w:uiPriority w:val="99"/>
    <w:rsid w:val="00EE5514"/>
    <w:pPr>
      <w:shd w:val="clear" w:color="auto" w:fill="FFFF00"/>
      <w:spacing w:before="100" w:beforeAutospacing="1" w:after="100" w:afterAutospacing="1" w:line="480" w:lineRule="auto"/>
      <w:ind w:firstLine="851"/>
      <w:jc w:val="both"/>
    </w:pPr>
    <w:rPr>
      <w:lang w:eastAsia="zh-CN"/>
    </w:rPr>
  </w:style>
  <w:style w:type="paragraph" w:customStyle="1" w:styleId="xl67">
    <w:name w:val="xl67"/>
    <w:basedOn w:val="Normal"/>
    <w:uiPriority w:val="99"/>
    <w:rsid w:val="00EE5514"/>
    <w:pPr>
      <w:shd w:val="clear" w:color="auto" w:fill="FFFF00"/>
      <w:spacing w:before="100" w:beforeAutospacing="1" w:after="100" w:afterAutospacing="1" w:line="480" w:lineRule="auto"/>
      <w:ind w:firstLine="851"/>
      <w:jc w:val="both"/>
    </w:pPr>
    <w:rPr>
      <w:lang w:eastAsia="zh-CN"/>
    </w:rPr>
  </w:style>
  <w:style w:type="paragraph" w:customStyle="1" w:styleId="xl69">
    <w:name w:val="xl69"/>
    <w:basedOn w:val="Normal"/>
    <w:uiPriority w:val="99"/>
    <w:rsid w:val="00EE5514"/>
    <w:pPr>
      <w:shd w:val="clear" w:color="auto" w:fill="FFFF00"/>
      <w:spacing w:before="100" w:beforeAutospacing="1" w:after="100" w:afterAutospacing="1" w:line="480" w:lineRule="auto"/>
      <w:ind w:firstLine="851"/>
      <w:jc w:val="both"/>
    </w:pPr>
    <w:rPr>
      <w:lang w:eastAsia="zh-CN"/>
    </w:rPr>
  </w:style>
  <w:style w:type="paragraph" w:customStyle="1" w:styleId="xl64">
    <w:name w:val="xl64"/>
    <w:basedOn w:val="Normal"/>
    <w:uiPriority w:val="99"/>
    <w:rsid w:val="00EE5514"/>
    <w:pPr>
      <w:spacing w:before="100" w:beforeAutospacing="1" w:after="100" w:afterAutospacing="1" w:line="480" w:lineRule="auto"/>
      <w:ind w:firstLine="851"/>
      <w:jc w:val="both"/>
    </w:pPr>
    <w:rPr>
      <w:rFonts w:ascii="Arial" w:hAnsi="Arial" w:cs="Arial"/>
      <w:lang w:eastAsia="en-GB"/>
    </w:rPr>
  </w:style>
  <w:style w:type="paragraph" w:customStyle="1" w:styleId="xl65">
    <w:name w:val="xl65"/>
    <w:basedOn w:val="Normal"/>
    <w:uiPriority w:val="99"/>
    <w:rsid w:val="00EE5514"/>
    <w:pPr>
      <w:spacing w:before="100" w:beforeAutospacing="1" w:after="100" w:afterAutospacing="1" w:line="480" w:lineRule="auto"/>
      <w:ind w:firstLine="851"/>
      <w:jc w:val="center"/>
    </w:pPr>
    <w:rPr>
      <w:lang w:eastAsia="en-GB"/>
    </w:rPr>
  </w:style>
  <w:style w:type="paragraph" w:customStyle="1" w:styleId="xl63">
    <w:name w:val="xl63"/>
    <w:basedOn w:val="Normal"/>
    <w:uiPriority w:val="99"/>
    <w:rsid w:val="00EE5514"/>
    <w:pPr>
      <w:spacing w:before="100" w:beforeAutospacing="1" w:after="100" w:afterAutospacing="1" w:line="480" w:lineRule="auto"/>
      <w:jc w:val="center"/>
    </w:pPr>
    <w:rPr>
      <w:lang w:eastAsia="zh-CN"/>
    </w:rPr>
  </w:style>
  <w:style w:type="paragraph" w:customStyle="1" w:styleId="xl68">
    <w:name w:val="xl68"/>
    <w:basedOn w:val="Normal"/>
    <w:uiPriority w:val="99"/>
    <w:rsid w:val="00EE5514"/>
    <w:pPr>
      <w:spacing w:before="100" w:beforeAutospacing="1" w:after="100" w:afterAutospacing="1" w:line="480" w:lineRule="auto"/>
      <w:jc w:val="both"/>
    </w:pPr>
    <w:rPr>
      <w:b/>
      <w:bCs/>
      <w:color w:val="2F75B5"/>
      <w:lang w:eastAsia="zh-CN"/>
    </w:rPr>
  </w:style>
  <w:style w:type="paragraph" w:styleId="BodyText2">
    <w:name w:val="Body Text 2"/>
    <w:basedOn w:val="Normal"/>
    <w:link w:val="BodyText2Char"/>
    <w:rsid w:val="00EE5514"/>
    <w:pPr>
      <w:tabs>
        <w:tab w:val="left" w:pos="-720"/>
      </w:tabs>
      <w:suppressAutoHyphens/>
      <w:spacing w:after="0" w:line="480" w:lineRule="auto"/>
    </w:pPr>
    <w:rPr>
      <w:rFonts w:eastAsia="Malgun Gothic"/>
      <w:szCs w:val="20"/>
      <w:lang w:val="en-GB"/>
    </w:rPr>
  </w:style>
  <w:style w:type="character" w:customStyle="1" w:styleId="BodyText2Char">
    <w:name w:val="Body Text 2 Char"/>
    <w:basedOn w:val="DefaultParagraphFont"/>
    <w:link w:val="BodyText2"/>
    <w:rsid w:val="00EE5514"/>
    <w:rPr>
      <w:rFonts w:eastAsia="Malgun Gothic"/>
      <w:szCs w:val="20"/>
      <w:lang w:val="en-GB"/>
    </w:rPr>
  </w:style>
  <w:style w:type="paragraph" w:styleId="BodyTextIndent3">
    <w:name w:val="Body Text Indent 3"/>
    <w:basedOn w:val="Normal"/>
    <w:link w:val="BodyTextIndent3Char"/>
    <w:uiPriority w:val="99"/>
    <w:unhideWhenUsed/>
    <w:rsid w:val="00EE5514"/>
    <w:pPr>
      <w:spacing w:after="180" w:line="240" w:lineRule="auto"/>
      <w:ind w:leftChars="400" w:left="851"/>
    </w:pPr>
    <w:rPr>
      <w:rFonts w:asciiTheme="minorHAnsi" w:eastAsiaTheme="minorEastAsia" w:hAnsiTheme="minorHAnsi" w:cstheme="minorBidi"/>
      <w:sz w:val="16"/>
      <w:szCs w:val="16"/>
      <w:lang w:val="en-US" w:eastAsia="ko-KR"/>
    </w:rPr>
  </w:style>
  <w:style w:type="character" w:customStyle="1" w:styleId="BodyTextIndent3Char">
    <w:name w:val="Body Text Indent 3 Char"/>
    <w:basedOn w:val="DefaultParagraphFont"/>
    <w:link w:val="BodyTextIndent3"/>
    <w:uiPriority w:val="99"/>
    <w:rsid w:val="00EE5514"/>
    <w:rPr>
      <w:rFonts w:asciiTheme="minorHAnsi" w:eastAsiaTheme="minorEastAsia" w:hAnsiTheme="minorHAnsi" w:cstheme="minorBidi"/>
      <w:sz w:val="16"/>
      <w:szCs w:val="16"/>
      <w:lang w:val="en-US" w:eastAsia="ko-KR"/>
    </w:rPr>
  </w:style>
  <w:style w:type="character" w:customStyle="1" w:styleId="EndnoteTextChar">
    <w:name w:val="Endnote Text Char"/>
    <w:basedOn w:val="DefaultParagraphFont"/>
    <w:link w:val="EndnoteText"/>
    <w:semiHidden/>
    <w:rsid w:val="00EE5514"/>
    <w:rPr>
      <w:rFonts w:eastAsia="Malgun Gothic"/>
      <w:sz w:val="20"/>
      <w:szCs w:val="20"/>
      <w:lang w:val="en-GB"/>
    </w:rPr>
  </w:style>
  <w:style w:type="paragraph" w:styleId="EndnoteText">
    <w:name w:val="endnote text"/>
    <w:basedOn w:val="Normal"/>
    <w:link w:val="EndnoteTextChar"/>
    <w:semiHidden/>
    <w:rsid w:val="00EE5514"/>
    <w:pPr>
      <w:widowControl w:val="0"/>
      <w:spacing w:after="0" w:line="240" w:lineRule="auto"/>
    </w:pPr>
    <w:rPr>
      <w:rFonts w:eastAsia="Malgun Gothic"/>
      <w:sz w:val="20"/>
      <w:szCs w:val="20"/>
      <w:lang w:val="en-GB"/>
    </w:rPr>
  </w:style>
  <w:style w:type="character" w:customStyle="1" w:styleId="EndnoteTextChar1">
    <w:name w:val="Endnote Text Char1"/>
    <w:basedOn w:val="DefaultParagraphFont"/>
    <w:uiPriority w:val="99"/>
    <w:semiHidden/>
    <w:rsid w:val="00EE5514"/>
    <w:rPr>
      <w:sz w:val="20"/>
      <w:szCs w:val="20"/>
    </w:rPr>
  </w:style>
  <w:style w:type="character" w:customStyle="1" w:styleId="citation">
    <w:name w:val="citation"/>
    <w:basedOn w:val="DefaultParagraphFont"/>
    <w:rsid w:val="00EE5514"/>
  </w:style>
  <w:style w:type="paragraph" w:customStyle="1" w:styleId="MyTitle">
    <w:name w:val="My Title"/>
    <w:basedOn w:val="BodyText"/>
    <w:uiPriority w:val="99"/>
    <w:rsid w:val="00EE5514"/>
    <w:pPr>
      <w:spacing w:before="240" w:after="240" w:line="240" w:lineRule="auto"/>
      <w:jc w:val="center"/>
    </w:pPr>
    <w:rPr>
      <w:rFonts w:eastAsia="Batang"/>
      <w:b/>
      <w:sz w:val="28"/>
      <w:szCs w:val="20"/>
      <w:lang w:val="en-AU" w:eastAsia="en-AU"/>
    </w:rPr>
  </w:style>
  <w:style w:type="table" w:customStyle="1" w:styleId="LightShading1">
    <w:name w:val="Light Shading1"/>
    <w:basedOn w:val="TableNormal"/>
    <w:uiPriority w:val="60"/>
    <w:rsid w:val="00EE5514"/>
    <w:pPr>
      <w:spacing w:after="0" w:line="240" w:lineRule="auto"/>
    </w:pPr>
    <w:rPr>
      <w:rFonts w:asciiTheme="minorHAnsi" w:eastAsiaTheme="minorEastAsia" w:hAnsiTheme="minorHAnsi" w:cstheme="minorBidi"/>
      <w:color w:val="000000" w:themeColor="text1" w:themeShade="BF"/>
      <w:sz w:val="2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ndnoteReference">
    <w:name w:val="endnote reference"/>
    <w:basedOn w:val="DefaultParagraphFont"/>
    <w:semiHidden/>
    <w:rsid w:val="00EE5514"/>
    <w:rPr>
      <w:vertAlign w:val="superscript"/>
    </w:rPr>
  </w:style>
  <w:style w:type="numbering" w:customStyle="1" w:styleId="CurrentList1">
    <w:name w:val="Current List1"/>
    <w:uiPriority w:val="99"/>
    <w:rsid w:val="00EE5514"/>
    <w:pPr>
      <w:numPr>
        <w:numId w:val="36"/>
      </w:numPr>
    </w:pPr>
  </w:style>
  <w:style w:type="numbering" w:customStyle="1" w:styleId="CurrentList2">
    <w:name w:val="Current List2"/>
    <w:uiPriority w:val="99"/>
    <w:rsid w:val="00EE5514"/>
    <w:pPr>
      <w:numPr>
        <w:numId w:val="37"/>
      </w:numPr>
    </w:pPr>
  </w:style>
  <w:style w:type="numbering" w:customStyle="1" w:styleId="CurrentList3">
    <w:name w:val="Current List3"/>
    <w:uiPriority w:val="99"/>
    <w:rsid w:val="00EE5514"/>
    <w:pPr>
      <w:numPr>
        <w:numId w:val="38"/>
      </w:numPr>
    </w:pPr>
  </w:style>
  <w:style w:type="numbering" w:customStyle="1" w:styleId="CurrentList4">
    <w:name w:val="Current List4"/>
    <w:uiPriority w:val="99"/>
    <w:rsid w:val="00EE5514"/>
    <w:pPr>
      <w:numPr>
        <w:numId w:val="39"/>
      </w:numPr>
    </w:pPr>
  </w:style>
  <w:style w:type="character" w:customStyle="1" w:styleId="doc-source">
    <w:name w:val="doc-source"/>
    <w:basedOn w:val="DefaultParagraphFont"/>
    <w:rsid w:val="00EE5514"/>
  </w:style>
  <w:style w:type="paragraph" w:customStyle="1" w:styleId="dx-doi">
    <w:name w:val="dx-doi"/>
    <w:basedOn w:val="Normal"/>
    <w:rsid w:val="00EE5514"/>
    <w:pPr>
      <w:spacing w:before="100" w:beforeAutospacing="1" w:after="100" w:afterAutospacing="1" w:line="240" w:lineRule="auto"/>
    </w:pPr>
    <w:rPr>
      <w:rFonts w:eastAsia="Times New Roman"/>
      <w:lang w:eastAsia="en-GB"/>
    </w:rPr>
  </w:style>
  <w:style w:type="character" w:customStyle="1" w:styleId="Heading2Char1">
    <w:name w:val="Heading 2 Char1"/>
    <w:aliases w:val="APA Heading 2 Char1"/>
    <w:basedOn w:val="DefaultParagraphFont"/>
    <w:uiPriority w:val="9"/>
    <w:semiHidden/>
    <w:rsid w:val="00EE5514"/>
    <w:rPr>
      <w:rFonts w:asciiTheme="majorHAnsi" w:eastAsiaTheme="majorEastAsia" w:hAnsiTheme="majorHAnsi" w:cstheme="majorBidi"/>
      <w:color w:val="2E74B5" w:themeColor="accent1" w:themeShade="BF"/>
      <w:sz w:val="26"/>
      <w:szCs w:val="26"/>
      <w:lang w:val="en-GB" w:eastAsia="en-GB"/>
    </w:rPr>
  </w:style>
  <w:style w:type="character" w:customStyle="1" w:styleId="Heading3Char1">
    <w:name w:val="Heading 3 Char1"/>
    <w:aliases w:val="APA Heading 3 Char1"/>
    <w:basedOn w:val="DefaultParagraphFont"/>
    <w:uiPriority w:val="9"/>
    <w:semiHidden/>
    <w:rsid w:val="00EE5514"/>
    <w:rPr>
      <w:rFonts w:asciiTheme="majorHAnsi" w:eastAsiaTheme="majorEastAsia" w:hAnsiTheme="majorHAnsi" w:cstheme="majorBidi"/>
      <w:color w:val="1F4D78" w:themeColor="accent1" w:themeShade="7F"/>
      <w:sz w:val="24"/>
      <w:szCs w:val="24"/>
      <w:lang w:val="en-GB" w:eastAsia="en-GB"/>
    </w:rPr>
  </w:style>
  <w:style w:type="character" w:customStyle="1" w:styleId="FootnoteTextChar1">
    <w:name w:val="Footnote Text Char1"/>
    <w:aliases w:val="single space Char1,FOOTNOTES Char1,ft Char1,footnote text Char1,Footnote Text Char2 Char Char1,Footnote Text Char1 Char Char Char1,Footnote Text Char Char Char Char Char1,Footnote Text Char2 Char Char Char Char Char1,ADB Char1"/>
    <w:basedOn w:val="DefaultParagraphFont"/>
    <w:semiHidden/>
    <w:rsid w:val="00EE5514"/>
    <w:rPr>
      <w:rFonts w:eastAsia="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7775">
      <w:bodyDiv w:val="1"/>
      <w:marLeft w:val="0"/>
      <w:marRight w:val="0"/>
      <w:marTop w:val="0"/>
      <w:marBottom w:val="0"/>
      <w:divBdr>
        <w:top w:val="none" w:sz="0" w:space="0" w:color="auto"/>
        <w:left w:val="none" w:sz="0" w:space="0" w:color="auto"/>
        <w:bottom w:val="none" w:sz="0" w:space="0" w:color="auto"/>
        <w:right w:val="none" w:sz="0" w:space="0" w:color="auto"/>
      </w:divBdr>
    </w:div>
    <w:div w:id="195125462">
      <w:bodyDiv w:val="1"/>
      <w:marLeft w:val="0"/>
      <w:marRight w:val="0"/>
      <w:marTop w:val="0"/>
      <w:marBottom w:val="0"/>
      <w:divBdr>
        <w:top w:val="none" w:sz="0" w:space="0" w:color="auto"/>
        <w:left w:val="none" w:sz="0" w:space="0" w:color="auto"/>
        <w:bottom w:val="none" w:sz="0" w:space="0" w:color="auto"/>
        <w:right w:val="none" w:sz="0" w:space="0" w:color="auto"/>
      </w:divBdr>
    </w:div>
    <w:div w:id="227884796">
      <w:bodyDiv w:val="1"/>
      <w:marLeft w:val="0"/>
      <w:marRight w:val="0"/>
      <w:marTop w:val="0"/>
      <w:marBottom w:val="0"/>
      <w:divBdr>
        <w:top w:val="none" w:sz="0" w:space="0" w:color="auto"/>
        <w:left w:val="none" w:sz="0" w:space="0" w:color="auto"/>
        <w:bottom w:val="none" w:sz="0" w:space="0" w:color="auto"/>
        <w:right w:val="none" w:sz="0" w:space="0" w:color="auto"/>
      </w:divBdr>
    </w:div>
    <w:div w:id="324552745">
      <w:bodyDiv w:val="1"/>
      <w:marLeft w:val="0"/>
      <w:marRight w:val="0"/>
      <w:marTop w:val="0"/>
      <w:marBottom w:val="0"/>
      <w:divBdr>
        <w:top w:val="none" w:sz="0" w:space="0" w:color="auto"/>
        <w:left w:val="none" w:sz="0" w:space="0" w:color="auto"/>
        <w:bottom w:val="none" w:sz="0" w:space="0" w:color="auto"/>
        <w:right w:val="none" w:sz="0" w:space="0" w:color="auto"/>
      </w:divBdr>
    </w:div>
    <w:div w:id="477308404">
      <w:bodyDiv w:val="1"/>
      <w:marLeft w:val="0"/>
      <w:marRight w:val="0"/>
      <w:marTop w:val="0"/>
      <w:marBottom w:val="0"/>
      <w:divBdr>
        <w:top w:val="none" w:sz="0" w:space="0" w:color="auto"/>
        <w:left w:val="none" w:sz="0" w:space="0" w:color="auto"/>
        <w:bottom w:val="none" w:sz="0" w:space="0" w:color="auto"/>
        <w:right w:val="none" w:sz="0" w:space="0" w:color="auto"/>
      </w:divBdr>
    </w:div>
    <w:div w:id="619651659">
      <w:bodyDiv w:val="1"/>
      <w:marLeft w:val="0"/>
      <w:marRight w:val="0"/>
      <w:marTop w:val="0"/>
      <w:marBottom w:val="0"/>
      <w:divBdr>
        <w:top w:val="none" w:sz="0" w:space="0" w:color="auto"/>
        <w:left w:val="none" w:sz="0" w:space="0" w:color="auto"/>
        <w:bottom w:val="none" w:sz="0" w:space="0" w:color="auto"/>
        <w:right w:val="none" w:sz="0" w:space="0" w:color="auto"/>
      </w:divBdr>
    </w:div>
    <w:div w:id="732853316">
      <w:bodyDiv w:val="1"/>
      <w:marLeft w:val="0"/>
      <w:marRight w:val="0"/>
      <w:marTop w:val="0"/>
      <w:marBottom w:val="0"/>
      <w:divBdr>
        <w:top w:val="none" w:sz="0" w:space="0" w:color="auto"/>
        <w:left w:val="none" w:sz="0" w:space="0" w:color="auto"/>
        <w:bottom w:val="none" w:sz="0" w:space="0" w:color="auto"/>
        <w:right w:val="none" w:sz="0" w:space="0" w:color="auto"/>
      </w:divBdr>
    </w:div>
    <w:div w:id="871965759">
      <w:bodyDiv w:val="1"/>
      <w:marLeft w:val="0"/>
      <w:marRight w:val="0"/>
      <w:marTop w:val="0"/>
      <w:marBottom w:val="0"/>
      <w:divBdr>
        <w:top w:val="none" w:sz="0" w:space="0" w:color="auto"/>
        <w:left w:val="none" w:sz="0" w:space="0" w:color="auto"/>
        <w:bottom w:val="none" w:sz="0" w:space="0" w:color="auto"/>
        <w:right w:val="none" w:sz="0" w:space="0" w:color="auto"/>
      </w:divBdr>
      <w:divsChild>
        <w:div w:id="607080256">
          <w:marLeft w:val="0"/>
          <w:marRight w:val="0"/>
          <w:marTop w:val="0"/>
          <w:marBottom w:val="0"/>
          <w:divBdr>
            <w:top w:val="none" w:sz="0" w:space="0" w:color="auto"/>
            <w:left w:val="none" w:sz="0" w:space="0" w:color="auto"/>
            <w:bottom w:val="none" w:sz="0" w:space="0" w:color="auto"/>
            <w:right w:val="none" w:sz="0" w:space="0" w:color="auto"/>
          </w:divBdr>
        </w:div>
        <w:div w:id="1927416874">
          <w:marLeft w:val="0"/>
          <w:marRight w:val="0"/>
          <w:marTop w:val="0"/>
          <w:marBottom w:val="0"/>
          <w:divBdr>
            <w:top w:val="none" w:sz="0" w:space="0" w:color="auto"/>
            <w:left w:val="none" w:sz="0" w:space="0" w:color="auto"/>
            <w:bottom w:val="none" w:sz="0" w:space="0" w:color="auto"/>
            <w:right w:val="none" w:sz="0" w:space="0" w:color="auto"/>
          </w:divBdr>
        </w:div>
        <w:div w:id="698699032">
          <w:marLeft w:val="0"/>
          <w:marRight w:val="0"/>
          <w:marTop w:val="0"/>
          <w:marBottom w:val="0"/>
          <w:divBdr>
            <w:top w:val="none" w:sz="0" w:space="0" w:color="auto"/>
            <w:left w:val="none" w:sz="0" w:space="0" w:color="auto"/>
            <w:bottom w:val="none" w:sz="0" w:space="0" w:color="auto"/>
            <w:right w:val="none" w:sz="0" w:space="0" w:color="auto"/>
          </w:divBdr>
        </w:div>
      </w:divsChild>
    </w:div>
    <w:div w:id="941650059">
      <w:bodyDiv w:val="1"/>
      <w:marLeft w:val="0"/>
      <w:marRight w:val="0"/>
      <w:marTop w:val="0"/>
      <w:marBottom w:val="0"/>
      <w:divBdr>
        <w:top w:val="none" w:sz="0" w:space="0" w:color="auto"/>
        <w:left w:val="none" w:sz="0" w:space="0" w:color="auto"/>
        <w:bottom w:val="none" w:sz="0" w:space="0" w:color="auto"/>
        <w:right w:val="none" w:sz="0" w:space="0" w:color="auto"/>
      </w:divBdr>
    </w:div>
    <w:div w:id="1140876714">
      <w:bodyDiv w:val="1"/>
      <w:marLeft w:val="0"/>
      <w:marRight w:val="0"/>
      <w:marTop w:val="0"/>
      <w:marBottom w:val="0"/>
      <w:divBdr>
        <w:top w:val="none" w:sz="0" w:space="0" w:color="auto"/>
        <w:left w:val="none" w:sz="0" w:space="0" w:color="auto"/>
        <w:bottom w:val="none" w:sz="0" w:space="0" w:color="auto"/>
        <w:right w:val="none" w:sz="0" w:space="0" w:color="auto"/>
      </w:divBdr>
    </w:div>
    <w:div w:id="1210530782">
      <w:bodyDiv w:val="1"/>
      <w:marLeft w:val="0"/>
      <w:marRight w:val="0"/>
      <w:marTop w:val="0"/>
      <w:marBottom w:val="0"/>
      <w:divBdr>
        <w:top w:val="none" w:sz="0" w:space="0" w:color="auto"/>
        <w:left w:val="none" w:sz="0" w:space="0" w:color="auto"/>
        <w:bottom w:val="none" w:sz="0" w:space="0" w:color="auto"/>
        <w:right w:val="none" w:sz="0" w:space="0" w:color="auto"/>
      </w:divBdr>
    </w:div>
    <w:div w:id="1218662986">
      <w:bodyDiv w:val="1"/>
      <w:marLeft w:val="0"/>
      <w:marRight w:val="0"/>
      <w:marTop w:val="0"/>
      <w:marBottom w:val="0"/>
      <w:divBdr>
        <w:top w:val="none" w:sz="0" w:space="0" w:color="auto"/>
        <w:left w:val="none" w:sz="0" w:space="0" w:color="auto"/>
        <w:bottom w:val="none" w:sz="0" w:space="0" w:color="auto"/>
        <w:right w:val="none" w:sz="0" w:space="0" w:color="auto"/>
      </w:divBdr>
    </w:div>
    <w:div w:id="1254127886">
      <w:bodyDiv w:val="1"/>
      <w:marLeft w:val="0"/>
      <w:marRight w:val="0"/>
      <w:marTop w:val="0"/>
      <w:marBottom w:val="0"/>
      <w:divBdr>
        <w:top w:val="none" w:sz="0" w:space="0" w:color="auto"/>
        <w:left w:val="none" w:sz="0" w:space="0" w:color="auto"/>
        <w:bottom w:val="none" w:sz="0" w:space="0" w:color="auto"/>
        <w:right w:val="none" w:sz="0" w:space="0" w:color="auto"/>
      </w:divBdr>
    </w:div>
    <w:div w:id="1395619013">
      <w:bodyDiv w:val="1"/>
      <w:marLeft w:val="0"/>
      <w:marRight w:val="0"/>
      <w:marTop w:val="0"/>
      <w:marBottom w:val="0"/>
      <w:divBdr>
        <w:top w:val="none" w:sz="0" w:space="0" w:color="auto"/>
        <w:left w:val="none" w:sz="0" w:space="0" w:color="auto"/>
        <w:bottom w:val="none" w:sz="0" w:space="0" w:color="auto"/>
        <w:right w:val="none" w:sz="0" w:space="0" w:color="auto"/>
      </w:divBdr>
    </w:div>
    <w:div w:id="1486430863">
      <w:bodyDiv w:val="1"/>
      <w:marLeft w:val="0"/>
      <w:marRight w:val="0"/>
      <w:marTop w:val="0"/>
      <w:marBottom w:val="0"/>
      <w:divBdr>
        <w:top w:val="none" w:sz="0" w:space="0" w:color="auto"/>
        <w:left w:val="none" w:sz="0" w:space="0" w:color="auto"/>
        <w:bottom w:val="none" w:sz="0" w:space="0" w:color="auto"/>
        <w:right w:val="none" w:sz="0" w:space="0" w:color="auto"/>
      </w:divBdr>
      <w:divsChild>
        <w:div w:id="117336757">
          <w:marLeft w:val="0"/>
          <w:marRight w:val="0"/>
          <w:marTop w:val="0"/>
          <w:marBottom w:val="0"/>
          <w:divBdr>
            <w:top w:val="none" w:sz="0" w:space="0" w:color="auto"/>
            <w:left w:val="none" w:sz="0" w:space="0" w:color="auto"/>
            <w:bottom w:val="none" w:sz="0" w:space="0" w:color="auto"/>
            <w:right w:val="none" w:sz="0" w:space="0" w:color="auto"/>
          </w:divBdr>
        </w:div>
        <w:div w:id="1384409518">
          <w:marLeft w:val="0"/>
          <w:marRight w:val="0"/>
          <w:marTop w:val="0"/>
          <w:marBottom w:val="0"/>
          <w:divBdr>
            <w:top w:val="none" w:sz="0" w:space="0" w:color="auto"/>
            <w:left w:val="none" w:sz="0" w:space="0" w:color="auto"/>
            <w:bottom w:val="none" w:sz="0" w:space="0" w:color="auto"/>
            <w:right w:val="none" w:sz="0" w:space="0" w:color="auto"/>
          </w:divBdr>
        </w:div>
        <w:div w:id="1751462381">
          <w:marLeft w:val="0"/>
          <w:marRight w:val="0"/>
          <w:marTop w:val="0"/>
          <w:marBottom w:val="0"/>
          <w:divBdr>
            <w:top w:val="none" w:sz="0" w:space="0" w:color="auto"/>
            <w:left w:val="none" w:sz="0" w:space="0" w:color="auto"/>
            <w:bottom w:val="none" w:sz="0" w:space="0" w:color="auto"/>
            <w:right w:val="none" w:sz="0" w:space="0" w:color="auto"/>
          </w:divBdr>
        </w:div>
      </w:divsChild>
    </w:div>
    <w:div w:id="1492671403">
      <w:bodyDiv w:val="1"/>
      <w:marLeft w:val="0"/>
      <w:marRight w:val="0"/>
      <w:marTop w:val="0"/>
      <w:marBottom w:val="0"/>
      <w:divBdr>
        <w:top w:val="none" w:sz="0" w:space="0" w:color="auto"/>
        <w:left w:val="none" w:sz="0" w:space="0" w:color="auto"/>
        <w:bottom w:val="none" w:sz="0" w:space="0" w:color="auto"/>
        <w:right w:val="none" w:sz="0" w:space="0" w:color="auto"/>
      </w:divBdr>
    </w:div>
    <w:div w:id="1505197990">
      <w:bodyDiv w:val="1"/>
      <w:marLeft w:val="0"/>
      <w:marRight w:val="0"/>
      <w:marTop w:val="0"/>
      <w:marBottom w:val="0"/>
      <w:divBdr>
        <w:top w:val="none" w:sz="0" w:space="0" w:color="auto"/>
        <w:left w:val="none" w:sz="0" w:space="0" w:color="auto"/>
        <w:bottom w:val="none" w:sz="0" w:space="0" w:color="auto"/>
        <w:right w:val="none" w:sz="0" w:space="0" w:color="auto"/>
      </w:divBdr>
      <w:divsChild>
        <w:div w:id="1366251374">
          <w:marLeft w:val="0"/>
          <w:marRight w:val="0"/>
          <w:marTop w:val="0"/>
          <w:marBottom w:val="0"/>
          <w:divBdr>
            <w:top w:val="none" w:sz="0" w:space="0" w:color="auto"/>
            <w:left w:val="none" w:sz="0" w:space="0" w:color="auto"/>
            <w:bottom w:val="none" w:sz="0" w:space="0" w:color="auto"/>
            <w:right w:val="none" w:sz="0" w:space="0" w:color="auto"/>
          </w:divBdr>
        </w:div>
        <w:div w:id="834342753">
          <w:marLeft w:val="0"/>
          <w:marRight w:val="0"/>
          <w:marTop w:val="0"/>
          <w:marBottom w:val="0"/>
          <w:divBdr>
            <w:top w:val="none" w:sz="0" w:space="0" w:color="auto"/>
            <w:left w:val="none" w:sz="0" w:space="0" w:color="auto"/>
            <w:bottom w:val="none" w:sz="0" w:space="0" w:color="auto"/>
            <w:right w:val="none" w:sz="0" w:space="0" w:color="auto"/>
          </w:divBdr>
        </w:div>
        <w:div w:id="2140493335">
          <w:marLeft w:val="0"/>
          <w:marRight w:val="0"/>
          <w:marTop w:val="0"/>
          <w:marBottom w:val="0"/>
          <w:divBdr>
            <w:top w:val="none" w:sz="0" w:space="0" w:color="auto"/>
            <w:left w:val="none" w:sz="0" w:space="0" w:color="auto"/>
            <w:bottom w:val="none" w:sz="0" w:space="0" w:color="auto"/>
            <w:right w:val="none" w:sz="0" w:space="0" w:color="auto"/>
          </w:divBdr>
        </w:div>
      </w:divsChild>
    </w:div>
    <w:div w:id="1532186022">
      <w:bodyDiv w:val="1"/>
      <w:marLeft w:val="0"/>
      <w:marRight w:val="0"/>
      <w:marTop w:val="0"/>
      <w:marBottom w:val="0"/>
      <w:divBdr>
        <w:top w:val="none" w:sz="0" w:space="0" w:color="auto"/>
        <w:left w:val="none" w:sz="0" w:space="0" w:color="auto"/>
        <w:bottom w:val="none" w:sz="0" w:space="0" w:color="auto"/>
        <w:right w:val="none" w:sz="0" w:space="0" w:color="auto"/>
      </w:divBdr>
    </w:div>
    <w:div w:id="1677151941">
      <w:bodyDiv w:val="1"/>
      <w:marLeft w:val="0"/>
      <w:marRight w:val="0"/>
      <w:marTop w:val="0"/>
      <w:marBottom w:val="0"/>
      <w:divBdr>
        <w:top w:val="none" w:sz="0" w:space="0" w:color="auto"/>
        <w:left w:val="none" w:sz="0" w:space="0" w:color="auto"/>
        <w:bottom w:val="none" w:sz="0" w:space="0" w:color="auto"/>
        <w:right w:val="none" w:sz="0" w:space="0" w:color="auto"/>
      </w:divBdr>
    </w:div>
    <w:div w:id="1717895521">
      <w:bodyDiv w:val="1"/>
      <w:marLeft w:val="0"/>
      <w:marRight w:val="0"/>
      <w:marTop w:val="0"/>
      <w:marBottom w:val="0"/>
      <w:divBdr>
        <w:top w:val="none" w:sz="0" w:space="0" w:color="auto"/>
        <w:left w:val="none" w:sz="0" w:space="0" w:color="auto"/>
        <w:bottom w:val="none" w:sz="0" w:space="0" w:color="auto"/>
        <w:right w:val="none" w:sz="0" w:space="0" w:color="auto"/>
      </w:divBdr>
      <w:divsChild>
        <w:div w:id="976495324">
          <w:marLeft w:val="0"/>
          <w:marRight w:val="0"/>
          <w:marTop w:val="0"/>
          <w:marBottom w:val="150"/>
          <w:divBdr>
            <w:top w:val="none" w:sz="0" w:space="0" w:color="auto"/>
            <w:left w:val="none" w:sz="0" w:space="0" w:color="auto"/>
            <w:bottom w:val="none" w:sz="0" w:space="0" w:color="auto"/>
            <w:right w:val="none" w:sz="0" w:space="0" w:color="auto"/>
          </w:divBdr>
        </w:div>
      </w:divsChild>
    </w:div>
    <w:div w:id="203241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bisp.gov.pk/Detail/ZTljNWY2NWUtODYwNC00MjVjLWFiODUtMDRhOGI0OTI5NzUw" TargetMode="External"/><Relationship Id="rId26" Type="http://schemas.openxmlformats.org/officeDocument/2006/relationships/header" Target="header2.xml"/><Relationship Id="rId39" Type="http://schemas.openxmlformats.org/officeDocument/2006/relationships/image" Target="media/image10.emf"/><Relationship Id="rId21" Type="http://schemas.openxmlformats.org/officeDocument/2006/relationships/hyperlink" Target="http://www.researchcollective.org/Documents/Updated_Anonymised_BFS_Final_Report_03022014.pdf" TargetMode="External"/><Relationship Id="rId34" Type="http://schemas.openxmlformats.org/officeDocument/2006/relationships/image" Target="media/image6.png"/><Relationship Id="rId42"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ndfonline.com/doi/full/10.1080/19439342.2019.1691626" TargetMode="External"/><Relationship Id="rId24" Type="http://schemas.openxmlformats.org/officeDocument/2006/relationships/hyperlink" Target="https://econpapers.repec.org/RePEc:pra:mprapa:102383" TargetMode="External"/><Relationship Id="rId32" Type="http://schemas.openxmlformats.org/officeDocument/2006/relationships/image" Target="media/image5.emf"/><Relationship Id="rId37" Type="http://schemas.openxmlformats.org/officeDocument/2006/relationships/image" Target="media/image8.png"/><Relationship Id="rId40" Type="http://schemas.openxmlformats.org/officeDocument/2006/relationships/image" Target="media/image10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ideas.repec.org/s/ess/wpaper.html" TargetMode="External"/><Relationship Id="rId28" Type="http://schemas.openxmlformats.org/officeDocument/2006/relationships/footer" Target="footer6.xml"/><Relationship Id="rId36" Type="http://schemas.openxmlformats.org/officeDocument/2006/relationships/image" Target="media/image70.emf"/><Relationship Id="rId10" Type="http://schemas.openxmlformats.org/officeDocument/2006/relationships/hyperlink" Target="https://www.tandfonline.com/doi/full/10.1080/19439342.2019.1691626" TargetMode="External"/><Relationship Id="rId19" Type="http://schemas.openxmlformats.org/officeDocument/2006/relationships/hyperlink" Target="http://www.bisp.gov.pk/" TargetMode="External"/><Relationship Id="rId31" Type="http://schemas.openxmlformats.org/officeDocument/2006/relationships/image" Target="media/image4.pn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yperlink" Target="https://ideas.repec.org/p/ess/wpaper/id12234.html" TargetMode="Externa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7.emf"/><Relationship Id="rId43" Type="http://schemas.openxmlformats.org/officeDocument/2006/relationships/image" Target="media/image120.e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tandfonline.com/doi/full/10.1080/19439342.2019.1691626" TargetMode="Externa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image" Target="media/image50.emf"/><Relationship Id="rId38" Type="http://schemas.openxmlformats.org/officeDocument/2006/relationships/image" Target="media/image9.png"/><Relationship Id="rId46" Type="http://schemas.openxmlformats.org/officeDocument/2006/relationships/theme" Target="theme/theme1.xml"/><Relationship Id="rId20" Type="http://schemas.openxmlformats.org/officeDocument/2006/relationships/hyperlink" Target="https://doi.org/10.1093/wber/lhx017" TargetMode="External"/><Relationship Id="rId4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pc.gov.p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00127616352257"/>
          <c:y val="5.6562257911593652E-2"/>
          <c:w val="0.65621925704711392"/>
          <c:h val="0.64560878128119448"/>
        </c:manualLayout>
      </c:layout>
      <c:lineChart>
        <c:grouping val="standard"/>
        <c:varyColors val="0"/>
        <c:ser>
          <c:idx val="1"/>
          <c:order val="0"/>
          <c:tx>
            <c:strRef>
              <c:f>Sheet1!$A$2</c:f>
              <c:strCache>
                <c:ptCount val="1"/>
                <c:pt idx="0">
                  <c:v>Headcount Index</c:v>
                </c:pt>
              </c:strCache>
            </c:strRef>
          </c:tx>
          <c:spPr>
            <a:ln w="28575" cap="rnd">
              <a:solidFill>
                <a:schemeClr val="accent1">
                  <a:lumMod val="75000"/>
                </a:schemeClr>
              </a:solidFill>
              <a:prstDash val="sysDot"/>
              <a:round/>
            </a:ln>
            <a:effectLst/>
          </c:spPr>
          <c:marker>
            <c:symbol val="circle"/>
            <c:size val="5"/>
            <c:spPr>
              <a:solidFill>
                <a:schemeClr val="accent1">
                  <a:lumMod val="75000"/>
                </a:schemeClr>
              </a:solidFill>
              <a:ln w="9525">
                <a:solidFill>
                  <a:schemeClr val="accent2"/>
                </a:solidFill>
                <a:prstDash val="sysDot"/>
              </a:ln>
              <a:effectLst/>
            </c:spPr>
          </c:marker>
          <c:dLbls>
            <c:dLbl>
              <c:idx val="3"/>
              <c:layout>
                <c:manualLayout>
                  <c:x val="-2.62546718763014E-2"/>
                  <c:y val="-2.8805997324773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4A-4FD1-BCFD-6FC730B621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Sheet1!$B$1:$G$1</c:f>
              <c:numCache>
                <c:formatCode>General</c:formatCode>
                <c:ptCount val="6"/>
                <c:pt idx="0">
                  <c:v>2004</c:v>
                </c:pt>
                <c:pt idx="1">
                  <c:v>2006</c:v>
                </c:pt>
                <c:pt idx="2">
                  <c:v>2008</c:v>
                </c:pt>
                <c:pt idx="3">
                  <c:v>2010</c:v>
                </c:pt>
                <c:pt idx="4">
                  <c:v>2012</c:v>
                </c:pt>
                <c:pt idx="5">
                  <c:v>2014</c:v>
                </c:pt>
              </c:numCache>
            </c:numRef>
          </c:cat>
          <c:val>
            <c:numRef>
              <c:f>Sheet1!$B$2:$G$2</c:f>
              <c:numCache>
                <c:formatCode>0.0</c:formatCode>
                <c:ptCount val="6"/>
                <c:pt idx="0">
                  <c:v>38.32</c:v>
                </c:pt>
                <c:pt idx="1">
                  <c:v>38.979999999999997</c:v>
                </c:pt>
                <c:pt idx="2">
                  <c:v>48.09</c:v>
                </c:pt>
                <c:pt idx="3">
                  <c:v>25.95</c:v>
                </c:pt>
                <c:pt idx="4">
                  <c:v>25.17</c:v>
                </c:pt>
                <c:pt idx="5">
                  <c:v>13.2</c:v>
                </c:pt>
              </c:numCache>
            </c:numRef>
          </c:val>
          <c:smooth val="0"/>
          <c:extLst>
            <c:ext xmlns:c16="http://schemas.microsoft.com/office/drawing/2014/chart" uri="{C3380CC4-5D6E-409C-BE32-E72D297353CC}">
              <c16:uniqueId val="{00000001-324A-4FD1-BCFD-6FC730B62116}"/>
            </c:ext>
          </c:extLst>
        </c:ser>
        <c:ser>
          <c:idx val="4"/>
          <c:order val="1"/>
          <c:tx>
            <c:strRef>
              <c:f>Sheet1!$A$5</c:f>
              <c:strCache>
                <c:ptCount val="1"/>
                <c:pt idx="0">
                  <c:v>Poverty Gap Index</c:v>
                </c:pt>
              </c:strCache>
            </c:strRef>
          </c:tx>
          <c:spPr>
            <a:ln w="28575" cap="rnd">
              <a:solidFill>
                <a:schemeClr val="accent5"/>
              </a:solidFill>
              <a:round/>
            </a:ln>
            <a:effectLst/>
          </c:spPr>
          <c:marker>
            <c:symbol val="none"/>
          </c:marker>
          <c:cat>
            <c:numRef>
              <c:f>Sheet1!$B$1:$G$1</c:f>
              <c:numCache>
                <c:formatCode>General</c:formatCode>
                <c:ptCount val="6"/>
                <c:pt idx="0">
                  <c:v>2004</c:v>
                </c:pt>
                <c:pt idx="1">
                  <c:v>2006</c:v>
                </c:pt>
                <c:pt idx="2">
                  <c:v>2008</c:v>
                </c:pt>
                <c:pt idx="3">
                  <c:v>2010</c:v>
                </c:pt>
                <c:pt idx="4">
                  <c:v>2012</c:v>
                </c:pt>
                <c:pt idx="5">
                  <c:v>2014</c:v>
                </c:pt>
              </c:numCache>
            </c:numRef>
          </c:cat>
          <c:val>
            <c:numRef>
              <c:f>Sheet1!$B$5:$G$5</c:f>
              <c:numCache>
                <c:formatCode>0.0</c:formatCode>
                <c:ptCount val="6"/>
                <c:pt idx="0">
                  <c:v>6.71</c:v>
                </c:pt>
                <c:pt idx="1">
                  <c:v>7.1</c:v>
                </c:pt>
                <c:pt idx="2">
                  <c:v>9.67</c:v>
                </c:pt>
                <c:pt idx="3">
                  <c:v>3.47</c:v>
                </c:pt>
                <c:pt idx="4">
                  <c:v>3.7</c:v>
                </c:pt>
                <c:pt idx="5">
                  <c:v>1.58</c:v>
                </c:pt>
              </c:numCache>
            </c:numRef>
          </c:val>
          <c:smooth val="0"/>
          <c:extLst>
            <c:ext xmlns:c16="http://schemas.microsoft.com/office/drawing/2014/chart" uri="{C3380CC4-5D6E-409C-BE32-E72D297353CC}">
              <c16:uniqueId val="{00000002-324A-4FD1-BCFD-6FC730B62116}"/>
            </c:ext>
          </c:extLst>
        </c:ser>
        <c:ser>
          <c:idx val="6"/>
          <c:order val="3"/>
          <c:tx>
            <c:strRef>
              <c:f>Sheet1!$A$7</c:f>
              <c:strCache>
                <c:ptCount val="1"/>
                <c:pt idx="0">
                  <c:v>MPI</c:v>
                </c:pt>
              </c:strCache>
            </c:strRef>
          </c:tx>
          <c:spPr>
            <a:ln w="28575" cap="rnd">
              <a:solidFill>
                <a:schemeClr val="accent4"/>
              </a:solidFill>
              <a:prstDash val="lgDashDot"/>
              <a:round/>
            </a:ln>
            <a:effectLst/>
          </c:spPr>
          <c:marker>
            <c:symbol val="none"/>
          </c:marker>
          <c:cat>
            <c:numRef>
              <c:f>Sheet1!$B$1:$G$1</c:f>
              <c:numCache>
                <c:formatCode>General</c:formatCode>
                <c:ptCount val="6"/>
                <c:pt idx="0">
                  <c:v>2004</c:v>
                </c:pt>
                <c:pt idx="1">
                  <c:v>2006</c:v>
                </c:pt>
                <c:pt idx="2">
                  <c:v>2008</c:v>
                </c:pt>
                <c:pt idx="3">
                  <c:v>2010</c:v>
                </c:pt>
                <c:pt idx="4">
                  <c:v>2012</c:v>
                </c:pt>
                <c:pt idx="5">
                  <c:v>2014</c:v>
                </c:pt>
              </c:numCache>
            </c:numRef>
          </c:cat>
          <c:val>
            <c:numRef>
              <c:f>Sheet1!$B$7:$G$7</c:f>
              <c:numCache>
                <c:formatCode>0.0</c:formatCode>
                <c:ptCount val="6"/>
                <c:pt idx="0">
                  <c:v>30.27</c:v>
                </c:pt>
                <c:pt idx="1">
                  <c:v>29.79</c:v>
                </c:pt>
                <c:pt idx="2">
                  <c:v>25.66</c:v>
                </c:pt>
                <c:pt idx="3">
                  <c:v>24.28</c:v>
                </c:pt>
                <c:pt idx="4">
                  <c:v>20.28</c:v>
                </c:pt>
                <c:pt idx="5">
                  <c:v>22.06</c:v>
                </c:pt>
              </c:numCache>
            </c:numRef>
          </c:val>
          <c:smooth val="0"/>
          <c:extLst>
            <c:ext xmlns:c16="http://schemas.microsoft.com/office/drawing/2014/chart" uri="{C3380CC4-5D6E-409C-BE32-E72D297353CC}">
              <c16:uniqueId val="{00000003-324A-4FD1-BCFD-6FC730B62116}"/>
            </c:ext>
          </c:extLst>
        </c:ser>
        <c:ser>
          <c:idx val="7"/>
          <c:order val="4"/>
          <c:tx>
            <c:strRef>
              <c:f>Sheet1!$A$8</c:f>
              <c:strCache>
                <c:ptCount val="1"/>
                <c:pt idx="0">
                  <c:v>MDPI</c:v>
                </c:pt>
              </c:strCache>
            </c:strRef>
          </c:tx>
          <c:spPr>
            <a:ln w="38100" cap="rnd">
              <a:solidFill>
                <a:schemeClr val="bg2">
                  <a:lumMod val="90000"/>
                </a:schemeClr>
              </a:solidFill>
              <a:prstDash val="solid"/>
              <a:round/>
            </a:ln>
            <a:effectLst/>
          </c:spPr>
          <c:marker>
            <c:symbol val="none"/>
          </c:marker>
          <c:cat>
            <c:numRef>
              <c:f>Sheet1!$B$1:$G$1</c:f>
              <c:numCache>
                <c:formatCode>General</c:formatCode>
                <c:ptCount val="6"/>
                <c:pt idx="0">
                  <c:v>2004</c:v>
                </c:pt>
                <c:pt idx="1">
                  <c:v>2006</c:v>
                </c:pt>
                <c:pt idx="2">
                  <c:v>2008</c:v>
                </c:pt>
                <c:pt idx="3">
                  <c:v>2010</c:v>
                </c:pt>
                <c:pt idx="4">
                  <c:v>2012</c:v>
                </c:pt>
                <c:pt idx="5">
                  <c:v>2014</c:v>
                </c:pt>
              </c:numCache>
            </c:numRef>
          </c:cat>
          <c:val>
            <c:numRef>
              <c:f>Sheet1!$B$8:$G$8</c:f>
              <c:numCache>
                <c:formatCode>0.0</c:formatCode>
                <c:ptCount val="6"/>
                <c:pt idx="0">
                  <c:v>18.989999999999998</c:v>
                </c:pt>
                <c:pt idx="1">
                  <c:v>19.07</c:v>
                </c:pt>
                <c:pt idx="2">
                  <c:v>16.11</c:v>
                </c:pt>
                <c:pt idx="3">
                  <c:v>15.26</c:v>
                </c:pt>
                <c:pt idx="4">
                  <c:v>14.01</c:v>
                </c:pt>
                <c:pt idx="5">
                  <c:v>12.91</c:v>
                </c:pt>
              </c:numCache>
            </c:numRef>
          </c:val>
          <c:smooth val="0"/>
          <c:extLst>
            <c:ext xmlns:c16="http://schemas.microsoft.com/office/drawing/2014/chart" uri="{C3380CC4-5D6E-409C-BE32-E72D297353CC}">
              <c16:uniqueId val="{00000004-324A-4FD1-BCFD-6FC730B62116}"/>
            </c:ext>
          </c:extLst>
        </c:ser>
        <c:dLbls>
          <c:showLegendKey val="0"/>
          <c:showVal val="0"/>
          <c:showCatName val="0"/>
          <c:showSerName val="0"/>
          <c:showPercent val="0"/>
          <c:showBubbleSize val="0"/>
        </c:dLbls>
        <c:marker val="1"/>
        <c:smooth val="0"/>
        <c:axId val="196988896"/>
        <c:axId val="196985600"/>
      </c:lineChart>
      <c:lineChart>
        <c:grouping val="standard"/>
        <c:varyColors val="0"/>
        <c:ser>
          <c:idx val="5"/>
          <c:order val="2"/>
          <c:tx>
            <c:strRef>
              <c:f>Sheet1!$A$6</c:f>
              <c:strCache>
                <c:ptCount val="1"/>
                <c:pt idx="0">
                  <c:v>Squared Poverty Gap Index</c:v>
                </c:pt>
              </c:strCache>
            </c:strRef>
          </c:tx>
          <c:spPr>
            <a:ln w="28575" cap="rnd">
              <a:solidFill>
                <a:schemeClr val="accent6"/>
              </a:solidFill>
              <a:prstDash val="dash"/>
              <a:round/>
            </a:ln>
            <a:effectLst/>
          </c:spPr>
          <c:marker>
            <c:symbol val="none"/>
          </c:marker>
          <c:val>
            <c:numRef>
              <c:f>Sheet1!$B$6:$G$6</c:f>
              <c:numCache>
                <c:formatCode>0.0</c:formatCode>
                <c:ptCount val="6"/>
                <c:pt idx="0">
                  <c:v>1.71</c:v>
                </c:pt>
                <c:pt idx="1">
                  <c:v>1.78</c:v>
                </c:pt>
                <c:pt idx="2">
                  <c:v>2.69</c:v>
                </c:pt>
                <c:pt idx="3">
                  <c:v>0.69</c:v>
                </c:pt>
                <c:pt idx="4">
                  <c:v>0.81</c:v>
                </c:pt>
                <c:pt idx="5">
                  <c:v>0.3</c:v>
                </c:pt>
              </c:numCache>
            </c:numRef>
          </c:val>
          <c:smooth val="0"/>
          <c:extLst>
            <c:ext xmlns:c16="http://schemas.microsoft.com/office/drawing/2014/chart" uri="{C3380CC4-5D6E-409C-BE32-E72D297353CC}">
              <c16:uniqueId val="{00000005-324A-4FD1-BCFD-6FC730B62116}"/>
            </c:ext>
          </c:extLst>
        </c:ser>
        <c:ser>
          <c:idx val="8"/>
          <c:order val="5"/>
          <c:tx>
            <c:strRef>
              <c:f>Sheet1!$A$9</c:f>
              <c:strCache>
                <c:ptCount val="1"/>
                <c:pt idx="0">
                  <c:v>Beneficiaries No (million)</c:v>
                </c:pt>
              </c:strCache>
            </c:strRef>
          </c:tx>
          <c:spPr>
            <a:ln w="28575" cap="rnd">
              <a:solidFill>
                <a:srgbClr val="FF0000"/>
              </a:solidFill>
              <a:round/>
            </a:ln>
            <a:effectLst/>
          </c:spPr>
          <c:marker>
            <c:symbol val="circle"/>
            <c:size val="5"/>
            <c:spPr>
              <a:solidFill>
                <a:srgbClr val="FF0000"/>
              </a:solidFill>
              <a:ln w="9525">
                <a:solidFill>
                  <a:schemeClr val="accent3">
                    <a:lumMod val="60000"/>
                  </a:schemeClr>
                </a:solidFill>
              </a:ln>
              <a:effectLst/>
            </c:spPr>
          </c:marker>
          <c:dLbls>
            <c:dLbl>
              <c:idx val="2"/>
              <c:layout>
                <c:manualLayout>
                  <c:x val="-2.7508355832588181E-2"/>
                  <c:y val="4.6536859104065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4A-4FD1-BCFD-6FC730B621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Sheet1!$B$9:$G$9</c:f>
              <c:numCache>
                <c:formatCode>General</c:formatCode>
                <c:ptCount val="6"/>
                <c:pt idx="2" formatCode="0.00">
                  <c:v>1.76</c:v>
                </c:pt>
                <c:pt idx="3" formatCode="0.00">
                  <c:v>3.1</c:v>
                </c:pt>
                <c:pt idx="4" formatCode="0.00">
                  <c:v>3.75</c:v>
                </c:pt>
                <c:pt idx="5" formatCode="0.00">
                  <c:v>5.05</c:v>
                </c:pt>
              </c:numCache>
            </c:numRef>
          </c:val>
          <c:smooth val="0"/>
          <c:extLst>
            <c:ext xmlns:c16="http://schemas.microsoft.com/office/drawing/2014/chart" uri="{C3380CC4-5D6E-409C-BE32-E72D297353CC}">
              <c16:uniqueId val="{00000007-324A-4FD1-BCFD-6FC730B62116}"/>
            </c:ext>
          </c:extLst>
        </c:ser>
        <c:dLbls>
          <c:showLegendKey val="0"/>
          <c:showVal val="0"/>
          <c:showCatName val="0"/>
          <c:showSerName val="0"/>
          <c:showPercent val="0"/>
          <c:showBubbleSize val="0"/>
        </c:dLbls>
        <c:marker val="1"/>
        <c:smooth val="0"/>
        <c:axId val="247292112"/>
        <c:axId val="233890128"/>
      </c:lineChart>
      <c:catAx>
        <c:axId val="19698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985600"/>
        <c:crosses val="autoZero"/>
        <c:auto val="1"/>
        <c:lblAlgn val="ctr"/>
        <c:lblOffset val="100"/>
        <c:noMultiLvlLbl val="0"/>
      </c:catAx>
      <c:valAx>
        <c:axId val="19698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HH, PG,</a:t>
                </a:r>
                <a:r>
                  <a:rPr lang="en-GB" baseline="0"/>
                  <a:t> MP, MDPI</a:t>
                </a:r>
                <a:endParaRPr lang="en-GB"/>
              </a:p>
            </c:rich>
          </c:tx>
          <c:layout>
            <c:manualLayout>
              <c:xMode val="edge"/>
              <c:yMode val="edge"/>
              <c:x val="6.7287783647297247E-2"/>
              <c:y val="0.29226710297576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988896"/>
        <c:crosses val="autoZero"/>
        <c:crossBetween val="between"/>
      </c:valAx>
      <c:valAx>
        <c:axId val="2338901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SPG, Beneficiaries (Millions)</a:t>
                </a:r>
              </a:p>
            </c:rich>
          </c:tx>
          <c:layout>
            <c:manualLayout>
              <c:xMode val="edge"/>
              <c:yMode val="edge"/>
              <c:x val="0.89020014192037067"/>
              <c:y val="0.181241084476628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92112"/>
        <c:crosses val="max"/>
        <c:crossBetween val="between"/>
      </c:valAx>
      <c:catAx>
        <c:axId val="247292112"/>
        <c:scaling>
          <c:orientation val="minMax"/>
        </c:scaling>
        <c:delete val="1"/>
        <c:axPos val="b"/>
        <c:majorTickMark val="out"/>
        <c:minorTickMark val="none"/>
        <c:tickLblPos val="nextTo"/>
        <c:crossAx val="233890128"/>
        <c:crosses val="autoZero"/>
        <c:auto val="1"/>
        <c:lblAlgn val="ctr"/>
        <c:lblOffset val="100"/>
        <c:noMultiLvlLbl val="0"/>
      </c:catAx>
      <c:spPr>
        <a:noFill/>
        <a:ln>
          <a:noFill/>
          <a:prstDash val="sysDot"/>
        </a:ln>
        <a:effectLst/>
      </c:spPr>
    </c:plotArea>
    <c:legend>
      <c:legendPos val="b"/>
      <c:layout>
        <c:manualLayout>
          <c:xMode val="edge"/>
          <c:yMode val="edge"/>
          <c:x val="4.6640266165121513E-2"/>
          <c:y val="0.81554387419024144"/>
          <c:w val="0.9533596655466926"/>
          <c:h val="0.1844561258097585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A0B17-1D2F-403A-9449-AD71DEFF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12455</Words>
  <Characters>70995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83284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Gibson</dc:creator>
  <cp:lastModifiedBy>Geua Boe-Gibson</cp:lastModifiedBy>
  <cp:revision>2</cp:revision>
  <cp:lastPrinted>2021-09-14T05:05:00Z</cp:lastPrinted>
  <dcterms:created xsi:type="dcterms:W3CDTF">2021-09-27T10:29:00Z</dcterms:created>
  <dcterms:modified xsi:type="dcterms:W3CDTF">2021-09-27T10:29:00Z</dcterms:modified>
</cp:coreProperties>
</file>