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79" w:rsidRDefault="00E67C79" w:rsidP="00E67C79">
      <w:pPr>
        <w:spacing w:after="0" w:line="300" w:lineRule="auto"/>
        <w:rPr>
          <w:rFonts w:eastAsia="Times New Roman"/>
          <w:b/>
          <w:bCs/>
          <w:sz w:val="28"/>
          <w:lang w:val="en-US"/>
        </w:rPr>
      </w:pPr>
    </w:p>
    <w:p w:rsidR="00E67C79" w:rsidRDefault="00E67C79"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E67C79" w:rsidRDefault="00E67C79"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Hamilton</w:t>
      </w: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New Zealand</w:t>
      </w:r>
    </w:p>
    <w:p w:rsidR="00E67C79" w:rsidRDefault="00E67C79" w:rsidP="00E67C79">
      <w:pPr>
        <w:pStyle w:val="PlainText"/>
        <w:tabs>
          <w:tab w:val="left" w:pos="284"/>
        </w:tabs>
        <w:jc w:val="center"/>
        <w:rPr>
          <w:rFonts w:ascii="Times New Roman" w:hAnsi="Times New Roman"/>
          <w:b/>
          <w:sz w:val="28"/>
        </w:rPr>
      </w:pPr>
    </w:p>
    <w:p w:rsidR="006B0214" w:rsidRDefault="006B0214"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p>
    <w:p w:rsidR="00E67C79" w:rsidRPr="00E67C79" w:rsidRDefault="00E67C79" w:rsidP="009C0F5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bCs/>
          <w:sz w:val="14"/>
          <w:szCs w:val="14"/>
        </w:rPr>
      </w:pPr>
      <w:r w:rsidRPr="009C0F5A">
        <w:rPr>
          <w:rFonts w:cs="Arial"/>
          <w:b/>
          <w:bCs/>
          <w:sz w:val="12"/>
          <w:szCs w:val="12"/>
        </w:rPr>
        <w:br/>
      </w:r>
      <w:r w:rsidR="009C0F5A">
        <w:rPr>
          <w:rFonts w:asciiTheme="majorBidi" w:hAnsiTheme="majorBidi" w:cstheme="majorBidi"/>
          <w:b/>
          <w:bCs/>
          <w:sz w:val="28"/>
          <w:szCs w:val="28"/>
        </w:rPr>
        <w:t>Jabbing the Economy Back to Life?</w:t>
      </w:r>
      <w:r w:rsidRPr="00E67C79">
        <w:rPr>
          <w:rFonts w:cs="Arial"/>
          <w:b/>
          <w:bCs/>
          <w:sz w:val="28"/>
          <w:szCs w:val="28"/>
        </w:rPr>
        <w:br/>
      </w:r>
      <w:r w:rsidRPr="00E67C79">
        <w:rPr>
          <w:rFonts w:ascii="Times New Roman" w:hAnsi="Times New Roman"/>
          <w:b/>
          <w:bCs/>
          <w:sz w:val="28"/>
          <w:szCs w:val="28"/>
        </w:rPr>
        <w:t xml:space="preserve"> </w:t>
      </w:r>
    </w:p>
    <w:p w:rsidR="00E67C79" w:rsidRDefault="00E67C79" w:rsidP="009C0F5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John Gibson </w:t>
      </w:r>
    </w:p>
    <w:p w:rsidR="00E67C79" w:rsidRDefault="00E67C79" w:rsidP="00E67C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E67C79" w:rsidRDefault="00E67C79" w:rsidP="00E67C79">
      <w:pPr>
        <w:pStyle w:val="PlainText"/>
        <w:tabs>
          <w:tab w:val="left" w:pos="284"/>
        </w:tabs>
        <w:rPr>
          <w:rFonts w:ascii="Times New Roman" w:hAnsi="Times New Roman"/>
          <w:b/>
          <w:sz w:val="28"/>
        </w:rPr>
      </w:pPr>
    </w:p>
    <w:p w:rsidR="00E67C79" w:rsidRDefault="00E67C79" w:rsidP="00E67C79">
      <w:pPr>
        <w:pStyle w:val="PlainText"/>
        <w:tabs>
          <w:tab w:val="left" w:pos="284"/>
        </w:tabs>
        <w:rPr>
          <w:rFonts w:ascii="Times New Roman" w:hAnsi="Times New Roman"/>
          <w:b/>
          <w:sz w:val="28"/>
        </w:rPr>
      </w:pPr>
    </w:p>
    <w:p w:rsidR="00E67C79" w:rsidRDefault="00025758" w:rsidP="00E67C79">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11</w:t>
      </w:r>
      <w:bookmarkStart w:id="0" w:name="_GoBack"/>
      <w:bookmarkEnd w:id="0"/>
      <w:r w:rsidR="00E67C79">
        <w:rPr>
          <w:rFonts w:ascii="Times New Roman" w:hAnsi="Times New Roman"/>
          <w:b/>
          <w:bCs/>
          <w:sz w:val="28"/>
        </w:rPr>
        <w:t>/21</w:t>
      </w:r>
    </w:p>
    <w:p w:rsidR="00E67C79" w:rsidRDefault="009C0F5A" w:rsidP="00E67C79">
      <w:pPr>
        <w:pStyle w:val="PlainText"/>
        <w:tabs>
          <w:tab w:val="left" w:pos="284"/>
        </w:tabs>
        <w:spacing w:before="100" w:line="360" w:lineRule="auto"/>
        <w:jc w:val="center"/>
        <w:rPr>
          <w:rFonts w:ascii="Times New Roman" w:hAnsi="Times New Roman"/>
          <w:sz w:val="28"/>
        </w:rPr>
      </w:pPr>
      <w:r>
        <w:rPr>
          <w:rFonts w:ascii="Times New Roman" w:hAnsi="Times New Roman"/>
          <w:sz w:val="28"/>
        </w:rPr>
        <w:t>October</w:t>
      </w:r>
      <w:r w:rsidR="00E67C79">
        <w:rPr>
          <w:rFonts w:ascii="Times New Roman" w:hAnsi="Times New Roman"/>
          <w:sz w:val="28"/>
        </w:rPr>
        <w:t xml:space="preserve"> 2021</w:t>
      </w:r>
    </w:p>
    <w:p w:rsidR="006B0214" w:rsidRDefault="006B0214" w:rsidP="009C0F5A">
      <w:pPr>
        <w:spacing w:after="0" w:line="276" w:lineRule="auto"/>
        <w:jc w:val="center"/>
        <w:rPr>
          <w:sz w:val="32"/>
          <w:szCs w:val="32"/>
        </w:rPr>
      </w:pPr>
    </w:p>
    <w:p w:rsidR="006B0214" w:rsidRDefault="006B0214" w:rsidP="009C0F5A">
      <w:pPr>
        <w:spacing w:after="0" w:line="276" w:lineRule="auto"/>
        <w:jc w:val="center"/>
        <w:rPr>
          <w:sz w:val="32"/>
          <w:szCs w:val="32"/>
        </w:rPr>
      </w:pPr>
    </w:p>
    <w:p w:rsidR="006B0214" w:rsidRDefault="006B0214" w:rsidP="009C0F5A">
      <w:pPr>
        <w:spacing w:after="0" w:line="276" w:lineRule="auto"/>
        <w:jc w:val="center"/>
        <w:rPr>
          <w:sz w:val="32"/>
          <w:szCs w:val="32"/>
        </w:rPr>
      </w:pPr>
    </w:p>
    <w:p w:rsidR="006B0214" w:rsidRDefault="006B0214" w:rsidP="009C0F5A">
      <w:pPr>
        <w:spacing w:after="0" w:line="276" w:lineRule="auto"/>
        <w:jc w:val="center"/>
        <w:rPr>
          <w:sz w:val="32"/>
          <w:szCs w:val="32"/>
        </w:rPr>
      </w:pPr>
    </w:p>
    <w:p w:rsidR="00AE73E2" w:rsidRPr="005B2FFB" w:rsidRDefault="00AE73E2" w:rsidP="009C0F5A">
      <w:pPr>
        <w:spacing w:after="0" w:line="276" w:lineRule="auto"/>
        <w:jc w:val="center"/>
        <w:rPr>
          <w:b/>
          <w:bCs/>
          <w:sz w:val="12"/>
          <w:szCs w:val="12"/>
        </w:rPr>
      </w:pPr>
      <w:r>
        <w:rPr>
          <w:sz w:val="32"/>
          <w:szCs w:val="32"/>
        </w:rPr>
        <w:br/>
      </w:r>
    </w:p>
    <w:p w:rsidR="00AE73E2" w:rsidRPr="0076045F" w:rsidRDefault="00AE73E2" w:rsidP="00AE73E2">
      <w:pPr>
        <w:pStyle w:val="CM4"/>
        <w:spacing w:before="60" w:line="240" w:lineRule="auto"/>
        <w:jc w:val="center"/>
      </w:pPr>
      <w:r w:rsidRPr="0076045F">
        <w:rPr>
          <w:b/>
          <w:bCs/>
        </w:rPr>
        <w:t>John Gibson</w:t>
      </w:r>
    </w:p>
    <w:p w:rsidR="00AE73E2" w:rsidRDefault="00AE73E2" w:rsidP="00AE73E2">
      <w:pPr>
        <w:pStyle w:val="CM23"/>
        <w:spacing w:after="0"/>
        <w:jc w:val="center"/>
      </w:pPr>
      <w:r w:rsidRPr="0076045F">
        <w:t xml:space="preserve">School of Accounting, Finance </w:t>
      </w:r>
    </w:p>
    <w:p w:rsidR="00AE73E2" w:rsidRPr="0076045F" w:rsidRDefault="00AE73E2" w:rsidP="00AE73E2">
      <w:pPr>
        <w:pStyle w:val="CM23"/>
        <w:spacing w:after="0"/>
        <w:jc w:val="center"/>
      </w:pPr>
      <w:r>
        <w:t xml:space="preserve">and </w:t>
      </w:r>
      <w:r w:rsidRPr="0076045F">
        <w:t>Economics</w:t>
      </w:r>
    </w:p>
    <w:p w:rsidR="00AE73E2" w:rsidRPr="0076045F" w:rsidRDefault="00AE73E2" w:rsidP="00AE73E2">
      <w:pPr>
        <w:pStyle w:val="CM23"/>
        <w:spacing w:after="0"/>
        <w:jc w:val="center"/>
      </w:pPr>
      <w:r w:rsidRPr="0076045F">
        <w:t>University of Waikato</w:t>
      </w:r>
    </w:p>
    <w:p w:rsidR="00AE73E2" w:rsidRPr="0076045F" w:rsidRDefault="00AE73E2" w:rsidP="00AE73E2">
      <w:pPr>
        <w:pStyle w:val="CM23"/>
        <w:spacing w:after="0"/>
        <w:jc w:val="center"/>
      </w:pPr>
      <w:r w:rsidRPr="0076045F">
        <w:t>Private Bag 3105</w:t>
      </w:r>
    </w:p>
    <w:p w:rsidR="00AE73E2" w:rsidRPr="0076045F" w:rsidRDefault="00AE73E2" w:rsidP="00AE73E2">
      <w:pPr>
        <w:pStyle w:val="CM23"/>
        <w:spacing w:after="0"/>
        <w:jc w:val="center"/>
      </w:pPr>
      <w:r w:rsidRPr="0076045F">
        <w:t>Hamilton, 3240</w:t>
      </w:r>
    </w:p>
    <w:p w:rsidR="00AE73E2" w:rsidRPr="0076045F" w:rsidRDefault="00AE73E2" w:rsidP="00AE73E2">
      <w:pPr>
        <w:pStyle w:val="CM23"/>
        <w:spacing w:after="0"/>
        <w:jc w:val="center"/>
      </w:pPr>
      <w:r w:rsidRPr="0076045F">
        <w:t xml:space="preserve">New Zealand </w:t>
      </w:r>
    </w:p>
    <w:p w:rsidR="00AE73E2" w:rsidRPr="00CD094B" w:rsidRDefault="00AE73E2" w:rsidP="00AE73E2">
      <w:pPr>
        <w:pStyle w:val="Default"/>
        <w:rPr>
          <w:sz w:val="12"/>
          <w:szCs w:val="12"/>
        </w:rPr>
      </w:pPr>
    </w:p>
    <w:p w:rsidR="00AE73E2" w:rsidRPr="0076045F" w:rsidRDefault="00AE73E2" w:rsidP="00AE73E2">
      <w:pPr>
        <w:pStyle w:val="Default"/>
        <w:jc w:val="center"/>
      </w:pPr>
      <w:r w:rsidRPr="0076045F">
        <w:t>Tel: +64 (7) 838 4289</w:t>
      </w:r>
    </w:p>
    <w:p w:rsidR="00AE73E2" w:rsidRPr="0076045F" w:rsidRDefault="00AE73E2" w:rsidP="00AE73E2">
      <w:pPr>
        <w:pStyle w:val="CM3"/>
        <w:jc w:val="center"/>
        <w:rPr>
          <w:bCs/>
        </w:rPr>
      </w:pPr>
      <w:r w:rsidRPr="0076045F">
        <w:rPr>
          <w:bCs/>
        </w:rPr>
        <w:t>Email: jkgibson@waikato.ac.nz</w:t>
      </w:r>
    </w:p>
    <w:p w:rsidR="00AE73E2" w:rsidRPr="00AE73E2" w:rsidRDefault="00AE73E2" w:rsidP="00AE73E2">
      <w:pPr>
        <w:spacing w:after="0" w:line="276" w:lineRule="auto"/>
        <w:jc w:val="center"/>
        <w:rPr>
          <w:lang w:val="en-US"/>
        </w:rPr>
      </w:pPr>
    </w:p>
    <w:p w:rsidR="005D3F48" w:rsidRDefault="005D3F48" w:rsidP="005D3F48">
      <w:pPr>
        <w:spacing w:line="240" w:lineRule="auto"/>
        <w:jc w:val="center"/>
        <w:rPr>
          <w:b/>
          <w:bCs/>
        </w:rPr>
      </w:pPr>
    </w:p>
    <w:p w:rsidR="009C0F5A" w:rsidRDefault="009C0F5A">
      <w:pPr>
        <w:rPr>
          <w:b/>
          <w:bCs/>
        </w:rPr>
      </w:pPr>
      <w:r>
        <w:rPr>
          <w:b/>
          <w:bCs/>
        </w:rPr>
        <w:br w:type="page"/>
      </w:r>
    </w:p>
    <w:p w:rsidR="005D3F48" w:rsidRDefault="005D3F48" w:rsidP="005D3F48">
      <w:pPr>
        <w:spacing w:line="240" w:lineRule="auto"/>
        <w:jc w:val="center"/>
        <w:rPr>
          <w:b/>
          <w:bCs/>
        </w:rPr>
      </w:pPr>
    </w:p>
    <w:p w:rsidR="00E67C79" w:rsidRDefault="00E67C79" w:rsidP="005D3F48">
      <w:pPr>
        <w:spacing w:line="240" w:lineRule="auto"/>
        <w:jc w:val="center"/>
        <w:rPr>
          <w:b/>
        </w:rPr>
      </w:pPr>
      <w:r w:rsidRPr="00AF7EC2">
        <w:rPr>
          <w:b/>
        </w:rPr>
        <w:t>Abstract</w:t>
      </w:r>
    </w:p>
    <w:p w:rsidR="005D3F48" w:rsidRPr="00AF7EC2" w:rsidRDefault="005D3F48" w:rsidP="005D3F48">
      <w:pPr>
        <w:spacing w:line="240" w:lineRule="auto"/>
        <w:jc w:val="center"/>
        <w:rPr>
          <w:b/>
        </w:rPr>
      </w:pPr>
    </w:p>
    <w:p w:rsidR="009C0F5A" w:rsidRPr="009C0F5A" w:rsidRDefault="009C0F5A" w:rsidP="009C0F5A">
      <w:pPr>
        <w:spacing w:after="0" w:line="360" w:lineRule="auto"/>
        <w:jc w:val="both"/>
        <w:rPr>
          <w:bCs/>
          <w:lang w:val="en-US"/>
        </w:rPr>
      </w:pPr>
      <w:r w:rsidRPr="009C0F5A">
        <w:rPr>
          <w:bCs/>
          <w:lang w:val="en-US"/>
        </w:rPr>
        <w:t xml:space="preserve">The pace and scope of Covid-19 vaccination has varied greatly across OECD countries. In this paper, monthly data on vaccination rates for the 32 OECD countries with all-cause mortality rates available are related to seven monthly economic activity indicators: night-time lights and </w:t>
      </w:r>
      <w:r w:rsidRPr="009C0F5A">
        <w:rPr>
          <w:bCs/>
          <w:i/>
          <w:iCs/>
          <w:lang w:val="en-US"/>
        </w:rPr>
        <w:t>Google Mobility</w:t>
      </w:r>
      <w:r w:rsidRPr="009C0F5A">
        <w:rPr>
          <w:bCs/>
          <w:lang w:val="en-US"/>
        </w:rPr>
        <w:t xml:space="preserve"> reports for six types of locations. Vaccination rates are also related to </w:t>
      </w:r>
      <w:proofErr w:type="spellStart"/>
      <w:r w:rsidRPr="009C0F5A">
        <w:rPr>
          <w:bCs/>
          <w:lang w:val="en-US"/>
        </w:rPr>
        <w:t>Covid</w:t>
      </w:r>
      <w:proofErr w:type="spellEnd"/>
      <w:r w:rsidRPr="009C0F5A">
        <w:rPr>
          <w:bCs/>
          <w:lang w:val="en-US"/>
        </w:rPr>
        <w:t xml:space="preserve"> response stringency, to </w:t>
      </w:r>
      <w:proofErr w:type="spellStart"/>
      <w:r w:rsidRPr="009C0F5A">
        <w:rPr>
          <w:bCs/>
          <w:lang w:val="en-US"/>
        </w:rPr>
        <w:t>Covid</w:t>
      </w:r>
      <w:proofErr w:type="spellEnd"/>
      <w:r w:rsidRPr="009C0F5A">
        <w:rPr>
          <w:bCs/>
          <w:lang w:val="en-US"/>
        </w:rPr>
        <w:t xml:space="preserve"> cases and deaths, and to all-cause mortality. A standard deviation higher fully vaccinated rate is associated with up to an 0.5 standard deviation larger rise in economic activity over the same month in 2020; an effect due to relaxed response stringency. The partial vaccination rate has no relationship with the economic rebound. These associations with changes in economic activity occur despite no apparent relationship between vaccination rates and changes in Covid-19 cases or changes in mortality. </w:t>
      </w:r>
    </w:p>
    <w:p w:rsidR="00E67C79" w:rsidRPr="009C0F5A" w:rsidRDefault="00E67C79" w:rsidP="00B668C8">
      <w:pPr>
        <w:spacing w:after="0" w:line="360" w:lineRule="auto"/>
        <w:jc w:val="both"/>
        <w:rPr>
          <w:rFonts w:eastAsia="Times New Roman"/>
          <w:lang w:val="en-US"/>
        </w:rPr>
      </w:pPr>
    </w:p>
    <w:p w:rsidR="00E67C79" w:rsidRDefault="00E67C79" w:rsidP="00E67C79">
      <w:pPr>
        <w:tabs>
          <w:tab w:val="left" w:pos="426"/>
        </w:tabs>
        <w:spacing w:line="300" w:lineRule="auto"/>
      </w:pPr>
    </w:p>
    <w:p w:rsidR="00FE5311" w:rsidRDefault="00FE5311" w:rsidP="00E67C79">
      <w:pPr>
        <w:tabs>
          <w:tab w:val="left" w:pos="426"/>
        </w:tabs>
        <w:spacing w:line="300" w:lineRule="auto"/>
      </w:pPr>
    </w:p>
    <w:p w:rsidR="00E67C79" w:rsidRPr="00CC12E6" w:rsidRDefault="00E67C79" w:rsidP="00E67C79">
      <w:pPr>
        <w:spacing w:after="0" w:line="300" w:lineRule="auto"/>
        <w:jc w:val="center"/>
        <w:rPr>
          <w:rFonts w:eastAsia="Times New Roman"/>
          <w:b/>
          <w:lang w:val="en-US"/>
        </w:rPr>
      </w:pPr>
      <w:r w:rsidRPr="00CC12E6">
        <w:rPr>
          <w:rFonts w:eastAsia="Times New Roman"/>
          <w:b/>
          <w:lang w:val="en-US"/>
        </w:rPr>
        <w:t>Keywords</w:t>
      </w:r>
    </w:p>
    <w:p w:rsidR="00E67C79" w:rsidRDefault="009C0F5A" w:rsidP="00B668C8">
      <w:pPr>
        <w:spacing w:after="0" w:line="360" w:lineRule="auto"/>
        <w:jc w:val="center"/>
        <w:rPr>
          <w:rFonts w:eastAsia="Times New Roman"/>
          <w:bCs/>
          <w:lang w:val="en-US"/>
        </w:rPr>
      </w:pPr>
      <w:r>
        <w:rPr>
          <w:rFonts w:eastAsia="Batang"/>
          <w:lang w:val="en-US" w:eastAsia="ko-KR"/>
        </w:rPr>
        <w:t>Covid-19</w:t>
      </w:r>
    </w:p>
    <w:p w:rsidR="00E67C79" w:rsidRDefault="009C0F5A" w:rsidP="00B668C8">
      <w:pPr>
        <w:spacing w:after="0" w:line="360" w:lineRule="auto"/>
        <w:jc w:val="center"/>
        <w:rPr>
          <w:rFonts w:eastAsia="Times New Roman"/>
          <w:bCs/>
          <w:lang w:val="en-US"/>
        </w:rPr>
      </w:pPr>
      <w:r>
        <w:rPr>
          <w:rFonts w:eastAsia="Times New Roman"/>
          <w:bCs/>
          <w:lang w:val="en-US"/>
        </w:rPr>
        <w:t>Google mobility</w:t>
      </w:r>
    </w:p>
    <w:p w:rsidR="00E67C79" w:rsidRDefault="009C0F5A" w:rsidP="009C0F5A">
      <w:pPr>
        <w:spacing w:after="0" w:line="360" w:lineRule="auto"/>
        <w:jc w:val="center"/>
        <w:rPr>
          <w:rFonts w:eastAsia="Times New Roman"/>
          <w:bCs/>
          <w:lang w:val="en-US"/>
        </w:rPr>
      </w:pPr>
      <w:r>
        <w:rPr>
          <w:rFonts w:eastAsia="Times New Roman"/>
          <w:bCs/>
          <w:lang w:val="en-US"/>
        </w:rPr>
        <w:t>Mortality</w:t>
      </w:r>
    </w:p>
    <w:p w:rsidR="009C0F5A" w:rsidRDefault="009C0F5A" w:rsidP="009C0F5A">
      <w:pPr>
        <w:spacing w:after="0" w:line="360" w:lineRule="auto"/>
        <w:jc w:val="center"/>
        <w:rPr>
          <w:rFonts w:eastAsia="Times New Roman"/>
          <w:bCs/>
          <w:lang w:val="en-US"/>
        </w:rPr>
      </w:pPr>
      <w:r>
        <w:rPr>
          <w:rFonts w:eastAsia="Times New Roman"/>
          <w:bCs/>
          <w:lang w:val="en-US"/>
        </w:rPr>
        <w:t>Night-time lights</w:t>
      </w:r>
    </w:p>
    <w:p w:rsidR="009C0F5A" w:rsidRDefault="009C0F5A" w:rsidP="009C0F5A">
      <w:pPr>
        <w:spacing w:after="0" w:line="360" w:lineRule="auto"/>
        <w:jc w:val="center"/>
        <w:rPr>
          <w:rFonts w:eastAsia="Times New Roman"/>
          <w:bCs/>
          <w:lang w:val="en-US"/>
        </w:rPr>
      </w:pPr>
      <w:r>
        <w:rPr>
          <w:rFonts w:eastAsia="Times New Roman"/>
          <w:bCs/>
          <w:lang w:val="en-US"/>
        </w:rPr>
        <w:t>Vaccination</w:t>
      </w:r>
    </w:p>
    <w:p w:rsidR="00E67C79" w:rsidRPr="00CC12E6" w:rsidRDefault="00E67C79" w:rsidP="00B668C8">
      <w:pPr>
        <w:spacing w:after="0" w:line="360" w:lineRule="auto"/>
        <w:jc w:val="center"/>
        <w:rPr>
          <w:rFonts w:eastAsia="Times New Roman"/>
          <w:bCs/>
          <w:lang w:val="en-US"/>
        </w:rPr>
      </w:pPr>
    </w:p>
    <w:p w:rsidR="00E67C79" w:rsidRPr="00CC12E6" w:rsidRDefault="00E67C79" w:rsidP="00E67C79">
      <w:pPr>
        <w:spacing w:after="0" w:line="300" w:lineRule="auto"/>
        <w:jc w:val="center"/>
        <w:rPr>
          <w:rFonts w:eastAsia="Times New Roman"/>
          <w:b/>
          <w:lang w:val="en-US"/>
        </w:rPr>
      </w:pPr>
      <w:r w:rsidRPr="00CC12E6">
        <w:rPr>
          <w:rFonts w:eastAsia="Times New Roman"/>
          <w:b/>
          <w:lang w:val="en-US"/>
        </w:rPr>
        <w:t>JEL Classification</w:t>
      </w:r>
    </w:p>
    <w:p w:rsidR="005D3F48" w:rsidRDefault="009C0F5A" w:rsidP="00AE73E2">
      <w:pPr>
        <w:spacing w:after="0" w:line="300" w:lineRule="auto"/>
        <w:jc w:val="center"/>
        <w:rPr>
          <w:rFonts w:eastAsia="Batang"/>
          <w:lang w:val="en-US" w:eastAsia="ko-KR"/>
        </w:rPr>
      </w:pPr>
      <w:r>
        <w:rPr>
          <w:rFonts w:eastAsia="Batang"/>
          <w:lang w:val="en-US" w:eastAsia="ko-KR"/>
        </w:rPr>
        <w:t>I18</w:t>
      </w:r>
    </w:p>
    <w:p w:rsidR="00E67C79" w:rsidRPr="00E67C79" w:rsidRDefault="009C0F5A" w:rsidP="00AE73E2">
      <w:pPr>
        <w:spacing w:after="0" w:line="300" w:lineRule="auto"/>
        <w:jc w:val="center"/>
        <w:rPr>
          <w:rFonts w:eastAsia="Times New Roman"/>
          <w:bCs/>
        </w:rPr>
      </w:pPr>
      <w:r>
        <w:rPr>
          <w:rFonts w:eastAsia="Batang"/>
          <w:lang w:val="en-US" w:eastAsia="ko-KR"/>
        </w:rPr>
        <w:t>O47</w:t>
      </w:r>
    </w:p>
    <w:p w:rsidR="00E67C79" w:rsidRPr="00E67C79" w:rsidRDefault="00E67C79" w:rsidP="00E67C79">
      <w:pPr>
        <w:spacing w:after="0" w:line="300" w:lineRule="auto"/>
        <w:rPr>
          <w:rFonts w:eastAsia="Times New Roman"/>
          <w:bCs/>
        </w:rPr>
      </w:pPr>
    </w:p>
    <w:p w:rsidR="00E67C79" w:rsidRDefault="00E67C79" w:rsidP="00E67C79">
      <w:pPr>
        <w:spacing w:after="0" w:line="300" w:lineRule="auto"/>
        <w:rPr>
          <w:rFonts w:eastAsia="Times New Roman"/>
          <w:bCs/>
        </w:rPr>
      </w:pPr>
    </w:p>
    <w:p w:rsidR="00B668C8" w:rsidRDefault="00B668C8" w:rsidP="00E67C79">
      <w:pPr>
        <w:spacing w:after="0" w:line="300" w:lineRule="auto"/>
        <w:rPr>
          <w:rFonts w:eastAsia="Times New Roman"/>
          <w:bCs/>
        </w:rPr>
      </w:pPr>
    </w:p>
    <w:p w:rsidR="00B668C8" w:rsidRDefault="00B668C8" w:rsidP="00E67C79">
      <w:pPr>
        <w:spacing w:after="0" w:line="300" w:lineRule="auto"/>
        <w:rPr>
          <w:rFonts w:eastAsia="Times New Roman"/>
          <w:bCs/>
        </w:rPr>
      </w:pPr>
    </w:p>
    <w:p w:rsidR="00B668C8" w:rsidRPr="00E67C79" w:rsidRDefault="00B668C8" w:rsidP="00E67C79">
      <w:pPr>
        <w:spacing w:after="0" w:line="300" w:lineRule="auto"/>
        <w:rPr>
          <w:rFonts w:eastAsia="Times New Roman"/>
          <w:bCs/>
        </w:rPr>
      </w:pPr>
    </w:p>
    <w:p w:rsidR="00E67C79" w:rsidRPr="005B6573" w:rsidRDefault="00E67C79" w:rsidP="00E67C79">
      <w:pPr>
        <w:spacing w:after="0" w:line="300" w:lineRule="auto"/>
        <w:jc w:val="center"/>
        <w:rPr>
          <w:rFonts w:eastAsia="Times New Roman"/>
          <w:b/>
        </w:rPr>
      </w:pPr>
      <w:r w:rsidRPr="005B6573">
        <w:rPr>
          <w:rFonts w:eastAsia="Times New Roman"/>
          <w:b/>
        </w:rPr>
        <w:t>Acknowledgements</w:t>
      </w:r>
    </w:p>
    <w:p w:rsidR="00E67C79" w:rsidRPr="005D3F48" w:rsidRDefault="009C0F5A" w:rsidP="009C0F5A">
      <w:pPr>
        <w:tabs>
          <w:tab w:val="left" w:pos="426"/>
        </w:tabs>
        <w:spacing w:line="300" w:lineRule="auto"/>
        <w:jc w:val="both"/>
        <w:rPr>
          <w:bCs/>
        </w:rPr>
      </w:pPr>
      <w:r>
        <w:t xml:space="preserve">I am grateful to </w:t>
      </w:r>
      <w:proofErr w:type="spellStart"/>
      <w:r>
        <w:t>Geua</w:t>
      </w:r>
      <w:proofErr w:type="spellEnd"/>
      <w:r>
        <w:t xml:space="preserve"> </w:t>
      </w:r>
      <w:proofErr w:type="spellStart"/>
      <w:r>
        <w:t>Boe</w:t>
      </w:r>
      <w:proofErr w:type="spellEnd"/>
      <w:r>
        <w:t xml:space="preserve">-Gibson for processing the night-time lights images. </w:t>
      </w:r>
    </w:p>
    <w:p w:rsidR="005D3F48" w:rsidRDefault="005D3F48">
      <w:pPr>
        <w:rPr>
          <w:rFonts w:cs="Arial"/>
          <w:b/>
          <w:bCs/>
          <w:sz w:val="28"/>
          <w:szCs w:val="28"/>
        </w:rPr>
      </w:pPr>
      <w:r>
        <w:rPr>
          <w:rFonts w:cs="Arial"/>
          <w:b/>
          <w:bCs/>
          <w:sz w:val="28"/>
          <w:szCs w:val="28"/>
        </w:rPr>
        <w:br w:type="page"/>
      </w:r>
    </w:p>
    <w:p w:rsidR="00CB1EC4" w:rsidRPr="00CB1EC4" w:rsidRDefault="00CB1EC4" w:rsidP="00CB1EC4">
      <w:pPr>
        <w:autoSpaceDE w:val="0"/>
        <w:autoSpaceDN w:val="0"/>
        <w:adjustRightInd w:val="0"/>
        <w:spacing w:after="0" w:line="240" w:lineRule="auto"/>
        <w:ind w:left="720"/>
        <w:rPr>
          <w:rFonts w:asciiTheme="majorBidi" w:hAnsiTheme="majorBidi" w:cstheme="majorBidi"/>
          <w:i/>
          <w:iCs/>
          <w:sz w:val="22"/>
          <w:szCs w:val="22"/>
        </w:rPr>
      </w:pPr>
      <w:r w:rsidRPr="00CB1EC4">
        <w:rPr>
          <w:rFonts w:asciiTheme="majorBidi" w:hAnsiTheme="majorBidi" w:cstheme="majorBidi"/>
          <w:i/>
          <w:iCs/>
          <w:sz w:val="22"/>
          <w:szCs w:val="22"/>
        </w:rPr>
        <w:lastRenderedPageBreak/>
        <w:t>“…Imagine everyone has been inoculated against COVID-19. The pandemic that gripped the world has given way to optimism. A successful worldwide vaccination programme has paved the way for a robust global economic recovery….”</w:t>
      </w:r>
    </w:p>
    <w:p w:rsidR="00CB1EC4" w:rsidRPr="00CB1EC4" w:rsidRDefault="00CB1EC4" w:rsidP="00CB1EC4">
      <w:pPr>
        <w:autoSpaceDE w:val="0"/>
        <w:autoSpaceDN w:val="0"/>
        <w:adjustRightInd w:val="0"/>
        <w:spacing w:after="0" w:line="240" w:lineRule="auto"/>
        <w:ind w:left="720"/>
        <w:jc w:val="right"/>
        <w:rPr>
          <w:rFonts w:asciiTheme="majorBidi" w:hAnsiTheme="majorBidi" w:cstheme="majorBidi"/>
          <w:i/>
          <w:iCs/>
          <w:sz w:val="22"/>
          <w:szCs w:val="22"/>
        </w:rPr>
      </w:pPr>
      <w:r w:rsidRPr="00CB1EC4">
        <w:rPr>
          <w:rFonts w:asciiTheme="majorBidi" w:hAnsiTheme="majorBidi" w:cstheme="majorBidi"/>
          <w:i/>
          <w:iCs/>
          <w:sz w:val="22"/>
          <w:szCs w:val="22"/>
        </w:rPr>
        <w:t>OECD (2021)</w:t>
      </w:r>
    </w:p>
    <w:p w:rsidR="00CB1EC4" w:rsidRPr="00CB1EC4" w:rsidRDefault="00CB1EC4" w:rsidP="00CB1EC4">
      <w:pPr>
        <w:spacing w:after="0" w:line="360" w:lineRule="auto"/>
        <w:jc w:val="center"/>
        <w:rPr>
          <w:rFonts w:asciiTheme="majorBidi" w:hAnsiTheme="majorBidi" w:cstheme="majorBidi"/>
          <w:sz w:val="12"/>
          <w:szCs w:val="12"/>
        </w:rPr>
      </w:pPr>
    </w:p>
    <w:p w:rsidR="002C5B8B" w:rsidRPr="008A622D" w:rsidRDefault="004327EE" w:rsidP="00675115">
      <w:pPr>
        <w:spacing w:after="0" w:line="360" w:lineRule="auto"/>
        <w:rPr>
          <w:rFonts w:asciiTheme="majorBidi" w:hAnsiTheme="majorBidi" w:cstheme="majorBidi"/>
          <w:bCs/>
          <w:lang w:val="en-AU"/>
        </w:rPr>
      </w:pPr>
      <w:r w:rsidRPr="008A622D">
        <w:rPr>
          <w:rFonts w:asciiTheme="majorBidi" w:hAnsiTheme="majorBidi" w:cstheme="majorBidi"/>
          <w:b/>
          <w:bCs/>
        </w:rPr>
        <w:t>I.</w:t>
      </w:r>
      <w:r w:rsidRPr="008A622D">
        <w:rPr>
          <w:rFonts w:asciiTheme="majorBidi" w:hAnsiTheme="majorBidi" w:cstheme="majorBidi"/>
          <w:b/>
          <w:bCs/>
        </w:rPr>
        <w:tab/>
        <w:t>Introduction</w:t>
      </w:r>
      <w:r w:rsidRPr="008A622D">
        <w:rPr>
          <w:rFonts w:asciiTheme="majorBidi" w:hAnsiTheme="majorBidi" w:cstheme="majorBidi"/>
          <w:bCs/>
          <w:lang w:val="en-AU"/>
        </w:rPr>
        <w:t xml:space="preserve"> </w:t>
      </w:r>
    </w:p>
    <w:p w:rsidR="009C0F5A" w:rsidRPr="009C0F5A" w:rsidRDefault="009C0F5A" w:rsidP="00CB1EC4">
      <w:pPr>
        <w:widowControl w:val="0"/>
        <w:spacing w:after="120" w:line="288" w:lineRule="auto"/>
        <w:ind w:firstLine="720"/>
        <w:jc w:val="both"/>
        <w:rPr>
          <w:rFonts w:asciiTheme="majorBidi" w:hAnsiTheme="majorBidi" w:cstheme="majorBidi"/>
          <w:bCs/>
        </w:rPr>
      </w:pPr>
      <w:r>
        <w:rPr>
          <w:rFonts w:asciiTheme="majorBidi" w:hAnsiTheme="majorBidi" w:cstheme="majorBidi"/>
          <w:bCs/>
          <w:lang w:val="en-AU"/>
        </w:rPr>
        <w:t>T</w:t>
      </w:r>
      <w:r w:rsidRPr="009C0F5A">
        <w:rPr>
          <w:rFonts w:asciiTheme="majorBidi" w:hAnsiTheme="majorBidi" w:cstheme="majorBidi"/>
          <w:bCs/>
          <w:lang w:val="en-US"/>
        </w:rPr>
        <w:t xml:space="preserve">he pace and scope of Covid-19 vaccination has varied greatly across OECD countries. </w:t>
      </w:r>
      <w:r w:rsidRPr="009C0F5A">
        <w:rPr>
          <w:rFonts w:asciiTheme="majorBidi" w:hAnsiTheme="majorBidi" w:cstheme="majorBidi"/>
          <w:bCs/>
        </w:rPr>
        <w:t xml:space="preserve">For example, by late July 2021, four-fifths of Iceland’s population had a dose while less than one-seventh of New Zealanders had been jabbed. Countries also varied in </w:t>
      </w:r>
      <w:r w:rsidRPr="009C0F5A">
        <w:rPr>
          <w:rFonts w:asciiTheme="majorBidi" w:hAnsiTheme="majorBidi" w:cstheme="majorBidi"/>
          <w:bCs/>
          <w:lang w:val="en-US"/>
        </w:rPr>
        <w:t>whether doses were spread over many partially vaccinated people or given to fewer fully vaccinated people. Thus,</w:t>
      </w:r>
      <w:r w:rsidRPr="009C0F5A">
        <w:rPr>
          <w:rFonts w:asciiTheme="majorBidi" w:hAnsiTheme="majorBidi" w:cstheme="majorBidi"/>
          <w:bCs/>
        </w:rPr>
        <w:t xml:space="preserve"> ranks in the vaccination stakes changed rapidly; for example, the Spearman correlation is just 0.28 for comparing March and September national rates of people having at least one dose. </w:t>
      </w:r>
    </w:p>
    <w:p w:rsidR="009C0F5A" w:rsidRPr="009C0F5A" w:rsidRDefault="009C0F5A" w:rsidP="00CB1EC4">
      <w:pPr>
        <w:widowControl w:val="0"/>
        <w:spacing w:after="120" w:line="288" w:lineRule="auto"/>
        <w:ind w:firstLine="720"/>
        <w:jc w:val="both"/>
        <w:rPr>
          <w:rFonts w:asciiTheme="majorBidi" w:hAnsiTheme="majorBidi" w:cstheme="majorBidi"/>
          <w:bCs/>
        </w:rPr>
      </w:pPr>
      <w:r w:rsidRPr="009C0F5A">
        <w:rPr>
          <w:rFonts w:asciiTheme="majorBidi" w:hAnsiTheme="majorBidi" w:cstheme="majorBidi"/>
          <w:bCs/>
        </w:rPr>
        <w:t xml:space="preserve">This variation helps to estimate how speed and type of rollout relate to the economic rebound as OECD countries recover from </w:t>
      </w:r>
      <w:proofErr w:type="spellStart"/>
      <w:r w:rsidRPr="009C0F5A">
        <w:rPr>
          <w:rFonts w:asciiTheme="majorBidi" w:hAnsiTheme="majorBidi" w:cstheme="majorBidi"/>
          <w:bCs/>
        </w:rPr>
        <w:t>Covid</w:t>
      </w:r>
      <w:proofErr w:type="spellEnd"/>
      <w:r w:rsidRPr="009C0F5A">
        <w:rPr>
          <w:rFonts w:asciiTheme="majorBidi" w:hAnsiTheme="majorBidi" w:cstheme="majorBidi"/>
          <w:bCs/>
        </w:rPr>
        <w:t xml:space="preserve">-induced recessions in 2020. Some variation reflects choices, such as Israel letting Pfizer have data in return for early vaccine use; without random assignment the empirical relationships are interpreted as conditional correlations. The concern that correlations reflect vaccination rates as consequences rather than causes can be mitigated by using panel data with two-way fixed effects (as in Auld and </w:t>
      </w:r>
      <w:proofErr w:type="spellStart"/>
      <w:r w:rsidRPr="009C0F5A">
        <w:rPr>
          <w:rFonts w:asciiTheme="majorBidi" w:hAnsiTheme="majorBidi" w:cstheme="majorBidi"/>
          <w:bCs/>
        </w:rPr>
        <w:t>Toxvaerd</w:t>
      </w:r>
      <w:proofErr w:type="spellEnd"/>
      <w:r w:rsidRPr="009C0F5A">
        <w:rPr>
          <w:rFonts w:asciiTheme="majorBidi" w:hAnsiTheme="majorBidi" w:cstheme="majorBidi"/>
          <w:bCs/>
        </w:rPr>
        <w:t xml:space="preserve">, 2021) to deal with time-invariant unobserved country factors and space-invariant temporal factors. It is also true that unanticipated factors, such as manufacturing problems (e.g. Emergent Solutions in the U.S. contaminated millions of Johnson &amp; Johnson (J&amp;J) doses), trade disputes (e.g. between AstraZeneca (AZ) and the EU) and side-effects (e.g. Denmark and Finland stopped use of J&amp;J due to blood clotting and Scandinavian countries restricted use of </w:t>
      </w:r>
      <w:proofErr w:type="spellStart"/>
      <w:r w:rsidRPr="009C0F5A">
        <w:rPr>
          <w:rFonts w:asciiTheme="majorBidi" w:hAnsiTheme="majorBidi" w:cstheme="majorBidi"/>
          <w:bCs/>
        </w:rPr>
        <w:t>Moderna</w:t>
      </w:r>
      <w:proofErr w:type="spellEnd"/>
      <w:r w:rsidRPr="009C0F5A">
        <w:rPr>
          <w:rFonts w:asciiTheme="majorBidi" w:hAnsiTheme="majorBidi" w:cstheme="majorBidi"/>
          <w:bCs/>
        </w:rPr>
        <w:t xml:space="preserve"> in </w:t>
      </w:r>
      <w:r w:rsidR="006B0214">
        <w:rPr>
          <w:rFonts w:asciiTheme="majorBidi" w:hAnsiTheme="majorBidi" w:cstheme="majorBidi"/>
          <w:bCs/>
        </w:rPr>
        <w:t xml:space="preserve">the </w:t>
      </w:r>
      <w:r w:rsidRPr="009C0F5A">
        <w:rPr>
          <w:rFonts w:asciiTheme="majorBidi" w:hAnsiTheme="majorBidi" w:cstheme="majorBidi"/>
          <w:bCs/>
        </w:rPr>
        <w:t>under-30s due to myocarditis) contribute some exogenous variation to the pace and scope of rollout, helping to lessen concerns about biases due to endogeneity.</w:t>
      </w:r>
    </w:p>
    <w:p w:rsidR="009C0F5A" w:rsidRPr="009C0F5A" w:rsidRDefault="009C0F5A" w:rsidP="00CB1EC4">
      <w:pPr>
        <w:widowControl w:val="0"/>
        <w:spacing w:after="120" w:line="288" w:lineRule="auto"/>
        <w:ind w:firstLine="720"/>
        <w:jc w:val="both"/>
        <w:rPr>
          <w:rFonts w:asciiTheme="majorBidi" w:hAnsiTheme="majorBidi" w:cstheme="majorBidi"/>
          <w:bCs/>
        </w:rPr>
      </w:pPr>
      <w:r w:rsidRPr="009C0F5A">
        <w:rPr>
          <w:rFonts w:asciiTheme="majorBidi" w:hAnsiTheme="majorBidi" w:cstheme="majorBidi"/>
          <w:bCs/>
          <w:lang w:val="en-US"/>
        </w:rPr>
        <w:t xml:space="preserve">In this paper, monthly data on Covid-19 vaccination rates for the 32 OECD countries with all-cause mortality data available are related to seven indicators of economic activity: </w:t>
      </w:r>
      <w:r w:rsidRPr="009C0F5A">
        <w:rPr>
          <w:rFonts w:asciiTheme="majorBidi" w:hAnsiTheme="majorBidi" w:cstheme="majorBidi"/>
          <w:bCs/>
          <w:i/>
          <w:iCs/>
          <w:lang w:val="en-US"/>
        </w:rPr>
        <w:t>Google Mobility</w:t>
      </w:r>
      <w:r w:rsidRPr="009C0F5A">
        <w:rPr>
          <w:rFonts w:asciiTheme="majorBidi" w:hAnsiTheme="majorBidi" w:cstheme="majorBidi"/>
          <w:bCs/>
          <w:lang w:val="en-US"/>
        </w:rPr>
        <w:t xml:space="preserve"> reports for six types of locations and monthly night-time light aggregates. Vaccination rates are also related to the stringency of containment and closure responses (lockdowns), to </w:t>
      </w:r>
      <w:proofErr w:type="spellStart"/>
      <w:r w:rsidRPr="009C0F5A">
        <w:rPr>
          <w:rFonts w:asciiTheme="majorBidi" w:hAnsiTheme="majorBidi" w:cstheme="majorBidi"/>
          <w:bCs/>
          <w:lang w:val="en-US"/>
        </w:rPr>
        <w:t>Covid</w:t>
      </w:r>
      <w:proofErr w:type="spellEnd"/>
      <w:r w:rsidRPr="009C0F5A">
        <w:rPr>
          <w:rFonts w:asciiTheme="majorBidi" w:hAnsiTheme="majorBidi" w:cstheme="majorBidi"/>
          <w:bCs/>
          <w:lang w:val="en-US"/>
        </w:rPr>
        <w:t xml:space="preserve"> cases and death rates, and to all-cause mortality. For each indicator, the outcome studied is the change from the same month in 2020, in order to see how vaccine rollout relates to the strength of rebound from the 2020 recession. </w:t>
      </w:r>
    </w:p>
    <w:p w:rsidR="009C0F5A" w:rsidRPr="009C0F5A" w:rsidRDefault="009C0F5A" w:rsidP="00CB1EC4">
      <w:pPr>
        <w:widowControl w:val="0"/>
        <w:spacing w:after="120" w:line="288" w:lineRule="auto"/>
        <w:ind w:firstLine="720"/>
        <w:jc w:val="both"/>
        <w:rPr>
          <w:rFonts w:asciiTheme="majorBidi" w:hAnsiTheme="majorBidi" w:cstheme="majorBidi"/>
          <w:bCs/>
        </w:rPr>
      </w:pPr>
      <w:r w:rsidRPr="009C0F5A">
        <w:rPr>
          <w:rFonts w:asciiTheme="majorBidi" w:hAnsiTheme="majorBidi" w:cstheme="majorBidi"/>
          <w:bCs/>
        </w:rPr>
        <w:t>There are several motives for providing empirical estimates rather than just relying on the assumption—as in the quotation from OECD (2021)—that vaccination paves the way to economic recovery. First, the vaccines may not work as well as advertised. When trial results were first announced, critics noted that claimed 95% relative risk reduction (RRR) ignored suspected (but untested) Covid-19 cases whose inclusion may greatly lower the RRR (</w:t>
      </w:r>
      <w:proofErr w:type="spellStart"/>
      <w:r w:rsidRPr="009C0F5A">
        <w:rPr>
          <w:rFonts w:asciiTheme="majorBidi" w:hAnsiTheme="majorBidi" w:cstheme="majorBidi"/>
          <w:bCs/>
        </w:rPr>
        <w:t>Doshi</w:t>
      </w:r>
      <w:proofErr w:type="spellEnd"/>
      <w:r w:rsidRPr="009C0F5A">
        <w:rPr>
          <w:rFonts w:asciiTheme="majorBidi" w:hAnsiTheme="majorBidi" w:cstheme="majorBidi"/>
          <w:bCs/>
        </w:rPr>
        <w:t>, 2020). Effectiveness of a vaccine in a given setting depends on background risk; when this is low absolute risk reduction (ARR) is far smaller than RRR. The first four published Covid-19 vaccine trials had ARRs of just 0.8% to 1.3% (</w:t>
      </w:r>
      <w:proofErr w:type="spellStart"/>
      <w:r w:rsidRPr="009C0F5A">
        <w:rPr>
          <w:rFonts w:asciiTheme="majorBidi" w:hAnsiTheme="majorBidi" w:cstheme="majorBidi"/>
          <w:bCs/>
        </w:rPr>
        <w:t>Olliaro</w:t>
      </w:r>
      <w:proofErr w:type="spellEnd"/>
      <w:r w:rsidRPr="009C0F5A">
        <w:rPr>
          <w:rFonts w:asciiTheme="majorBidi" w:hAnsiTheme="majorBidi" w:cstheme="majorBidi"/>
          <w:bCs/>
        </w:rPr>
        <w:t xml:space="preserve"> et al, 2021); such small falls in risk may not generate much economic rebound. Moreover, evidence of waning immunity against </w:t>
      </w:r>
      <w:proofErr w:type="spellStart"/>
      <w:r w:rsidRPr="009C0F5A">
        <w:rPr>
          <w:rFonts w:asciiTheme="majorBidi" w:hAnsiTheme="majorBidi" w:cstheme="majorBidi"/>
          <w:bCs/>
        </w:rPr>
        <w:t>Covid</w:t>
      </w:r>
      <w:proofErr w:type="spellEnd"/>
      <w:r w:rsidRPr="009C0F5A">
        <w:rPr>
          <w:rFonts w:asciiTheme="majorBidi" w:hAnsiTheme="majorBidi" w:cstheme="majorBidi"/>
          <w:bCs/>
        </w:rPr>
        <w:t xml:space="preserve"> </w:t>
      </w:r>
      <w:r w:rsidRPr="009C0F5A">
        <w:rPr>
          <w:rFonts w:asciiTheme="majorBidi" w:hAnsiTheme="majorBidi" w:cstheme="majorBidi"/>
          <w:bCs/>
        </w:rPr>
        <w:lastRenderedPageBreak/>
        <w:t>infection may cause governments to either not relax restrictions or to re-impose them.</w:t>
      </w:r>
      <w:r w:rsidRPr="009C0F5A">
        <w:rPr>
          <w:rFonts w:asciiTheme="majorBidi" w:hAnsiTheme="majorBidi" w:cstheme="majorBidi"/>
          <w:bCs/>
          <w:vertAlign w:val="superscript"/>
        </w:rPr>
        <w:footnoteReference w:id="1"/>
      </w:r>
      <w:r w:rsidRPr="009C0F5A">
        <w:rPr>
          <w:rFonts w:asciiTheme="majorBidi" w:hAnsiTheme="majorBidi" w:cstheme="majorBidi"/>
          <w:bCs/>
        </w:rPr>
        <w:t xml:space="preserve"> </w:t>
      </w:r>
    </w:p>
    <w:p w:rsidR="009C0F5A" w:rsidRDefault="009C0F5A" w:rsidP="009C0F5A">
      <w:pPr>
        <w:widowControl w:val="0"/>
        <w:spacing w:after="0" w:line="288" w:lineRule="auto"/>
        <w:ind w:firstLine="720"/>
        <w:jc w:val="both"/>
        <w:rPr>
          <w:rFonts w:asciiTheme="majorBidi" w:hAnsiTheme="majorBidi" w:cstheme="majorBidi"/>
          <w:bCs/>
        </w:rPr>
      </w:pPr>
      <w:r w:rsidRPr="009C0F5A">
        <w:rPr>
          <w:rFonts w:asciiTheme="majorBidi" w:hAnsiTheme="majorBidi" w:cstheme="majorBidi"/>
          <w:bCs/>
        </w:rPr>
        <w:t>Moreover, even if vaccines work and restrictions end, some people may be too fearful to return to normal. Behavioural insights helped to amplify public fear in 2020 (</w:t>
      </w:r>
      <w:proofErr w:type="spellStart"/>
      <w:r w:rsidRPr="009C0F5A">
        <w:rPr>
          <w:rFonts w:asciiTheme="majorBidi" w:hAnsiTheme="majorBidi" w:cstheme="majorBidi"/>
          <w:bCs/>
        </w:rPr>
        <w:t>Dodsworth</w:t>
      </w:r>
      <w:proofErr w:type="spellEnd"/>
      <w:r w:rsidRPr="009C0F5A">
        <w:rPr>
          <w:rFonts w:asciiTheme="majorBidi" w:hAnsiTheme="majorBidi" w:cstheme="majorBidi"/>
          <w:bCs/>
        </w:rPr>
        <w:t>, 2021), and fear contributed to falls in economic activity (</w:t>
      </w:r>
      <w:proofErr w:type="spellStart"/>
      <w:r w:rsidRPr="009C0F5A">
        <w:rPr>
          <w:rFonts w:asciiTheme="majorBidi" w:hAnsiTheme="majorBidi" w:cstheme="majorBidi"/>
          <w:bCs/>
        </w:rPr>
        <w:t>Goolsbee</w:t>
      </w:r>
      <w:proofErr w:type="spellEnd"/>
      <w:r w:rsidRPr="009C0F5A">
        <w:rPr>
          <w:rFonts w:asciiTheme="majorBidi" w:hAnsiTheme="majorBidi" w:cstheme="majorBidi"/>
          <w:bCs/>
        </w:rPr>
        <w:t xml:space="preserve"> &amp; </w:t>
      </w:r>
      <w:proofErr w:type="spellStart"/>
      <w:r w:rsidRPr="009C0F5A">
        <w:rPr>
          <w:rFonts w:asciiTheme="majorBidi" w:hAnsiTheme="majorBidi" w:cstheme="majorBidi"/>
          <w:bCs/>
        </w:rPr>
        <w:t>Syverson</w:t>
      </w:r>
      <w:proofErr w:type="spellEnd"/>
      <w:r w:rsidRPr="009C0F5A">
        <w:rPr>
          <w:rFonts w:asciiTheme="majorBidi" w:hAnsiTheme="majorBidi" w:cstheme="majorBidi"/>
          <w:bCs/>
        </w:rPr>
        <w:t>, 2021). If it proves hard to unwind that fear usual economic activity may only partially resume.</w:t>
      </w:r>
    </w:p>
    <w:p w:rsidR="00CB1EC4" w:rsidRPr="00694592" w:rsidRDefault="00CB1EC4" w:rsidP="00CB1EC4">
      <w:pPr>
        <w:widowControl w:val="0"/>
        <w:spacing w:after="0" w:line="288" w:lineRule="auto"/>
        <w:ind w:firstLine="720"/>
        <w:jc w:val="both"/>
        <w:rPr>
          <w:rFonts w:asciiTheme="majorBidi" w:hAnsiTheme="majorBidi" w:cstheme="majorBidi"/>
          <w:bCs/>
          <w:sz w:val="12"/>
          <w:szCs w:val="12"/>
          <w:lang w:val="en-US"/>
        </w:rPr>
      </w:pPr>
    </w:p>
    <w:p w:rsidR="00CB1EC4" w:rsidRPr="008A622D" w:rsidRDefault="00CB1EC4" w:rsidP="00CB1EC4">
      <w:pPr>
        <w:widowControl w:val="0"/>
        <w:spacing w:before="120" w:after="0" w:line="360" w:lineRule="auto"/>
        <w:rPr>
          <w:rFonts w:asciiTheme="majorBidi" w:hAnsiTheme="majorBidi" w:cstheme="majorBidi"/>
          <w:b/>
          <w:lang w:val="en-US"/>
        </w:rPr>
      </w:pPr>
      <w:r w:rsidRPr="008A622D">
        <w:rPr>
          <w:rFonts w:asciiTheme="majorBidi" w:hAnsiTheme="majorBidi" w:cstheme="majorBidi"/>
          <w:b/>
          <w:lang w:val="en-US"/>
        </w:rPr>
        <w:t>II.</w:t>
      </w:r>
      <w:r w:rsidRPr="008A622D">
        <w:rPr>
          <w:rFonts w:asciiTheme="majorBidi" w:hAnsiTheme="majorBidi" w:cstheme="majorBidi"/>
          <w:b/>
          <w:lang w:val="en-US"/>
        </w:rPr>
        <w:tab/>
        <w:t>Data and Methods</w:t>
      </w:r>
    </w:p>
    <w:p w:rsidR="00CB1EC4" w:rsidRPr="00CB1EC4" w:rsidRDefault="00CB1EC4" w:rsidP="00A77DD6">
      <w:pPr>
        <w:widowControl w:val="0"/>
        <w:spacing w:after="120" w:line="288" w:lineRule="auto"/>
        <w:ind w:firstLine="720"/>
        <w:jc w:val="both"/>
        <w:rPr>
          <w:rFonts w:asciiTheme="majorBidi" w:hAnsiTheme="majorBidi" w:cstheme="majorBidi"/>
          <w:bCs/>
        </w:rPr>
      </w:pPr>
      <w:r w:rsidRPr="00CB1EC4">
        <w:rPr>
          <w:rFonts w:asciiTheme="majorBidi" w:hAnsiTheme="majorBidi" w:cstheme="majorBidi"/>
          <w:bCs/>
        </w:rPr>
        <w:t xml:space="preserve">The sample is countries in both the OECD and the Short-term Mortality Fluctuations (STMF) database of </w:t>
      </w:r>
      <w:proofErr w:type="spellStart"/>
      <w:r w:rsidRPr="00CB1EC4">
        <w:rPr>
          <w:rFonts w:asciiTheme="majorBidi" w:hAnsiTheme="majorBidi" w:cstheme="majorBidi"/>
          <w:bCs/>
        </w:rPr>
        <w:t>Németh</w:t>
      </w:r>
      <w:proofErr w:type="spellEnd"/>
      <w:r w:rsidRPr="00CB1EC4">
        <w:rPr>
          <w:rFonts w:asciiTheme="majorBidi" w:hAnsiTheme="majorBidi" w:cstheme="majorBidi"/>
          <w:bCs/>
        </w:rPr>
        <w:t xml:space="preserve"> et al (2021). These countries have high Covid-19 vaccination rates and timely and reliable data. Summary statistics for the countries are in Appendix Table 1.</w:t>
      </w:r>
    </w:p>
    <w:p w:rsidR="00CB1EC4" w:rsidRPr="00CB1EC4" w:rsidRDefault="00CB1EC4" w:rsidP="00A77DD6">
      <w:pPr>
        <w:widowControl w:val="0"/>
        <w:spacing w:after="120" w:line="288" w:lineRule="auto"/>
        <w:ind w:firstLine="720"/>
        <w:jc w:val="both"/>
        <w:rPr>
          <w:rFonts w:asciiTheme="majorBidi" w:hAnsiTheme="majorBidi" w:cstheme="majorBidi"/>
          <w:bCs/>
        </w:rPr>
      </w:pPr>
      <w:r w:rsidRPr="00CB1EC4">
        <w:rPr>
          <w:rFonts w:asciiTheme="majorBidi" w:hAnsiTheme="majorBidi" w:cstheme="majorBidi"/>
          <w:bCs/>
        </w:rPr>
        <w:t xml:space="preserve">Vaccination data are from the </w:t>
      </w:r>
      <w:r w:rsidRPr="00CB1EC4">
        <w:rPr>
          <w:rFonts w:asciiTheme="majorBidi" w:hAnsiTheme="majorBidi" w:cstheme="majorBidi"/>
          <w:bCs/>
          <w:i/>
          <w:iCs/>
        </w:rPr>
        <w:t>Our World in Data</w:t>
      </w:r>
      <w:r w:rsidRPr="00CB1EC4">
        <w:rPr>
          <w:rFonts w:asciiTheme="majorBidi" w:hAnsiTheme="majorBidi" w:cstheme="majorBidi"/>
          <w:bCs/>
        </w:rPr>
        <w:t xml:space="preserve"> (OWID) database (Mathieu et al, 2021). This updates daily from official government sources in each country, reporting the number of vaccinations administered and type of dose. The rates are expressed as a share of the total population and I use data through to the end of September 2021.</w:t>
      </w:r>
    </w:p>
    <w:p w:rsidR="00CB1EC4" w:rsidRPr="00CB1EC4" w:rsidRDefault="00CB1EC4" w:rsidP="00A77DD6">
      <w:pPr>
        <w:widowControl w:val="0"/>
        <w:spacing w:after="120" w:line="288" w:lineRule="auto"/>
        <w:ind w:firstLine="720"/>
        <w:jc w:val="both"/>
        <w:rPr>
          <w:rFonts w:asciiTheme="majorBidi" w:hAnsiTheme="majorBidi" w:cstheme="majorBidi"/>
          <w:bCs/>
        </w:rPr>
      </w:pPr>
      <w:r w:rsidRPr="00CB1EC4">
        <w:rPr>
          <w:rFonts w:asciiTheme="majorBidi" w:hAnsiTheme="majorBidi" w:cstheme="majorBidi"/>
          <w:bCs/>
        </w:rPr>
        <w:t xml:space="preserve">The mobility data are based on aggregated location histories from mobile devices running the </w:t>
      </w:r>
      <w:r w:rsidRPr="00CB1EC4">
        <w:rPr>
          <w:rFonts w:asciiTheme="majorBidi" w:hAnsiTheme="majorBidi" w:cstheme="majorBidi"/>
          <w:bCs/>
          <w:i/>
          <w:iCs/>
        </w:rPr>
        <w:t>Google Maps</w:t>
      </w:r>
      <w:r w:rsidRPr="00CB1EC4">
        <w:rPr>
          <w:rFonts w:asciiTheme="majorBidi" w:hAnsiTheme="majorBidi" w:cstheme="majorBidi"/>
          <w:bCs/>
        </w:rPr>
        <w:t xml:space="preserve"> app. The data are in terms of percentage changes from the same day of the week in the baseline period (January 3 to February 6, 2020). The national level daily data are aggregated to monthly averages, for all six location categories: retail and recreation; groceries and pharmacies; workplaces; transit stations; parks; and, residential.</w:t>
      </w:r>
    </w:p>
    <w:p w:rsidR="00CB1EC4" w:rsidRPr="00CB1EC4" w:rsidRDefault="00CB1EC4" w:rsidP="00A77DD6">
      <w:pPr>
        <w:widowControl w:val="0"/>
        <w:spacing w:after="120" w:line="288" w:lineRule="auto"/>
        <w:ind w:firstLine="720"/>
        <w:jc w:val="both"/>
        <w:rPr>
          <w:rFonts w:asciiTheme="majorBidi" w:hAnsiTheme="majorBidi" w:cstheme="majorBidi"/>
          <w:bCs/>
        </w:rPr>
      </w:pPr>
      <w:r w:rsidRPr="00CB1EC4">
        <w:rPr>
          <w:rFonts w:asciiTheme="majorBidi" w:hAnsiTheme="majorBidi" w:cstheme="majorBidi"/>
          <w:bCs/>
        </w:rPr>
        <w:t xml:space="preserve">The monthly night-time lights composites are </w:t>
      </w:r>
      <w:r w:rsidRPr="00CB1EC4">
        <w:rPr>
          <w:rFonts w:asciiTheme="majorBidi" w:hAnsiTheme="majorBidi" w:cstheme="majorBidi"/>
          <w:bCs/>
          <w:lang w:val="en-US"/>
        </w:rPr>
        <w:t xml:space="preserve">from the Visible Infrared Imaging Radiometer Suite (VIIRS), and </w:t>
      </w:r>
      <w:r w:rsidRPr="00CB1EC4">
        <w:rPr>
          <w:rFonts w:asciiTheme="majorBidi" w:hAnsiTheme="majorBidi" w:cstheme="majorBidi"/>
          <w:bCs/>
        </w:rPr>
        <w:t>are filtered to omit pixel-nights affected by stray light and clouds (</w:t>
      </w:r>
      <w:proofErr w:type="spellStart"/>
      <w:r w:rsidRPr="00CB1EC4">
        <w:rPr>
          <w:rFonts w:asciiTheme="majorBidi" w:hAnsiTheme="majorBidi" w:cstheme="majorBidi"/>
          <w:bCs/>
        </w:rPr>
        <w:t>Elvidge</w:t>
      </w:r>
      <w:proofErr w:type="spellEnd"/>
      <w:r w:rsidRPr="00CB1EC4">
        <w:rPr>
          <w:rFonts w:asciiTheme="majorBidi" w:hAnsiTheme="majorBidi" w:cstheme="majorBidi"/>
          <w:bCs/>
        </w:rPr>
        <w:t xml:space="preserve"> et al, 2017). The long summer days in northern latitudes limit the number of months with data (Gibson, 2021) and the time-series ends in July, 2021.</w:t>
      </w:r>
    </w:p>
    <w:p w:rsidR="00CB1EC4" w:rsidRPr="00CB1EC4" w:rsidRDefault="00CB1EC4" w:rsidP="00A77DD6">
      <w:pPr>
        <w:widowControl w:val="0"/>
        <w:spacing w:after="120" w:line="288" w:lineRule="auto"/>
        <w:ind w:firstLine="720"/>
        <w:jc w:val="both"/>
        <w:rPr>
          <w:rFonts w:asciiTheme="majorBidi" w:hAnsiTheme="majorBidi" w:cstheme="majorBidi"/>
          <w:bCs/>
        </w:rPr>
      </w:pPr>
      <w:r w:rsidRPr="00CB1EC4">
        <w:rPr>
          <w:rFonts w:asciiTheme="majorBidi" w:hAnsiTheme="majorBidi" w:cstheme="majorBidi"/>
          <w:bCs/>
          <w:iCs/>
        </w:rPr>
        <w:t xml:space="preserve">The </w:t>
      </w:r>
      <w:proofErr w:type="spellStart"/>
      <w:r w:rsidRPr="00CB1EC4">
        <w:rPr>
          <w:rFonts w:asciiTheme="majorBidi" w:hAnsiTheme="majorBidi" w:cstheme="majorBidi"/>
          <w:bCs/>
          <w:iCs/>
        </w:rPr>
        <w:t>OxCGRT</w:t>
      </w:r>
      <w:proofErr w:type="spellEnd"/>
      <w:r w:rsidRPr="00CB1EC4">
        <w:rPr>
          <w:rFonts w:asciiTheme="majorBidi" w:hAnsiTheme="majorBidi" w:cstheme="majorBidi"/>
          <w:bCs/>
          <w:iCs/>
        </w:rPr>
        <w:t xml:space="preserve"> stringency index (Hale et al, 2021), which is based on indicators of containment and closure, is obtained from the </w:t>
      </w:r>
      <w:r w:rsidRPr="00CB1EC4">
        <w:rPr>
          <w:rFonts w:asciiTheme="majorBidi" w:hAnsiTheme="majorBidi" w:cstheme="majorBidi"/>
          <w:bCs/>
          <w:i/>
        </w:rPr>
        <w:t>OWID</w:t>
      </w:r>
      <w:r w:rsidRPr="00CB1EC4">
        <w:rPr>
          <w:rFonts w:asciiTheme="majorBidi" w:hAnsiTheme="majorBidi" w:cstheme="majorBidi"/>
          <w:bCs/>
          <w:iCs/>
        </w:rPr>
        <w:t xml:space="preserve"> database. Data on new Covid-19 cases and deaths per million are also from the </w:t>
      </w:r>
      <w:r w:rsidRPr="00CB1EC4">
        <w:rPr>
          <w:rFonts w:asciiTheme="majorBidi" w:hAnsiTheme="majorBidi" w:cstheme="majorBidi"/>
          <w:bCs/>
          <w:i/>
        </w:rPr>
        <w:t>OWID</w:t>
      </w:r>
      <w:r w:rsidRPr="00CB1EC4">
        <w:rPr>
          <w:rFonts w:asciiTheme="majorBidi" w:hAnsiTheme="majorBidi" w:cstheme="majorBidi"/>
          <w:bCs/>
          <w:iCs/>
        </w:rPr>
        <w:t xml:space="preserve"> data. The all-cause death rates are monthly aggregates from weekly data in the STMF database of </w:t>
      </w:r>
      <w:proofErr w:type="spellStart"/>
      <w:r w:rsidRPr="00CB1EC4">
        <w:rPr>
          <w:rFonts w:asciiTheme="majorBidi" w:hAnsiTheme="majorBidi" w:cstheme="majorBidi"/>
          <w:bCs/>
        </w:rPr>
        <w:t>Németh</w:t>
      </w:r>
      <w:proofErr w:type="spellEnd"/>
      <w:r w:rsidRPr="00CB1EC4">
        <w:rPr>
          <w:rFonts w:asciiTheme="majorBidi" w:hAnsiTheme="majorBidi" w:cstheme="majorBidi"/>
          <w:bCs/>
        </w:rPr>
        <w:t xml:space="preserve"> et al (2021).</w:t>
      </w:r>
    </w:p>
    <w:p w:rsidR="00CB1EC4" w:rsidRPr="00CB1EC4" w:rsidRDefault="00CB1EC4" w:rsidP="00CB1EC4">
      <w:pPr>
        <w:widowControl w:val="0"/>
        <w:spacing w:after="0" w:line="288" w:lineRule="auto"/>
        <w:ind w:firstLine="720"/>
        <w:jc w:val="both"/>
        <w:rPr>
          <w:rFonts w:asciiTheme="majorBidi" w:hAnsiTheme="majorBidi" w:cstheme="majorBidi"/>
          <w:bCs/>
        </w:rPr>
      </w:pPr>
      <w:r w:rsidRPr="00CB1EC4">
        <w:rPr>
          <w:rFonts w:asciiTheme="majorBidi" w:hAnsiTheme="majorBidi" w:cstheme="majorBidi"/>
          <w:bCs/>
        </w:rPr>
        <w:t>Changes in the m</w:t>
      </w:r>
      <w:r w:rsidRPr="00CB1EC4">
        <w:rPr>
          <w:rFonts w:asciiTheme="majorBidi" w:hAnsiTheme="majorBidi" w:cstheme="majorBidi"/>
          <w:bCs/>
          <w:iCs/>
        </w:rPr>
        <w:t xml:space="preserve">onthly average for each outcome (relative to that month in 2020) are related to vaccination rates. For outcome </w:t>
      </w:r>
      <m:oMath>
        <m:sSub>
          <m:sSubPr>
            <m:ctrlPr>
              <w:rPr>
                <w:rFonts w:ascii="Cambria Math" w:hAnsi="Cambria Math" w:cstheme="majorBidi"/>
                <w:bCs/>
                <w:lang w:val="en-US"/>
              </w:rPr>
            </m:ctrlPr>
          </m:sSubPr>
          <m:e>
            <m:r>
              <w:rPr>
                <w:rFonts w:ascii="Cambria Math" w:hAnsi="Cambria Math" w:cstheme="majorBidi"/>
                <w:lang w:val="en-US"/>
              </w:rPr>
              <m:t>Y</m:t>
            </m:r>
          </m:e>
          <m:sub>
            <m:r>
              <w:rPr>
                <w:rFonts w:ascii="Cambria Math" w:hAnsi="Cambria Math" w:cstheme="majorBidi"/>
                <w:lang w:val="en-US"/>
              </w:rPr>
              <m:t>it</m:t>
            </m:r>
          </m:sub>
        </m:sSub>
      </m:oMath>
      <w:r w:rsidRPr="00CB1EC4">
        <w:rPr>
          <w:rFonts w:asciiTheme="majorBidi" w:hAnsiTheme="majorBidi" w:cstheme="majorBidi"/>
          <w:bCs/>
          <w:lang w:val="en-US"/>
        </w:rPr>
        <w:t xml:space="preserve"> in country </w:t>
      </w:r>
      <w:proofErr w:type="spellStart"/>
      <w:r w:rsidRPr="00CB1EC4">
        <w:rPr>
          <w:rFonts w:asciiTheme="majorBidi" w:hAnsiTheme="majorBidi" w:cstheme="majorBidi"/>
          <w:bCs/>
          <w:i/>
          <w:iCs/>
          <w:lang w:val="en-US"/>
        </w:rPr>
        <w:t>i</w:t>
      </w:r>
      <w:proofErr w:type="spellEnd"/>
      <w:r w:rsidRPr="00CB1EC4">
        <w:rPr>
          <w:rFonts w:asciiTheme="majorBidi" w:hAnsiTheme="majorBidi" w:cstheme="majorBidi"/>
          <w:bCs/>
          <w:lang w:val="en-US"/>
        </w:rPr>
        <w:t xml:space="preserve"> in month </w:t>
      </w:r>
      <w:r w:rsidRPr="00CB1EC4">
        <w:rPr>
          <w:rFonts w:asciiTheme="majorBidi" w:hAnsiTheme="majorBidi" w:cstheme="majorBidi"/>
          <w:bCs/>
          <w:i/>
          <w:iCs/>
          <w:lang w:val="en-US"/>
        </w:rPr>
        <w:t>t</w:t>
      </w:r>
      <w:r w:rsidRPr="00CB1EC4">
        <w:rPr>
          <w:rFonts w:asciiTheme="majorBidi" w:hAnsiTheme="majorBidi" w:cstheme="majorBidi"/>
          <w:bCs/>
          <w:lang w:val="en-US"/>
        </w:rPr>
        <w:t xml:space="preserve">, with vaccination rate </w:t>
      </w:r>
      <m:oMath>
        <m:sSub>
          <m:sSubPr>
            <m:ctrlPr>
              <w:rPr>
                <w:rFonts w:ascii="Cambria Math" w:hAnsi="Cambria Math" w:cstheme="majorBidi"/>
                <w:bCs/>
                <w:lang w:val="en-US"/>
              </w:rPr>
            </m:ctrlPr>
          </m:sSubPr>
          <m:e>
            <m:r>
              <w:rPr>
                <w:rFonts w:ascii="Cambria Math" w:hAnsi="Cambria Math" w:cstheme="majorBidi"/>
                <w:lang w:val="en-US"/>
              </w:rPr>
              <m:t>V</m:t>
            </m:r>
          </m:e>
          <m:sub>
            <m:r>
              <w:rPr>
                <w:rFonts w:ascii="Cambria Math" w:hAnsi="Cambria Math" w:cstheme="majorBidi"/>
                <w:lang w:val="en-US"/>
              </w:rPr>
              <m:t>it</m:t>
            </m:r>
          </m:sub>
        </m:sSub>
        <m:r>
          <w:rPr>
            <w:rFonts w:ascii="Cambria Math" w:hAnsi="Cambria Math" w:cstheme="majorBidi"/>
            <w:lang w:val="en-US"/>
          </w:rPr>
          <m:t>,</m:t>
        </m:r>
      </m:oMath>
      <w:r w:rsidRPr="00CB1EC4">
        <w:rPr>
          <w:rFonts w:asciiTheme="majorBidi" w:hAnsiTheme="majorBidi" w:cstheme="majorBidi"/>
          <w:bCs/>
          <w:lang w:val="en-US"/>
        </w:rPr>
        <w:t xml:space="preserve"> country fixed effects </w:t>
      </w:r>
      <m:oMath>
        <m:sSub>
          <m:sSubPr>
            <m:ctrlPr>
              <w:rPr>
                <w:rFonts w:ascii="Cambria Math" w:hAnsi="Cambria Math" w:cstheme="majorBidi"/>
                <w:bCs/>
                <w:lang w:val="en-US"/>
              </w:rPr>
            </m:ctrlPr>
          </m:sSubPr>
          <m:e>
            <m:r>
              <w:rPr>
                <w:rFonts w:ascii="Cambria Math" w:hAnsi="Cambria Math" w:cstheme="majorBidi"/>
                <w:lang w:val="en-US"/>
              </w:rPr>
              <m:t>μ</m:t>
            </m:r>
          </m:e>
          <m:sub>
            <m:r>
              <w:rPr>
                <w:rFonts w:ascii="Cambria Math" w:hAnsi="Cambria Math" w:cstheme="majorBidi"/>
                <w:lang w:val="en-US"/>
              </w:rPr>
              <m:t>i</m:t>
            </m:r>
          </m:sub>
        </m:sSub>
        <m:r>
          <w:rPr>
            <w:rFonts w:ascii="Cambria Math" w:hAnsi="Cambria Math" w:cstheme="majorBidi"/>
            <w:lang w:val="en-US"/>
          </w:rPr>
          <m:t>,</m:t>
        </m:r>
      </m:oMath>
      <w:r w:rsidRPr="00CB1EC4">
        <w:rPr>
          <w:rFonts w:asciiTheme="majorBidi" w:hAnsiTheme="majorBidi" w:cstheme="majorBidi"/>
          <w:bCs/>
          <w:lang w:val="en-US"/>
        </w:rPr>
        <w:t xml:space="preserve"> month fixed effects </w:t>
      </w:r>
      <m:oMath>
        <m:sSub>
          <m:sSubPr>
            <m:ctrlPr>
              <w:rPr>
                <w:rFonts w:ascii="Cambria Math" w:hAnsi="Cambria Math" w:cstheme="majorBidi"/>
                <w:bCs/>
                <w:lang w:val="en-US"/>
              </w:rPr>
            </m:ctrlPr>
          </m:sSubPr>
          <m:e>
            <m:r>
              <w:rPr>
                <w:rFonts w:ascii="Cambria Math" w:hAnsi="Cambria Math" w:cstheme="majorBidi"/>
                <w:lang w:val="en-US"/>
              </w:rPr>
              <m:t>ϑ</m:t>
            </m:r>
          </m:e>
          <m:sub>
            <m:r>
              <w:rPr>
                <w:rFonts w:ascii="Cambria Math" w:hAnsi="Cambria Math" w:cstheme="majorBidi"/>
                <w:lang w:val="en-US"/>
              </w:rPr>
              <m:t>t</m:t>
            </m:r>
          </m:sub>
        </m:sSub>
      </m:oMath>
      <w:r w:rsidRPr="00CB1EC4">
        <w:rPr>
          <w:rFonts w:asciiTheme="majorBidi" w:hAnsiTheme="majorBidi" w:cstheme="majorBidi"/>
          <w:bCs/>
          <w:lang w:val="en-US"/>
        </w:rPr>
        <w:t xml:space="preserve">, and random errors </w:t>
      </w:r>
      <m:oMath>
        <m:sSub>
          <m:sSubPr>
            <m:ctrlPr>
              <w:rPr>
                <w:rFonts w:ascii="Cambria Math" w:hAnsi="Cambria Math" w:cstheme="majorBidi"/>
                <w:bCs/>
                <w:lang w:val="en-US"/>
              </w:rPr>
            </m:ctrlPr>
          </m:sSubPr>
          <m:e>
            <m:r>
              <w:rPr>
                <w:rFonts w:ascii="Cambria Math" w:hAnsi="Cambria Math" w:cstheme="majorBidi"/>
                <w:lang w:val="en-US"/>
              </w:rPr>
              <m:t>e</m:t>
            </m:r>
          </m:e>
          <m:sub>
            <m:r>
              <w:rPr>
                <w:rFonts w:ascii="Cambria Math" w:hAnsi="Cambria Math" w:cstheme="majorBidi"/>
                <w:lang w:val="en-US"/>
              </w:rPr>
              <m:t>it</m:t>
            </m:r>
          </m:sub>
        </m:sSub>
        <m:r>
          <w:rPr>
            <w:rFonts w:ascii="Cambria Math" w:hAnsi="Cambria Math" w:cstheme="majorBidi"/>
            <w:lang w:val="en-US"/>
          </w:rPr>
          <m:t>,</m:t>
        </m:r>
      </m:oMath>
      <w:r w:rsidRPr="00CB1EC4">
        <w:rPr>
          <w:rFonts w:asciiTheme="majorBidi" w:hAnsiTheme="majorBidi" w:cstheme="majorBidi"/>
          <w:bCs/>
          <w:lang w:val="en-US"/>
        </w:rPr>
        <w:t xml:space="preserve"> the regression is:</w:t>
      </w:r>
    </w:p>
    <w:p w:rsidR="00CB1EC4" w:rsidRPr="00CB1EC4" w:rsidRDefault="003F1941" w:rsidP="00CB1EC4">
      <w:pPr>
        <w:widowControl w:val="0"/>
        <w:spacing w:after="0" w:line="288" w:lineRule="auto"/>
        <w:ind w:firstLine="720"/>
        <w:jc w:val="both"/>
        <w:rPr>
          <w:rFonts w:asciiTheme="majorBidi" w:hAnsiTheme="majorBidi" w:cstheme="majorBidi"/>
          <w:bCs/>
          <w:lang w:val="en-US"/>
        </w:rPr>
      </w:pPr>
      <m:oMathPara>
        <m:oMath>
          <m:sSub>
            <m:sSubPr>
              <m:ctrlPr>
                <w:rPr>
                  <w:rFonts w:ascii="Cambria Math" w:hAnsi="Cambria Math" w:cstheme="majorBidi"/>
                  <w:bCs/>
                  <w:lang w:val="en-US"/>
                </w:rPr>
              </m:ctrlPr>
            </m:sSubPr>
            <m:e>
              <m:r>
                <w:rPr>
                  <w:rFonts w:ascii="Cambria Math" w:hAnsi="Cambria Math" w:cstheme="majorBidi"/>
                  <w:lang w:val="en-US"/>
                </w:rPr>
                <m:t>∆Y</m:t>
              </m:r>
            </m:e>
            <m:sub>
              <m:r>
                <w:rPr>
                  <w:rFonts w:ascii="Cambria Math" w:hAnsi="Cambria Math" w:cstheme="majorBidi"/>
                  <w:lang w:val="en-US"/>
                </w:rPr>
                <m:t>it</m:t>
              </m:r>
            </m:sub>
          </m:sSub>
          <m:r>
            <m:rPr>
              <m:sty m:val="p"/>
            </m:rPr>
            <w:rPr>
              <w:rFonts w:ascii="Cambria Math" w:hAnsi="Cambria Math" w:cstheme="majorBidi"/>
              <w:lang w:val="en-US"/>
            </w:rPr>
            <m:t>=</m:t>
          </m:r>
          <m:sSub>
            <m:sSubPr>
              <m:ctrlPr>
                <w:rPr>
                  <w:rFonts w:ascii="Cambria Math" w:hAnsi="Cambria Math" w:cstheme="majorBidi"/>
                  <w:bCs/>
                  <w:lang w:val="en-US"/>
                </w:rPr>
              </m:ctrlPr>
            </m:sSubPr>
            <m:e>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1</m:t>
                  </m:r>
                </m:sub>
              </m:sSub>
              <m:r>
                <w:rPr>
                  <w:rFonts w:ascii="Cambria Math" w:hAnsi="Cambria Math" w:cstheme="majorBidi"/>
                  <w:lang w:val="en-US"/>
                </w:rPr>
                <m:t>V</m:t>
              </m:r>
            </m:e>
            <m:sub>
              <m:r>
                <w:rPr>
                  <w:rFonts w:ascii="Cambria Math" w:hAnsi="Cambria Math" w:cstheme="majorBidi"/>
                  <w:lang w:val="en-US"/>
                </w:rPr>
                <m:t>it</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μ</m:t>
              </m:r>
            </m:e>
            <m:sub>
              <m:r>
                <w:rPr>
                  <w:rFonts w:ascii="Cambria Math" w:hAnsi="Cambria Math" w:cstheme="majorBidi"/>
                  <w:lang w:val="en-US"/>
                </w:rPr>
                <m:t>i</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ϑ</m:t>
              </m:r>
            </m:e>
            <m:sub>
              <m:r>
                <w:rPr>
                  <w:rFonts w:ascii="Cambria Math" w:hAnsi="Cambria Math" w:cstheme="majorBidi"/>
                  <w:lang w:val="en-US"/>
                </w:rPr>
                <m:t>t</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e</m:t>
              </m:r>
            </m:e>
            <m:sub>
              <m:r>
                <w:rPr>
                  <w:rFonts w:ascii="Cambria Math" w:hAnsi="Cambria Math" w:cstheme="majorBidi"/>
                  <w:lang w:val="en-US"/>
                </w:rPr>
                <m:t>it</m:t>
              </m:r>
            </m:sub>
          </m:sSub>
        </m:oMath>
      </m:oMathPara>
    </w:p>
    <w:p w:rsidR="00CB1EC4" w:rsidRDefault="00CB1EC4" w:rsidP="00A77DD6">
      <w:pPr>
        <w:widowControl w:val="0"/>
        <w:spacing w:after="120" w:line="288" w:lineRule="auto"/>
        <w:jc w:val="both"/>
        <w:rPr>
          <w:rFonts w:asciiTheme="majorBidi" w:hAnsiTheme="majorBidi" w:cstheme="majorBidi"/>
          <w:bCs/>
          <w:lang w:val="en-US"/>
        </w:rPr>
      </w:pPr>
      <w:r w:rsidRPr="00CB1EC4">
        <w:rPr>
          <w:rFonts w:asciiTheme="majorBidi" w:hAnsiTheme="majorBidi" w:cstheme="majorBidi"/>
          <w:bCs/>
          <w:iCs/>
        </w:rPr>
        <w:t xml:space="preserve">Each outcome has three regressions: one using the fully vaccinated rate, one using either the fully or partly vaccinated rate, and one using both fully and partly vaccinated rates to test for coefficient equality on these two rates. Standardized variables are used for </w:t>
      </w:r>
      <m:oMath>
        <m:sSub>
          <m:sSubPr>
            <m:ctrlPr>
              <w:rPr>
                <w:rFonts w:ascii="Cambria Math" w:hAnsi="Cambria Math" w:cstheme="majorBidi"/>
                <w:bCs/>
                <w:lang w:val="en-US"/>
              </w:rPr>
            </m:ctrlPr>
          </m:sSubPr>
          <m:e>
            <m:r>
              <w:rPr>
                <w:rFonts w:ascii="Cambria Math" w:hAnsi="Cambria Math" w:cstheme="majorBidi"/>
                <w:lang w:val="en-US"/>
              </w:rPr>
              <m:t>∆Y</m:t>
            </m:r>
          </m:e>
          <m:sub>
            <m:r>
              <w:rPr>
                <w:rFonts w:ascii="Cambria Math" w:hAnsi="Cambria Math" w:cstheme="majorBidi"/>
                <w:lang w:val="en-US"/>
              </w:rPr>
              <m:t>it</m:t>
            </m:r>
          </m:sub>
        </m:sSub>
      </m:oMath>
      <w:r w:rsidRPr="00CB1EC4">
        <w:rPr>
          <w:rFonts w:asciiTheme="majorBidi" w:hAnsiTheme="majorBidi" w:cstheme="majorBidi"/>
          <w:bCs/>
          <w:lang w:val="en-US"/>
        </w:rPr>
        <w:t xml:space="preserve"> and </w:t>
      </w:r>
      <m:oMath>
        <m:sSub>
          <m:sSubPr>
            <m:ctrlPr>
              <w:rPr>
                <w:rFonts w:ascii="Cambria Math" w:hAnsi="Cambria Math" w:cstheme="majorBidi"/>
                <w:bCs/>
                <w:lang w:val="en-US"/>
              </w:rPr>
            </m:ctrlPr>
          </m:sSubPr>
          <m:e>
            <m:r>
              <w:rPr>
                <w:rFonts w:ascii="Cambria Math" w:hAnsi="Cambria Math" w:cstheme="majorBidi"/>
                <w:lang w:val="en-US"/>
              </w:rPr>
              <m:t>V</m:t>
            </m:r>
          </m:e>
          <m:sub>
            <m:r>
              <w:rPr>
                <w:rFonts w:ascii="Cambria Math" w:hAnsi="Cambria Math" w:cstheme="majorBidi"/>
                <w:lang w:val="en-US"/>
              </w:rPr>
              <m:t>it</m:t>
            </m:r>
          </m:sub>
        </m:sSub>
        <m:r>
          <w:rPr>
            <w:rFonts w:ascii="Cambria Math" w:hAnsi="Cambria Math" w:cstheme="majorBidi"/>
            <w:lang w:val="en-US"/>
          </w:rPr>
          <m:t>.</m:t>
        </m:r>
      </m:oMath>
      <w:r w:rsidRPr="00CB1EC4">
        <w:rPr>
          <w:rFonts w:asciiTheme="majorBidi" w:hAnsiTheme="majorBidi" w:cstheme="majorBidi"/>
          <w:bCs/>
          <w:lang w:val="en-US"/>
        </w:rPr>
        <w:t xml:space="preserve"> These aid comparisons for outcomes measured in different units and let correlations between </w:t>
      </w:r>
      <m:oMath>
        <m:sSub>
          <m:sSubPr>
            <m:ctrlPr>
              <w:rPr>
                <w:rFonts w:ascii="Cambria Math" w:hAnsi="Cambria Math" w:cstheme="majorBidi"/>
                <w:bCs/>
                <w:lang w:val="en-US"/>
              </w:rPr>
            </m:ctrlPr>
          </m:sSubPr>
          <m:e>
            <m:r>
              <w:rPr>
                <w:rFonts w:ascii="Cambria Math" w:hAnsi="Cambria Math" w:cstheme="majorBidi"/>
                <w:lang w:val="en-US"/>
              </w:rPr>
              <m:t>∆Y</m:t>
            </m:r>
          </m:e>
          <m:sub>
            <m:r>
              <w:rPr>
                <w:rFonts w:ascii="Cambria Math" w:hAnsi="Cambria Math" w:cstheme="majorBidi"/>
                <w:lang w:val="en-US"/>
              </w:rPr>
              <m:t>it</m:t>
            </m:r>
          </m:sub>
        </m:sSub>
      </m:oMath>
      <w:r w:rsidRPr="00CB1EC4">
        <w:rPr>
          <w:rFonts w:asciiTheme="majorBidi" w:hAnsiTheme="majorBidi" w:cstheme="majorBidi"/>
          <w:bCs/>
          <w:lang w:val="en-US"/>
        </w:rPr>
        <w:t xml:space="preserve"> and </w:t>
      </w:r>
      <m:oMath>
        <m:sSub>
          <m:sSubPr>
            <m:ctrlPr>
              <w:rPr>
                <w:rFonts w:ascii="Cambria Math" w:hAnsi="Cambria Math" w:cstheme="majorBidi"/>
                <w:bCs/>
                <w:lang w:val="en-US"/>
              </w:rPr>
            </m:ctrlPr>
          </m:sSubPr>
          <m:e>
            <m:r>
              <w:rPr>
                <w:rFonts w:ascii="Cambria Math" w:hAnsi="Cambria Math" w:cstheme="majorBidi"/>
                <w:lang w:val="en-US"/>
              </w:rPr>
              <m:t>V</m:t>
            </m:r>
          </m:e>
          <m:sub>
            <m:r>
              <w:rPr>
                <w:rFonts w:ascii="Cambria Math" w:hAnsi="Cambria Math" w:cstheme="majorBidi"/>
                <w:lang w:val="en-US"/>
              </w:rPr>
              <m:t>it</m:t>
            </m:r>
          </m:sub>
        </m:sSub>
      </m:oMath>
      <w:r w:rsidRPr="00CB1EC4">
        <w:rPr>
          <w:rFonts w:asciiTheme="majorBidi" w:hAnsiTheme="majorBidi" w:cstheme="majorBidi"/>
          <w:bCs/>
          <w:lang w:val="en-US"/>
        </w:rPr>
        <w:t xml:space="preserve"> be decomposed into direct and indirect channels (Blalock, 1964).</w:t>
      </w:r>
    </w:p>
    <w:p w:rsidR="00A77DD6" w:rsidRPr="00A77DD6" w:rsidRDefault="00A77DD6" w:rsidP="00A77DD6">
      <w:pPr>
        <w:widowControl w:val="0"/>
        <w:spacing w:after="0" w:line="288" w:lineRule="auto"/>
        <w:jc w:val="both"/>
        <w:rPr>
          <w:rFonts w:asciiTheme="majorBidi" w:hAnsiTheme="majorBidi" w:cstheme="majorBidi"/>
          <w:bCs/>
          <w:sz w:val="2"/>
          <w:szCs w:val="2"/>
          <w:lang w:val="en-US"/>
        </w:rPr>
      </w:pPr>
    </w:p>
    <w:p w:rsidR="00A77DD6" w:rsidRDefault="00A77DD6" w:rsidP="00A77DD6">
      <w:pPr>
        <w:widowControl w:val="0"/>
        <w:spacing w:after="0" w:line="288" w:lineRule="auto"/>
        <w:jc w:val="both"/>
        <w:rPr>
          <w:rFonts w:asciiTheme="majorBidi" w:hAnsiTheme="majorBidi" w:cstheme="majorBidi"/>
          <w:bCs/>
          <w:lang w:val="en-US"/>
        </w:rPr>
      </w:pPr>
      <w:r w:rsidRPr="00A77DD6">
        <w:rPr>
          <w:rFonts w:asciiTheme="majorBidi" w:hAnsiTheme="majorBidi" w:cstheme="majorBidi"/>
          <w:b/>
          <w:lang w:val="en-US"/>
        </w:rPr>
        <w:t>Results</w:t>
      </w:r>
    </w:p>
    <w:p w:rsidR="00A77DD6" w:rsidRPr="00A77DD6" w:rsidRDefault="00A77DD6" w:rsidP="00A77DD6">
      <w:pPr>
        <w:widowControl w:val="0"/>
        <w:spacing w:after="120" w:line="288" w:lineRule="auto"/>
        <w:ind w:firstLine="720"/>
        <w:jc w:val="both"/>
        <w:rPr>
          <w:rFonts w:asciiTheme="majorBidi" w:hAnsiTheme="majorBidi" w:cstheme="majorBidi"/>
          <w:bCs/>
          <w:iCs/>
        </w:rPr>
      </w:pPr>
      <w:r w:rsidRPr="00A77DD6">
        <w:rPr>
          <w:rFonts w:asciiTheme="majorBidi" w:hAnsiTheme="majorBidi" w:cstheme="majorBidi"/>
          <w:bCs/>
          <w:iCs/>
        </w:rPr>
        <w:t xml:space="preserve">Patterns of vaccine rollout are shown in Figure 1. The fully vaccinated rate is regressed, each month, on severity of the pandemic (using excess mortality in 2020) and (separately) on the (unsigned) change in real GDP growth rates from 2019 to 2020 (the economic shock). A pattern evident by July 2021 is that countries with bigger economic shocks in 2020 had faster vaccine rollouts in 2021; the fully vaccinated rate is 0.4 standard deviations (SD) higher per SD of the 2020 fall in GDP. Patterns for the mortality shock are less clear. Relatedly, Auld and </w:t>
      </w:r>
      <w:proofErr w:type="spellStart"/>
      <w:r w:rsidRPr="00A77DD6">
        <w:rPr>
          <w:rFonts w:asciiTheme="majorBidi" w:hAnsiTheme="majorBidi" w:cstheme="majorBidi"/>
          <w:bCs/>
          <w:iCs/>
        </w:rPr>
        <w:t>Toxvaerd</w:t>
      </w:r>
      <w:proofErr w:type="spellEnd"/>
      <w:r w:rsidRPr="00A77DD6">
        <w:rPr>
          <w:rFonts w:asciiTheme="majorBidi" w:hAnsiTheme="majorBidi" w:cstheme="majorBidi"/>
          <w:bCs/>
          <w:iCs/>
        </w:rPr>
        <w:t xml:space="preserve"> (2021) show rollout was faster in richer, not sicker, countries. The idea that vaccine rollout relates more to economic effects than health effects also shows up below.</w:t>
      </w:r>
    </w:p>
    <w:p w:rsidR="00A77DD6" w:rsidRPr="00A77DD6" w:rsidRDefault="00A77DD6" w:rsidP="00A77DD6">
      <w:pPr>
        <w:widowControl w:val="0"/>
        <w:spacing w:after="120" w:line="288" w:lineRule="auto"/>
        <w:ind w:firstLine="720"/>
        <w:jc w:val="both"/>
        <w:rPr>
          <w:rFonts w:asciiTheme="majorBidi" w:hAnsiTheme="majorBidi" w:cstheme="majorBidi"/>
          <w:bCs/>
          <w:iCs/>
        </w:rPr>
      </w:pPr>
      <w:r w:rsidRPr="00A77DD6">
        <w:rPr>
          <w:rFonts w:asciiTheme="majorBidi" w:hAnsiTheme="majorBidi" w:cstheme="majorBidi"/>
          <w:bCs/>
          <w:iCs/>
        </w:rPr>
        <w:t>A SD higher fully vaccinated rate is associated with 0.46 SD lower stringency, so less lockdown (Table 1).</w:t>
      </w:r>
      <w:r w:rsidRPr="00A77DD6">
        <w:rPr>
          <w:rFonts w:asciiTheme="majorBidi" w:hAnsiTheme="majorBidi" w:cstheme="majorBidi"/>
          <w:bCs/>
          <w:iCs/>
          <w:vertAlign w:val="superscript"/>
        </w:rPr>
        <w:footnoteReference w:id="2"/>
      </w:r>
      <w:r w:rsidRPr="00A77DD6">
        <w:rPr>
          <w:rFonts w:asciiTheme="majorBidi" w:hAnsiTheme="majorBidi" w:cstheme="majorBidi"/>
          <w:bCs/>
          <w:iCs/>
        </w:rPr>
        <w:t xml:space="preserve"> This relationship is not seen if </w:t>
      </w:r>
      <m:oMath>
        <m:sSub>
          <m:sSubPr>
            <m:ctrlPr>
              <w:rPr>
                <w:rFonts w:ascii="Cambria Math" w:hAnsi="Cambria Math" w:cstheme="majorBidi"/>
                <w:bCs/>
                <w:iCs/>
                <w:lang w:val="en-US"/>
              </w:rPr>
            </m:ctrlPr>
          </m:sSubPr>
          <m:e>
            <m:r>
              <w:rPr>
                <w:rFonts w:ascii="Cambria Math" w:hAnsi="Cambria Math" w:cstheme="majorBidi"/>
                <w:lang w:val="en-US"/>
              </w:rPr>
              <m:t>V</m:t>
            </m:r>
          </m:e>
          <m:sub>
            <m:r>
              <w:rPr>
                <w:rFonts w:ascii="Cambria Math" w:hAnsi="Cambria Math" w:cstheme="majorBidi"/>
                <w:lang w:val="en-US"/>
              </w:rPr>
              <m:t>it</m:t>
            </m:r>
          </m:sub>
        </m:sSub>
      </m:oMath>
      <w:r w:rsidRPr="00A77DD6">
        <w:rPr>
          <w:rFonts w:asciiTheme="majorBidi" w:hAnsiTheme="majorBidi" w:cstheme="majorBidi"/>
          <w:bCs/>
          <w:iCs/>
          <w:lang w:val="en-US"/>
        </w:rPr>
        <w:t xml:space="preserve"> does not distinguish between the fully and partially vaccinated rate </w:t>
      </w:r>
      <m:oMath>
        <m:d>
          <m:dPr>
            <m:ctrlPr>
              <w:rPr>
                <w:rFonts w:ascii="Cambria Math" w:hAnsi="Cambria Math" w:cstheme="majorBidi"/>
                <w:bCs/>
                <w:i/>
                <w:iCs/>
                <w:lang w:val="en-US"/>
              </w:rPr>
            </m:ctrlPr>
          </m:dPr>
          <m:e>
            <m:acc>
              <m:accPr>
                <m:ctrlPr>
                  <w:rPr>
                    <w:rFonts w:ascii="Cambria Math" w:hAnsi="Cambria Math" w:cstheme="majorBidi"/>
                    <w:bCs/>
                    <w:i/>
                    <w:iCs/>
                    <w:lang w:val="en-US"/>
                  </w:rPr>
                </m:ctrlPr>
              </m:accPr>
              <m:e>
                <m:r>
                  <w:rPr>
                    <w:rFonts w:ascii="Cambria Math" w:hAnsi="Cambria Math" w:cstheme="majorBidi"/>
                    <w:lang w:val="en-US"/>
                  </w:rPr>
                  <m:t>β</m:t>
                </m:r>
              </m:e>
            </m:acc>
            <m:r>
              <w:rPr>
                <w:rFonts w:ascii="Cambria Math" w:hAnsi="Cambria Math" w:cstheme="majorBidi"/>
                <w:lang w:val="en-US"/>
              </w:rPr>
              <m:t>=-0.11, p=0.32</m:t>
            </m:r>
          </m:e>
        </m:d>
        <m:r>
          <w:rPr>
            <w:rFonts w:ascii="Cambria Math" w:hAnsi="Cambria Math" w:cstheme="majorBidi"/>
            <w:lang w:val="en-US"/>
          </w:rPr>
          <m:t>.</m:t>
        </m:r>
      </m:oMath>
      <w:r w:rsidRPr="00A77DD6">
        <w:rPr>
          <w:rFonts w:asciiTheme="majorBidi" w:hAnsiTheme="majorBidi" w:cstheme="majorBidi"/>
          <w:bCs/>
          <w:iCs/>
          <w:lang w:val="en-US"/>
        </w:rPr>
        <w:t xml:space="preserve"> In fact, a higher partially dosed rate is, </w:t>
      </w:r>
      <w:r w:rsidRPr="00A77DD6">
        <w:rPr>
          <w:rFonts w:asciiTheme="majorBidi" w:hAnsiTheme="majorBidi" w:cstheme="majorBidi"/>
          <w:bCs/>
          <w:i/>
          <w:iCs/>
          <w:lang w:val="en-US"/>
        </w:rPr>
        <w:t>ceteris paribus</w:t>
      </w:r>
      <w:r w:rsidRPr="00A77DD6">
        <w:rPr>
          <w:rFonts w:asciiTheme="majorBidi" w:hAnsiTheme="majorBidi" w:cstheme="majorBidi"/>
          <w:bCs/>
          <w:iCs/>
          <w:lang w:val="en-US"/>
        </w:rPr>
        <w:t xml:space="preserve">, associated with greater stringency </w:t>
      </w:r>
      <m:oMath>
        <m:d>
          <m:dPr>
            <m:ctrlPr>
              <w:rPr>
                <w:rFonts w:ascii="Cambria Math" w:hAnsi="Cambria Math" w:cstheme="majorBidi"/>
                <w:bCs/>
                <w:i/>
                <w:iCs/>
                <w:lang w:val="en-US"/>
              </w:rPr>
            </m:ctrlPr>
          </m:dPr>
          <m:e>
            <m:sSub>
              <m:sSubPr>
                <m:ctrlPr>
                  <w:rPr>
                    <w:rFonts w:ascii="Cambria Math" w:hAnsi="Cambria Math" w:cstheme="majorBidi"/>
                    <w:bCs/>
                    <w:i/>
                    <w:iCs/>
                    <w:lang w:val="en-US"/>
                  </w:rPr>
                </m:ctrlPr>
              </m:sSubPr>
              <m:e>
                <m:r>
                  <w:rPr>
                    <w:rFonts w:ascii="Cambria Math" w:hAnsi="Cambria Math" w:cstheme="majorBidi"/>
                    <w:lang w:val="en-US"/>
                  </w:rPr>
                  <m:t>H</m:t>
                </m:r>
              </m:e>
              <m:sub>
                <m:r>
                  <w:rPr>
                    <w:rFonts w:ascii="Cambria Math" w:hAnsi="Cambria Math" w:cstheme="majorBidi"/>
                    <w:lang w:val="en-US"/>
                  </w:rPr>
                  <m:t xml:space="preserve">0: </m:t>
                </m:r>
              </m:sub>
            </m:sSub>
            <m:sSub>
              <m:sSubPr>
                <m:ctrlPr>
                  <w:rPr>
                    <w:rFonts w:ascii="Cambria Math" w:hAnsi="Cambria Math" w:cstheme="majorBidi"/>
                    <w:bCs/>
                    <w:i/>
                    <w:iCs/>
                    <w:lang w:val="en-US"/>
                  </w:rPr>
                </m:ctrlPr>
              </m:sSubPr>
              <m:e>
                <m:acc>
                  <m:accPr>
                    <m:ctrlPr>
                      <w:rPr>
                        <w:rFonts w:ascii="Cambria Math" w:hAnsi="Cambria Math" w:cstheme="majorBidi"/>
                        <w:bCs/>
                        <w:i/>
                        <w:iCs/>
                        <w:lang w:val="en-US"/>
                      </w:rPr>
                    </m:ctrlPr>
                  </m:accPr>
                  <m:e>
                    <m:r>
                      <w:rPr>
                        <w:rFonts w:ascii="Cambria Math" w:hAnsi="Cambria Math" w:cstheme="majorBidi"/>
                        <w:lang w:val="en-US"/>
                      </w:rPr>
                      <m:t>β</m:t>
                    </m:r>
                  </m:e>
                </m:acc>
              </m:e>
              <m:sub>
                <m:r>
                  <w:rPr>
                    <w:rFonts w:ascii="Cambria Math" w:hAnsi="Cambria Math" w:cstheme="majorBidi"/>
                    <w:lang w:val="en-US"/>
                  </w:rPr>
                  <m:t>fully</m:t>
                </m:r>
              </m:sub>
            </m:sSub>
            <m:r>
              <w:rPr>
                <w:rFonts w:ascii="Cambria Math" w:hAnsi="Cambria Math" w:cstheme="majorBidi"/>
                <w:lang w:val="en-US"/>
              </w:rPr>
              <m:t>=</m:t>
            </m:r>
            <m:sSub>
              <m:sSubPr>
                <m:ctrlPr>
                  <w:rPr>
                    <w:rFonts w:ascii="Cambria Math" w:hAnsi="Cambria Math" w:cstheme="majorBidi"/>
                    <w:bCs/>
                    <w:i/>
                    <w:iCs/>
                    <w:lang w:val="en-US"/>
                  </w:rPr>
                </m:ctrlPr>
              </m:sSubPr>
              <m:e>
                <m:acc>
                  <m:accPr>
                    <m:ctrlPr>
                      <w:rPr>
                        <w:rFonts w:ascii="Cambria Math" w:hAnsi="Cambria Math" w:cstheme="majorBidi"/>
                        <w:bCs/>
                        <w:i/>
                        <w:iCs/>
                        <w:lang w:val="en-US"/>
                      </w:rPr>
                    </m:ctrlPr>
                  </m:accPr>
                  <m:e>
                    <m:r>
                      <w:rPr>
                        <w:rFonts w:ascii="Cambria Math" w:hAnsi="Cambria Math" w:cstheme="majorBidi"/>
                        <w:lang w:val="en-US"/>
                      </w:rPr>
                      <m:t>β</m:t>
                    </m:r>
                  </m:e>
                </m:acc>
              </m:e>
              <m:sub>
                <m:r>
                  <w:rPr>
                    <w:rFonts w:ascii="Cambria Math" w:hAnsi="Cambria Math" w:cstheme="majorBidi"/>
                    <w:lang w:val="en-US"/>
                  </w:rPr>
                  <m:t>partly</m:t>
                </m:r>
              </m:sub>
            </m:sSub>
            <m:r>
              <w:rPr>
                <w:rFonts w:ascii="Cambria Math" w:hAnsi="Cambria Math" w:cstheme="majorBidi"/>
                <w:lang w:val="en-US"/>
              </w:rPr>
              <m:t>, p=0.004</m:t>
            </m:r>
          </m:e>
        </m:d>
        <m:r>
          <w:rPr>
            <w:rFonts w:ascii="Cambria Math" w:hAnsi="Cambria Math" w:cstheme="majorBidi"/>
            <w:lang w:val="en-US"/>
          </w:rPr>
          <m:t>.</m:t>
        </m:r>
      </m:oMath>
      <w:r w:rsidRPr="00A77DD6">
        <w:rPr>
          <w:rFonts w:asciiTheme="majorBidi" w:hAnsiTheme="majorBidi" w:cstheme="majorBidi"/>
          <w:bCs/>
          <w:iCs/>
        </w:rPr>
        <w:t xml:space="preserve"> </w:t>
      </w:r>
    </w:p>
    <w:p w:rsidR="00A77DD6" w:rsidRPr="00A77DD6" w:rsidRDefault="00A77DD6" w:rsidP="00A77DD6">
      <w:pPr>
        <w:widowControl w:val="0"/>
        <w:spacing w:after="120" w:line="288" w:lineRule="auto"/>
        <w:ind w:firstLine="720"/>
        <w:jc w:val="both"/>
        <w:rPr>
          <w:rFonts w:asciiTheme="majorBidi" w:hAnsiTheme="majorBidi" w:cstheme="majorBidi"/>
          <w:bCs/>
          <w:iCs/>
          <w:lang w:val="en-US"/>
        </w:rPr>
      </w:pPr>
      <w:r w:rsidRPr="00A77DD6">
        <w:rPr>
          <w:rFonts w:asciiTheme="majorBidi" w:hAnsiTheme="majorBidi" w:cstheme="majorBidi"/>
          <w:bCs/>
          <w:iCs/>
        </w:rPr>
        <w:t xml:space="preserve">Mobility for retail locations and transit is about 0.5 SD higher than in the same month of 2020, per SD higher fully vaccinated rate, while the opposite pattern shows for residences </w:t>
      </w:r>
      <m:oMath>
        <m:d>
          <m:dPr>
            <m:ctrlPr>
              <w:rPr>
                <w:rFonts w:ascii="Cambria Math" w:hAnsi="Cambria Math" w:cstheme="majorBidi"/>
                <w:bCs/>
                <w:i/>
                <w:iCs/>
                <w:lang w:val="en-US"/>
              </w:rPr>
            </m:ctrlPr>
          </m:dPr>
          <m:e>
            <m:sSub>
              <m:sSubPr>
                <m:ctrlPr>
                  <w:rPr>
                    <w:rFonts w:ascii="Cambria Math" w:hAnsi="Cambria Math" w:cstheme="majorBidi"/>
                    <w:bCs/>
                    <w:i/>
                    <w:iCs/>
                    <w:lang w:val="en-US"/>
                  </w:rPr>
                </m:ctrlPr>
              </m:sSubPr>
              <m:e>
                <m:acc>
                  <m:accPr>
                    <m:ctrlPr>
                      <w:rPr>
                        <w:rFonts w:ascii="Cambria Math" w:hAnsi="Cambria Math" w:cstheme="majorBidi"/>
                        <w:bCs/>
                        <w:i/>
                        <w:iCs/>
                        <w:lang w:val="en-US"/>
                      </w:rPr>
                    </m:ctrlPr>
                  </m:accPr>
                  <m:e>
                    <m:r>
                      <w:rPr>
                        <w:rFonts w:ascii="Cambria Math" w:hAnsi="Cambria Math" w:cstheme="majorBidi"/>
                        <w:lang w:val="en-US"/>
                      </w:rPr>
                      <m:t>β</m:t>
                    </m:r>
                  </m:e>
                </m:acc>
              </m:e>
              <m:sub>
                <m:r>
                  <w:rPr>
                    <w:rFonts w:ascii="Cambria Math" w:hAnsi="Cambria Math" w:cstheme="majorBidi"/>
                    <w:lang w:val="en-US"/>
                  </w:rPr>
                  <m:t>fully</m:t>
                </m:r>
              </m:sub>
            </m:sSub>
            <m:r>
              <w:rPr>
                <w:rFonts w:ascii="Cambria Math" w:hAnsi="Cambria Math" w:cstheme="majorBidi"/>
                <w:lang w:val="en-US"/>
              </w:rPr>
              <m:t>=-0.47, p=0.015</m:t>
            </m:r>
          </m:e>
        </m:d>
        <m:r>
          <w:rPr>
            <w:rFonts w:ascii="Cambria Math" w:hAnsi="Cambria Math" w:cstheme="majorBidi"/>
            <w:lang w:val="en-US"/>
          </w:rPr>
          <m:t>.</m:t>
        </m:r>
      </m:oMath>
      <w:r w:rsidRPr="00A77DD6">
        <w:rPr>
          <w:rFonts w:asciiTheme="majorBidi" w:hAnsiTheme="majorBidi" w:cstheme="majorBidi"/>
          <w:bCs/>
          <w:iCs/>
          <w:lang w:val="en-US"/>
        </w:rPr>
        <w:t xml:space="preserve"> These relationships are not seen if fully and partly vaccinated rates are combined. The hypothesis of both vaccination rates having equal effects on mobility </w:t>
      </w:r>
      <m:oMath>
        <m:d>
          <m:dPr>
            <m:ctrlPr>
              <w:rPr>
                <w:rFonts w:ascii="Cambria Math" w:hAnsi="Cambria Math" w:cstheme="majorBidi"/>
                <w:bCs/>
                <w:i/>
                <w:iCs/>
                <w:lang w:val="en-US"/>
              </w:rPr>
            </m:ctrlPr>
          </m:dPr>
          <m:e>
            <m:sSub>
              <m:sSubPr>
                <m:ctrlPr>
                  <w:rPr>
                    <w:rFonts w:ascii="Cambria Math" w:hAnsi="Cambria Math" w:cstheme="majorBidi"/>
                    <w:bCs/>
                    <w:i/>
                    <w:iCs/>
                    <w:lang w:val="en-US"/>
                  </w:rPr>
                </m:ctrlPr>
              </m:sSubPr>
              <m:e>
                <m:r>
                  <w:rPr>
                    <w:rFonts w:ascii="Cambria Math" w:hAnsi="Cambria Math" w:cstheme="majorBidi"/>
                    <w:lang w:val="en-US"/>
                  </w:rPr>
                  <m:t>H</m:t>
                </m:r>
              </m:e>
              <m:sub>
                <m:r>
                  <w:rPr>
                    <w:rFonts w:ascii="Cambria Math" w:hAnsi="Cambria Math" w:cstheme="majorBidi"/>
                    <w:lang w:val="en-US"/>
                  </w:rPr>
                  <m:t xml:space="preserve">0: </m:t>
                </m:r>
              </m:sub>
            </m:sSub>
            <m:sSub>
              <m:sSubPr>
                <m:ctrlPr>
                  <w:rPr>
                    <w:rFonts w:ascii="Cambria Math" w:hAnsi="Cambria Math" w:cstheme="majorBidi"/>
                    <w:bCs/>
                    <w:i/>
                    <w:iCs/>
                    <w:lang w:val="en-US"/>
                  </w:rPr>
                </m:ctrlPr>
              </m:sSubPr>
              <m:e>
                <m:acc>
                  <m:accPr>
                    <m:ctrlPr>
                      <w:rPr>
                        <w:rFonts w:ascii="Cambria Math" w:hAnsi="Cambria Math" w:cstheme="majorBidi"/>
                        <w:bCs/>
                        <w:i/>
                        <w:iCs/>
                        <w:lang w:val="en-US"/>
                      </w:rPr>
                    </m:ctrlPr>
                  </m:accPr>
                  <m:e>
                    <m:r>
                      <w:rPr>
                        <w:rFonts w:ascii="Cambria Math" w:hAnsi="Cambria Math" w:cstheme="majorBidi"/>
                        <w:lang w:val="en-US"/>
                      </w:rPr>
                      <m:t>β</m:t>
                    </m:r>
                  </m:e>
                </m:acc>
              </m:e>
              <m:sub>
                <m:r>
                  <w:rPr>
                    <w:rFonts w:ascii="Cambria Math" w:hAnsi="Cambria Math" w:cstheme="majorBidi"/>
                    <w:lang w:val="en-US"/>
                  </w:rPr>
                  <m:t>fully</m:t>
                </m:r>
              </m:sub>
            </m:sSub>
            <m:r>
              <w:rPr>
                <w:rFonts w:ascii="Cambria Math" w:hAnsi="Cambria Math" w:cstheme="majorBidi"/>
                <w:lang w:val="en-US"/>
              </w:rPr>
              <m:t>=</m:t>
            </m:r>
            <m:sSub>
              <m:sSubPr>
                <m:ctrlPr>
                  <w:rPr>
                    <w:rFonts w:ascii="Cambria Math" w:hAnsi="Cambria Math" w:cstheme="majorBidi"/>
                    <w:bCs/>
                    <w:i/>
                    <w:iCs/>
                    <w:lang w:val="en-US"/>
                  </w:rPr>
                </m:ctrlPr>
              </m:sSubPr>
              <m:e>
                <m:acc>
                  <m:accPr>
                    <m:ctrlPr>
                      <w:rPr>
                        <w:rFonts w:ascii="Cambria Math" w:hAnsi="Cambria Math" w:cstheme="majorBidi"/>
                        <w:bCs/>
                        <w:i/>
                        <w:iCs/>
                        <w:lang w:val="en-US"/>
                      </w:rPr>
                    </m:ctrlPr>
                  </m:accPr>
                  <m:e>
                    <m:r>
                      <w:rPr>
                        <w:rFonts w:ascii="Cambria Math" w:hAnsi="Cambria Math" w:cstheme="majorBidi"/>
                        <w:lang w:val="en-US"/>
                      </w:rPr>
                      <m:t>β</m:t>
                    </m:r>
                  </m:e>
                </m:acc>
              </m:e>
              <m:sub>
                <m:r>
                  <w:rPr>
                    <w:rFonts w:ascii="Cambria Math" w:hAnsi="Cambria Math" w:cstheme="majorBidi"/>
                    <w:lang w:val="en-US"/>
                  </w:rPr>
                  <m:t>partly</m:t>
                </m:r>
              </m:sub>
            </m:sSub>
          </m:e>
        </m:d>
      </m:oMath>
      <w:r w:rsidRPr="00A77DD6">
        <w:rPr>
          <w:rFonts w:asciiTheme="majorBidi" w:hAnsiTheme="majorBidi" w:cstheme="majorBidi"/>
          <w:bCs/>
          <w:iCs/>
          <w:lang w:val="en-US"/>
        </w:rPr>
        <w:t xml:space="preserve"> is strongly rejected. Mobil</w:t>
      </w:r>
      <w:proofErr w:type="spellStart"/>
      <w:r w:rsidRPr="00A77DD6">
        <w:rPr>
          <w:rFonts w:asciiTheme="majorBidi" w:hAnsiTheme="majorBidi" w:cstheme="majorBidi"/>
          <w:bCs/>
          <w:iCs/>
          <w:lang w:val="en-US"/>
        </w:rPr>
        <w:t>ity</w:t>
      </w:r>
      <w:proofErr w:type="spellEnd"/>
      <w:r w:rsidRPr="00A77DD6">
        <w:rPr>
          <w:rFonts w:asciiTheme="majorBidi" w:hAnsiTheme="majorBidi" w:cstheme="majorBidi"/>
          <w:bCs/>
          <w:iCs/>
          <w:lang w:val="en-US"/>
        </w:rPr>
        <w:t xml:space="preserve"> for grocery and workplaces is 0.3 SD higher per SD higher fully vaccinated rate, with no effect of the partially dosed rate.</w:t>
      </w:r>
    </w:p>
    <w:p w:rsidR="00A77DD6" w:rsidRPr="00A77DD6" w:rsidRDefault="00A77DD6" w:rsidP="00A77DD6">
      <w:pPr>
        <w:widowControl w:val="0"/>
        <w:spacing w:after="120" w:line="288" w:lineRule="auto"/>
        <w:ind w:firstLine="720"/>
        <w:jc w:val="both"/>
        <w:rPr>
          <w:rFonts w:asciiTheme="majorBidi" w:hAnsiTheme="majorBidi" w:cstheme="majorBidi"/>
          <w:bCs/>
          <w:iCs/>
          <w:lang w:val="en-US"/>
        </w:rPr>
      </w:pPr>
      <w:r w:rsidRPr="00A77DD6">
        <w:rPr>
          <w:rFonts w:asciiTheme="majorBidi" w:hAnsiTheme="majorBidi" w:cstheme="majorBidi"/>
          <w:bCs/>
          <w:iCs/>
          <w:lang w:val="en-US"/>
        </w:rPr>
        <w:t xml:space="preserve">Relationships between </w:t>
      </w:r>
      <m:oMath>
        <m:sSub>
          <m:sSubPr>
            <m:ctrlPr>
              <w:rPr>
                <w:rFonts w:ascii="Cambria Math" w:hAnsi="Cambria Math" w:cstheme="majorBidi"/>
                <w:bCs/>
                <w:iCs/>
                <w:lang w:val="en-US"/>
              </w:rPr>
            </m:ctrlPr>
          </m:sSubPr>
          <m:e>
            <m:r>
              <w:rPr>
                <w:rFonts w:ascii="Cambria Math" w:hAnsi="Cambria Math" w:cstheme="majorBidi"/>
                <w:lang w:val="en-US"/>
              </w:rPr>
              <m:t>V</m:t>
            </m:r>
          </m:e>
          <m:sub>
            <m:r>
              <w:rPr>
                <w:rFonts w:ascii="Cambria Math" w:hAnsi="Cambria Math" w:cstheme="majorBidi"/>
                <w:lang w:val="en-US"/>
              </w:rPr>
              <m:t>it</m:t>
            </m:r>
          </m:sub>
        </m:sSub>
      </m:oMath>
      <w:r w:rsidRPr="00A77DD6">
        <w:rPr>
          <w:rFonts w:asciiTheme="majorBidi" w:hAnsiTheme="majorBidi" w:cstheme="majorBidi"/>
          <w:bCs/>
          <w:iCs/>
          <w:lang w:val="en-US"/>
        </w:rPr>
        <w:t xml:space="preserve"> and changes in monthly night lights have a similar pattern to the relationships for the changes in retail, transit and workplace mobility but estimated less precisely. The smaller available sample for night lights may account for this. For example, the hypothesis of the fully and partly vaccinated rate having equal effects on the growth in night lights </w:t>
      </w:r>
      <m:oMath>
        <m:d>
          <m:dPr>
            <m:ctrlPr>
              <w:rPr>
                <w:rFonts w:ascii="Cambria Math" w:hAnsi="Cambria Math" w:cstheme="majorBidi"/>
                <w:bCs/>
                <w:i/>
                <w:iCs/>
                <w:lang w:val="en-US"/>
              </w:rPr>
            </m:ctrlPr>
          </m:dPr>
          <m:e>
            <m:sSub>
              <m:sSubPr>
                <m:ctrlPr>
                  <w:rPr>
                    <w:rFonts w:ascii="Cambria Math" w:hAnsi="Cambria Math" w:cstheme="majorBidi"/>
                    <w:bCs/>
                    <w:i/>
                    <w:iCs/>
                    <w:lang w:val="en-US"/>
                  </w:rPr>
                </m:ctrlPr>
              </m:sSubPr>
              <m:e>
                <m:r>
                  <w:rPr>
                    <w:rFonts w:ascii="Cambria Math" w:hAnsi="Cambria Math" w:cstheme="majorBidi"/>
                    <w:lang w:val="en-US"/>
                  </w:rPr>
                  <m:t>H</m:t>
                </m:r>
              </m:e>
              <m:sub>
                <m:r>
                  <w:rPr>
                    <w:rFonts w:ascii="Cambria Math" w:hAnsi="Cambria Math" w:cstheme="majorBidi"/>
                    <w:lang w:val="en-US"/>
                  </w:rPr>
                  <m:t xml:space="preserve">0: </m:t>
                </m:r>
              </m:sub>
            </m:sSub>
            <m:sSub>
              <m:sSubPr>
                <m:ctrlPr>
                  <w:rPr>
                    <w:rFonts w:ascii="Cambria Math" w:hAnsi="Cambria Math" w:cstheme="majorBidi"/>
                    <w:bCs/>
                    <w:i/>
                    <w:iCs/>
                    <w:lang w:val="en-US"/>
                  </w:rPr>
                </m:ctrlPr>
              </m:sSubPr>
              <m:e>
                <m:acc>
                  <m:accPr>
                    <m:ctrlPr>
                      <w:rPr>
                        <w:rFonts w:ascii="Cambria Math" w:hAnsi="Cambria Math" w:cstheme="majorBidi"/>
                        <w:bCs/>
                        <w:i/>
                        <w:iCs/>
                        <w:lang w:val="en-US"/>
                      </w:rPr>
                    </m:ctrlPr>
                  </m:accPr>
                  <m:e>
                    <m:r>
                      <w:rPr>
                        <w:rFonts w:ascii="Cambria Math" w:hAnsi="Cambria Math" w:cstheme="majorBidi"/>
                        <w:lang w:val="en-US"/>
                      </w:rPr>
                      <m:t>β</m:t>
                    </m:r>
                  </m:e>
                </m:acc>
              </m:e>
              <m:sub>
                <m:r>
                  <w:rPr>
                    <w:rFonts w:ascii="Cambria Math" w:hAnsi="Cambria Math" w:cstheme="majorBidi"/>
                    <w:lang w:val="en-US"/>
                  </w:rPr>
                  <m:t>fully</m:t>
                </m:r>
              </m:sub>
            </m:sSub>
            <m:r>
              <w:rPr>
                <w:rFonts w:ascii="Cambria Math" w:hAnsi="Cambria Math" w:cstheme="majorBidi"/>
                <w:lang w:val="en-US"/>
              </w:rPr>
              <m:t>=</m:t>
            </m:r>
            <m:sSub>
              <m:sSubPr>
                <m:ctrlPr>
                  <w:rPr>
                    <w:rFonts w:ascii="Cambria Math" w:hAnsi="Cambria Math" w:cstheme="majorBidi"/>
                    <w:bCs/>
                    <w:i/>
                    <w:iCs/>
                    <w:lang w:val="en-US"/>
                  </w:rPr>
                </m:ctrlPr>
              </m:sSubPr>
              <m:e>
                <m:acc>
                  <m:accPr>
                    <m:ctrlPr>
                      <w:rPr>
                        <w:rFonts w:ascii="Cambria Math" w:hAnsi="Cambria Math" w:cstheme="majorBidi"/>
                        <w:bCs/>
                        <w:i/>
                        <w:iCs/>
                        <w:lang w:val="en-US"/>
                      </w:rPr>
                    </m:ctrlPr>
                  </m:accPr>
                  <m:e>
                    <m:r>
                      <w:rPr>
                        <w:rFonts w:ascii="Cambria Math" w:hAnsi="Cambria Math" w:cstheme="majorBidi"/>
                        <w:lang w:val="en-US"/>
                      </w:rPr>
                      <m:t>β</m:t>
                    </m:r>
                  </m:e>
                </m:acc>
              </m:e>
              <m:sub>
                <m:r>
                  <w:rPr>
                    <w:rFonts w:ascii="Cambria Math" w:hAnsi="Cambria Math" w:cstheme="majorBidi"/>
                    <w:lang w:val="en-US"/>
                  </w:rPr>
                  <m:t>partly</m:t>
                </m:r>
              </m:sub>
            </m:sSub>
          </m:e>
        </m:d>
      </m:oMath>
      <w:r w:rsidRPr="00A77DD6">
        <w:rPr>
          <w:rFonts w:asciiTheme="majorBidi" w:hAnsiTheme="majorBidi" w:cstheme="majorBidi"/>
          <w:bCs/>
          <w:iCs/>
          <w:lang w:val="en-US"/>
        </w:rPr>
        <w:t xml:space="preserve"> is rejected at </w:t>
      </w:r>
      <w:r w:rsidRPr="00A77DD6">
        <w:rPr>
          <w:rFonts w:asciiTheme="majorBidi" w:hAnsiTheme="majorBidi" w:cstheme="majorBidi"/>
          <w:bCs/>
          <w:i/>
          <w:iCs/>
          <w:lang w:val="en-US"/>
        </w:rPr>
        <w:t>p</w:t>
      </w:r>
      <w:r w:rsidRPr="00A77DD6">
        <w:rPr>
          <w:rFonts w:asciiTheme="majorBidi" w:hAnsiTheme="majorBidi" w:cstheme="majorBidi"/>
          <w:bCs/>
          <w:iCs/>
          <w:lang w:val="en-US"/>
        </w:rPr>
        <w:t>=0.12.</w:t>
      </w:r>
    </w:p>
    <w:p w:rsidR="00A77DD6" w:rsidRPr="00A77DD6" w:rsidRDefault="00A77DD6" w:rsidP="00A77DD6">
      <w:pPr>
        <w:widowControl w:val="0"/>
        <w:spacing w:after="120" w:line="288" w:lineRule="auto"/>
        <w:ind w:firstLine="720"/>
        <w:jc w:val="both"/>
        <w:rPr>
          <w:rFonts w:asciiTheme="majorBidi" w:hAnsiTheme="majorBidi" w:cstheme="majorBidi"/>
          <w:bCs/>
          <w:iCs/>
        </w:rPr>
      </w:pPr>
      <w:r w:rsidRPr="00A77DD6">
        <w:rPr>
          <w:rFonts w:asciiTheme="majorBidi" w:hAnsiTheme="majorBidi" w:cstheme="majorBidi"/>
          <w:bCs/>
          <w:iCs/>
          <w:lang w:val="en-US"/>
        </w:rPr>
        <w:t xml:space="preserve">In contrast to apparent relationships with variables measuring economic effects, there are no significant correlations between vaccination rates (either fully or partly dosed) and the health variables: changes in new Covid-19 cases and deaths, and in all-cause mortality rates. Absence of a cross-sectional relationship between vaccination rates and new Covid-19 cases for 15 of the countries studied here plus 53 others is reported by </w:t>
      </w:r>
      <w:r w:rsidRPr="00A77DD6">
        <w:rPr>
          <w:rFonts w:asciiTheme="majorBidi" w:hAnsiTheme="majorBidi" w:cstheme="majorBidi"/>
          <w:bCs/>
          <w:iCs/>
        </w:rPr>
        <w:t>Subramanian and Kumar (2021). The current results provide panel data evidence corroborating this lack of effect.</w:t>
      </w:r>
      <w:r>
        <w:rPr>
          <w:rFonts w:asciiTheme="majorBidi" w:hAnsiTheme="majorBidi" w:cstheme="majorBidi"/>
          <w:bCs/>
          <w:iCs/>
        </w:rPr>
        <w:t xml:space="preserve"> </w:t>
      </w:r>
    </w:p>
    <w:p w:rsidR="00A77DD6" w:rsidRDefault="00A77DD6" w:rsidP="00A77DD6">
      <w:pPr>
        <w:widowControl w:val="0"/>
        <w:spacing w:after="0" w:line="288" w:lineRule="auto"/>
        <w:ind w:firstLine="720"/>
        <w:jc w:val="both"/>
        <w:rPr>
          <w:rFonts w:asciiTheme="majorBidi" w:hAnsiTheme="majorBidi" w:cstheme="majorBidi"/>
          <w:bCs/>
          <w:lang w:val="en-US"/>
        </w:rPr>
      </w:pPr>
    </w:p>
    <w:p w:rsidR="00A77DD6" w:rsidRPr="00A77DD6" w:rsidRDefault="00A77DD6" w:rsidP="00A77DD6">
      <w:pPr>
        <w:widowControl w:val="0"/>
        <w:spacing w:after="0" w:line="288" w:lineRule="auto"/>
        <w:jc w:val="both"/>
        <w:rPr>
          <w:rFonts w:asciiTheme="majorBidi" w:hAnsiTheme="majorBidi" w:cstheme="majorBidi"/>
          <w:bCs/>
          <w:lang w:val="en-US"/>
        </w:rPr>
        <w:sectPr w:rsidR="00A77DD6" w:rsidRPr="00A77DD6" w:rsidSect="00735A9C">
          <w:footerReference w:type="default" r:id="rId8"/>
          <w:footerReference w:type="first" r:id="rId9"/>
          <w:pgSz w:w="11906" w:h="16838"/>
          <w:pgMar w:top="1440" w:right="1440" w:bottom="1440" w:left="1440" w:header="708" w:footer="708" w:gutter="0"/>
          <w:pgNumType w:start="0"/>
          <w:cols w:space="708"/>
          <w:titlePg/>
          <w:docGrid w:linePitch="360"/>
        </w:sect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3958"/>
      </w:tblGrid>
      <w:tr w:rsidR="005C2E59" w:rsidTr="005C323B">
        <w:trPr>
          <w:trHeight w:val="454"/>
          <w:jc w:val="center"/>
        </w:trPr>
        <w:tc>
          <w:tcPr>
            <w:tcW w:w="13834" w:type="dxa"/>
            <w:tcBorders>
              <w:top w:val="nil"/>
              <w:left w:val="nil"/>
              <w:bottom w:val="nil"/>
              <w:right w:val="nil"/>
            </w:tcBorders>
            <w:vAlign w:val="center"/>
          </w:tcPr>
          <w:tbl>
            <w:tblPr>
              <w:tblStyle w:val="TableGrid"/>
              <w:tblW w:w="13781" w:type="dxa"/>
              <w:tblCellMar>
                <w:left w:w="0" w:type="dxa"/>
                <w:right w:w="0" w:type="dxa"/>
              </w:tblCellMar>
              <w:tblLook w:val="04A0" w:firstRow="1" w:lastRow="0" w:firstColumn="1" w:lastColumn="0" w:noHBand="0" w:noVBand="1"/>
            </w:tblPr>
            <w:tblGrid>
              <w:gridCol w:w="6809"/>
              <w:gridCol w:w="6809"/>
              <w:gridCol w:w="163"/>
            </w:tblGrid>
            <w:tr w:rsidR="00A77DD6" w:rsidTr="007B5849">
              <w:tc>
                <w:tcPr>
                  <w:tcW w:w="13781" w:type="dxa"/>
                  <w:gridSpan w:val="3"/>
                  <w:tcBorders>
                    <w:top w:val="nil"/>
                    <w:left w:val="nil"/>
                    <w:bottom w:val="nil"/>
                    <w:right w:val="nil"/>
                  </w:tcBorders>
                </w:tcPr>
                <w:p w:rsidR="00A77DD6" w:rsidRPr="001B6C19" w:rsidRDefault="00A77DD6" w:rsidP="00A77DD6">
                  <w:pPr>
                    <w:spacing w:after="120"/>
                    <w:jc w:val="center"/>
                    <w:rPr>
                      <w:rFonts w:asciiTheme="majorBidi" w:hAnsiTheme="majorBidi" w:cstheme="majorBidi"/>
                      <w:noProof/>
                    </w:rPr>
                  </w:pPr>
                  <w:r w:rsidRPr="001B6C19">
                    <w:rPr>
                      <w:rFonts w:asciiTheme="majorBidi" w:hAnsiTheme="majorBidi" w:cstheme="majorBidi"/>
                      <w:noProof/>
                    </w:rPr>
                    <w:lastRenderedPageBreak/>
                    <w:t>Figure 1:</w:t>
                  </w:r>
                  <w:r>
                    <w:rPr>
                      <w:rFonts w:asciiTheme="majorBidi" w:hAnsiTheme="majorBidi" w:cstheme="majorBidi"/>
                      <w:noProof/>
                    </w:rPr>
                    <w:t xml:space="preserve"> Standardized Regression Coefficients; Fully Vaccinated Rate with respect to (w.r.t.) Indicators of Prior Health and Economic Shocks</w:t>
                  </w:r>
                </w:p>
              </w:tc>
            </w:tr>
            <w:tr w:rsidR="00A77DD6" w:rsidTr="007B5849">
              <w:trPr>
                <w:gridAfter w:val="1"/>
                <w:wAfter w:w="163" w:type="dxa"/>
              </w:trPr>
              <w:tc>
                <w:tcPr>
                  <w:tcW w:w="6809" w:type="dxa"/>
                  <w:tcBorders>
                    <w:top w:val="nil"/>
                    <w:left w:val="nil"/>
                    <w:bottom w:val="nil"/>
                    <w:right w:val="nil"/>
                  </w:tcBorders>
                </w:tcPr>
                <w:p w:rsidR="00A77DD6" w:rsidRDefault="00A77DD6" w:rsidP="00A77DD6">
                  <w:pPr>
                    <w:jc w:val="center"/>
                  </w:pPr>
                  <w:r w:rsidRPr="007D13DA">
                    <w:rPr>
                      <w:noProof/>
                      <w:lang w:eastAsia="zh-CN"/>
                    </w:rPr>
                    <w:drawing>
                      <wp:inline distT="0" distB="0" distL="0" distR="0" wp14:anchorId="43FFDBCA" wp14:editId="499FAD06">
                        <wp:extent cx="4140000" cy="248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000" cy="2484000"/>
                                </a:xfrm>
                                <a:prstGeom prst="rect">
                                  <a:avLst/>
                                </a:prstGeom>
                                <a:noFill/>
                                <a:ln>
                                  <a:noFill/>
                                </a:ln>
                              </pic:spPr>
                            </pic:pic>
                          </a:graphicData>
                        </a:graphic>
                      </wp:inline>
                    </w:drawing>
                  </w:r>
                </w:p>
              </w:tc>
              <w:tc>
                <w:tcPr>
                  <w:tcW w:w="6809" w:type="dxa"/>
                  <w:tcBorders>
                    <w:top w:val="nil"/>
                    <w:left w:val="nil"/>
                    <w:bottom w:val="nil"/>
                    <w:right w:val="nil"/>
                  </w:tcBorders>
                </w:tcPr>
                <w:p w:rsidR="00A77DD6" w:rsidRDefault="00A77DD6" w:rsidP="00A77DD6">
                  <w:pPr>
                    <w:jc w:val="center"/>
                  </w:pPr>
                  <w:r w:rsidRPr="007D13DA">
                    <w:rPr>
                      <w:noProof/>
                      <w:lang w:eastAsia="zh-CN"/>
                    </w:rPr>
                    <w:drawing>
                      <wp:inline distT="0" distB="0" distL="0" distR="0" wp14:anchorId="0DBD9474" wp14:editId="3CF4CE61">
                        <wp:extent cx="4140000" cy="248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000" cy="2484000"/>
                                </a:xfrm>
                                <a:prstGeom prst="rect">
                                  <a:avLst/>
                                </a:prstGeom>
                                <a:noFill/>
                                <a:ln>
                                  <a:noFill/>
                                </a:ln>
                              </pic:spPr>
                            </pic:pic>
                          </a:graphicData>
                        </a:graphic>
                      </wp:inline>
                    </w:drawing>
                  </w:r>
                </w:p>
              </w:tc>
            </w:tr>
            <w:tr w:rsidR="00A77DD6" w:rsidTr="007B5849">
              <w:trPr>
                <w:gridAfter w:val="1"/>
                <w:wAfter w:w="163" w:type="dxa"/>
              </w:trPr>
              <w:tc>
                <w:tcPr>
                  <w:tcW w:w="13618" w:type="dxa"/>
                  <w:gridSpan w:val="2"/>
                  <w:tcBorders>
                    <w:top w:val="nil"/>
                    <w:left w:val="nil"/>
                    <w:bottom w:val="nil"/>
                    <w:right w:val="nil"/>
                  </w:tcBorders>
                </w:tcPr>
                <w:p w:rsidR="00A77DD6" w:rsidRPr="001B6C19" w:rsidRDefault="00A77DD6" w:rsidP="00A77DD6">
                  <w:pPr>
                    <w:jc w:val="center"/>
                    <w:rPr>
                      <w:noProof/>
                    </w:rPr>
                  </w:pPr>
                </w:p>
              </w:tc>
            </w:tr>
          </w:tbl>
          <w:p w:rsidR="00A77DD6" w:rsidRDefault="00A77DD6" w:rsidP="00A77DD6">
            <w:pPr>
              <w:rPr>
                <w:noProof/>
                <w:sz w:val="22"/>
                <w:szCs w:val="22"/>
              </w:rPr>
            </w:pPr>
            <w:r>
              <w:rPr>
                <w:rFonts w:asciiTheme="majorBidi" w:hAnsiTheme="majorBidi" w:cstheme="majorBidi"/>
                <w:i/>
                <w:iCs/>
                <w:sz w:val="20"/>
                <w:szCs w:val="20"/>
              </w:rPr>
              <w:t>Note:</w:t>
            </w:r>
            <w:r>
              <w:rPr>
                <w:rFonts w:asciiTheme="majorBidi" w:hAnsiTheme="majorBidi" w:cstheme="majorBidi"/>
                <w:sz w:val="20"/>
                <w:szCs w:val="20"/>
              </w:rPr>
              <w:t xml:space="preserve"> Error bars show 95% confidence intervals corrected for multiple testing.</w:t>
            </w:r>
          </w:p>
          <w:p w:rsidR="005C2E59" w:rsidRPr="00A0065E" w:rsidRDefault="005C2E59" w:rsidP="00C23239">
            <w:pPr>
              <w:jc w:val="center"/>
              <w:rPr>
                <w:noProof/>
                <w:sz w:val="22"/>
                <w:szCs w:val="22"/>
              </w:rPr>
            </w:pPr>
            <w:r w:rsidRPr="00A0065E">
              <w:rPr>
                <w:noProof/>
                <w:sz w:val="22"/>
                <w:szCs w:val="22"/>
              </w:rPr>
              <w:t xml:space="preserve"> </w:t>
            </w:r>
          </w:p>
        </w:tc>
      </w:tr>
    </w:tbl>
    <w:p w:rsidR="007B5849" w:rsidRDefault="007B5849" w:rsidP="005C2E59">
      <w:pPr>
        <w:widowControl w:val="0"/>
        <w:spacing w:after="0" w:line="240" w:lineRule="auto"/>
        <w:ind w:firstLine="720"/>
        <w:jc w:val="both"/>
        <w:rPr>
          <w:rFonts w:asciiTheme="majorBidi" w:hAnsiTheme="majorBidi" w:cstheme="majorBidi"/>
          <w:bCs/>
          <w:sz w:val="4"/>
          <w:szCs w:val="4"/>
          <w:lang w:val="en-US"/>
        </w:rPr>
      </w:pPr>
    </w:p>
    <w:p w:rsidR="007B5849" w:rsidRDefault="007B5849">
      <w:pPr>
        <w:rPr>
          <w:rFonts w:asciiTheme="majorBidi" w:hAnsiTheme="majorBidi" w:cstheme="majorBidi"/>
          <w:bCs/>
          <w:sz w:val="4"/>
          <w:szCs w:val="4"/>
          <w:lang w:val="en-US"/>
        </w:rPr>
      </w:pPr>
      <w:r>
        <w:rPr>
          <w:rFonts w:asciiTheme="majorBidi" w:hAnsiTheme="majorBidi" w:cstheme="majorBidi"/>
          <w:bCs/>
          <w:sz w:val="4"/>
          <w:szCs w:val="4"/>
          <w:lang w:val="en-US"/>
        </w:rPr>
        <w:br w:type="page"/>
      </w:r>
    </w:p>
    <w:p w:rsidR="007B5849" w:rsidRDefault="007B5849" w:rsidP="007B5849">
      <w:pPr>
        <w:spacing w:after="0"/>
        <w:rPr>
          <w:rFonts w:asciiTheme="majorBidi" w:hAnsiTheme="majorBidi" w:cstheme="majorBidi"/>
          <w:bCs/>
          <w:sz w:val="4"/>
          <w:szCs w:val="4"/>
          <w:lang w:val="en-US"/>
        </w:rPr>
      </w:pPr>
    </w:p>
    <w:tbl>
      <w:tblPr>
        <w:tblStyle w:val="TableGrid"/>
        <w:tblW w:w="13945" w:type="dxa"/>
        <w:tblInd w:w="-5" w:type="dxa"/>
        <w:tblCellMar>
          <w:left w:w="28" w:type="dxa"/>
          <w:right w:w="28" w:type="dxa"/>
        </w:tblCellMar>
        <w:tblLook w:val="04A0" w:firstRow="1" w:lastRow="0" w:firstColumn="1" w:lastColumn="0" w:noHBand="0" w:noVBand="1"/>
      </w:tblPr>
      <w:tblGrid>
        <w:gridCol w:w="3855"/>
        <w:gridCol w:w="1162"/>
        <w:gridCol w:w="1162"/>
        <w:gridCol w:w="236"/>
        <w:gridCol w:w="1162"/>
        <w:gridCol w:w="1162"/>
        <w:gridCol w:w="236"/>
        <w:gridCol w:w="1203"/>
        <w:gridCol w:w="1203"/>
        <w:gridCol w:w="1203"/>
        <w:gridCol w:w="1361"/>
      </w:tblGrid>
      <w:tr w:rsidR="007B5849" w:rsidRPr="00F84836" w:rsidTr="003F1941">
        <w:tc>
          <w:tcPr>
            <w:tcW w:w="13945" w:type="dxa"/>
            <w:gridSpan w:val="11"/>
            <w:tcBorders>
              <w:top w:val="nil"/>
              <w:left w:val="nil"/>
              <w:bottom w:val="single" w:sz="4" w:space="0" w:color="auto"/>
              <w:right w:val="nil"/>
            </w:tcBorders>
          </w:tcPr>
          <w:p w:rsidR="007B5849" w:rsidRPr="00F84836" w:rsidRDefault="007B5849" w:rsidP="003F1941">
            <w:pPr>
              <w:spacing w:after="40"/>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Table 1: Relationships between monthly indicators of Covid-19 vaccine rollout and monthly indicators of change in response stringency, economic activity, Covid</w:t>
            </w:r>
            <w:r>
              <w:rPr>
                <w:rFonts w:asciiTheme="majorBidi" w:hAnsiTheme="majorBidi" w:cstheme="majorBidi"/>
                <w:sz w:val="21"/>
                <w:szCs w:val="21"/>
                <w:shd w:val="clear" w:color="auto" w:fill="FFFFFF"/>
              </w:rPr>
              <w:noBreakHyphen/>
              <w:t xml:space="preserve">19 cases and mortality: OECD countries </w:t>
            </w:r>
          </w:p>
        </w:tc>
      </w:tr>
      <w:tr w:rsidR="007B5849" w:rsidRPr="00F84836" w:rsidTr="003F1941">
        <w:tc>
          <w:tcPr>
            <w:tcW w:w="3855" w:type="dxa"/>
            <w:tcBorders>
              <w:top w:val="single" w:sz="4" w:space="0" w:color="auto"/>
              <w:left w:val="nil"/>
              <w:bottom w:val="nil"/>
              <w:right w:val="nil"/>
            </w:tcBorders>
          </w:tcPr>
          <w:p w:rsidR="007B5849" w:rsidRPr="00F84836" w:rsidRDefault="007B5849" w:rsidP="003F1941">
            <w:pPr>
              <w:rPr>
                <w:rFonts w:asciiTheme="majorBidi" w:hAnsiTheme="majorBidi" w:cstheme="majorBidi"/>
                <w:sz w:val="21"/>
                <w:szCs w:val="21"/>
                <w:shd w:val="clear" w:color="auto" w:fill="FFFFFF"/>
              </w:rPr>
            </w:pPr>
          </w:p>
        </w:tc>
        <w:tc>
          <w:tcPr>
            <w:tcW w:w="2324" w:type="dxa"/>
            <w:gridSpan w:val="2"/>
            <w:tcBorders>
              <w:top w:val="single" w:sz="4" w:space="0" w:color="auto"/>
              <w:left w:val="nil"/>
              <w:bottom w:val="nil"/>
              <w:right w:val="nil"/>
            </w:tcBorders>
          </w:tcPr>
          <w:p w:rsidR="007B5849" w:rsidRPr="00F84836" w:rsidRDefault="007B5849" w:rsidP="003F1941">
            <w:pPr>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 fully vaccinated</w:t>
            </w:r>
          </w:p>
        </w:tc>
        <w:tc>
          <w:tcPr>
            <w:tcW w:w="236" w:type="dxa"/>
            <w:tcBorders>
              <w:top w:val="single" w:sz="4" w:space="0" w:color="auto"/>
              <w:left w:val="nil"/>
              <w:bottom w:val="nil"/>
              <w:right w:val="nil"/>
            </w:tcBorders>
          </w:tcPr>
          <w:p w:rsidR="007B5849" w:rsidRPr="00F84836" w:rsidRDefault="007B5849" w:rsidP="003F1941">
            <w:pPr>
              <w:jc w:val="center"/>
              <w:rPr>
                <w:rFonts w:asciiTheme="majorBidi" w:hAnsiTheme="majorBidi" w:cstheme="majorBidi"/>
                <w:sz w:val="21"/>
                <w:szCs w:val="21"/>
                <w:shd w:val="clear" w:color="auto" w:fill="FFFFFF"/>
              </w:rPr>
            </w:pPr>
          </w:p>
        </w:tc>
        <w:tc>
          <w:tcPr>
            <w:tcW w:w="2324" w:type="dxa"/>
            <w:gridSpan w:val="2"/>
            <w:tcBorders>
              <w:top w:val="single" w:sz="4" w:space="0" w:color="auto"/>
              <w:left w:val="nil"/>
              <w:bottom w:val="nil"/>
              <w:right w:val="nil"/>
            </w:tcBorders>
          </w:tcPr>
          <w:p w:rsidR="007B5849" w:rsidRPr="00F84836" w:rsidRDefault="007B5849" w:rsidP="003F1941">
            <w:pPr>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 with any vaccine dose</w:t>
            </w:r>
          </w:p>
        </w:tc>
        <w:tc>
          <w:tcPr>
            <w:tcW w:w="236" w:type="dxa"/>
            <w:tcBorders>
              <w:top w:val="single" w:sz="4" w:space="0" w:color="auto"/>
              <w:left w:val="nil"/>
              <w:bottom w:val="nil"/>
              <w:right w:val="nil"/>
            </w:tcBorders>
          </w:tcPr>
          <w:p w:rsidR="007B5849" w:rsidRPr="00F84836" w:rsidRDefault="007B5849" w:rsidP="003F1941">
            <w:pPr>
              <w:rPr>
                <w:rFonts w:asciiTheme="majorBidi" w:hAnsiTheme="majorBidi" w:cstheme="majorBidi"/>
                <w:sz w:val="21"/>
                <w:szCs w:val="21"/>
                <w:shd w:val="clear" w:color="auto" w:fill="FFFFFF"/>
              </w:rPr>
            </w:pPr>
          </w:p>
        </w:tc>
        <w:tc>
          <w:tcPr>
            <w:tcW w:w="4970" w:type="dxa"/>
            <w:gridSpan w:val="4"/>
            <w:tcBorders>
              <w:top w:val="single" w:sz="4" w:space="0" w:color="auto"/>
              <w:left w:val="nil"/>
              <w:bottom w:val="nil"/>
              <w:right w:val="nil"/>
            </w:tcBorders>
          </w:tcPr>
          <w:p w:rsidR="007B5849" w:rsidRPr="00F84836" w:rsidRDefault="007B5849" w:rsidP="003F1941">
            <w:pPr>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Fully dosed and partially dosed as separate covariates</w:t>
            </w:r>
          </w:p>
        </w:tc>
      </w:tr>
      <w:tr w:rsidR="007B5849" w:rsidRPr="0069743C" w:rsidTr="003F1941">
        <w:tc>
          <w:tcPr>
            <w:tcW w:w="3855" w:type="dxa"/>
            <w:tcBorders>
              <w:top w:val="nil"/>
              <w:left w:val="nil"/>
              <w:bottom w:val="single" w:sz="4" w:space="0" w:color="auto"/>
              <w:right w:val="nil"/>
            </w:tcBorders>
          </w:tcPr>
          <w:p w:rsidR="007B5849" w:rsidRPr="00F84836" w:rsidRDefault="007B5849" w:rsidP="003F1941">
            <w:pP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Outcome measures</w:t>
            </w:r>
          </w:p>
        </w:tc>
        <w:tc>
          <w:tcPr>
            <w:tcW w:w="1162" w:type="dxa"/>
            <w:tcBorders>
              <w:top w:val="nil"/>
              <w:left w:val="nil"/>
              <w:bottom w:val="single" w:sz="4" w:space="0" w:color="auto"/>
              <w:right w:val="nil"/>
            </w:tcBorders>
          </w:tcPr>
          <w:p w:rsidR="007B5849" w:rsidRPr="00F84836" w:rsidRDefault="007B5849" w:rsidP="003F1941">
            <w:pPr>
              <w:spacing w:after="40"/>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Coefficient</w:t>
            </w:r>
          </w:p>
        </w:tc>
        <w:tc>
          <w:tcPr>
            <w:tcW w:w="1162" w:type="dxa"/>
            <w:tcBorders>
              <w:top w:val="nil"/>
              <w:left w:val="nil"/>
              <w:bottom w:val="single" w:sz="4" w:space="0" w:color="auto"/>
              <w:right w:val="nil"/>
            </w:tcBorders>
          </w:tcPr>
          <w:p w:rsidR="007B5849" w:rsidRPr="00F84836" w:rsidRDefault="007B5849" w:rsidP="003F1941">
            <w:pPr>
              <w:spacing w:after="40"/>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Within-</w:t>
            </w:r>
            <w:r w:rsidRPr="00AC15FB">
              <w:rPr>
                <w:rFonts w:asciiTheme="majorBidi" w:hAnsiTheme="majorBidi" w:cstheme="majorBidi"/>
                <w:i/>
                <w:iCs/>
                <w:sz w:val="21"/>
                <w:szCs w:val="21"/>
                <w:shd w:val="clear" w:color="auto" w:fill="FFFFFF"/>
              </w:rPr>
              <w:t>R</w:t>
            </w:r>
            <w:r w:rsidRPr="00AC15FB">
              <w:rPr>
                <w:rFonts w:asciiTheme="majorBidi" w:hAnsiTheme="majorBidi" w:cstheme="majorBidi"/>
                <w:sz w:val="21"/>
                <w:szCs w:val="21"/>
                <w:shd w:val="clear" w:color="auto" w:fill="FFFFFF"/>
                <w:vertAlign w:val="superscript"/>
              </w:rPr>
              <w:t>2</w:t>
            </w:r>
          </w:p>
        </w:tc>
        <w:tc>
          <w:tcPr>
            <w:tcW w:w="236" w:type="dxa"/>
            <w:tcBorders>
              <w:top w:val="nil"/>
              <w:left w:val="nil"/>
              <w:bottom w:val="nil"/>
              <w:right w:val="nil"/>
            </w:tcBorders>
          </w:tcPr>
          <w:p w:rsidR="007B5849" w:rsidRPr="00F84836" w:rsidRDefault="007B5849" w:rsidP="003F1941">
            <w:pPr>
              <w:spacing w:after="40"/>
              <w:jc w:val="center"/>
              <w:rPr>
                <w:rFonts w:asciiTheme="majorBidi" w:hAnsiTheme="majorBidi" w:cstheme="majorBidi"/>
                <w:sz w:val="21"/>
                <w:szCs w:val="21"/>
                <w:shd w:val="clear" w:color="auto" w:fill="FFFFFF"/>
              </w:rPr>
            </w:pPr>
          </w:p>
        </w:tc>
        <w:tc>
          <w:tcPr>
            <w:tcW w:w="1162" w:type="dxa"/>
            <w:tcBorders>
              <w:top w:val="nil"/>
              <w:left w:val="nil"/>
              <w:bottom w:val="single" w:sz="4" w:space="0" w:color="auto"/>
              <w:right w:val="nil"/>
            </w:tcBorders>
          </w:tcPr>
          <w:p w:rsidR="007B5849" w:rsidRPr="00F84836" w:rsidRDefault="007B5849" w:rsidP="003F1941">
            <w:pPr>
              <w:spacing w:after="40"/>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Coefficient</w:t>
            </w:r>
          </w:p>
        </w:tc>
        <w:tc>
          <w:tcPr>
            <w:tcW w:w="1162" w:type="dxa"/>
            <w:tcBorders>
              <w:top w:val="nil"/>
              <w:left w:val="nil"/>
              <w:bottom w:val="single" w:sz="4" w:space="0" w:color="auto"/>
              <w:right w:val="nil"/>
            </w:tcBorders>
          </w:tcPr>
          <w:p w:rsidR="007B5849" w:rsidRPr="00F84836" w:rsidRDefault="007B5849" w:rsidP="003F1941">
            <w:pPr>
              <w:spacing w:after="40"/>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Within-</w:t>
            </w:r>
            <w:r w:rsidRPr="00AC15FB">
              <w:rPr>
                <w:rFonts w:asciiTheme="majorBidi" w:hAnsiTheme="majorBidi" w:cstheme="majorBidi"/>
                <w:i/>
                <w:iCs/>
                <w:sz w:val="21"/>
                <w:szCs w:val="21"/>
                <w:shd w:val="clear" w:color="auto" w:fill="FFFFFF"/>
              </w:rPr>
              <w:t>R</w:t>
            </w:r>
            <w:r w:rsidRPr="00AC15FB">
              <w:rPr>
                <w:rFonts w:asciiTheme="majorBidi" w:hAnsiTheme="majorBidi" w:cstheme="majorBidi"/>
                <w:sz w:val="21"/>
                <w:szCs w:val="21"/>
                <w:shd w:val="clear" w:color="auto" w:fill="FFFFFF"/>
                <w:vertAlign w:val="superscript"/>
              </w:rPr>
              <w:t>2</w:t>
            </w:r>
          </w:p>
        </w:tc>
        <w:tc>
          <w:tcPr>
            <w:tcW w:w="236" w:type="dxa"/>
            <w:tcBorders>
              <w:top w:val="nil"/>
              <w:left w:val="nil"/>
              <w:bottom w:val="nil"/>
              <w:right w:val="nil"/>
            </w:tcBorders>
          </w:tcPr>
          <w:p w:rsidR="007B5849" w:rsidRPr="00F84836" w:rsidRDefault="007B5849" w:rsidP="003F1941">
            <w:pPr>
              <w:spacing w:after="40"/>
              <w:jc w:val="center"/>
              <w:rPr>
                <w:rFonts w:asciiTheme="majorBidi" w:hAnsiTheme="majorBidi" w:cstheme="majorBidi"/>
                <w:sz w:val="21"/>
                <w:szCs w:val="21"/>
                <w:shd w:val="clear" w:color="auto" w:fill="FFFFFF"/>
              </w:rPr>
            </w:pPr>
          </w:p>
        </w:tc>
        <w:tc>
          <w:tcPr>
            <w:tcW w:w="1203" w:type="dxa"/>
            <w:tcBorders>
              <w:top w:val="nil"/>
              <w:left w:val="nil"/>
              <w:bottom w:val="single" w:sz="4" w:space="0" w:color="auto"/>
              <w:right w:val="nil"/>
            </w:tcBorders>
          </w:tcPr>
          <w:p w:rsidR="007B5849" w:rsidRPr="00F84836" w:rsidRDefault="007B5849" w:rsidP="003F1941">
            <w:pPr>
              <w:spacing w:after="40"/>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 fully</w:t>
            </w:r>
          </w:p>
        </w:tc>
        <w:tc>
          <w:tcPr>
            <w:tcW w:w="1203" w:type="dxa"/>
            <w:tcBorders>
              <w:top w:val="nil"/>
              <w:left w:val="nil"/>
              <w:bottom w:val="single" w:sz="4" w:space="0" w:color="auto"/>
              <w:right w:val="nil"/>
            </w:tcBorders>
          </w:tcPr>
          <w:p w:rsidR="007B5849" w:rsidRPr="00F84836" w:rsidRDefault="007B5849" w:rsidP="003F1941">
            <w:pPr>
              <w:spacing w:after="40"/>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 partially</w:t>
            </w:r>
          </w:p>
        </w:tc>
        <w:tc>
          <w:tcPr>
            <w:tcW w:w="1203" w:type="dxa"/>
            <w:tcBorders>
              <w:top w:val="nil"/>
              <w:left w:val="nil"/>
              <w:bottom w:val="single" w:sz="4" w:space="0" w:color="auto"/>
              <w:right w:val="nil"/>
            </w:tcBorders>
          </w:tcPr>
          <w:p w:rsidR="007B5849" w:rsidRPr="00F84836" w:rsidRDefault="007B5849" w:rsidP="003F1941">
            <w:pPr>
              <w:spacing w:after="40"/>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Within-</w:t>
            </w:r>
            <w:r w:rsidRPr="00AC15FB">
              <w:rPr>
                <w:rFonts w:asciiTheme="majorBidi" w:hAnsiTheme="majorBidi" w:cstheme="majorBidi"/>
                <w:i/>
                <w:iCs/>
                <w:sz w:val="21"/>
                <w:szCs w:val="21"/>
                <w:shd w:val="clear" w:color="auto" w:fill="FFFFFF"/>
              </w:rPr>
              <w:t>R</w:t>
            </w:r>
            <w:r w:rsidRPr="00AC15FB">
              <w:rPr>
                <w:rFonts w:asciiTheme="majorBidi" w:hAnsiTheme="majorBidi" w:cstheme="majorBidi"/>
                <w:sz w:val="21"/>
                <w:szCs w:val="21"/>
                <w:shd w:val="clear" w:color="auto" w:fill="FFFFFF"/>
                <w:vertAlign w:val="superscript"/>
              </w:rPr>
              <w:t>2</w:t>
            </w:r>
          </w:p>
        </w:tc>
        <w:tc>
          <w:tcPr>
            <w:tcW w:w="1361" w:type="dxa"/>
            <w:tcBorders>
              <w:top w:val="nil"/>
              <w:left w:val="nil"/>
              <w:bottom w:val="single" w:sz="4" w:space="0" w:color="auto"/>
              <w:right w:val="nil"/>
            </w:tcBorders>
          </w:tcPr>
          <w:p w:rsidR="007B5849" w:rsidRPr="0069743C" w:rsidRDefault="007B5849" w:rsidP="003F1941">
            <w:pPr>
              <w:spacing w:after="40"/>
              <w:jc w:val="cente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 xml:space="preserve">F: </w:t>
            </w:r>
            <w:r>
              <w:rPr>
                <w:rFonts w:asciiTheme="majorBidi" w:hAnsiTheme="majorBidi" w:cstheme="majorBidi"/>
                <w:sz w:val="21"/>
                <w:szCs w:val="21"/>
                <w:shd w:val="clear" w:color="auto" w:fill="FFFFFF"/>
              </w:rPr>
              <w:sym w:font="Symbol" w:char="F062"/>
            </w:r>
            <w:r>
              <w:rPr>
                <w:rFonts w:asciiTheme="majorBidi" w:hAnsiTheme="majorBidi" w:cstheme="majorBidi"/>
                <w:sz w:val="21"/>
                <w:szCs w:val="21"/>
                <w:shd w:val="clear" w:color="auto" w:fill="FFFFFF"/>
                <w:vertAlign w:val="subscript"/>
              </w:rPr>
              <w:t xml:space="preserve">full </w:t>
            </w:r>
            <w:r>
              <w:rPr>
                <w:rFonts w:asciiTheme="majorBidi" w:hAnsiTheme="majorBidi" w:cstheme="majorBidi"/>
                <w:sz w:val="21"/>
                <w:szCs w:val="21"/>
                <w:shd w:val="clear" w:color="auto" w:fill="FFFFFF"/>
              </w:rPr>
              <w:t xml:space="preserve">= </w:t>
            </w:r>
            <w:r>
              <w:rPr>
                <w:rFonts w:asciiTheme="majorBidi" w:hAnsiTheme="majorBidi" w:cstheme="majorBidi"/>
                <w:sz w:val="21"/>
                <w:szCs w:val="21"/>
                <w:shd w:val="clear" w:color="auto" w:fill="FFFFFF"/>
              </w:rPr>
              <w:sym w:font="Symbol" w:char="F062"/>
            </w:r>
            <w:r>
              <w:rPr>
                <w:rFonts w:asciiTheme="majorBidi" w:hAnsiTheme="majorBidi" w:cstheme="majorBidi"/>
                <w:sz w:val="21"/>
                <w:szCs w:val="21"/>
                <w:shd w:val="clear" w:color="auto" w:fill="FFFFFF"/>
                <w:vertAlign w:val="subscript"/>
              </w:rPr>
              <w:t>partly</w:t>
            </w:r>
          </w:p>
        </w:tc>
      </w:tr>
      <w:tr w:rsidR="007B5849" w:rsidRPr="00242E35" w:rsidTr="003F1941">
        <w:tc>
          <w:tcPr>
            <w:tcW w:w="3855" w:type="dxa"/>
            <w:tcBorders>
              <w:top w:val="single" w:sz="4" w:space="0" w:color="auto"/>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c>
          <w:tcPr>
            <w:tcW w:w="1162" w:type="dxa"/>
            <w:tcBorders>
              <w:top w:val="single" w:sz="4" w:space="0" w:color="auto"/>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c>
          <w:tcPr>
            <w:tcW w:w="1162" w:type="dxa"/>
            <w:tcBorders>
              <w:top w:val="single" w:sz="4" w:space="0" w:color="auto"/>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c>
          <w:tcPr>
            <w:tcW w:w="236" w:type="dxa"/>
            <w:tcBorders>
              <w:top w:val="nil"/>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c>
          <w:tcPr>
            <w:tcW w:w="1162" w:type="dxa"/>
            <w:tcBorders>
              <w:top w:val="single" w:sz="4" w:space="0" w:color="auto"/>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c>
          <w:tcPr>
            <w:tcW w:w="1162" w:type="dxa"/>
            <w:tcBorders>
              <w:top w:val="single" w:sz="4" w:space="0" w:color="auto"/>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c>
          <w:tcPr>
            <w:tcW w:w="236" w:type="dxa"/>
            <w:tcBorders>
              <w:top w:val="nil"/>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c>
          <w:tcPr>
            <w:tcW w:w="1203" w:type="dxa"/>
            <w:tcBorders>
              <w:top w:val="single" w:sz="4" w:space="0" w:color="auto"/>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c>
          <w:tcPr>
            <w:tcW w:w="1203" w:type="dxa"/>
            <w:tcBorders>
              <w:top w:val="single" w:sz="4" w:space="0" w:color="auto"/>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c>
          <w:tcPr>
            <w:tcW w:w="1203" w:type="dxa"/>
            <w:tcBorders>
              <w:top w:val="single" w:sz="4" w:space="0" w:color="auto"/>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c>
          <w:tcPr>
            <w:tcW w:w="1361" w:type="dxa"/>
            <w:tcBorders>
              <w:top w:val="single" w:sz="4" w:space="0" w:color="auto"/>
              <w:left w:val="nil"/>
              <w:bottom w:val="nil"/>
              <w:right w:val="nil"/>
            </w:tcBorders>
          </w:tcPr>
          <w:p w:rsidR="007B5849" w:rsidRPr="00242E35" w:rsidRDefault="007B5849" w:rsidP="003F1941">
            <w:pPr>
              <w:rPr>
                <w:rFonts w:asciiTheme="majorBidi" w:hAnsiTheme="majorBidi" w:cstheme="majorBidi"/>
                <w:sz w:val="4"/>
                <w:szCs w:val="4"/>
                <w:shd w:val="clear" w:color="auto" w:fill="FFFFFF"/>
              </w:rPr>
            </w:pPr>
          </w:p>
        </w:tc>
      </w:tr>
      <w:tr w:rsidR="007B5849" w:rsidRPr="00AC15FB" w:rsidTr="003F1941">
        <w:tc>
          <w:tcPr>
            <w:tcW w:w="3855" w:type="dxa"/>
            <w:tcBorders>
              <w:top w:val="nil"/>
              <w:left w:val="nil"/>
              <w:bottom w:val="nil"/>
              <w:right w:val="nil"/>
            </w:tcBorders>
          </w:tcPr>
          <w:p w:rsidR="007B5849" w:rsidRPr="00F84836" w:rsidRDefault="007B5849" w:rsidP="003F1941">
            <w:pP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Response Stringency</w:t>
            </w: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-0.459</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0.174</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-0.114</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0.007</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-0.315*</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0.116*</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0.208</w:t>
            </w: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9.95***</w:t>
            </w:r>
          </w:p>
        </w:tc>
      </w:tr>
      <w:tr w:rsidR="007B5849" w:rsidRPr="00AC15FB" w:rsidTr="003F1941">
        <w:tc>
          <w:tcPr>
            <w:tcW w:w="3855" w:type="dxa"/>
            <w:tcBorders>
              <w:top w:val="nil"/>
              <w:left w:val="nil"/>
              <w:bottom w:val="nil"/>
              <w:right w:val="nil"/>
            </w:tcBorders>
          </w:tcPr>
          <w:p w:rsidR="007B5849" w:rsidRPr="00F84836" w:rsidRDefault="007B5849" w:rsidP="003F1941">
            <w:pPr>
              <w:rPr>
                <w:rFonts w:asciiTheme="majorBidi" w:hAnsiTheme="majorBidi" w:cstheme="majorBidi"/>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(0.127</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(0.112</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(0.137</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(0.058</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r w:rsidRPr="00AC15FB">
              <w:rPr>
                <w:rFonts w:asciiTheme="majorBidi" w:hAnsiTheme="majorBidi" w:cstheme="majorBidi"/>
                <w:i/>
                <w:iCs/>
                <w:color w:val="0D0D0D" w:themeColor="text1" w:themeTint="F2"/>
                <w:sz w:val="21"/>
                <w:szCs w:val="21"/>
                <w:shd w:val="clear" w:color="auto" w:fill="FFFFFF"/>
              </w:rPr>
              <w:t>Google Mobility</w:t>
            </w:r>
          </w:p>
        </w:tc>
        <w:tc>
          <w:tcPr>
            <w:tcW w:w="1162"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361"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r w:rsidRPr="00AC15FB">
              <w:rPr>
                <w:rFonts w:asciiTheme="majorBidi" w:hAnsiTheme="majorBidi" w:cstheme="majorBidi"/>
                <w:color w:val="0D0D0D" w:themeColor="text1" w:themeTint="F2"/>
                <w:sz w:val="21"/>
                <w:szCs w:val="21"/>
                <w:shd w:val="clear" w:color="auto" w:fill="FFFFFF"/>
              </w:rPr>
              <w:t xml:space="preserve">   Retail and recreation</w:t>
            </w: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0.531*</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0.104</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0.112</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0.004</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0.383</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-0.108</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0.119</w:t>
            </w: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6.52**</w:t>
            </w: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(0.197</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(0.141</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(0.179</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(0.092</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r w:rsidRPr="00AC15FB">
              <w:rPr>
                <w:rFonts w:asciiTheme="majorBidi" w:hAnsiTheme="majorBidi" w:cstheme="majorBidi"/>
                <w:color w:val="0D0D0D" w:themeColor="text1" w:themeTint="F2"/>
                <w:sz w:val="21"/>
                <w:szCs w:val="21"/>
                <w:shd w:val="clear" w:color="auto" w:fill="FFFFFF"/>
              </w:rPr>
              <w:t xml:space="preserve">   Grocery and pharmacy</w:t>
            </w: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0.290</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0.030</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0.096</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0.003</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0.235</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-0.040</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0.032</w:t>
            </w: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3.61*</w:t>
            </w: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(0.147</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(0.132</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(0.159</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(0.060</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r w:rsidRPr="00AC15FB">
              <w:rPr>
                <w:rFonts w:asciiTheme="majorBidi" w:hAnsiTheme="majorBidi" w:cstheme="majorBidi"/>
                <w:color w:val="0D0D0D" w:themeColor="text1" w:themeTint="F2"/>
                <w:sz w:val="21"/>
                <w:szCs w:val="21"/>
                <w:shd w:val="clear" w:color="auto" w:fill="FFFFFF"/>
              </w:rPr>
              <w:t xml:space="preserve">   Workplaces</w:t>
            </w: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0.283*</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0.034</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-0.090</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0.003</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0.093</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sidRPr="00AC15FB">
              <w:rPr>
                <w:rFonts w:asciiTheme="majorBidi" w:hAnsiTheme="majorBidi" w:cstheme="majorBidi"/>
                <w:color w:val="0D0D0D" w:themeColor="text1" w:themeTint="F2"/>
              </w:rPr>
              <w:t>-0.</w:t>
            </w:r>
            <w:r>
              <w:rPr>
                <w:rFonts w:asciiTheme="majorBidi" w:hAnsiTheme="majorBidi" w:cstheme="majorBidi"/>
                <w:color w:val="0D0D0D" w:themeColor="text1" w:themeTint="F2"/>
              </w:rPr>
              <w:t>139</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0.062</w:t>
            </w: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1.86</w:t>
            </w: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(0.167</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(0.141</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(0.163</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(0.087</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r w:rsidRPr="00AC15FB">
              <w:rPr>
                <w:rFonts w:asciiTheme="majorBidi" w:hAnsiTheme="majorBidi" w:cstheme="majorBidi"/>
                <w:color w:val="0D0D0D" w:themeColor="text1" w:themeTint="F2"/>
                <w:sz w:val="21"/>
                <w:szCs w:val="21"/>
                <w:shd w:val="clear" w:color="auto" w:fill="FFFFFF"/>
              </w:rPr>
              <w:t xml:space="preserve">   Transit stations</w:t>
            </w: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0.445</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0.109</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0.139</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0.008</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0.355</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-0.066</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0.118</w:t>
            </w: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12.59***</w:t>
            </w: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(0.119</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(0.142</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(0.132</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(0.080</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r w:rsidRPr="00AC15FB">
              <w:rPr>
                <w:rFonts w:asciiTheme="majorBidi" w:hAnsiTheme="majorBidi" w:cstheme="majorBidi"/>
                <w:color w:val="0D0D0D" w:themeColor="text1" w:themeTint="F2"/>
                <w:sz w:val="21"/>
                <w:szCs w:val="21"/>
                <w:shd w:val="clear" w:color="auto" w:fill="FFFFFF"/>
              </w:rPr>
              <w:t xml:space="preserve">   Parks</w:t>
            </w: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0.281</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0.014</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0.155</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0.003</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0.274</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-0.005</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0.014</w:t>
            </w: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2.75</w:t>
            </w: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(0.185</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(0.189</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(0.178</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(0.119</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r w:rsidRPr="00AC15FB">
              <w:rPr>
                <w:rFonts w:asciiTheme="majorBidi" w:hAnsiTheme="majorBidi" w:cstheme="majorBidi"/>
                <w:color w:val="0D0D0D" w:themeColor="text1" w:themeTint="F2"/>
                <w:sz w:val="21"/>
                <w:szCs w:val="21"/>
                <w:shd w:val="clear" w:color="auto" w:fill="FFFFFF"/>
              </w:rPr>
              <w:t xml:space="preserve">   Residential</w:t>
            </w: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-0.4</w:t>
            </w:r>
            <w:r w:rsidRPr="00AC15FB">
              <w:rPr>
                <w:rFonts w:asciiTheme="majorBidi" w:hAnsiTheme="majorBidi" w:cstheme="majorBidi"/>
                <w:color w:val="0D0D0D" w:themeColor="text1" w:themeTint="F2"/>
              </w:rPr>
              <w:t>7</w:t>
            </w:r>
            <w:r>
              <w:rPr>
                <w:rFonts w:asciiTheme="majorBidi" w:hAnsiTheme="majorBidi" w:cstheme="majorBidi"/>
                <w:color w:val="0D0D0D" w:themeColor="text1" w:themeTint="F2"/>
              </w:rPr>
              <w:t>0</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0.081</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-0.092</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0.002</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-0.334*</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w:t>
            </w:r>
            <w:r w:rsidRPr="00AC15FB">
              <w:rPr>
                <w:rFonts w:asciiTheme="majorBidi" w:hAnsiTheme="majorBidi" w:cstheme="majorBidi"/>
                <w:color w:val="0D0D0D" w:themeColor="text1" w:themeTint="F2"/>
              </w:rPr>
              <w:t>1</w:t>
            </w:r>
            <w:r>
              <w:rPr>
                <w:rFonts w:asciiTheme="majorBidi" w:hAnsiTheme="majorBidi" w:cstheme="majorBidi"/>
                <w:color w:val="0D0D0D" w:themeColor="text1" w:themeTint="F2"/>
              </w:rPr>
              <w:t>00</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0.093</w:t>
            </w: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5.81**</w:t>
            </w: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(0.182</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(0.132</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(0.171</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(0.087</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r>
      <w:tr w:rsidR="007B5849" w:rsidRPr="00AC15FB" w:rsidTr="003F1941">
        <w:tc>
          <w:tcPr>
            <w:tcW w:w="3855"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203"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203"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203"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c>
          <w:tcPr>
            <w:tcW w:w="1361" w:type="dxa"/>
            <w:tcBorders>
              <w:top w:val="nil"/>
              <w:left w:val="nil"/>
              <w:bottom w:val="nil"/>
              <w:right w:val="nil"/>
            </w:tcBorders>
          </w:tcPr>
          <w:p w:rsidR="007B5849" w:rsidRPr="00AC15FB" w:rsidRDefault="007B5849" w:rsidP="003F1941">
            <w:pPr>
              <w:rPr>
                <w:rFonts w:asciiTheme="majorBidi" w:hAnsiTheme="majorBidi" w:cstheme="majorBidi"/>
                <w:color w:val="0D0D0D" w:themeColor="text1" w:themeTint="F2"/>
                <w:sz w:val="8"/>
                <w:szCs w:val="8"/>
                <w:shd w:val="clear" w:color="auto" w:fill="FFFFFF"/>
              </w:rPr>
            </w:pPr>
          </w:p>
        </w:tc>
      </w:tr>
      <w:tr w:rsidR="007B5849" w:rsidRPr="00FB3E74" w:rsidTr="003F1941">
        <w:tc>
          <w:tcPr>
            <w:tcW w:w="3855" w:type="dxa"/>
            <w:tcBorders>
              <w:top w:val="nil"/>
              <w:left w:val="nil"/>
              <w:bottom w:val="nil"/>
              <w:right w:val="nil"/>
            </w:tcBorders>
          </w:tcPr>
          <w:p w:rsidR="007B5849" w:rsidRPr="00F84836" w:rsidRDefault="007B5849" w:rsidP="003F1941">
            <w:pP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Average radiance (VIIRS night lights)</w:t>
            </w:r>
          </w:p>
        </w:tc>
        <w:tc>
          <w:tcPr>
            <w:tcW w:w="1162" w:type="dxa"/>
            <w:tcBorders>
              <w:top w:val="nil"/>
              <w:left w:val="nil"/>
              <w:bottom w:val="nil"/>
              <w:right w:val="nil"/>
            </w:tcBorders>
          </w:tcPr>
          <w:p w:rsidR="007B5849" w:rsidRPr="00FB3E74" w:rsidRDefault="007B5849" w:rsidP="003F1941">
            <w:pPr>
              <w:pStyle w:val="PlainText"/>
              <w:tabs>
                <w:tab w:val="decimal" w:pos="340"/>
              </w:tabs>
              <w:rPr>
                <w:rFonts w:asciiTheme="majorBidi" w:hAnsiTheme="majorBidi" w:cstheme="majorBidi"/>
                <w:color w:val="000000" w:themeColor="text1"/>
              </w:rPr>
            </w:pPr>
            <w:r w:rsidRPr="00FB3E74">
              <w:rPr>
                <w:rFonts w:asciiTheme="majorBidi" w:hAnsiTheme="majorBidi" w:cstheme="majorBidi"/>
                <w:color w:val="000000" w:themeColor="text1"/>
              </w:rPr>
              <w:t>0.</w:t>
            </w:r>
            <w:r>
              <w:rPr>
                <w:rFonts w:asciiTheme="majorBidi" w:hAnsiTheme="majorBidi" w:cstheme="majorBidi"/>
                <w:color w:val="000000" w:themeColor="text1"/>
              </w:rPr>
              <w:t>19</w:t>
            </w:r>
            <w:r w:rsidRPr="00FB3E74">
              <w:rPr>
                <w:rFonts w:asciiTheme="majorBidi" w:hAnsiTheme="majorBidi" w:cstheme="majorBidi"/>
                <w:color w:val="000000" w:themeColor="text1"/>
              </w:rPr>
              <w:t>8</w:t>
            </w:r>
          </w:p>
        </w:tc>
        <w:tc>
          <w:tcPr>
            <w:tcW w:w="1162"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r w:rsidRPr="00FB3E74">
              <w:rPr>
                <w:rFonts w:asciiTheme="majorBidi" w:hAnsiTheme="majorBidi" w:cstheme="majorBidi"/>
                <w:color w:val="000000" w:themeColor="text1"/>
                <w:sz w:val="21"/>
                <w:szCs w:val="21"/>
                <w:shd w:val="clear" w:color="auto" w:fill="FFFFFF"/>
              </w:rPr>
              <w:t>0.</w:t>
            </w:r>
            <w:r>
              <w:rPr>
                <w:rFonts w:asciiTheme="majorBidi" w:hAnsiTheme="majorBidi" w:cstheme="majorBidi"/>
                <w:color w:val="000000" w:themeColor="text1"/>
                <w:sz w:val="21"/>
                <w:szCs w:val="21"/>
                <w:shd w:val="clear" w:color="auto" w:fill="FFFFFF"/>
              </w:rPr>
              <w:t>010</w:t>
            </w:r>
          </w:p>
        </w:tc>
        <w:tc>
          <w:tcPr>
            <w:tcW w:w="236"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p>
        </w:tc>
        <w:tc>
          <w:tcPr>
            <w:tcW w:w="1162" w:type="dxa"/>
            <w:tcBorders>
              <w:top w:val="nil"/>
              <w:left w:val="nil"/>
              <w:bottom w:val="nil"/>
              <w:right w:val="nil"/>
            </w:tcBorders>
          </w:tcPr>
          <w:p w:rsidR="007B5849" w:rsidRPr="00FB3E74" w:rsidRDefault="007B5849" w:rsidP="003F1941">
            <w:pPr>
              <w:pStyle w:val="PlainText"/>
              <w:tabs>
                <w:tab w:val="decimal" w:pos="340"/>
              </w:tabs>
              <w:rPr>
                <w:rFonts w:asciiTheme="majorBidi" w:hAnsiTheme="majorBidi" w:cstheme="majorBidi"/>
                <w:color w:val="000000" w:themeColor="text1"/>
              </w:rPr>
            </w:pPr>
            <w:r w:rsidRPr="00FB3E74">
              <w:rPr>
                <w:rFonts w:asciiTheme="majorBidi" w:hAnsiTheme="majorBidi" w:cstheme="majorBidi"/>
                <w:color w:val="000000" w:themeColor="text1"/>
              </w:rPr>
              <w:t>-0.12</w:t>
            </w:r>
            <w:r>
              <w:rPr>
                <w:rFonts w:asciiTheme="majorBidi" w:hAnsiTheme="majorBidi" w:cstheme="majorBidi"/>
                <w:color w:val="000000" w:themeColor="text1"/>
              </w:rPr>
              <w:t>5</w:t>
            </w:r>
          </w:p>
        </w:tc>
        <w:tc>
          <w:tcPr>
            <w:tcW w:w="1162"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r w:rsidRPr="00FB3E74">
              <w:rPr>
                <w:rFonts w:asciiTheme="majorBidi" w:hAnsiTheme="majorBidi" w:cstheme="majorBidi"/>
                <w:color w:val="000000" w:themeColor="text1"/>
                <w:sz w:val="21"/>
                <w:szCs w:val="21"/>
                <w:shd w:val="clear" w:color="auto" w:fill="FFFFFF"/>
              </w:rPr>
              <w:t>0.002</w:t>
            </w:r>
          </w:p>
        </w:tc>
        <w:tc>
          <w:tcPr>
            <w:tcW w:w="236"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p>
        </w:tc>
        <w:tc>
          <w:tcPr>
            <w:tcW w:w="1203" w:type="dxa"/>
            <w:tcBorders>
              <w:top w:val="nil"/>
              <w:left w:val="nil"/>
              <w:bottom w:val="nil"/>
              <w:right w:val="nil"/>
            </w:tcBorders>
          </w:tcPr>
          <w:p w:rsidR="007B5849" w:rsidRPr="00FB3E74" w:rsidRDefault="007B5849" w:rsidP="003F1941">
            <w:pPr>
              <w:pStyle w:val="PlainText"/>
              <w:tabs>
                <w:tab w:val="decimal" w:pos="340"/>
              </w:tabs>
              <w:rPr>
                <w:rFonts w:asciiTheme="majorBidi" w:hAnsiTheme="majorBidi" w:cstheme="majorBidi"/>
                <w:color w:val="000000" w:themeColor="text1"/>
              </w:rPr>
            </w:pPr>
            <w:r w:rsidRPr="00FB3E74">
              <w:rPr>
                <w:rFonts w:asciiTheme="majorBidi" w:hAnsiTheme="majorBidi" w:cstheme="majorBidi"/>
                <w:color w:val="000000" w:themeColor="text1"/>
              </w:rPr>
              <w:t>0.0</w:t>
            </w:r>
            <w:r>
              <w:rPr>
                <w:rFonts w:asciiTheme="majorBidi" w:hAnsiTheme="majorBidi" w:cstheme="majorBidi"/>
                <w:color w:val="000000" w:themeColor="text1"/>
              </w:rPr>
              <w:t>46</w:t>
            </w:r>
          </w:p>
        </w:tc>
        <w:tc>
          <w:tcPr>
            <w:tcW w:w="1203" w:type="dxa"/>
            <w:tcBorders>
              <w:top w:val="nil"/>
              <w:left w:val="nil"/>
              <w:bottom w:val="nil"/>
              <w:right w:val="nil"/>
            </w:tcBorders>
          </w:tcPr>
          <w:p w:rsidR="007B5849" w:rsidRPr="00FB3E74" w:rsidRDefault="007B5849" w:rsidP="003F1941">
            <w:pPr>
              <w:pStyle w:val="PlainText"/>
              <w:tabs>
                <w:tab w:val="decimal" w:pos="340"/>
              </w:tabs>
              <w:rPr>
                <w:rFonts w:asciiTheme="majorBidi" w:hAnsiTheme="majorBidi" w:cstheme="majorBidi"/>
                <w:color w:val="000000" w:themeColor="text1"/>
              </w:rPr>
            </w:pPr>
            <w:r w:rsidRPr="00FB3E74">
              <w:rPr>
                <w:rFonts w:asciiTheme="majorBidi" w:hAnsiTheme="majorBidi" w:cstheme="majorBidi"/>
                <w:color w:val="000000" w:themeColor="text1"/>
              </w:rPr>
              <w:t>-0.16</w:t>
            </w:r>
            <w:r>
              <w:rPr>
                <w:rFonts w:asciiTheme="majorBidi" w:hAnsiTheme="majorBidi" w:cstheme="majorBidi"/>
                <w:color w:val="000000" w:themeColor="text1"/>
              </w:rPr>
              <w:t>4</w:t>
            </w:r>
          </w:p>
        </w:tc>
        <w:tc>
          <w:tcPr>
            <w:tcW w:w="1203"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r w:rsidRPr="00FB3E74">
              <w:rPr>
                <w:rFonts w:asciiTheme="majorBidi" w:hAnsiTheme="majorBidi" w:cstheme="majorBidi"/>
                <w:color w:val="000000" w:themeColor="text1"/>
                <w:sz w:val="21"/>
                <w:szCs w:val="21"/>
                <w:shd w:val="clear" w:color="auto" w:fill="FFFFFF"/>
              </w:rPr>
              <w:t>0.</w:t>
            </w:r>
            <w:r>
              <w:rPr>
                <w:rFonts w:asciiTheme="majorBidi" w:hAnsiTheme="majorBidi" w:cstheme="majorBidi"/>
                <w:color w:val="000000" w:themeColor="text1"/>
                <w:sz w:val="21"/>
                <w:szCs w:val="21"/>
                <w:shd w:val="clear" w:color="auto" w:fill="FFFFFF"/>
              </w:rPr>
              <w:t>023</w:t>
            </w:r>
          </w:p>
        </w:tc>
        <w:tc>
          <w:tcPr>
            <w:tcW w:w="1361"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r>
              <w:rPr>
                <w:rFonts w:asciiTheme="majorBidi" w:hAnsiTheme="majorBidi" w:cstheme="majorBidi"/>
                <w:color w:val="000000" w:themeColor="text1"/>
                <w:sz w:val="21"/>
                <w:szCs w:val="21"/>
                <w:shd w:val="clear" w:color="auto" w:fill="FFFFFF"/>
              </w:rPr>
              <w:t>2</w:t>
            </w:r>
            <w:r w:rsidRPr="00FB3E74">
              <w:rPr>
                <w:rFonts w:asciiTheme="majorBidi" w:hAnsiTheme="majorBidi" w:cstheme="majorBidi"/>
                <w:color w:val="000000" w:themeColor="text1"/>
                <w:sz w:val="21"/>
                <w:szCs w:val="21"/>
                <w:shd w:val="clear" w:color="auto" w:fill="FFFFFF"/>
              </w:rPr>
              <w:t>.</w:t>
            </w:r>
            <w:r>
              <w:rPr>
                <w:rFonts w:asciiTheme="majorBidi" w:hAnsiTheme="majorBidi" w:cstheme="majorBidi"/>
                <w:color w:val="000000" w:themeColor="text1"/>
                <w:sz w:val="21"/>
                <w:szCs w:val="21"/>
                <w:shd w:val="clear" w:color="auto" w:fill="FFFFFF"/>
              </w:rPr>
              <w:t>49</w:t>
            </w:r>
          </w:p>
        </w:tc>
      </w:tr>
      <w:tr w:rsidR="007B5849" w:rsidRPr="00FB3E74" w:rsidTr="003F1941">
        <w:tc>
          <w:tcPr>
            <w:tcW w:w="3855" w:type="dxa"/>
            <w:tcBorders>
              <w:top w:val="nil"/>
              <w:left w:val="nil"/>
              <w:bottom w:val="nil"/>
              <w:right w:val="nil"/>
            </w:tcBorders>
          </w:tcPr>
          <w:p w:rsidR="007B5849" w:rsidRPr="00F84836" w:rsidRDefault="007B5849" w:rsidP="003F1941">
            <w:pPr>
              <w:rPr>
                <w:rFonts w:asciiTheme="majorBidi" w:hAnsiTheme="majorBidi" w:cstheme="majorBidi"/>
                <w:sz w:val="21"/>
                <w:szCs w:val="21"/>
                <w:shd w:val="clear" w:color="auto" w:fill="FFFFFF"/>
              </w:rPr>
            </w:pPr>
          </w:p>
        </w:tc>
        <w:tc>
          <w:tcPr>
            <w:tcW w:w="1162" w:type="dxa"/>
            <w:tcBorders>
              <w:top w:val="nil"/>
              <w:left w:val="nil"/>
              <w:bottom w:val="nil"/>
              <w:right w:val="nil"/>
            </w:tcBorders>
          </w:tcPr>
          <w:p w:rsidR="007B5849" w:rsidRPr="00FB3E74" w:rsidRDefault="007B5849" w:rsidP="003F1941">
            <w:pPr>
              <w:pStyle w:val="PlainText"/>
              <w:tabs>
                <w:tab w:val="decimal" w:pos="340"/>
              </w:tabs>
              <w:rPr>
                <w:rFonts w:asciiTheme="majorBidi" w:hAnsiTheme="majorBidi" w:cstheme="majorBidi"/>
                <w:color w:val="000000" w:themeColor="text1"/>
              </w:rPr>
            </w:pPr>
            <w:r w:rsidRPr="00FB3E74">
              <w:rPr>
                <w:rFonts w:asciiTheme="majorBidi" w:hAnsiTheme="majorBidi" w:cstheme="majorBidi"/>
                <w:color w:val="000000" w:themeColor="text1"/>
              </w:rPr>
              <w:t>(0.1</w:t>
            </w:r>
            <w:r>
              <w:rPr>
                <w:rFonts w:asciiTheme="majorBidi" w:hAnsiTheme="majorBidi" w:cstheme="majorBidi"/>
                <w:color w:val="000000" w:themeColor="text1"/>
              </w:rPr>
              <w:t>41</w:t>
            </w:r>
            <w:r w:rsidRPr="00FB3E74">
              <w:rPr>
                <w:rFonts w:asciiTheme="majorBidi" w:hAnsiTheme="majorBidi" w:cstheme="majorBidi"/>
                <w:color w:val="000000" w:themeColor="text1"/>
              </w:rPr>
              <w:t>)</w:t>
            </w:r>
          </w:p>
        </w:tc>
        <w:tc>
          <w:tcPr>
            <w:tcW w:w="1162"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p>
        </w:tc>
        <w:tc>
          <w:tcPr>
            <w:tcW w:w="236"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p>
        </w:tc>
        <w:tc>
          <w:tcPr>
            <w:tcW w:w="1162" w:type="dxa"/>
            <w:tcBorders>
              <w:top w:val="nil"/>
              <w:left w:val="nil"/>
              <w:bottom w:val="nil"/>
              <w:right w:val="nil"/>
            </w:tcBorders>
          </w:tcPr>
          <w:p w:rsidR="007B5849" w:rsidRPr="00FB3E74" w:rsidRDefault="007B5849" w:rsidP="003F1941">
            <w:pPr>
              <w:pStyle w:val="PlainText"/>
              <w:tabs>
                <w:tab w:val="decimal" w:pos="340"/>
              </w:tabs>
              <w:rPr>
                <w:rFonts w:asciiTheme="majorBidi" w:hAnsiTheme="majorBidi" w:cstheme="majorBidi"/>
                <w:color w:val="000000" w:themeColor="text1"/>
              </w:rPr>
            </w:pPr>
            <w:r w:rsidRPr="00FB3E74">
              <w:rPr>
                <w:rFonts w:asciiTheme="majorBidi" w:hAnsiTheme="majorBidi" w:cstheme="majorBidi"/>
                <w:color w:val="000000" w:themeColor="text1"/>
              </w:rPr>
              <w:t>(0.18</w:t>
            </w:r>
            <w:r>
              <w:rPr>
                <w:rFonts w:asciiTheme="majorBidi" w:hAnsiTheme="majorBidi" w:cstheme="majorBidi"/>
                <w:color w:val="000000" w:themeColor="text1"/>
              </w:rPr>
              <w:t>4</w:t>
            </w:r>
            <w:r w:rsidRPr="00FB3E74">
              <w:rPr>
                <w:rFonts w:asciiTheme="majorBidi" w:hAnsiTheme="majorBidi" w:cstheme="majorBidi"/>
                <w:color w:val="000000" w:themeColor="text1"/>
              </w:rPr>
              <w:t>)</w:t>
            </w:r>
          </w:p>
        </w:tc>
        <w:tc>
          <w:tcPr>
            <w:tcW w:w="1162"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p>
        </w:tc>
        <w:tc>
          <w:tcPr>
            <w:tcW w:w="236"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p>
        </w:tc>
        <w:tc>
          <w:tcPr>
            <w:tcW w:w="1203" w:type="dxa"/>
            <w:tcBorders>
              <w:top w:val="nil"/>
              <w:left w:val="nil"/>
              <w:bottom w:val="nil"/>
              <w:right w:val="nil"/>
            </w:tcBorders>
          </w:tcPr>
          <w:p w:rsidR="007B5849" w:rsidRPr="00FB3E74" w:rsidRDefault="007B5849" w:rsidP="003F1941">
            <w:pPr>
              <w:pStyle w:val="PlainText"/>
              <w:tabs>
                <w:tab w:val="decimal" w:pos="340"/>
              </w:tabs>
              <w:rPr>
                <w:rFonts w:asciiTheme="majorBidi" w:hAnsiTheme="majorBidi" w:cstheme="majorBidi"/>
                <w:color w:val="000000" w:themeColor="text1"/>
              </w:rPr>
            </w:pPr>
            <w:r w:rsidRPr="00FB3E74">
              <w:rPr>
                <w:rFonts w:asciiTheme="majorBidi" w:hAnsiTheme="majorBidi" w:cstheme="majorBidi"/>
                <w:color w:val="000000" w:themeColor="text1"/>
              </w:rPr>
              <w:t>(0.16</w:t>
            </w:r>
            <w:r>
              <w:rPr>
                <w:rFonts w:asciiTheme="majorBidi" w:hAnsiTheme="majorBidi" w:cstheme="majorBidi"/>
                <w:color w:val="000000" w:themeColor="text1"/>
              </w:rPr>
              <w:t>0</w:t>
            </w:r>
            <w:r w:rsidRPr="00FB3E74">
              <w:rPr>
                <w:rFonts w:asciiTheme="majorBidi" w:hAnsiTheme="majorBidi" w:cstheme="majorBidi"/>
                <w:color w:val="000000" w:themeColor="text1"/>
              </w:rPr>
              <w:t>)</w:t>
            </w:r>
          </w:p>
        </w:tc>
        <w:tc>
          <w:tcPr>
            <w:tcW w:w="1203" w:type="dxa"/>
            <w:tcBorders>
              <w:top w:val="nil"/>
              <w:left w:val="nil"/>
              <w:bottom w:val="nil"/>
              <w:right w:val="nil"/>
            </w:tcBorders>
          </w:tcPr>
          <w:p w:rsidR="007B5849" w:rsidRPr="00FB3E74" w:rsidRDefault="007B5849" w:rsidP="003F1941">
            <w:pPr>
              <w:pStyle w:val="PlainText"/>
              <w:tabs>
                <w:tab w:val="decimal" w:pos="340"/>
              </w:tabs>
              <w:rPr>
                <w:rFonts w:asciiTheme="majorBidi" w:hAnsiTheme="majorBidi" w:cstheme="majorBidi"/>
                <w:color w:val="000000" w:themeColor="text1"/>
              </w:rPr>
            </w:pPr>
            <w:r w:rsidRPr="00FB3E74">
              <w:rPr>
                <w:rFonts w:asciiTheme="majorBidi" w:hAnsiTheme="majorBidi" w:cstheme="majorBidi"/>
                <w:color w:val="000000" w:themeColor="text1"/>
              </w:rPr>
              <w:t>(0.</w:t>
            </w:r>
            <w:r>
              <w:rPr>
                <w:rFonts w:asciiTheme="majorBidi" w:hAnsiTheme="majorBidi" w:cstheme="majorBidi"/>
                <w:color w:val="000000" w:themeColor="text1"/>
              </w:rPr>
              <w:t>114</w:t>
            </w:r>
            <w:r w:rsidRPr="00FB3E74">
              <w:rPr>
                <w:rFonts w:asciiTheme="majorBidi" w:hAnsiTheme="majorBidi" w:cstheme="majorBidi"/>
                <w:color w:val="000000" w:themeColor="text1"/>
              </w:rPr>
              <w:t>)</w:t>
            </w:r>
          </w:p>
        </w:tc>
        <w:tc>
          <w:tcPr>
            <w:tcW w:w="1203"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p>
        </w:tc>
        <w:tc>
          <w:tcPr>
            <w:tcW w:w="1361" w:type="dxa"/>
            <w:tcBorders>
              <w:top w:val="nil"/>
              <w:left w:val="nil"/>
              <w:bottom w:val="nil"/>
              <w:right w:val="nil"/>
            </w:tcBorders>
          </w:tcPr>
          <w:p w:rsidR="007B5849" w:rsidRPr="00FB3E74" w:rsidRDefault="007B5849" w:rsidP="003F1941">
            <w:pPr>
              <w:tabs>
                <w:tab w:val="decimal" w:pos="340"/>
              </w:tabs>
              <w:rPr>
                <w:rFonts w:asciiTheme="majorBidi" w:hAnsiTheme="majorBidi" w:cstheme="majorBidi"/>
                <w:color w:val="000000" w:themeColor="text1"/>
                <w:sz w:val="21"/>
                <w:szCs w:val="21"/>
                <w:shd w:val="clear" w:color="auto" w:fill="FFFFFF"/>
              </w:rPr>
            </w:pPr>
          </w:p>
        </w:tc>
      </w:tr>
      <w:tr w:rsidR="007B5849" w:rsidRPr="008C0B5E" w:rsidTr="003F1941">
        <w:tc>
          <w:tcPr>
            <w:tcW w:w="3855"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236"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236"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203"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203"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203"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361"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r>
      <w:tr w:rsidR="007B5849" w:rsidTr="003F1941">
        <w:tc>
          <w:tcPr>
            <w:tcW w:w="3855" w:type="dxa"/>
            <w:tcBorders>
              <w:top w:val="nil"/>
              <w:left w:val="nil"/>
              <w:bottom w:val="nil"/>
              <w:right w:val="nil"/>
            </w:tcBorders>
          </w:tcPr>
          <w:p w:rsidR="007B5849" w:rsidRDefault="007B5849" w:rsidP="003F1941">
            <w:pP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Covid-19 new cases per million people</w:t>
            </w:r>
          </w:p>
        </w:tc>
        <w:tc>
          <w:tcPr>
            <w:tcW w:w="1162" w:type="dxa"/>
            <w:tcBorders>
              <w:top w:val="nil"/>
              <w:left w:val="nil"/>
              <w:bottom w:val="nil"/>
              <w:right w:val="nil"/>
            </w:tcBorders>
          </w:tcPr>
          <w:p w:rsidR="007B5849"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-0.313</w:t>
            </w:r>
          </w:p>
        </w:tc>
        <w:tc>
          <w:tcPr>
            <w:tcW w:w="1162" w:type="dxa"/>
            <w:tcBorders>
              <w:top w:val="nil"/>
              <w:left w:val="nil"/>
              <w:bottom w:val="nil"/>
              <w:right w:val="nil"/>
            </w:tcBorders>
          </w:tcPr>
          <w:p w:rsidR="007B5849"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0.018</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-0.018</w:t>
            </w:r>
          </w:p>
        </w:tc>
        <w:tc>
          <w:tcPr>
            <w:tcW w:w="1162" w:type="dxa"/>
            <w:tcBorders>
              <w:top w:val="nil"/>
              <w:left w:val="nil"/>
              <w:bottom w:val="nil"/>
              <w:right w:val="nil"/>
            </w:tcBorders>
          </w:tcPr>
          <w:p w:rsidR="007B5849"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0.000</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-0.174</w:t>
            </w:r>
          </w:p>
        </w:tc>
        <w:tc>
          <w:tcPr>
            <w:tcW w:w="1203" w:type="dxa"/>
            <w:tcBorders>
              <w:top w:val="nil"/>
              <w:left w:val="nil"/>
              <w:bottom w:val="nil"/>
              <w:right w:val="nil"/>
            </w:tcBorders>
          </w:tcPr>
          <w:p w:rsidR="007B5849"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0.113</w:t>
            </w:r>
          </w:p>
        </w:tc>
        <w:tc>
          <w:tcPr>
            <w:tcW w:w="1203" w:type="dxa"/>
            <w:tcBorders>
              <w:top w:val="nil"/>
              <w:left w:val="nil"/>
              <w:bottom w:val="nil"/>
              <w:right w:val="nil"/>
            </w:tcBorders>
          </w:tcPr>
          <w:p w:rsidR="007B5849"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0.025</w:t>
            </w:r>
          </w:p>
        </w:tc>
        <w:tc>
          <w:tcPr>
            <w:tcW w:w="1361" w:type="dxa"/>
            <w:tcBorders>
              <w:top w:val="nil"/>
              <w:left w:val="nil"/>
              <w:bottom w:val="nil"/>
              <w:right w:val="nil"/>
            </w:tcBorders>
          </w:tcPr>
          <w:p w:rsidR="007B5849"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1.14</w:t>
            </w:r>
          </w:p>
        </w:tc>
      </w:tr>
      <w:tr w:rsidR="007B5849" w:rsidTr="003F1941">
        <w:tc>
          <w:tcPr>
            <w:tcW w:w="3855" w:type="dxa"/>
            <w:tcBorders>
              <w:top w:val="nil"/>
              <w:left w:val="nil"/>
              <w:bottom w:val="nil"/>
              <w:right w:val="nil"/>
            </w:tcBorders>
          </w:tcPr>
          <w:p w:rsidR="007B5849" w:rsidRDefault="007B5849" w:rsidP="003F1941">
            <w:pPr>
              <w:rPr>
                <w:rFonts w:asciiTheme="majorBidi" w:hAnsiTheme="majorBidi" w:cstheme="majorBidi"/>
                <w:sz w:val="21"/>
                <w:szCs w:val="21"/>
                <w:shd w:val="clear" w:color="auto" w:fill="FFFFFF"/>
              </w:rPr>
            </w:pPr>
          </w:p>
        </w:tc>
        <w:tc>
          <w:tcPr>
            <w:tcW w:w="1162" w:type="dxa"/>
            <w:tcBorders>
              <w:top w:val="nil"/>
              <w:left w:val="nil"/>
              <w:bottom w:val="nil"/>
              <w:right w:val="nil"/>
            </w:tcBorders>
          </w:tcPr>
          <w:p w:rsidR="007B5849"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(0.254)</w:t>
            </w:r>
          </w:p>
        </w:tc>
        <w:tc>
          <w:tcPr>
            <w:tcW w:w="1162" w:type="dxa"/>
            <w:tcBorders>
              <w:top w:val="nil"/>
              <w:left w:val="nil"/>
              <w:bottom w:val="nil"/>
              <w:right w:val="nil"/>
            </w:tcBorders>
          </w:tcPr>
          <w:p w:rsidR="007B5849"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(0.317)</w:t>
            </w:r>
          </w:p>
        </w:tc>
        <w:tc>
          <w:tcPr>
            <w:tcW w:w="1162" w:type="dxa"/>
            <w:tcBorders>
              <w:top w:val="nil"/>
              <w:left w:val="nil"/>
              <w:bottom w:val="nil"/>
              <w:right w:val="nil"/>
            </w:tcBorders>
          </w:tcPr>
          <w:p w:rsidR="007B5849"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(0.322)</w:t>
            </w:r>
          </w:p>
        </w:tc>
        <w:tc>
          <w:tcPr>
            <w:tcW w:w="1203" w:type="dxa"/>
            <w:tcBorders>
              <w:top w:val="nil"/>
              <w:left w:val="nil"/>
              <w:bottom w:val="nil"/>
              <w:right w:val="nil"/>
            </w:tcBorders>
          </w:tcPr>
          <w:p w:rsidR="007B5849"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(0.155)</w:t>
            </w:r>
          </w:p>
        </w:tc>
        <w:tc>
          <w:tcPr>
            <w:tcW w:w="1203" w:type="dxa"/>
            <w:tcBorders>
              <w:top w:val="nil"/>
              <w:left w:val="nil"/>
              <w:bottom w:val="nil"/>
              <w:right w:val="nil"/>
            </w:tcBorders>
          </w:tcPr>
          <w:p w:rsidR="007B5849"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361" w:type="dxa"/>
            <w:tcBorders>
              <w:top w:val="nil"/>
              <w:left w:val="nil"/>
              <w:bottom w:val="nil"/>
              <w:right w:val="nil"/>
            </w:tcBorders>
          </w:tcPr>
          <w:p w:rsidR="007B5849"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r>
      <w:tr w:rsidR="007B5849" w:rsidRPr="00A82059" w:rsidTr="003F1941">
        <w:tc>
          <w:tcPr>
            <w:tcW w:w="3855" w:type="dxa"/>
            <w:tcBorders>
              <w:top w:val="nil"/>
              <w:left w:val="nil"/>
              <w:bottom w:val="nil"/>
              <w:right w:val="nil"/>
            </w:tcBorders>
          </w:tcPr>
          <w:p w:rsidR="007B5849" w:rsidRPr="00A82059"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A82059"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82059"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82059"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162" w:type="dxa"/>
            <w:tcBorders>
              <w:top w:val="nil"/>
              <w:left w:val="nil"/>
              <w:bottom w:val="nil"/>
              <w:right w:val="nil"/>
            </w:tcBorders>
          </w:tcPr>
          <w:p w:rsidR="007B5849" w:rsidRPr="00A82059"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162" w:type="dxa"/>
            <w:tcBorders>
              <w:top w:val="nil"/>
              <w:left w:val="nil"/>
              <w:bottom w:val="nil"/>
              <w:right w:val="nil"/>
            </w:tcBorders>
          </w:tcPr>
          <w:p w:rsidR="007B5849" w:rsidRPr="00A82059"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236" w:type="dxa"/>
            <w:tcBorders>
              <w:top w:val="nil"/>
              <w:left w:val="nil"/>
              <w:bottom w:val="nil"/>
              <w:right w:val="nil"/>
            </w:tcBorders>
          </w:tcPr>
          <w:p w:rsidR="007B5849" w:rsidRPr="00A82059"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203" w:type="dxa"/>
            <w:tcBorders>
              <w:top w:val="nil"/>
              <w:left w:val="nil"/>
              <w:bottom w:val="nil"/>
              <w:right w:val="nil"/>
            </w:tcBorders>
          </w:tcPr>
          <w:p w:rsidR="007B5849" w:rsidRPr="00A82059"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82059" w:rsidRDefault="007B5849" w:rsidP="003F1941">
            <w:pPr>
              <w:pStyle w:val="PlainText"/>
              <w:tabs>
                <w:tab w:val="decimal" w:pos="340"/>
              </w:tabs>
              <w:rPr>
                <w:rFonts w:asciiTheme="majorBidi" w:hAnsiTheme="majorBidi" w:cstheme="majorBidi"/>
                <w:color w:val="0D0D0D" w:themeColor="text1" w:themeTint="F2"/>
                <w:sz w:val="8"/>
                <w:szCs w:val="8"/>
              </w:rPr>
            </w:pPr>
          </w:p>
        </w:tc>
        <w:tc>
          <w:tcPr>
            <w:tcW w:w="1203" w:type="dxa"/>
            <w:tcBorders>
              <w:top w:val="nil"/>
              <w:left w:val="nil"/>
              <w:bottom w:val="nil"/>
              <w:right w:val="nil"/>
            </w:tcBorders>
          </w:tcPr>
          <w:p w:rsidR="007B5849" w:rsidRPr="00A82059"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c>
          <w:tcPr>
            <w:tcW w:w="1361" w:type="dxa"/>
            <w:tcBorders>
              <w:top w:val="nil"/>
              <w:left w:val="nil"/>
              <w:bottom w:val="nil"/>
              <w:right w:val="nil"/>
            </w:tcBorders>
          </w:tcPr>
          <w:p w:rsidR="007B5849" w:rsidRPr="00A82059" w:rsidRDefault="007B5849" w:rsidP="003F1941">
            <w:pPr>
              <w:tabs>
                <w:tab w:val="decimal" w:pos="340"/>
              </w:tabs>
              <w:rPr>
                <w:rFonts w:asciiTheme="majorBidi" w:hAnsiTheme="majorBidi" w:cstheme="majorBidi"/>
                <w:color w:val="0D0D0D" w:themeColor="text1" w:themeTint="F2"/>
                <w:sz w:val="8"/>
                <w:szCs w:val="8"/>
                <w:shd w:val="clear" w:color="auto" w:fill="FFFFFF"/>
              </w:rPr>
            </w:pPr>
          </w:p>
        </w:tc>
      </w:tr>
      <w:tr w:rsidR="007B5849" w:rsidRPr="00AC15FB" w:rsidTr="003F1941">
        <w:tc>
          <w:tcPr>
            <w:tcW w:w="3855" w:type="dxa"/>
            <w:tcBorders>
              <w:top w:val="nil"/>
              <w:left w:val="nil"/>
              <w:bottom w:val="nil"/>
              <w:right w:val="nil"/>
            </w:tcBorders>
          </w:tcPr>
          <w:p w:rsidR="007B5849" w:rsidRPr="00F84836" w:rsidRDefault="007B5849" w:rsidP="003F1941">
            <w:pP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 xml:space="preserve">Covid-19 new deaths per million people </w:t>
            </w: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-0.050</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0.001</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0.300</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0.012</w:t>
            </w: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0.180</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0.186</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0.023</w:t>
            </w: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r>
              <w:rPr>
                <w:rFonts w:asciiTheme="majorBidi" w:hAnsiTheme="majorBidi" w:cstheme="majorBidi"/>
                <w:color w:val="0D0D0D" w:themeColor="text1" w:themeTint="F2"/>
                <w:sz w:val="21"/>
                <w:szCs w:val="21"/>
                <w:shd w:val="clear" w:color="auto" w:fill="FFFFFF"/>
              </w:rPr>
              <w:t>0.00</w:t>
            </w:r>
          </w:p>
        </w:tc>
      </w:tr>
      <w:tr w:rsidR="007B5849" w:rsidRPr="00AC15FB" w:rsidTr="003F1941">
        <w:tc>
          <w:tcPr>
            <w:tcW w:w="3855" w:type="dxa"/>
            <w:tcBorders>
              <w:top w:val="nil"/>
              <w:left w:val="nil"/>
              <w:bottom w:val="nil"/>
              <w:right w:val="nil"/>
            </w:tcBorders>
          </w:tcPr>
          <w:p w:rsidR="007B5849" w:rsidRPr="00F84836" w:rsidRDefault="007B5849" w:rsidP="003F1941">
            <w:pPr>
              <w:rPr>
                <w:rFonts w:asciiTheme="majorBidi" w:hAnsiTheme="majorBidi" w:cstheme="majorBidi"/>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w:t>
            </w:r>
            <w:r w:rsidRPr="00AC15FB">
              <w:rPr>
                <w:rFonts w:asciiTheme="majorBidi" w:hAnsiTheme="majorBidi" w:cstheme="majorBidi"/>
                <w:color w:val="0D0D0D" w:themeColor="text1" w:themeTint="F2"/>
              </w:rPr>
              <w:t>1</w:t>
            </w:r>
            <w:r>
              <w:rPr>
                <w:rFonts w:asciiTheme="majorBidi" w:hAnsiTheme="majorBidi" w:cstheme="majorBidi"/>
                <w:color w:val="0D0D0D" w:themeColor="text1" w:themeTint="F2"/>
              </w:rPr>
              <w:t>73</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162"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(0.328</w:t>
            </w:r>
            <w:r w:rsidRPr="00AC15FB">
              <w:rPr>
                <w:rFonts w:asciiTheme="majorBidi" w:hAnsiTheme="majorBidi" w:cstheme="majorBidi"/>
                <w:color w:val="0D0D0D" w:themeColor="text1" w:themeTint="F2"/>
              </w:rPr>
              <w:t>)</w:t>
            </w:r>
          </w:p>
        </w:tc>
        <w:tc>
          <w:tcPr>
            <w:tcW w:w="1162"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236"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(0.300</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pStyle w:val="PlainText"/>
              <w:tabs>
                <w:tab w:val="decimal" w:pos="340"/>
              </w:tabs>
              <w:rPr>
                <w:rFonts w:asciiTheme="majorBidi" w:hAnsiTheme="majorBidi" w:cstheme="majorBidi"/>
                <w:color w:val="0D0D0D" w:themeColor="text1" w:themeTint="F2"/>
              </w:rPr>
            </w:pPr>
            <w:r>
              <w:rPr>
                <w:rFonts w:asciiTheme="majorBidi" w:hAnsiTheme="majorBidi" w:cstheme="majorBidi"/>
                <w:color w:val="0D0D0D" w:themeColor="text1" w:themeTint="F2"/>
              </w:rPr>
              <w:t>(0.145</w:t>
            </w:r>
            <w:r w:rsidRPr="00AC15FB">
              <w:rPr>
                <w:rFonts w:asciiTheme="majorBidi" w:hAnsiTheme="majorBidi" w:cstheme="majorBidi"/>
                <w:color w:val="0D0D0D" w:themeColor="text1" w:themeTint="F2"/>
              </w:rPr>
              <w:t>)</w:t>
            </w:r>
          </w:p>
        </w:tc>
        <w:tc>
          <w:tcPr>
            <w:tcW w:w="1203"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c>
          <w:tcPr>
            <w:tcW w:w="1361" w:type="dxa"/>
            <w:tcBorders>
              <w:top w:val="nil"/>
              <w:left w:val="nil"/>
              <w:bottom w:val="nil"/>
              <w:right w:val="nil"/>
            </w:tcBorders>
          </w:tcPr>
          <w:p w:rsidR="007B5849" w:rsidRPr="00AC15FB" w:rsidRDefault="007B5849" w:rsidP="003F1941">
            <w:pPr>
              <w:tabs>
                <w:tab w:val="decimal" w:pos="340"/>
              </w:tabs>
              <w:rPr>
                <w:rFonts w:asciiTheme="majorBidi" w:hAnsiTheme="majorBidi" w:cstheme="majorBidi"/>
                <w:color w:val="0D0D0D" w:themeColor="text1" w:themeTint="F2"/>
                <w:sz w:val="21"/>
                <w:szCs w:val="21"/>
                <w:shd w:val="clear" w:color="auto" w:fill="FFFFFF"/>
              </w:rPr>
            </w:pPr>
          </w:p>
        </w:tc>
      </w:tr>
      <w:tr w:rsidR="007B5849" w:rsidRPr="008C0B5E" w:rsidTr="003F1941">
        <w:tc>
          <w:tcPr>
            <w:tcW w:w="3855"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236"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236"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203"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203"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203"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361"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r>
      <w:tr w:rsidR="007B5849" w:rsidRPr="00D96B7A" w:rsidTr="003F1941">
        <w:tc>
          <w:tcPr>
            <w:tcW w:w="3855" w:type="dxa"/>
            <w:tcBorders>
              <w:top w:val="nil"/>
              <w:left w:val="nil"/>
              <w:bottom w:val="nil"/>
              <w:right w:val="nil"/>
            </w:tcBorders>
          </w:tcPr>
          <w:p w:rsidR="007B5849" w:rsidRPr="00F84836" w:rsidRDefault="007B5849" w:rsidP="003F1941">
            <w:pPr>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All-cause, all-age mortality rate</w:t>
            </w:r>
          </w:p>
        </w:tc>
        <w:tc>
          <w:tcPr>
            <w:tcW w:w="1162" w:type="dxa"/>
            <w:tcBorders>
              <w:top w:val="nil"/>
              <w:left w:val="nil"/>
              <w:bottom w:val="nil"/>
              <w:right w:val="nil"/>
            </w:tcBorders>
          </w:tcPr>
          <w:p w:rsidR="007B5849" w:rsidRPr="00D96B7A" w:rsidRDefault="007B5849" w:rsidP="003F1941">
            <w:pPr>
              <w:pStyle w:val="PlainText"/>
              <w:tabs>
                <w:tab w:val="decimal" w:pos="340"/>
              </w:tabs>
              <w:rPr>
                <w:rFonts w:asciiTheme="majorBidi" w:hAnsiTheme="majorBidi" w:cstheme="majorBidi"/>
              </w:rPr>
            </w:pPr>
            <w:r w:rsidRPr="00D96B7A">
              <w:rPr>
                <w:rFonts w:asciiTheme="majorBidi" w:hAnsiTheme="majorBidi" w:cstheme="majorBidi"/>
              </w:rPr>
              <w:t>0.078</w:t>
            </w:r>
          </w:p>
        </w:tc>
        <w:tc>
          <w:tcPr>
            <w:tcW w:w="1162"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r w:rsidRPr="00D96B7A">
              <w:rPr>
                <w:rFonts w:asciiTheme="majorBidi" w:hAnsiTheme="majorBidi" w:cstheme="majorBidi"/>
                <w:sz w:val="21"/>
                <w:szCs w:val="21"/>
                <w:shd w:val="clear" w:color="auto" w:fill="FFFFFF"/>
              </w:rPr>
              <w:t>0.001</w:t>
            </w:r>
          </w:p>
        </w:tc>
        <w:tc>
          <w:tcPr>
            <w:tcW w:w="236"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p>
        </w:tc>
        <w:tc>
          <w:tcPr>
            <w:tcW w:w="1162" w:type="dxa"/>
            <w:tcBorders>
              <w:top w:val="nil"/>
              <w:left w:val="nil"/>
              <w:bottom w:val="nil"/>
              <w:right w:val="nil"/>
            </w:tcBorders>
          </w:tcPr>
          <w:p w:rsidR="007B5849" w:rsidRPr="00D96B7A" w:rsidRDefault="007B5849" w:rsidP="003F1941">
            <w:pPr>
              <w:pStyle w:val="PlainText"/>
              <w:tabs>
                <w:tab w:val="decimal" w:pos="340"/>
              </w:tabs>
              <w:rPr>
                <w:rFonts w:asciiTheme="majorBidi" w:hAnsiTheme="majorBidi" w:cstheme="majorBidi"/>
              </w:rPr>
            </w:pPr>
            <w:r w:rsidRPr="00D96B7A">
              <w:rPr>
                <w:rFonts w:asciiTheme="majorBidi" w:hAnsiTheme="majorBidi" w:cstheme="majorBidi"/>
              </w:rPr>
              <w:t>0.373</w:t>
            </w:r>
          </w:p>
        </w:tc>
        <w:tc>
          <w:tcPr>
            <w:tcW w:w="1162"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r w:rsidRPr="00D96B7A">
              <w:rPr>
                <w:rFonts w:asciiTheme="majorBidi" w:hAnsiTheme="majorBidi" w:cstheme="majorBidi"/>
                <w:sz w:val="21"/>
                <w:szCs w:val="21"/>
                <w:shd w:val="clear" w:color="auto" w:fill="FFFFFF"/>
              </w:rPr>
              <w:t>0.014</w:t>
            </w:r>
          </w:p>
        </w:tc>
        <w:tc>
          <w:tcPr>
            <w:tcW w:w="236"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p>
        </w:tc>
        <w:tc>
          <w:tcPr>
            <w:tcW w:w="1203" w:type="dxa"/>
            <w:tcBorders>
              <w:top w:val="nil"/>
              <w:left w:val="nil"/>
              <w:bottom w:val="nil"/>
              <w:right w:val="nil"/>
            </w:tcBorders>
          </w:tcPr>
          <w:p w:rsidR="007B5849" w:rsidRPr="00D96B7A" w:rsidRDefault="007B5849" w:rsidP="003F1941">
            <w:pPr>
              <w:pStyle w:val="PlainText"/>
              <w:tabs>
                <w:tab w:val="decimal" w:pos="340"/>
              </w:tabs>
              <w:rPr>
                <w:rFonts w:asciiTheme="majorBidi" w:hAnsiTheme="majorBidi" w:cstheme="majorBidi"/>
              </w:rPr>
            </w:pPr>
            <w:r w:rsidRPr="00D96B7A">
              <w:rPr>
                <w:rFonts w:asciiTheme="majorBidi" w:hAnsiTheme="majorBidi" w:cstheme="majorBidi"/>
              </w:rPr>
              <w:t>0.293</w:t>
            </w:r>
          </w:p>
        </w:tc>
        <w:tc>
          <w:tcPr>
            <w:tcW w:w="1203" w:type="dxa"/>
            <w:tcBorders>
              <w:top w:val="nil"/>
              <w:left w:val="nil"/>
              <w:bottom w:val="nil"/>
              <w:right w:val="nil"/>
            </w:tcBorders>
          </w:tcPr>
          <w:p w:rsidR="007B5849" w:rsidRPr="00D96B7A" w:rsidRDefault="007B5849" w:rsidP="003F1941">
            <w:pPr>
              <w:pStyle w:val="PlainText"/>
              <w:tabs>
                <w:tab w:val="decimal" w:pos="340"/>
              </w:tabs>
              <w:rPr>
                <w:rFonts w:asciiTheme="majorBidi" w:hAnsiTheme="majorBidi" w:cstheme="majorBidi"/>
              </w:rPr>
            </w:pPr>
            <w:r w:rsidRPr="00D96B7A">
              <w:rPr>
                <w:rFonts w:asciiTheme="majorBidi" w:hAnsiTheme="majorBidi" w:cstheme="majorBidi"/>
              </w:rPr>
              <w:t>0.174</w:t>
            </w:r>
          </w:p>
        </w:tc>
        <w:tc>
          <w:tcPr>
            <w:tcW w:w="1203"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r w:rsidRPr="00D96B7A">
              <w:rPr>
                <w:rFonts w:asciiTheme="majorBidi" w:hAnsiTheme="majorBidi" w:cstheme="majorBidi"/>
                <w:sz w:val="21"/>
                <w:szCs w:val="21"/>
                <w:shd w:val="clear" w:color="auto" w:fill="FFFFFF"/>
              </w:rPr>
              <w:t>0.016</w:t>
            </w:r>
          </w:p>
        </w:tc>
        <w:tc>
          <w:tcPr>
            <w:tcW w:w="1361"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r w:rsidRPr="00D96B7A">
              <w:rPr>
                <w:rFonts w:asciiTheme="majorBidi" w:hAnsiTheme="majorBidi" w:cstheme="majorBidi"/>
                <w:sz w:val="21"/>
                <w:szCs w:val="21"/>
                <w:shd w:val="clear" w:color="auto" w:fill="FFFFFF"/>
              </w:rPr>
              <w:t>0.43</w:t>
            </w:r>
          </w:p>
        </w:tc>
      </w:tr>
      <w:tr w:rsidR="007B5849" w:rsidRPr="00D96B7A" w:rsidTr="003F1941">
        <w:tc>
          <w:tcPr>
            <w:tcW w:w="3855" w:type="dxa"/>
            <w:tcBorders>
              <w:top w:val="nil"/>
              <w:left w:val="nil"/>
              <w:bottom w:val="nil"/>
              <w:right w:val="nil"/>
            </w:tcBorders>
          </w:tcPr>
          <w:p w:rsidR="007B5849" w:rsidRPr="00F84836" w:rsidRDefault="007B5849" w:rsidP="003F1941">
            <w:pPr>
              <w:rPr>
                <w:rFonts w:asciiTheme="majorBidi" w:hAnsiTheme="majorBidi" w:cstheme="majorBidi"/>
                <w:sz w:val="21"/>
                <w:szCs w:val="21"/>
                <w:shd w:val="clear" w:color="auto" w:fill="FFFFFF"/>
              </w:rPr>
            </w:pPr>
          </w:p>
        </w:tc>
        <w:tc>
          <w:tcPr>
            <w:tcW w:w="1162" w:type="dxa"/>
            <w:tcBorders>
              <w:top w:val="nil"/>
              <w:left w:val="nil"/>
              <w:bottom w:val="nil"/>
              <w:right w:val="nil"/>
            </w:tcBorders>
          </w:tcPr>
          <w:p w:rsidR="007B5849" w:rsidRPr="00D96B7A" w:rsidRDefault="007B5849" w:rsidP="003F1941">
            <w:pPr>
              <w:pStyle w:val="PlainText"/>
              <w:tabs>
                <w:tab w:val="decimal" w:pos="340"/>
              </w:tabs>
              <w:rPr>
                <w:rFonts w:asciiTheme="majorBidi" w:hAnsiTheme="majorBidi" w:cstheme="majorBidi"/>
              </w:rPr>
            </w:pPr>
            <w:r w:rsidRPr="00D96B7A">
              <w:rPr>
                <w:rFonts w:asciiTheme="majorBidi" w:hAnsiTheme="majorBidi" w:cstheme="majorBidi"/>
              </w:rPr>
              <w:t>(0.160)</w:t>
            </w:r>
          </w:p>
        </w:tc>
        <w:tc>
          <w:tcPr>
            <w:tcW w:w="1162"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p>
        </w:tc>
        <w:tc>
          <w:tcPr>
            <w:tcW w:w="236"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p>
        </w:tc>
        <w:tc>
          <w:tcPr>
            <w:tcW w:w="1162" w:type="dxa"/>
            <w:tcBorders>
              <w:top w:val="nil"/>
              <w:left w:val="nil"/>
              <w:bottom w:val="nil"/>
              <w:right w:val="nil"/>
            </w:tcBorders>
          </w:tcPr>
          <w:p w:rsidR="007B5849" w:rsidRPr="00D96B7A" w:rsidRDefault="007B5849" w:rsidP="003F1941">
            <w:pPr>
              <w:pStyle w:val="PlainText"/>
              <w:tabs>
                <w:tab w:val="decimal" w:pos="340"/>
              </w:tabs>
              <w:rPr>
                <w:rFonts w:asciiTheme="majorBidi" w:hAnsiTheme="majorBidi" w:cstheme="majorBidi"/>
              </w:rPr>
            </w:pPr>
            <w:r w:rsidRPr="00D96B7A">
              <w:rPr>
                <w:rFonts w:asciiTheme="majorBidi" w:hAnsiTheme="majorBidi" w:cstheme="majorBidi"/>
              </w:rPr>
              <w:t>(0.347)</w:t>
            </w:r>
          </w:p>
        </w:tc>
        <w:tc>
          <w:tcPr>
            <w:tcW w:w="1162"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p>
        </w:tc>
        <w:tc>
          <w:tcPr>
            <w:tcW w:w="236"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p>
        </w:tc>
        <w:tc>
          <w:tcPr>
            <w:tcW w:w="1203" w:type="dxa"/>
            <w:tcBorders>
              <w:top w:val="nil"/>
              <w:left w:val="nil"/>
              <w:bottom w:val="nil"/>
              <w:right w:val="nil"/>
            </w:tcBorders>
          </w:tcPr>
          <w:p w:rsidR="007B5849" w:rsidRPr="00D96B7A" w:rsidRDefault="007B5849" w:rsidP="003F1941">
            <w:pPr>
              <w:pStyle w:val="PlainText"/>
              <w:tabs>
                <w:tab w:val="decimal" w:pos="340"/>
              </w:tabs>
              <w:rPr>
                <w:rFonts w:asciiTheme="majorBidi" w:hAnsiTheme="majorBidi" w:cstheme="majorBidi"/>
              </w:rPr>
            </w:pPr>
            <w:r w:rsidRPr="00D96B7A">
              <w:rPr>
                <w:rFonts w:asciiTheme="majorBidi" w:hAnsiTheme="majorBidi" w:cstheme="majorBidi"/>
              </w:rPr>
              <w:t>(0.304)</w:t>
            </w:r>
          </w:p>
        </w:tc>
        <w:tc>
          <w:tcPr>
            <w:tcW w:w="1203" w:type="dxa"/>
            <w:tcBorders>
              <w:top w:val="nil"/>
              <w:left w:val="nil"/>
              <w:bottom w:val="nil"/>
              <w:right w:val="nil"/>
            </w:tcBorders>
          </w:tcPr>
          <w:p w:rsidR="007B5849" w:rsidRPr="00D96B7A" w:rsidRDefault="007B5849" w:rsidP="003F1941">
            <w:pPr>
              <w:pStyle w:val="PlainText"/>
              <w:tabs>
                <w:tab w:val="decimal" w:pos="340"/>
              </w:tabs>
              <w:rPr>
                <w:rFonts w:asciiTheme="majorBidi" w:hAnsiTheme="majorBidi" w:cstheme="majorBidi"/>
              </w:rPr>
            </w:pPr>
            <w:r w:rsidRPr="00D96B7A">
              <w:rPr>
                <w:rFonts w:asciiTheme="majorBidi" w:hAnsiTheme="majorBidi" w:cstheme="majorBidi"/>
              </w:rPr>
              <w:t>(0.154)</w:t>
            </w:r>
          </w:p>
        </w:tc>
        <w:tc>
          <w:tcPr>
            <w:tcW w:w="1203"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p>
        </w:tc>
        <w:tc>
          <w:tcPr>
            <w:tcW w:w="1361" w:type="dxa"/>
            <w:tcBorders>
              <w:top w:val="nil"/>
              <w:left w:val="nil"/>
              <w:bottom w:val="nil"/>
              <w:right w:val="nil"/>
            </w:tcBorders>
          </w:tcPr>
          <w:p w:rsidR="007B5849" w:rsidRPr="00D96B7A" w:rsidRDefault="007B5849" w:rsidP="003F1941">
            <w:pPr>
              <w:tabs>
                <w:tab w:val="decimal" w:pos="340"/>
              </w:tabs>
              <w:rPr>
                <w:rFonts w:asciiTheme="majorBidi" w:hAnsiTheme="majorBidi" w:cstheme="majorBidi"/>
                <w:sz w:val="21"/>
                <w:szCs w:val="21"/>
                <w:shd w:val="clear" w:color="auto" w:fill="FFFFFF"/>
              </w:rPr>
            </w:pPr>
          </w:p>
        </w:tc>
      </w:tr>
      <w:tr w:rsidR="007B5849" w:rsidRPr="008C0B5E" w:rsidTr="003F1941">
        <w:tc>
          <w:tcPr>
            <w:tcW w:w="3855"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236"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162"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236"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203"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203"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203"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c>
          <w:tcPr>
            <w:tcW w:w="1361" w:type="dxa"/>
            <w:tcBorders>
              <w:top w:val="nil"/>
              <w:left w:val="nil"/>
              <w:bottom w:val="nil"/>
              <w:right w:val="nil"/>
            </w:tcBorders>
          </w:tcPr>
          <w:p w:rsidR="007B5849" w:rsidRPr="008C0B5E" w:rsidRDefault="007B5849" w:rsidP="003F1941">
            <w:pPr>
              <w:rPr>
                <w:rFonts w:asciiTheme="majorBidi" w:hAnsiTheme="majorBidi" w:cstheme="majorBidi"/>
                <w:sz w:val="8"/>
                <w:szCs w:val="8"/>
                <w:shd w:val="clear" w:color="auto" w:fill="FFFFFF"/>
              </w:rPr>
            </w:pPr>
          </w:p>
        </w:tc>
      </w:tr>
      <w:tr w:rsidR="007B5849" w:rsidRPr="000F7468" w:rsidTr="003F1941">
        <w:tc>
          <w:tcPr>
            <w:tcW w:w="13945" w:type="dxa"/>
            <w:gridSpan w:val="11"/>
            <w:tcBorders>
              <w:top w:val="single" w:sz="4" w:space="0" w:color="auto"/>
              <w:left w:val="nil"/>
              <w:bottom w:val="nil"/>
              <w:right w:val="nil"/>
            </w:tcBorders>
          </w:tcPr>
          <w:p w:rsidR="007B5849" w:rsidRPr="000F7468" w:rsidRDefault="007B5849" w:rsidP="003F1941">
            <w:pPr>
              <w:spacing w:before="20"/>
              <w:rPr>
                <w:rFonts w:asciiTheme="majorBidi" w:hAnsiTheme="majorBidi" w:cstheme="majorBidi"/>
                <w:sz w:val="18"/>
                <w:szCs w:val="18"/>
                <w:shd w:val="clear" w:color="auto" w:fill="FFFFFF"/>
              </w:rPr>
            </w:pPr>
            <w:r>
              <w:rPr>
                <w:rFonts w:asciiTheme="majorBidi" w:hAnsiTheme="majorBidi" w:cstheme="majorBidi"/>
                <w:i/>
                <w:iCs/>
                <w:sz w:val="18"/>
                <w:szCs w:val="18"/>
                <w:shd w:val="clear" w:color="auto" w:fill="FFFFFF"/>
              </w:rPr>
              <w:t xml:space="preserve">Notes: </w:t>
            </w:r>
            <w:r>
              <w:rPr>
                <w:rFonts w:asciiTheme="majorBidi" w:hAnsiTheme="majorBidi" w:cstheme="majorBidi"/>
                <w:sz w:val="18"/>
                <w:szCs w:val="18"/>
                <w:shd w:val="clear" w:color="auto" w:fill="FFFFFF"/>
              </w:rPr>
              <w:t xml:space="preserve">Outcomes are changes from same month of 2020. Each outcome measure has three regressions, one using the % fully vaccinated, one using the % either fully or partially vaccinated, and one with the % fully vaccinated and the % partially vaccinated as separate covariates. All variables are standardized. All regressions include fixed effects for each country and for each month. Standard errors in ( ) are clustered at country level, with ***, **, and * denoting statistical significance at 1%, 5% and 10% level. </w:t>
            </w:r>
            <w:r w:rsidRPr="006E5384">
              <w:rPr>
                <w:rFonts w:asciiTheme="majorBidi" w:hAnsiTheme="majorBidi" w:cstheme="majorBidi"/>
                <w:i/>
                <w:iCs/>
                <w:sz w:val="18"/>
                <w:szCs w:val="18"/>
                <w:shd w:val="clear" w:color="auto" w:fill="FFFFFF"/>
              </w:rPr>
              <w:t>N</w:t>
            </w:r>
            <w:r w:rsidRPr="006E5384">
              <w:rPr>
                <w:rFonts w:asciiTheme="majorBidi" w:hAnsiTheme="majorBidi" w:cstheme="majorBidi"/>
                <w:sz w:val="18"/>
                <w:szCs w:val="18"/>
                <w:shd w:val="clear" w:color="auto" w:fill="FFFFFF"/>
              </w:rPr>
              <w:t>=288</w:t>
            </w:r>
            <w:r>
              <w:rPr>
                <w:rFonts w:asciiTheme="majorBidi" w:hAnsiTheme="majorBidi" w:cstheme="majorBidi"/>
                <w:sz w:val="18"/>
                <w:szCs w:val="18"/>
                <w:shd w:val="clear" w:color="auto" w:fill="FFFFFF"/>
              </w:rPr>
              <w:t xml:space="preserve"> for response stringency and </w:t>
            </w:r>
            <w:proofErr w:type="spellStart"/>
            <w:r>
              <w:rPr>
                <w:rFonts w:asciiTheme="majorBidi" w:hAnsiTheme="majorBidi" w:cstheme="majorBidi"/>
                <w:sz w:val="18"/>
                <w:szCs w:val="18"/>
                <w:shd w:val="clear" w:color="auto" w:fill="FFFFFF"/>
              </w:rPr>
              <w:t>Covid</w:t>
            </w:r>
            <w:proofErr w:type="spellEnd"/>
            <w:r>
              <w:rPr>
                <w:rFonts w:asciiTheme="majorBidi" w:hAnsiTheme="majorBidi" w:cstheme="majorBidi"/>
                <w:sz w:val="18"/>
                <w:szCs w:val="18"/>
                <w:shd w:val="clear" w:color="auto" w:fill="FFFFFF"/>
              </w:rPr>
              <w:t xml:space="preserve"> cases and deaths, </w:t>
            </w:r>
            <w:r w:rsidRPr="00322EB0">
              <w:rPr>
                <w:rFonts w:asciiTheme="majorBidi" w:hAnsiTheme="majorBidi" w:cstheme="majorBidi"/>
                <w:i/>
                <w:iCs/>
                <w:sz w:val="18"/>
                <w:szCs w:val="18"/>
                <w:shd w:val="clear" w:color="auto" w:fill="FFFFFF"/>
              </w:rPr>
              <w:t>N</w:t>
            </w:r>
            <w:r w:rsidRPr="00322EB0">
              <w:rPr>
                <w:rFonts w:asciiTheme="majorBidi" w:hAnsiTheme="majorBidi" w:cstheme="majorBidi"/>
                <w:sz w:val="18"/>
                <w:szCs w:val="18"/>
                <w:shd w:val="clear" w:color="auto" w:fill="FFFFFF"/>
              </w:rPr>
              <w:t>=248</w:t>
            </w:r>
            <w:r>
              <w:rPr>
                <w:rFonts w:asciiTheme="majorBidi" w:hAnsiTheme="majorBidi" w:cstheme="majorBidi"/>
                <w:sz w:val="18"/>
                <w:szCs w:val="18"/>
                <w:shd w:val="clear" w:color="auto" w:fill="FFFFFF"/>
              </w:rPr>
              <w:t xml:space="preserve"> for </w:t>
            </w:r>
            <w:r>
              <w:rPr>
                <w:rFonts w:asciiTheme="majorBidi" w:hAnsiTheme="majorBidi" w:cstheme="majorBidi"/>
                <w:i/>
                <w:iCs/>
                <w:sz w:val="18"/>
                <w:szCs w:val="18"/>
                <w:shd w:val="clear" w:color="auto" w:fill="FFFFFF"/>
              </w:rPr>
              <w:t>Google Mobility</w:t>
            </w:r>
            <w:r>
              <w:rPr>
                <w:rFonts w:asciiTheme="majorBidi" w:hAnsiTheme="majorBidi" w:cstheme="majorBidi"/>
                <w:sz w:val="18"/>
                <w:szCs w:val="18"/>
                <w:shd w:val="clear" w:color="auto" w:fill="FFFFFF"/>
              </w:rPr>
              <w:t xml:space="preserve"> indicators (Iceland is not included and January is the base month), </w:t>
            </w:r>
            <w:r w:rsidRPr="00FB3E74">
              <w:rPr>
                <w:rFonts w:asciiTheme="majorBidi" w:hAnsiTheme="majorBidi" w:cstheme="majorBidi"/>
                <w:i/>
                <w:iCs/>
                <w:sz w:val="18"/>
                <w:szCs w:val="18"/>
                <w:shd w:val="clear" w:color="auto" w:fill="FFFFFF"/>
              </w:rPr>
              <w:t>N</w:t>
            </w:r>
            <w:r>
              <w:rPr>
                <w:rFonts w:asciiTheme="majorBidi" w:hAnsiTheme="majorBidi" w:cstheme="majorBidi"/>
                <w:sz w:val="18"/>
                <w:szCs w:val="18"/>
                <w:shd w:val="clear" w:color="auto" w:fill="FFFFFF"/>
              </w:rPr>
              <w:t xml:space="preserve">=202 for night lights (post-July data are yet to be released and glare prevents measurement for northern latitudes in summer months) and </w:t>
            </w:r>
            <w:r w:rsidRPr="00D96B7A">
              <w:rPr>
                <w:rFonts w:asciiTheme="majorBidi" w:hAnsiTheme="majorBidi" w:cstheme="majorBidi"/>
                <w:i/>
                <w:iCs/>
                <w:sz w:val="18"/>
                <w:szCs w:val="18"/>
                <w:shd w:val="clear" w:color="auto" w:fill="FFFFFF"/>
              </w:rPr>
              <w:t>N</w:t>
            </w:r>
            <w:r w:rsidRPr="00D96B7A">
              <w:rPr>
                <w:rFonts w:asciiTheme="majorBidi" w:hAnsiTheme="majorBidi" w:cstheme="majorBidi"/>
                <w:sz w:val="18"/>
                <w:szCs w:val="18"/>
                <w:shd w:val="clear" w:color="auto" w:fill="FFFFFF"/>
              </w:rPr>
              <w:t xml:space="preserve">=268 </w:t>
            </w:r>
            <w:r>
              <w:rPr>
                <w:rFonts w:asciiTheme="majorBidi" w:hAnsiTheme="majorBidi" w:cstheme="majorBidi"/>
                <w:sz w:val="18"/>
                <w:szCs w:val="18"/>
                <w:shd w:val="clear" w:color="auto" w:fill="FFFFFF"/>
              </w:rPr>
              <w:t>for all-cause mortality.</w:t>
            </w:r>
          </w:p>
        </w:tc>
      </w:tr>
    </w:tbl>
    <w:p w:rsidR="007B5849" w:rsidRPr="007B5849" w:rsidRDefault="007B5849" w:rsidP="007B5849">
      <w:pPr>
        <w:spacing w:after="0"/>
        <w:rPr>
          <w:rFonts w:asciiTheme="majorBidi" w:hAnsiTheme="majorBidi" w:cstheme="majorBidi"/>
          <w:bCs/>
          <w:sz w:val="4"/>
          <w:szCs w:val="4"/>
        </w:rPr>
      </w:pPr>
    </w:p>
    <w:p w:rsidR="005C2E59" w:rsidRDefault="005C2E59" w:rsidP="005C2E59">
      <w:pPr>
        <w:widowControl w:val="0"/>
        <w:spacing w:after="0" w:line="240" w:lineRule="auto"/>
        <w:ind w:firstLine="720"/>
        <w:jc w:val="both"/>
        <w:rPr>
          <w:rFonts w:asciiTheme="majorBidi" w:hAnsiTheme="majorBidi" w:cstheme="majorBidi"/>
          <w:bCs/>
          <w:sz w:val="4"/>
          <w:szCs w:val="4"/>
          <w:lang w:val="en-US"/>
        </w:rPr>
      </w:pPr>
    </w:p>
    <w:p w:rsidR="007B5849" w:rsidRDefault="007B5849" w:rsidP="005C2E59">
      <w:pPr>
        <w:widowControl w:val="0"/>
        <w:spacing w:after="0" w:line="240" w:lineRule="auto"/>
        <w:ind w:firstLine="720"/>
        <w:jc w:val="both"/>
        <w:rPr>
          <w:rFonts w:asciiTheme="majorBidi" w:hAnsiTheme="majorBidi" w:cstheme="majorBidi"/>
          <w:bCs/>
          <w:sz w:val="4"/>
          <w:szCs w:val="4"/>
          <w:lang w:val="en-US"/>
        </w:rPr>
        <w:sectPr w:rsidR="007B5849" w:rsidSect="00E0243C">
          <w:pgSz w:w="16838" w:h="11906" w:orient="landscape"/>
          <w:pgMar w:top="1440" w:right="1440" w:bottom="1440" w:left="1440" w:header="708" w:footer="708" w:gutter="0"/>
          <w:cols w:space="708"/>
          <w:titlePg/>
          <w:docGrid w:linePitch="360"/>
        </w:sectPr>
      </w:pPr>
    </w:p>
    <w:p w:rsidR="005C2E59" w:rsidRPr="005C2E59" w:rsidRDefault="005C2E59" w:rsidP="005C2E59">
      <w:pPr>
        <w:widowControl w:val="0"/>
        <w:spacing w:after="0" w:line="240" w:lineRule="auto"/>
        <w:ind w:firstLine="720"/>
        <w:jc w:val="both"/>
        <w:rPr>
          <w:rFonts w:asciiTheme="majorBidi" w:hAnsiTheme="majorBidi" w:cstheme="majorBidi"/>
          <w:bCs/>
          <w:sz w:val="4"/>
          <w:szCs w:val="4"/>
          <w:lang w:val="en-US"/>
        </w:rPr>
      </w:pPr>
    </w:p>
    <w:p w:rsidR="00EF6477" w:rsidRPr="00EF6477" w:rsidRDefault="00EF6477" w:rsidP="00EF6477">
      <w:pPr>
        <w:widowControl w:val="0"/>
        <w:spacing w:after="120" w:line="288" w:lineRule="auto"/>
        <w:ind w:firstLine="720"/>
        <w:jc w:val="both"/>
        <w:rPr>
          <w:rFonts w:asciiTheme="majorBidi" w:hAnsiTheme="majorBidi" w:cstheme="majorBidi"/>
          <w:bCs/>
          <w:iCs/>
        </w:rPr>
      </w:pPr>
      <w:r w:rsidRPr="00EF6477">
        <w:rPr>
          <w:rFonts w:asciiTheme="majorBidi" w:hAnsiTheme="majorBidi" w:cstheme="majorBidi"/>
          <w:bCs/>
          <w:iCs/>
        </w:rPr>
        <w:t xml:space="preserve">The conditional correlations in Table 1 cannot show whether vaccinations </w:t>
      </w:r>
      <w:r w:rsidRPr="006B0214">
        <w:rPr>
          <w:rFonts w:asciiTheme="majorBidi" w:hAnsiTheme="majorBidi" w:cstheme="majorBidi"/>
          <w:bCs/>
          <w:i/>
        </w:rPr>
        <w:t>per se</w:t>
      </w:r>
      <w:r w:rsidRPr="00EF6477">
        <w:rPr>
          <w:rFonts w:asciiTheme="majorBidi" w:hAnsiTheme="majorBidi" w:cstheme="majorBidi"/>
          <w:bCs/>
          <w:iCs/>
        </w:rPr>
        <w:t xml:space="preserve"> give a rebound in economic activity—perhaps from making people feel safer to go out—or instead relaxed stringency matters, which politicians may tie to progress with vaccine rollout. To help with this question, correlations can be decomposed into direct and indirect channels. A regression (in SD units) of the outcome of interest (e.g. changes in retail mobility (M) from </w:t>
      </w:r>
      <w:r w:rsidRPr="006B0214">
        <w:rPr>
          <w:rFonts w:asciiTheme="majorBidi" w:hAnsiTheme="majorBidi" w:cstheme="majorBidi"/>
          <w:bCs/>
          <w:i/>
        </w:rPr>
        <w:t>Google Maps</w:t>
      </w:r>
      <w:r w:rsidRPr="00EF6477">
        <w:rPr>
          <w:rFonts w:asciiTheme="majorBidi" w:hAnsiTheme="majorBidi" w:cstheme="majorBidi"/>
          <w:bCs/>
          <w:iCs/>
        </w:rPr>
        <w:t xml:space="preserve">) on the fully vaccinated rate (V) and stringency index (S) gives two of the parameters needed; the correlation between V and S gives the third. The product of that correlation coefficient, </w:t>
      </w:r>
      <m:oMath>
        <m:sSub>
          <m:sSubPr>
            <m:ctrlPr>
              <w:rPr>
                <w:rFonts w:ascii="Cambria Math" w:hAnsi="Cambria Math" w:cstheme="majorBidi"/>
                <w:bCs/>
                <w:iCs/>
              </w:rPr>
            </m:ctrlPr>
          </m:sSubPr>
          <m:e>
            <m:r>
              <w:rPr>
                <w:rFonts w:ascii="Cambria Math" w:hAnsi="Cambria Math" w:cstheme="majorBidi"/>
              </w:rPr>
              <m:t>r</m:t>
            </m:r>
          </m:e>
          <m:sub>
            <m:r>
              <w:rPr>
                <w:rFonts w:ascii="Cambria Math" w:hAnsi="Cambria Math" w:cstheme="majorBidi"/>
              </w:rPr>
              <m:t>vs</m:t>
            </m:r>
          </m:sub>
        </m:sSub>
      </m:oMath>
      <w:r w:rsidRPr="00EF6477">
        <w:rPr>
          <w:rFonts w:asciiTheme="majorBidi" w:hAnsiTheme="majorBidi" w:cstheme="majorBidi"/>
          <w:bCs/>
          <w:iCs/>
        </w:rPr>
        <w:t xml:space="preserve"> and the regression coefficient on the stringency index, </w:t>
      </w:r>
      <m:oMath>
        <m:sSub>
          <m:sSubPr>
            <m:ctrlPr>
              <w:rPr>
                <w:rFonts w:ascii="Cambria Math" w:hAnsi="Cambria Math" w:cstheme="majorBidi"/>
                <w:bCs/>
                <w:iCs/>
              </w:rPr>
            </m:ctrlPr>
          </m:sSubPr>
          <m:e>
            <m:acc>
              <m:accPr>
                <m:ctrlPr>
                  <w:rPr>
                    <w:rFonts w:ascii="Cambria Math" w:hAnsi="Cambria Math" w:cstheme="majorBidi"/>
                    <w:bCs/>
                    <w:iCs/>
                  </w:rPr>
                </m:ctrlPr>
              </m:accPr>
              <m:e>
                <m:r>
                  <w:rPr>
                    <w:rFonts w:ascii="Cambria Math" w:hAnsi="Cambria Math" w:cstheme="majorBidi"/>
                  </w:rPr>
                  <m:t>β</m:t>
                </m:r>
              </m:e>
            </m:acc>
          </m:e>
          <m:sub>
            <m:r>
              <w:rPr>
                <w:rFonts w:ascii="Cambria Math" w:hAnsi="Cambria Math" w:cstheme="majorBidi"/>
              </w:rPr>
              <m:t>MS</m:t>
            </m:r>
          </m:sub>
        </m:sSub>
      </m:oMath>
      <w:r w:rsidRPr="00EF6477">
        <w:rPr>
          <w:rFonts w:asciiTheme="majorBidi" w:hAnsiTheme="majorBidi" w:cstheme="majorBidi"/>
          <w:bCs/>
          <w:iCs/>
        </w:rPr>
        <w:t xml:space="preserve"> gives the indirect channel, while the direct channel is the regression coefficient on the vaccinated rate, </w:t>
      </w:r>
      <m:oMath>
        <m:sSub>
          <m:sSubPr>
            <m:ctrlPr>
              <w:rPr>
                <w:rFonts w:ascii="Cambria Math" w:hAnsi="Cambria Math" w:cstheme="majorBidi"/>
                <w:bCs/>
                <w:iCs/>
              </w:rPr>
            </m:ctrlPr>
          </m:sSubPr>
          <m:e>
            <m:acc>
              <m:accPr>
                <m:ctrlPr>
                  <w:rPr>
                    <w:rFonts w:ascii="Cambria Math" w:hAnsi="Cambria Math" w:cstheme="majorBidi"/>
                    <w:bCs/>
                    <w:iCs/>
                  </w:rPr>
                </m:ctrlPr>
              </m:accPr>
              <m:e>
                <m:r>
                  <w:rPr>
                    <w:rFonts w:ascii="Cambria Math" w:hAnsi="Cambria Math" w:cstheme="majorBidi"/>
                  </w:rPr>
                  <m:t>β</m:t>
                </m:r>
              </m:e>
            </m:acc>
          </m:e>
          <m:sub>
            <m:r>
              <w:rPr>
                <w:rFonts w:ascii="Cambria Math" w:hAnsi="Cambria Math" w:cstheme="majorBidi"/>
              </w:rPr>
              <m:t>MV</m:t>
            </m:r>
          </m:sub>
        </m:sSub>
      </m:oMath>
      <w:r w:rsidRPr="00EF6477">
        <w:rPr>
          <w:rFonts w:asciiTheme="majorBidi" w:hAnsiTheme="majorBidi" w:cstheme="majorBidi"/>
          <w:bCs/>
          <w:iCs/>
        </w:rPr>
        <w:t xml:space="preserve"> (Blalock, 1964).</w:t>
      </w:r>
    </w:p>
    <w:p w:rsidR="00EF6477" w:rsidRDefault="00EF6477" w:rsidP="00EF6477">
      <w:pPr>
        <w:widowControl w:val="0"/>
        <w:spacing w:after="240" w:line="288" w:lineRule="auto"/>
        <w:ind w:firstLine="720"/>
        <w:jc w:val="both"/>
        <w:rPr>
          <w:rFonts w:asciiTheme="majorBidi" w:hAnsiTheme="majorBidi" w:cstheme="majorBidi"/>
          <w:color w:val="222222"/>
          <w:shd w:val="clear" w:color="auto" w:fill="FFFFFF"/>
        </w:rPr>
      </w:pPr>
      <w:r>
        <w:rPr>
          <w:noProof/>
          <w:sz w:val="20"/>
          <w:lang w:eastAsia="zh-CN"/>
        </w:rPr>
        <mc:AlternateContent>
          <mc:Choice Requires="wpg">
            <w:drawing>
              <wp:anchor distT="0" distB="0" distL="114300" distR="114300" simplePos="0" relativeHeight="251661312" behindDoc="0" locked="0" layoutInCell="1" allowOverlap="1" wp14:anchorId="3864C76E" wp14:editId="0D4393EA">
                <wp:simplePos x="0" y="0"/>
                <wp:positionH relativeFrom="column">
                  <wp:posOffset>415636</wp:posOffset>
                </wp:positionH>
                <wp:positionV relativeFrom="paragraph">
                  <wp:posOffset>567748</wp:posOffset>
                </wp:positionV>
                <wp:extent cx="5160819" cy="1198418"/>
                <wp:effectExtent l="0" t="0" r="1905"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819" cy="1198418"/>
                          <a:chOff x="1902" y="3087"/>
                          <a:chExt cx="7853" cy="1680"/>
                        </a:xfrm>
                      </wpg:grpSpPr>
                      <wps:wsp>
                        <wps:cNvPr id="4" name="Line 5"/>
                        <wps:cNvCnPr>
                          <a:cxnSpLocks noChangeShapeType="1"/>
                        </wps:cNvCnPr>
                        <wps:spPr bwMode="auto">
                          <a:xfrm flipV="1">
                            <a:off x="5293" y="4021"/>
                            <a:ext cx="2669" cy="554"/>
                          </a:xfrm>
                          <a:prstGeom prst="line">
                            <a:avLst/>
                          </a:prstGeom>
                          <a:noFill/>
                          <a:ln w="19050">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316" y="3308"/>
                            <a:ext cx="2669" cy="381"/>
                          </a:xfrm>
                          <a:prstGeom prst="line">
                            <a:avLst/>
                          </a:prstGeom>
                          <a:noFill/>
                          <a:ln w="19050">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902" y="3776"/>
                            <a:ext cx="1335" cy="503"/>
                          </a:xfrm>
                          <a:prstGeom prst="rect">
                            <a:avLst/>
                          </a:prstGeom>
                          <a:solidFill>
                            <a:srgbClr val="FFFFFF"/>
                          </a:solidFill>
                          <a:ln w="9525">
                            <a:solidFill>
                              <a:srgbClr val="FFFFFF"/>
                            </a:solidFill>
                            <a:miter lim="800000"/>
                            <a:headEnd/>
                            <a:tailEnd/>
                          </a:ln>
                        </wps:spPr>
                        <wps:txbx>
                          <w:txbxContent>
                            <w:p w:rsidR="003F1941" w:rsidRDefault="003F1941" w:rsidP="00EF6477">
                              <m:oMathPara>
                                <m:oMath>
                                  <m:sSub>
                                    <m:sSubPr>
                                      <m:ctrlPr>
                                        <w:rPr>
                                          <w:rFonts w:ascii="Cambria Math" w:hAnsi="Cambria Math"/>
                                          <w:i/>
                                        </w:rPr>
                                      </m:ctrlPr>
                                    </m:sSubPr>
                                    <m:e>
                                      <m:r>
                                        <w:rPr>
                                          <w:rFonts w:ascii="Cambria Math" w:hAnsi="Cambria Math"/>
                                        </w:rPr>
                                        <m:t>r</m:t>
                                      </m:r>
                                    </m:e>
                                    <m:sub>
                                      <m:r>
                                        <w:rPr>
                                          <w:rFonts w:ascii="Cambria Math" w:hAnsi="Cambria Math"/>
                                        </w:rPr>
                                        <m:t>VS</m:t>
                                      </m:r>
                                    </m:sub>
                                  </m:sSub>
                                  <m:r>
                                    <w:rPr>
                                      <w:rFonts w:ascii="Cambria Math" w:hAnsi="Cambria Math"/>
                                    </w:rPr>
                                    <m:t>=-0.42</m:t>
                                  </m:r>
                                </m:oMath>
                              </m:oMathPara>
                            </w:p>
                          </w:txbxContent>
                        </wps:txbx>
                        <wps:bodyPr rot="0" vert="horz" wrap="square" lIns="0" tIns="0" rIns="0" bIns="0" anchor="t" anchorCtr="0" upright="1">
                          <a:noAutofit/>
                        </wps:bodyPr>
                      </wps:wsp>
                      <wps:wsp>
                        <wps:cNvPr id="7" name="Freeform 8"/>
                        <wps:cNvSpPr>
                          <a:spLocks/>
                        </wps:cNvSpPr>
                        <wps:spPr bwMode="auto">
                          <a:xfrm>
                            <a:off x="3158" y="3414"/>
                            <a:ext cx="468" cy="1164"/>
                          </a:xfrm>
                          <a:custGeom>
                            <a:avLst/>
                            <a:gdLst>
                              <a:gd name="T0" fmla="*/ 377 w 377"/>
                              <a:gd name="T1" fmla="*/ 1161 h 1161"/>
                              <a:gd name="T2" fmla="*/ 13 w 377"/>
                              <a:gd name="T3" fmla="*/ 781 h 1161"/>
                              <a:gd name="T4" fmla="*/ 299 w 377"/>
                              <a:gd name="T5" fmla="*/ 0 h 1161"/>
                            </a:gdLst>
                            <a:ahLst/>
                            <a:cxnLst>
                              <a:cxn ang="0">
                                <a:pos x="T0" y="T1"/>
                              </a:cxn>
                              <a:cxn ang="0">
                                <a:pos x="T2" y="T3"/>
                              </a:cxn>
                              <a:cxn ang="0">
                                <a:pos x="T4" y="T5"/>
                              </a:cxn>
                            </a:cxnLst>
                            <a:rect l="0" t="0" r="r" b="b"/>
                            <a:pathLst>
                              <a:path w="377" h="1161">
                                <a:moveTo>
                                  <a:pt x="377" y="1161"/>
                                </a:moveTo>
                                <a:cubicBezTo>
                                  <a:pt x="201" y="1067"/>
                                  <a:pt x="26" y="974"/>
                                  <a:pt x="13" y="781"/>
                                </a:cubicBezTo>
                                <a:cubicBezTo>
                                  <a:pt x="0" y="588"/>
                                  <a:pt x="243" y="130"/>
                                  <a:pt x="299" y="0"/>
                                </a:cubicBezTo>
                              </a:path>
                            </a:pathLst>
                          </a:custGeom>
                          <a:noFill/>
                          <a:ln w="19050" cap="flat" cmpd="sng">
                            <a:solidFill>
                              <a:srgbClr val="000080"/>
                            </a:solidFill>
                            <a:prstDash val="solid"/>
                            <a:round/>
                            <a:headEnd type="triangle" w="med" len="med"/>
                            <a:tailEnd type="triangle" w="med" len="me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wps:wsp>
                        <wps:cNvPr id="8" name="Text Box 9"/>
                        <wps:cNvSpPr txBox="1">
                          <a:spLocks noChangeArrowheads="1"/>
                        </wps:cNvSpPr>
                        <wps:spPr bwMode="auto">
                          <a:xfrm>
                            <a:off x="3641" y="4460"/>
                            <a:ext cx="1742" cy="30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941" w:rsidRPr="00856E9D" w:rsidRDefault="003F1941" w:rsidP="00EF6477">
                              <w:pPr>
                                <w:pStyle w:val="FigureText"/>
                                <w:rPr>
                                  <w:b/>
                                  <w:bCs/>
                                </w:rPr>
                              </w:pPr>
                              <w:r w:rsidRPr="00856E9D">
                                <w:rPr>
                                  <w:b/>
                                  <w:bCs/>
                                </w:rPr>
                                <w:t>Stringency index (S)</w:t>
                              </w:r>
                            </w:p>
                          </w:txbxContent>
                        </wps:txbx>
                        <wps:bodyPr rot="0" vert="horz" wrap="square" lIns="0" tIns="0" rIns="0" bIns="0" anchor="t" anchorCtr="0" upright="1">
                          <a:noAutofit/>
                        </wps:bodyPr>
                      </wps:wsp>
                      <wps:wsp>
                        <wps:cNvPr id="9" name="Text Box 10"/>
                        <wps:cNvSpPr txBox="1">
                          <a:spLocks noChangeArrowheads="1"/>
                        </wps:cNvSpPr>
                        <wps:spPr bwMode="auto">
                          <a:xfrm>
                            <a:off x="3574" y="3087"/>
                            <a:ext cx="1742" cy="442"/>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941" w:rsidRDefault="003F1941" w:rsidP="00EF6477">
                              <w:pPr>
                                <w:pStyle w:val="FigureText"/>
                                <w:rPr>
                                  <w:b/>
                                  <w:bCs/>
                                </w:rPr>
                              </w:pPr>
                              <w:r>
                                <w:rPr>
                                  <w:b/>
                                  <w:bCs/>
                                </w:rPr>
                                <w:t>Vaccinated rate (V)</w:t>
                              </w:r>
                            </w:p>
                          </w:txbxContent>
                        </wps:txbx>
                        <wps:bodyPr rot="0" vert="horz" wrap="square" lIns="72000" tIns="72000" rIns="72000" bIns="72000" anchor="t" anchorCtr="0" upright="1">
                          <a:noAutofit/>
                        </wps:bodyPr>
                      </wps:wsp>
                      <wps:wsp>
                        <wps:cNvPr id="10" name="Text Box 11"/>
                        <wps:cNvSpPr txBox="1">
                          <a:spLocks noChangeArrowheads="1"/>
                        </wps:cNvSpPr>
                        <wps:spPr bwMode="auto">
                          <a:xfrm>
                            <a:off x="8013" y="3588"/>
                            <a:ext cx="1742" cy="61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941" w:rsidRPr="009F0ECF" w:rsidRDefault="003F1941" w:rsidP="00EF6477">
                              <w:pPr>
                                <w:pStyle w:val="FigureText"/>
                                <w:rPr>
                                  <w:b/>
                                  <w:bCs/>
                                  <w:lang w:val="en-NZ"/>
                                </w:rPr>
                              </w:pPr>
                              <w:r>
                                <w:rPr>
                                  <w:b/>
                                  <w:bCs/>
                                  <w:lang w:val="en-NZ"/>
                                </w:rPr>
                                <w:t>Google mobility (M) (retail locations)</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4C76E" id="Group 3" o:spid="_x0000_s1026" style="position:absolute;left:0;text-align:left;margin-left:32.75pt;margin-top:44.7pt;width:406.35pt;height:94.35pt;z-index:251661312" coordorigin="1902,3087" coordsize="7853,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">
                <v:line id="Line 5" o:spid="_x0000_s1027" style="position:absolute;flip:y;visibility:visible;mso-wrap-style:square" from="5293,4021" to="7962,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" strokecolor="#0cf" strokeweight="1.5pt">
                  <v:stroke endarrow="block"/>
                </v:line>
                <v:line id="Line 6" o:spid="_x0000_s1028" style="position:absolute;visibility:visible;mso-wrap-style:square" from="5316,3308" to="7985,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" strokecolor="#0cf" strokeweight="1.5pt">
                  <v:stroke endarrow="block"/>
                </v:line>
                <v:shapetype id="_x0000_t202" coordsize="21600,21600" o:spt="202" path="m,l,21600r21600,l21600,xe">
                  <v:stroke joinstyle="miter"/>
                  <v:path gradientshapeok="t" o:connecttype="rect"/>
                </v:shapetype>
                <v:shape id="Text Box 7" o:spid="_x0000_s1029" type="#_x0000_t202" style="position:absolute;left:1902;top:3776;width:133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" strokecolor="white">
                  <v:textbox inset="0,0,0,0">
                    <w:txbxContent>
                      <w:p w:rsidR="003F1941" w:rsidRDefault="003F1941" w:rsidP="00EF6477">
                        <m:oMathPara>
                          <m:oMath>
                            <m:sSub>
                              <m:sSubPr>
                                <m:ctrlPr>
                                  <w:rPr>
                                    <w:rFonts w:ascii="Cambria Math" w:hAnsi="Cambria Math"/>
                                    <w:i/>
                                  </w:rPr>
                                </m:ctrlPr>
                              </m:sSubPr>
                              <m:e>
                                <m:r>
                                  <w:rPr>
                                    <w:rFonts w:ascii="Cambria Math" w:hAnsi="Cambria Math"/>
                                  </w:rPr>
                                  <m:t>r</m:t>
                                </m:r>
                              </m:e>
                              <m:sub>
                                <m:r>
                                  <w:rPr>
                                    <w:rFonts w:ascii="Cambria Math" w:hAnsi="Cambria Math"/>
                                  </w:rPr>
                                  <m:t>VS</m:t>
                                </m:r>
                              </m:sub>
                            </m:sSub>
                            <m:r>
                              <w:rPr>
                                <w:rFonts w:ascii="Cambria Math" w:hAnsi="Cambria Math"/>
                              </w:rPr>
                              <m:t>=-0.42</m:t>
                            </m:r>
                          </m:oMath>
                        </m:oMathPara>
                      </w:p>
                    </w:txbxContent>
                  </v:textbox>
                </v:shape>
                <v:shape id="Freeform 8" o:spid="_x0000_s1030" style="position:absolute;left:3158;top:3414;width:468;height:1164;visibility:visible;mso-wrap-style:square;v-text-anchor:top" coordsize="37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" path="m377,1161c201,1067,26,974,13,781,,588,243,130,299,e" filled="f" fillcolor="#ff9" strokecolor="navy" strokeweight="1.5pt">
                  <v:stroke startarrow="block" endarrow="block"/>
                  <v:path arrowok="t" o:connecttype="custom" o:connectlocs="468,1164;16,783;371,0" o:connectangles="0,0,0"/>
                </v:shape>
                <v:shape id="Text Box 9" o:spid="_x0000_s1031" type="#_x0000_t202" style="position:absolute;left:3641;top:4460;width:1742;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" filled="f" fillcolor="#ff9" stroked="f">
                  <v:textbox inset="0,0,0,0">
                    <w:txbxContent>
                      <w:p w:rsidR="003F1941" w:rsidRPr="00856E9D" w:rsidRDefault="003F1941" w:rsidP="00EF6477">
                        <w:pPr>
                          <w:pStyle w:val="FigureText"/>
                          <w:rPr>
                            <w:b/>
                            <w:bCs/>
                          </w:rPr>
                        </w:pPr>
                        <w:r w:rsidRPr="00856E9D">
                          <w:rPr>
                            <w:b/>
                            <w:bCs/>
                          </w:rPr>
                          <w:t>Stringency index (S)</w:t>
                        </w:r>
                      </w:p>
                    </w:txbxContent>
                  </v:textbox>
                </v:shape>
                <v:shape id="Text Box 10" o:spid="_x0000_s1032" type="#_x0000_t202" style="position:absolute;left:3574;top:3087;width:1742;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" filled="f" fillcolor="#ff9" stroked="f">
                  <v:textbox inset="2mm,2mm,2mm,2mm">
                    <w:txbxContent>
                      <w:p w:rsidR="003F1941" w:rsidRDefault="003F1941" w:rsidP="00EF6477">
                        <w:pPr>
                          <w:pStyle w:val="FigureText"/>
                          <w:rPr>
                            <w:b/>
                            <w:bCs/>
                          </w:rPr>
                        </w:pPr>
                        <w:r>
                          <w:rPr>
                            <w:b/>
                            <w:bCs/>
                          </w:rPr>
                          <w:t>Vaccinated rate (V)</w:t>
                        </w:r>
                      </w:p>
                    </w:txbxContent>
                  </v:textbox>
                </v:shape>
                <v:shape id="_x0000_s1033" type="#_x0000_t202" style="position:absolute;left:8013;top:3588;width:174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" filled="f" fillcolor="#ff9" stroked="f">
                  <v:textbox inset="1mm,1mm,1mm,1mm">
                    <w:txbxContent>
                      <w:p w:rsidR="003F1941" w:rsidRPr="009F0ECF" w:rsidRDefault="003F1941" w:rsidP="00EF6477">
                        <w:pPr>
                          <w:pStyle w:val="FigureText"/>
                          <w:rPr>
                            <w:b/>
                            <w:bCs/>
                            <w:lang w:val="en-NZ"/>
                          </w:rPr>
                        </w:pPr>
                        <w:r>
                          <w:rPr>
                            <w:b/>
                            <w:bCs/>
                            <w:lang w:val="en-NZ"/>
                          </w:rPr>
                          <w:t>Google mobility (M) (retail locations)</w:t>
                        </w:r>
                      </w:p>
                    </w:txbxContent>
                  </v:textbox>
                </v:shape>
              </v:group>
            </w:pict>
          </mc:Fallback>
        </mc:AlternateContent>
      </w:r>
      <w:r w:rsidRPr="00EF6477">
        <w:rPr>
          <w:rFonts w:asciiTheme="majorBidi" w:hAnsiTheme="majorBidi" w:cstheme="majorBidi"/>
          <w:bCs/>
          <w:iCs/>
        </w:rPr>
        <w:t xml:space="preserve">The direct channel linking changes in (retail) mobility with the fully vaccinated rate is small, </w:t>
      </w:r>
      <m:oMath>
        <m:sSub>
          <m:sSubPr>
            <m:ctrlPr>
              <w:rPr>
                <w:rFonts w:ascii="Cambria Math" w:hAnsi="Cambria Math" w:cstheme="majorBidi"/>
                <w:bCs/>
                <w:iCs/>
              </w:rPr>
            </m:ctrlPr>
          </m:sSubPr>
          <m:e>
            <m:r>
              <m:rPr>
                <m:sty m:val="p"/>
              </m:rPr>
              <w:rPr>
                <w:rFonts w:ascii="Cambria Math" w:hAnsi="Cambria Math" w:cstheme="majorBidi"/>
              </w:rPr>
              <m:t>(</m:t>
            </m:r>
            <m:acc>
              <m:accPr>
                <m:ctrlPr>
                  <w:rPr>
                    <w:rFonts w:ascii="Cambria Math" w:hAnsi="Cambria Math" w:cstheme="majorBidi"/>
                    <w:bCs/>
                    <w:iCs/>
                  </w:rPr>
                </m:ctrlPr>
              </m:accPr>
              <m:e>
                <m:r>
                  <w:rPr>
                    <w:rFonts w:ascii="Cambria Math" w:hAnsi="Cambria Math" w:cstheme="majorBidi"/>
                  </w:rPr>
                  <m:t>β</m:t>
                </m:r>
              </m:e>
            </m:acc>
          </m:e>
          <m:sub>
            <m:r>
              <w:rPr>
                <w:rFonts w:ascii="Cambria Math" w:hAnsi="Cambria Math" w:cstheme="majorBidi"/>
              </w:rPr>
              <m:t>MV</m:t>
            </m:r>
          </m:sub>
        </m:sSub>
        <m:r>
          <m:rPr>
            <m:sty m:val="p"/>
          </m:rPr>
          <w:rPr>
            <w:rFonts w:ascii="Cambria Math" w:hAnsi="Cambria Math" w:cstheme="majorBidi"/>
          </w:rPr>
          <m:t xml:space="preserve">=0.10, </m:t>
        </m:r>
        <m:r>
          <w:rPr>
            <w:rFonts w:ascii="Cambria Math" w:hAnsi="Cambria Math" w:cstheme="majorBidi"/>
          </w:rPr>
          <m:t>p</m:t>
        </m:r>
        <m:r>
          <m:rPr>
            <m:sty m:val="p"/>
          </m:rPr>
          <w:rPr>
            <w:rFonts w:ascii="Cambria Math" w:hAnsi="Cambria Math" w:cstheme="majorBidi"/>
          </w:rPr>
          <m:t>=0.34)</m:t>
        </m:r>
      </m:oMath>
      <w:r w:rsidRPr="00EF6477">
        <w:rPr>
          <w:rFonts w:asciiTheme="majorBidi" w:hAnsiTheme="majorBidi" w:cstheme="majorBidi"/>
          <w:bCs/>
          <w:iCs/>
        </w:rPr>
        <w:t xml:space="preserve"> and statistically insignificant. Instead, it is the indirect effect that dominates:</w:t>
      </w:r>
    </w:p>
    <w:p w:rsidR="00EF6477" w:rsidRPr="004D5FFE" w:rsidRDefault="00EF6477" w:rsidP="00EF6477">
      <w:pPr>
        <w:spacing w:after="0" w:line="480" w:lineRule="auto"/>
        <w:rPr>
          <w:rFonts w:asciiTheme="majorBidi" w:hAnsiTheme="majorBidi" w:cstheme="majorBidi"/>
          <w:bCs/>
        </w:rPr>
      </w:pPr>
      <w:r>
        <w:rPr>
          <w:noProof/>
          <w:sz w:val="20"/>
          <w:lang w:eastAsia="zh-CN"/>
        </w:rPr>
        <mc:AlternateContent>
          <mc:Choice Requires="wps">
            <w:drawing>
              <wp:anchor distT="0" distB="0" distL="114300" distR="114300" simplePos="0" relativeHeight="251659264" behindDoc="0" locked="0" layoutInCell="1" allowOverlap="1" wp14:anchorId="748E4063" wp14:editId="104901A4">
                <wp:simplePos x="0" y="0"/>
                <wp:positionH relativeFrom="column">
                  <wp:posOffset>2665557</wp:posOffset>
                </wp:positionH>
                <wp:positionV relativeFrom="paragraph">
                  <wp:posOffset>15702</wp:posOffset>
                </wp:positionV>
                <wp:extent cx="771525" cy="185737"/>
                <wp:effectExtent l="0" t="0" r="28575"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5737"/>
                        </a:xfrm>
                        <a:prstGeom prst="rect">
                          <a:avLst/>
                        </a:prstGeom>
                        <a:solidFill>
                          <a:srgbClr val="FFFFFF"/>
                        </a:solidFill>
                        <a:ln w="9525">
                          <a:solidFill>
                            <a:srgbClr val="FFFFFF"/>
                          </a:solidFill>
                          <a:miter lim="800000"/>
                          <a:headEnd/>
                          <a:tailEnd/>
                        </a:ln>
                      </wps:spPr>
                      <wps:txbx>
                        <w:txbxContent>
                          <w:p w:rsidR="003F1941" w:rsidRPr="00856E9D" w:rsidRDefault="003F1941" w:rsidP="00EF6477">
                            <w:pPr>
                              <w:spacing w:after="100" w:afterAutospacing="1" w:line="240" w:lineRule="auto"/>
                              <w:rPr>
                                <w:sz w:val="20"/>
                                <w:szCs w:val="16"/>
                              </w:rPr>
                            </w:pPr>
                            <m:oMathPara>
                              <m:oMath>
                                <m:sSub>
                                  <m:sSubPr>
                                    <m:ctrlPr>
                                      <w:rPr>
                                        <w:rFonts w:ascii="Cambria Math" w:hAnsi="Cambria Math"/>
                                        <w:i/>
                                        <w:sz w:val="20"/>
                                        <w:szCs w:val="16"/>
                                      </w:rPr>
                                    </m:ctrlPr>
                                  </m:sSubPr>
                                  <m:e>
                                    <m:r>
                                      <w:rPr>
                                        <w:rFonts w:ascii="Cambria Math" w:hAnsi="Cambria Math"/>
                                        <w:sz w:val="20"/>
                                        <w:szCs w:val="16"/>
                                      </w:rPr>
                                      <m:t>β</m:t>
                                    </m:r>
                                  </m:e>
                                  <m:sub>
                                    <m:r>
                                      <w:rPr>
                                        <w:rFonts w:ascii="Cambria Math" w:hAnsi="Cambria Math"/>
                                        <w:sz w:val="20"/>
                                        <w:szCs w:val="16"/>
                                      </w:rPr>
                                      <m:t>MV</m:t>
                                    </m:r>
                                  </m:sub>
                                </m:sSub>
                                <m:r>
                                  <w:rPr>
                                    <w:rFonts w:ascii="Cambria Math" w:hAnsi="Cambria Math"/>
                                    <w:sz w:val="20"/>
                                    <w:szCs w:val="16"/>
                                  </w:rPr>
                                  <m:t>=0.10</m:t>
                                </m:r>
                              </m:oMath>
                            </m:oMathPara>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E4063" id="Text Box 11" o:spid="_x0000_s1034" type="#_x0000_t202" style="position:absolute;margin-left:209.9pt;margin-top:1.25pt;width:60.7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" strokecolor="white">
                <v:textbox inset="0,0,0,0">
                  <w:txbxContent>
                    <w:p w:rsidR="003F1941" w:rsidRPr="00856E9D" w:rsidRDefault="003F1941" w:rsidP="00EF6477">
                      <w:pPr>
                        <w:spacing w:after="100" w:afterAutospacing="1" w:line="240" w:lineRule="auto"/>
                        <w:rPr>
                          <w:sz w:val="20"/>
                          <w:szCs w:val="16"/>
                        </w:rPr>
                      </w:pPr>
                      <m:oMathPara>
                        <m:oMath>
                          <m:sSub>
                            <m:sSubPr>
                              <m:ctrlPr>
                                <w:rPr>
                                  <w:rFonts w:ascii="Cambria Math" w:hAnsi="Cambria Math"/>
                                  <w:i/>
                                  <w:sz w:val="20"/>
                                  <w:szCs w:val="16"/>
                                </w:rPr>
                              </m:ctrlPr>
                            </m:sSubPr>
                            <m:e>
                              <m:r>
                                <w:rPr>
                                  <w:rFonts w:ascii="Cambria Math" w:hAnsi="Cambria Math"/>
                                  <w:sz w:val="20"/>
                                  <w:szCs w:val="16"/>
                                </w:rPr>
                                <m:t>β</m:t>
                              </m:r>
                            </m:e>
                            <m:sub>
                              <m:r>
                                <w:rPr>
                                  <w:rFonts w:ascii="Cambria Math" w:hAnsi="Cambria Math"/>
                                  <w:sz w:val="20"/>
                                  <w:szCs w:val="16"/>
                                </w:rPr>
                                <m:t>MV</m:t>
                              </m:r>
                            </m:sub>
                          </m:sSub>
                          <m:r>
                            <w:rPr>
                              <w:rFonts w:ascii="Cambria Math" w:hAnsi="Cambria Math"/>
                              <w:sz w:val="20"/>
                              <w:szCs w:val="16"/>
                            </w:rPr>
                            <m:t>=0.10</m:t>
                          </m:r>
                        </m:oMath>
                      </m:oMathPara>
                    </w:p>
                  </w:txbxContent>
                </v:textbox>
              </v:shape>
            </w:pict>
          </mc:Fallback>
        </mc:AlternateContent>
      </w:r>
    </w:p>
    <w:p w:rsidR="00EF6477" w:rsidRDefault="00EF6477" w:rsidP="00EF6477">
      <w:pPr>
        <w:spacing w:after="0" w:line="480" w:lineRule="auto"/>
        <w:rPr>
          <w:rFonts w:asciiTheme="majorBidi" w:hAnsiTheme="majorBidi" w:cstheme="majorBidi"/>
        </w:rPr>
      </w:pPr>
    </w:p>
    <w:p w:rsidR="00EF6477" w:rsidRDefault="00EF6477" w:rsidP="00EF6477">
      <w:pPr>
        <w:spacing w:after="0" w:line="480" w:lineRule="auto"/>
        <w:rPr>
          <w:rFonts w:asciiTheme="majorBidi" w:hAnsiTheme="majorBidi" w:cstheme="majorBidi"/>
        </w:rPr>
      </w:pPr>
      <w:r>
        <w:rPr>
          <w:noProof/>
          <w:sz w:val="20"/>
          <w:lang w:eastAsia="zh-CN"/>
        </w:rPr>
        <mc:AlternateContent>
          <mc:Choice Requires="wps">
            <w:drawing>
              <wp:anchor distT="0" distB="0" distL="114300" distR="114300" simplePos="0" relativeHeight="251660288" behindDoc="0" locked="0" layoutInCell="1" allowOverlap="1" wp14:anchorId="5BD0A4CD" wp14:editId="6E4F3D76">
                <wp:simplePos x="0" y="0"/>
                <wp:positionH relativeFrom="column">
                  <wp:posOffset>2901084</wp:posOffset>
                </wp:positionH>
                <wp:positionV relativeFrom="paragraph">
                  <wp:posOffset>34059</wp:posOffset>
                </wp:positionV>
                <wp:extent cx="1109663" cy="185737"/>
                <wp:effectExtent l="0" t="0" r="14605"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663" cy="185737"/>
                        </a:xfrm>
                        <a:prstGeom prst="rect">
                          <a:avLst/>
                        </a:prstGeom>
                        <a:solidFill>
                          <a:srgbClr val="FFFFFF"/>
                        </a:solidFill>
                        <a:ln w="9525">
                          <a:solidFill>
                            <a:srgbClr val="FFFFFF"/>
                          </a:solidFill>
                          <a:miter lim="800000"/>
                          <a:headEnd/>
                          <a:tailEnd/>
                        </a:ln>
                      </wps:spPr>
                      <wps:txbx>
                        <w:txbxContent>
                          <w:p w:rsidR="003F1941" w:rsidRPr="00856E9D" w:rsidRDefault="003F1941" w:rsidP="00EF6477">
                            <w:pPr>
                              <w:spacing w:after="100" w:afterAutospacing="1" w:line="240" w:lineRule="auto"/>
                              <w:rPr>
                                <w:sz w:val="20"/>
                                <w:szCs w:val="16"/>
                              </w:rPr>
                            </w:pPr>
                            <m:oMathPara>
                              <m:oMath>
                                <m:sSub>
                                  <m:sSubPr>
                                    <m:ctrlPr>
                                      <w:rPr>
                                        <w:rFonts w:ascii="Cambria Math" w:hAnsi="Cambria Math"/>
                                        <w:i/>
                                        <w:sz w:val="20"/>
                                        <w:szCs w:val="16"/>
                                      </w:rPr>
                                    </m:ctrlPr>
                                  </m:sSubPr>
                                  <m:e>
                                    <m:r>
                                      <w:rPr>
                                        <w:rFonts w:ascii="Cambria Math" w:hAnsi="Cambria Math"/>
                                        <w:sz w:val="20"/>
                                        <w:szCs w:val="16"/>
                                      </w:rPr>
                                      <m:t>β</m:t>
                                    </m:r>
                                  </m:e>
                                  <m:sub>
                                    <m:r>
                                      <w:rPr>
                                        <w:rFonts w:ascii="Cambria Math" w:hAnsi="Cambria Math"/>
                                        <w:sz w:val="20"/>
                                        <w:szCs w:val="16"/>
                                      </w:rPr>
                                      <m:t>MS</m:t>
                                    </m:r>
                                  </m:sub>
                                </m:sSub>
                                <m:r>
                                  <w:rPr>
                                    <w:rFonts w:ascii="Cambria Math" w:hAnsi="Cambria Math"/>
                                    <w:sz w:val="20"/>
                                    <w:szCs w:val="16"/>
                                  </w:rPr>
                                  <m:t>=</m:t>
                                </m:r>
                                <m:sSup>
                                  <m:sSupPr>
                                    <m:ctrlPr>
                                      <w:rPr>
                                        <w:rFonts w:ascii="Cambria Math" w:hAnsi="Cambria Math"/>
                                        <w:i/>
                                        <w:sz w:val="20"/>
                                        <w:szCs w:val="16"/>
                                      </w:rPr>
                                    </m:ctrlPr>
                                  </m:sSupPr>
                                  <m:e>
                                    <m:r>
                                      <w:rPr>
                                        <w:rFonts w:ascii="Cambria Math" w:hAnsi="Cambria Math"/>
                                        <w:sz w:val="20"/>
                                        <w:szCs w:val="16"/>
                                      </w:rPr>
                                      <m:t>-0.82</m:t>
                                    </m:r>
                                  </m:e>
                                  <m:sup>
                                    <m:r>
                                      <w:rPr>
                                        <w:rFonts w:ascii="Cambria Math" w:hAnsi="Cambria Math"/>
                                        <w:sz w:val="20"/>
                                        <w:szCs w:val="16"/>
                                      </w:rPr>
                                      <m:t>***</m:t>
                                    </m:r>
                                  </m:sup>
                                </m:sSup>
                              </m:oMath>
                            </m:oMathPara>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A4CD" id="Text Box 12" o:spid="_x0000_s1035" type="#_x0000_t202" style="position:absolute;margin-left:228.45pt;margin-top:2.7pt;width:87.4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" strokecolor="white">
                <v:textbox inset="0,0,0,0">
                  <w:txbxContent>
                    <w:p w:rsidR="003F1941" w:rsidRPr="00856E9D" w:rsidRDefault="003F1941" w:rsidP="00EF6477">
                      <w:pPr>
                        <w:spacing w:after="100" w:afterAutospacing="1" w:line="240" w:lineRule="auto"/>
                        <w:rPr>
                          <w:sz w:val="20"/>
                          <w:szCs w:val="16"/>
                        </w:rPr>
                      </w:pPr>
                      <m:oMathPara>
                        <m:oMath>
                          <m:sSub>
                            <m:sSubPr>
                              <m:ctrlPr>
                                <w:rPr>
                                  <w:rFonts w:ascii="Cambria Math" w:hAnsi="Cambria Math"/>
                                  <w:i/>
                                  <w:sz w:val="20"/>
                                  <w:szCs w:val="16"/>
                                </w:rPr>
                              </m:ctrlPr>
                            </m:sSubPr>
                            <m:e>
                              <m:r>
                                <w:rPr>
                                  <w:rFonts w:ascii="Cambria Math" w:hAnsi="Cambria Math"/>
                                  <w:sz w:val="20"/>
                                  <w:szCs w:val="16"/>
                                </w:rPr>
                                <m:t>β</m:t>
                              </m:r>
                            </m:e>
                            <m:sub>
                              <m:r>
                                <w:rPr>
                                  <w:rFonts w:ascii="Cambria Math" w:hAnsi="Cambria Math"/>
                                  <w:sz w:val="20"/>
                                  <w:szCs w:val="16"/>
                                </w:rPr>
                                <m:t>MS</m:t>
                              </m:r>
                            </m:sub>
                          </m:sSub>
                          <m:r>
                            <w:rPr>
                              <w:rFonts w:ascii="Cambria Math" w:hAnsi="Cambria Math"/>
                              <w:sz w:val="20"/>
                              <w:szCs w:val="16"/>
                            </w:rPr>
                            <m:t>=</m:t>
                          </m:r>
                          <m:sSup>
                            <m:sSupPr>
                              <m:ctrlPr>
                                <w:rPr>
                                  <w:rFonts w:ascii="Cambria Math" w:hAnsi="Cambria Math"/>
                                  <w:i/>
                                  <w:sz w:val="20"/>
                                  <w:szCs w:val="16"/>
                                </w:rPr>
                              </m:ctrlPr>
                            </m:sSupPr>
                            <m:e>
                              <m:r>
                                <w:rPr>
                                  <w:rFonts w:ascii="Cambria Math" w:hAnsi="Cambria Math"/>
                                  <w:sz w:val="20"/>
                                  <w:szCs w:val="16"/>
                                </w:rPr>
                                <m:t>-0.82</m:t>
                              </m:r>
                            </m:e>
                            <m:sup>
                              <m:r>
                                <w:rPr>
                                  <w:rFonts w:ascii="Cambria Math" w:hAnsi="Cambria Math"/>
                                  <w:sz w:val="20"/>
                                  <w:szCs w:val="16"/>
                                </w:rPr>
                                <m:t>***</m:t>
                              </m:r>
                            </m:sup>
                          </m:sSup>
                        </m:oMath>
                      </m:oMathPara>
                    </w:p>
                  </w:txbxContent>
                </v:textbox>
              </v:shape>
            </w:pict>
          </mc:Fallback>
        </mc:AlternateContent>
      </w:r>
    </w:p>
    <w:p w:rsidR="002A30C8" w:rsidRDefault="00EF6477" w:rsidP="00EF6477">
      <w:pPr>
        <w:widowControl w:val="0"/>
        <w:spacing w:after="0" w:line="288" w:lineRule="auto"/>
        <w:ind w:firstLine="720"/>
        <w:jc w:val="both"/>
        <w:rPr>
          <w:rFonts w:asciiTheme="majorBidi" w:hAnsiTheme="majorBidi" w:cstheme="majorBidi"/>
          <w:bCs/>
          <w:lang w:val="en-US"/>
        </w:rPr>
      </w:pPr>
      <w:r>
        <w:rPr>
          <w:rFonts w:asciiTheme="majorBidi" w:hAnsiTheme="majorBidi" w:cstheme="majorBidi"/>
        </w:rPr>
        <w:t xml:space="preserve">A SD decrease in the stringency index is associated with 0.8 SD higher mobility for retail locations, and the indirect channel is a (precisely estimated) three-fold larger relationship than the direct channel </w:t>
      </w:r>
      <m:oMath>
        <m:d>
          <m:dPr>
            <m:ctrlPr>
              <w:rPr>
                <w:rFonts w:ascii="Cambria Math" w:hAnsi="Cambria Math" w:cstheme="majorBidi"/>
                <w:i/>
              </w:rPr>
            </m:ctrlPr>
          </m:dPr>
          <m:e>
            <m:r>
              <w:rPr>
                <w:rFonts w:ascii="Cambria Math" w:hAnsi="Cambria Math" w:cstheme="majorBidi"/>
              </w:rPr>
              <m:t>-0.42×-0.82=0.34</m:t>
            </m:r>
          </m:e>
        </m:d>
        <m:r>
          <w:rPr>
            <w:rFonts w:ascii="Cambria Math" w:hAnsi="Cambria Math" w:cstheme="majorBidi"/>
          </w:rPr>
          <m:t>.</m:t>
        </m:r>
      </m:oMath>
      <w:r>
        <w:rPr>
          <w:rFonts w:asciiTheme="majorBidi" w:hAnsiTheme="majorBidi" w:cstheme="majorBidi"/>
        </w:rPr>
        <w:t xml:space="preserve"> This same pattern holds for all indicators in Table 1 that had significant correlations with the fully vaccinated rate; the indirect effect via the stringency index is always at least three-times larger than the direct effect and the direct effect is always statistically insignificant (with </w:t>
      </w:r>
      <w:r>
        <w:rPr>
          <w:rFonts w:asciiTheme="majorBidi" w:hAnsiTheme="majorBidi" w:cstheme="majorBidi"/>
          <w:i/>
          <w:iCs/>
        </w:rPr>
        <w:t>p</w:t>
      </w:r>
      <w:r>
        <w:rPr>
          <w:rFonts w:asciiTheme="majorBidi" w:hAnsiTheme="majorBidi" w:cstheme="majorBidi"/>
        </w:rPr>
        <w:t>-values ranging from 0.16 to 0.80).</w:t>
      </w:r>
    </w:p>
    <w:p w:rsidR="006935DB" w:rsidRPr="00B10789" w:rsidRDefault="006935DB" w:rsidP="007F268F">
      <w:pPr>
        <w:widowControl w:val="0"/>
        <w:spacing w:after="0" w:line="288" w:lineRule="auto"/>
        <w:ind w:firstLine="720"/>
        <w:jc w:val="both"/>
        <w:rPr>
          <w:rFonts w:asciiTheme="majorBidi" w:hAnsiTheme="majorBidi" w:cstheme="majorBidi"/>
          <w:bCs/>
          <w:sz w:val="12"/>
          <w:szCs w:val="12"/>
        </w:rPr>
      </w:pPr>
    </w:p>
    <w:p w:rsidR="000679C1" w:rsidRPr="008A622D" w:rsidRDefault="002A6915" w:rsidP="0092277C">
      <w:pPr>
        <w:keepNext/>
        <w:spacing w:before="120" w:after="0" w:line="360" w:lineRule="auto"/>
        <w:jc w:val="both"/>
        <w:rPr>
          <w:rFonts w:asciiTheme="majorBidi" w:hAnsiTheme="majorBidi" w:cstheme="majorBidi"/>
          <w:b/>
          <w:lang w:val="en-US"/>
        </w:rPr>
      </w:pPr>
      <w:r w:rsidRPr="008A622D">
        <w:rPr>
          <w:rFonts w:asciiTheme="majorBidi" w:hAnsiTheme="majorBidi" w:cstheme="majorBidi"/>
          <w:b/>
          <w:lang w:val="en-US"/>
        </w:rPr>
        <w:t>IV.</w:t>
      </w:r>
      <w:r w:rsidRPr="008A622D">
        <w:rPr>
          <w:rFonts w:asciiTheme="majorBidi" w:hAnsiTheme="majorBidi" w:cstheme="majorBidi"/>
          <w:b/>
          <w:lang w:val="en-US"/>
        </w:rPr>
        <w:tab/>
      </w:r>
      <w:r w:rsidR="00603315">
        <w:rPr>
          <w:rFonts w:asciiTheme="majorBidi" w:hAnsiTheme="majorBidi" w:cstheme="majorBidi"/>
          <w:b/>
          <w:lang w:val="en-US"/>
        </w:rPr>
        <w:t>Interpretation</w:t>
      </w:r>
    </w:p>
    <w:p w:rsidR="00603315" w:rsidRPr="00603315" w:rsidRDefault="00603315" w:rsidP="00603315">
      <w:pPr>
        <w:widowControl w:val="0"/>
        <w:spacing w:after="0" w:line="288" w:lineRule="auto"/>
        <w:ind w:firstLine="720"/>
        <w:jc w:val="both"/>
        <w:rPr>
          <w:rFonts w:asciiTheme="majorBidi" w:hAnsiTheme="majorBidi" w:cstheme="majorBidi"/>
          <w:bCs/>
          <w:iCs/>
        </w:rPr>
      </w:pPr>
      <w:r w:rsidRPr="00603315">
        <w:rPr>
          <w:rFonts w:asciiTheme="majorBidi" w:hAnsiTheme="majorBidi" w:cstheme="majorBidi"/>
          <w:bCs/>
          <w:iCs/>
        </w:rPr>
        <w:t>The vaccine rollout seemingly solves a political/economic problem—getting out of ruinously expensive lockdowns that politicians imposed in 2020—rather than solving a health problem. For these countries, through September 2021, rollout was not faster where excess mortality had been higher and rollout is not correlated with aggregate health effects. Rollout is clearly correlated with rebounds in economic activity but this occurs through relaxation in lockdown restrictions. Politicians have been free at any time to undo what they imposed in 2020, with or without mass vaccination. It is increasingly clear from quasi-experimental case studies (Gibson, 2021a) and cross-country regressions (</w:t>
      </w:r>
      <w:proofErr w:type="spellStart"/>
      <w:r w:rsidRPr="00603315">
        <w:rPr>
          <w:rFonts w:asciiTheme="majorBidi" w:hAnsiTheme="majorBidi" w:cstheme="majorBidi"/>
          <w:bCs/>
        </w:rPr>
        <w:t>Bjørnskov</w:t>
      </w:r>
      <w:proofErr w:type="spellEnd"/>
      <w:r w:rsidRPr="00603315">
        <w:rPr>
          <w:rFonts w:asciiTheme="majorBidi" w:hAnsiTheme="majorBidi" w:cstheme="majorBidi"/>
          <w:bCs/>
        </w:rPr>
        <w:t>, 2021) that lockdowns did not reduce excess mortality during the pandemic</w:t>
      </w:r>
      <w:r w:rsidRPr="00603315">
        <w:rPr>
          <w:rFonts w:asciiTheme="majorBidi" w:hAnsiTheme="majorBidi" w:cstheme="majorBidi"/>
          <w:bCs/>
          <w:iCs/>
        </w:rPr>
        <w:t>. Indeed, lockdowns increased excess mortality in some times and places (Agrawal et al, 2021). Given these ineffective and costly lockdowns it is unclear why mass vaccination is needed as the way out of this misguided intervention, especially as mass vaccination may create its own set of unintended consequences.</w:t>
      </w:r>
    </w:p>
    <w:p w:rsidR="00603315" w:rsidRPr="00603315" w:rsidRDefault="00603315" w:rsidP="007F268F">
      <w:pPr>
        <w:widowControl w:val="0"/>
        <w:spacing w:after="0" w:line="288" w:lineRule="auto"/>
        <w:ind w:firstLine="720"/>
        <w:jc w:val="both"/>
        <w:rPr>
          <w:rFonts w:asciiTheme="majorBidi" w:hAnsiTheme="majorBidi" w:cstheme="majorBidi"/>
          <w:bCs/>
        </w:rPr>
      </w:pPr>
    </w:p>
    <w:p w:rsidR="008C31C3" w:rsidRPr="008A622D" w:rsidRDefault="008C31C3" w:rsidP="007F268F">
      <w:pPr>
        <w:widowControl w:val="0"/>
        <w:spacing w:after="0" w:line="288" w:lineRule="auto"/>
        <w:ind w:firstLine="720"/>
        <w:jc w:val="both"/>
        <w:rPr>
          <w:rFonts w:asciiTheme="majorBidi" w:hAnsiTheme="majorBidi" w:cstheme="majorBidi"/>
          <w:bCs/>
          <w:lang w:val="en-US"/>
        </w:rPr>
      </w:pPr>
    </w:p>
    <w:p w:rsidR="00640C1E" w:rsidRPr="005C323B" w:rsidRDefault="00640C1E">
      <w:pPr>
        <w:rPr>
          <w:rFonts w:asciiTheme="majorBidi" w:hAnsiTheme="majorBidi" w:cstheme="majorBidi"/>
          <w:b/>
          <w:sz w:val="12"/>
          <w:szCs w:val="12"/>
        </w:rPr>
      </w:pPr>
    </w:p>
    <w:p w:rsidR="006D28EA" w:rsidRPr="00603315" w:rsidRDefault="006D28EA" w:rsidP="00603315">
      <w:pPr>
        <w:spacing w:after="20"/>
        <w:rPr>
          <w:rFonts w:asciiTheme="majorBidi" w:hAnsiTheme="majorBidi" w:cstheme="majorBidi"/>
          <w:b/>
          <w:sz w:val="22"/>
          <w:szCs w:val="22"/>
        </w:rPr>
      </w:pPr>
      <w:r w:rsidRPr="00603315">
        <w:rPr>
          <w:rFonts w:asciiTheme="majorBidi" w:hAnsiTheme="majorBidi" w:cstheme="majorBidi"/>
          <w:b/>
          <w:sz w:val="22"/>
          <w:szCs w:val="22"/>
        </w:rPr>
        <w:lastRenderedPageBreak/>
        <w:t>References</w:t>
      </w:r>
    </w:p>
    <w:p w:rsidR="00603315" w:rsidRPr="00603315" w:rsidRDefault="00603315" w:rsidP="00603315">
      <w:pPr>
        <w:spacing w:after="20"/>
        <w:ind w:left="720" w:hanging="720"/>
        <w:rPr>
          <w:rFonts w:asciiTheme="majorBidi" w:hAnsiTheme="majorBidi" w:cstheme="majorBidi"/>
          <w:sz w:val="22"/>
          <w:szCs w:val="22"/>
        </w:rPr>
      </w:pPr>
      <w:r w:rsidRPr="00603315">
        <w:rPr>
          <w:rFonts w:asciiTheme="majorBidi" w:hAnsiTheme="majorBidi" w:cstheme="majorBidi"/>
          <w:sz w:val="22"/>
          <w:szCs w:val="22"/>
        </w:rPr>
        <w:t xml:space="preserve">Agrawal, V., Cantor, J., </w:t>
      </w:r>
      <w:proofErr w:type="spellStart"/>
      <w:r w:rsidRPr="00603315">
        <w:rPr>
          <w:rFonts w:asciiTheme="majorBidi" w:hAnsiTheme="majorBidi" w:cstheme="majorBidi"/>
          <w:sz w:val="22"/>
          <w:szCs w:val="22"/>
        </w:rPr>
        <w:t>Sood</w:t>
      </w:r>
      <w:proofErr w:type="spellEnd"/>
      <w:r w:rsidRPr="00603315">
        <w:rPr>
          <w:rFonts w:asciiTheme="majorBidi" w:hAnsiTheme="majorBidi" w:cstheme="majorBidi"/>
          <w:sz w:val="22"/>
          <w:szCs w:val="22"/>
        </w:rPr>
        <w:t>, N., &amp; Whaley, C. (2021). The impact of the COVID-19 pandemic and policy responses on excess mortality. </w:t>
      </w:r>
      <w:r w:rsidRPr="00603315">
        <w:rPr>
          <w:rFonts w:asciiTheme="majorBidi" w:hAnsiTheme="majorBidi" w:cstheme="majorBidi"/>
          <w:i/>
          <w:iCs/>
          <w:sz w:val="22"/>
          <w:szCs w:val="22"/>
        </w:rPr>
        <w:t xml:space="preserve">Working Paper </w:t>
      </w:r>
      <w:r w:rsidRPr="00603315">
        <w:rPr>
          <w:rFonts w:asciiTheme="majorBidi" w:hAnsiTheme="majorBidi" w:cstheme="majorBidi"/>
          <w:sz w:val="22"/>
          <w:szCs w:val="22"/>
        </w:rPr>
        <w:t>No. w28930, National Bureau of Economic Research.</w:t>
      </w:r>
    </w:p>
    <w:p w:rsidR="00603315" w:rsidRPr="00603315" w:rsidRDefault="00603315" w:rsidP="00603315">
      <w:pPr>
        <w:spacing w:after="20"/>
        <w:ind w:left="720" w:hanging="720"/>
        <w:rPr>
          <w:rFonts w:asciiTheme="majorBidi" w:hAnsiTheme="majorBidi" w:cstheme="majorBidi"/>
          <w:sz w:val="22"/>
          <w:szCs w:val="22"/>
        </w:rPr>
      </w:pPr>
      <w:r w:rsidRPr="00603315">
        <w:rPr>
          <w:rFonts w:asciiTheme="majorBidi" w:hAnsiTheme="majorBidi" w:cstheme="majorBidi"/>
          <w:sz w:val="22"/>
          <w:szCs w:val="22"/>
        </w:rPr>
        <w:t xml:space="preserve">Auld, C., &amp; </w:t>
      </w:r>
      <w:proofErr w:type="spellStart"/>
      <w:r w:rsidRPr="00603315">
        <w:rPr>
          <w:rFonts w:asciiTheme="majorBidi" w:hAnsiTheme="majorBidi" w:cstheme="majorBidi"/>
          <w:sz w:val="22"/>
          <w:szCs w:val="22"/>
        </w:rPr>
        <w:t>Toxvaerd</w:t>
      </w:r>
      <w:proofErr w:type="spellEnd"/>
      <w:r w:rsidRPr="00603315">
        <w:rPr>
          <w:rFonts w:asciiTheme="majorBidi" w:hAnsiTheme="majorBidi" w:cstheme="majorBidi"/>
          <w:sz w:val="22"/>
          <w:szCs w:val="22"/>
        </w:rPr>
        <w:t xml:space="preserve">, F. (2021). The great COVID-19 vaccine rollout: </w:t>
      </w:r>
      <w:proofErr w:type="spellStart"/>
      <w:r w:rsidRPr="00603315">
        <w:rPr>
          <w:rFonts w:asciiTheme="majorBidi" w:hAnsiTheme="majorBidi" w:cstheme="majorBidi"/>
          <w:sz w:val="22"/>
          <w:szCs w:val="22"/>
        </w:rPr>
        <w:t>Behavioral</w:t>
      </w:r>
      <w:proofErr w:type="spellEnd"/>
      <w:r w:rsidRPr="00603315">
        <w:rPr>
          <w:rFonts w:asciiTheme="majorBidi" w:hAnsiTheme="majorBidi" w:cstheme="majorBidi"/>
          <w:sz w:val="22"/>
          <w:szCs w:val="22"/>
        </w:rPr>
        <w:t xml:space="preserve"> and policy responses. </w:t>
      </w:r>
      <w:r w:rsidRPr="00603315">
        <w:rPr>
          <w:rFonts w:asciiTheme="majorBidi" w:hAnsiTheme="majorBidi" w:cstheme="majorBidi"/>
          <w:i/>
          <w:iCs/>
          <w:sz w:val="22"/>
          <w:szCs w:val="22"/>
        </w:rPr>
        <w:t xml:space="preserve">National Institute Economic Review, </w:t>
      </w:r>
      <w:r w:rsidRPr="00603315">
        <w:rPr>
          <w:rFonts w:asciiTheme="majorBidi" w:hAnsiTheme="majorBidi" w:cstheme="majorBidi"/>
          <w:sz w:val="22"/>
          <w:szCs w:val="22"/>
        </w:rPr>
        <w:t>257(1), 14-35.</w:t>
      </w:r>
    </w:p>
    <w:p w:rsidR="00603315" w:rsidRPr="00603315" w:rsidRDefault="00603315" w:rsidP="00603315">
      <w:pPr>
        <w:spacing w:after="20"/>
        <w:ind w:left="720" w:hanging="720"/>
        <w:rPr>
          <w:rFonts w:asciiTheme="majorBidi" w:hAnsiTheme="majorBidi" w:cstheme="majorBidi"/>
          <w:sz w:val="22"/>
          <w:szCs w:val="22"/>
        </w:rPr>
      </w:pPr>
      <w:proofErr w:type="spellStart"/>
      <w:r w:rsidRPr="00603315">
        <w:rPr>
          <w:rFonts w:asciiTheme="majorBidi" w:hAnsiTheme="majorBidi" w:cstheme="majorBidi"/>
          <w:sz w:val="22"/>
          <w:szCs w:val="22"/>
        </w:rPr>
        <w:t>Bjørnskov</w:t>
      </w:r>
      <w:proofErr w:type="spellEnd"/>
      <w:r w:rsidRPr="00603315">
        <w:rPr>
          <w:rFonts w:asciiTheme="majorBidi" w:hAnsiTheme="majorBidi" w:cstheme="majorBidi"/>
          <w:sz w:val="22"/>
          <w:szCs w:val="22"/>
        </w:rPr>
        <w:t xml:space="preserve">, C. (2021). Did lockdown work? An economist’s cross-country comparison. </w:t>
      </w:r>
      <w:proofErr w:type="spellStart"/>
      <w:r w:rsidRPr="00603315">
        <w:rPr>
          <w:rFonts w:asciiTheme="majorBidi" w:hAnsiTheme="majorBidi" w:cstheme="majorBidi"/>
          <w:i/>
          <w:iCs/>
          <w:sz w:val="22"/>
          <w:szCs w:val="22"/>
        </w:rPr>
        <w:t>CESifo</w:t>
      </w:r>
      <w:proofErr w:type="spellEnd"/>
      <w:r w:rsidRPr="00603315">
        <w:rPr>
          <w:rFonts w:asciiTheme="majorBidi" w:hAnsiTheme="majorBidi" w:cstheme="majorBidi"/>
          <w:i/>
          <w:iCs/>
          <w:sz w:val="22"/>
          <w:szCs w:val="22"/>
        </w:rPr>
        <w:t xml:space="preserve"> Economic Studies</w:t>
      </w:r>
      <w:r w:rsidRPr="00603315">
        <w:rPr>
          <w:rFonts w:asciiTheme="majorBidi" w:hAnsiTheme="majorBidi" w:cstheme="majorBidi"/>
          <w:sz w:val="22"/>
          <w:szCs w:val="22"/>
        </w:rPr>
        <w:t>, </w:t>
      </w:r>
      <w:r w:rsidRPr="00603315">
        <w:rPr>
          <w:rFonts w:asciiTheme="majorBidi" w:hAnsiTheme="majorBidi" w:cstheme="majorBidi"/>
          <w:i/>
          <w:iCs/>
          <w:sz w:val="22"/>
          <w:szCs w:val="22"/>
        </w:rPr>
        <w:t>67</w:t>
      </w:r>
      <w:r w:rsidRPr="00603315">
        <w:rPr>
          <w:rFonts w:asciiTheme="majorBidi" w:hAnsiTheme="majorBidi" w:cstheme="majorBidi"/>
          <w:sz w:val="22"/>
          <w:szCs w:val="22"/>
        </w:rPr>
        <w:t>(3), 318-331.</w:t>
      </w:r>
    </w:p>
    <w:p w:rsidR="00603315" w:rsidRPr="00603315" w:rsidRDefault="00603315" w:rsidP="00603315">
      <w:pPr>
        <w:spacing w:after="20"/>
        <w:ind w:left="720" w:hanging="720"/>
        <w:rPr>
          <w:rFonts w:asciiTheme="majorBidi" w:hAnsiTheme="majorBidi" w:cstheme="majorBidi"/>
          <w:sz w:val="22"/>
          <w:szCs w:val="22"/>
        </w:rPr>
      </w:pPr>
      <w:r w:rsidRPr="00603315">
        <w:rPr>
          <w:rFonts w:asciiTheme="majorBidi" w:hAnsiTheme="majorBidi" w:cstheme="majorBidi"/>
          <w:sz w:val="22"/>
          <w:szCs w:val="22"/>
        </w:rPr>
        <w:t xml:space="preserve">Blalock, H. M. (1964). </w:t>
      </w:r>
      <w:r w:rsidRPr="00603315">
        <w:rPr>
          <w:rFonts w:asciiTheme="majorBidi" w:hAnsiTheme="majorBidi" w:cstheme="majorBidi"/>
          <w:i/>
          <w:iCs/>
          <w:sz w:val="22"/>
          <w:szCs w:val="22"/>
        </w:rPr>
        <w:t xml:space="preserve">Causal Inferences in </w:t>
      </w:r>
      <w:proofErr w:type="spellStart"/>
      <w:r w:rsidRPr="00603315">
        <w:rPr>
          <w:rFonts w:asciiTheme="majorBidi" w:hAnsiTheme="majorBidi" w:cstheme="majorBidi"/>
          <w:i/>
          <w:iCs/>
          <w:sz w:val="22"/>
          <w:szCs w:val="22"/>
        </w:rPr>
        <w:t>Nonexperimental</w:t>
      </w:r>
      <w:proofErr w:type="spellEnd"/>
      <w:r w:rsidRPr="00603315">
        <w:rPr>
          <w:rFonts w:asciiTheme="majorBidi" w:hAnsiTheme="majorBidi" w:cstheme="majorBidi"/>
          <w:i/>
          <w:iCs/>
          <w:sz w:val="22"/>
          <w:szCs w:val="22"/>
        </w:rPr>
        <w:t xml:space="preserve"> Research</w:t>
      </w:r>
      <w:r w:rsidRPr="00603315">
        <w:rPr>
          <w:rFonts w:asciiTheme="majorBidi" w:hAnsiTheme="majorBidi" w:cstheme="majorBidi"/>
          <w:sz w:val="22"/>
          <w:szCs w:val="22"/>
        </w:rPr>
        <w:t>. Chapel Hill, N.C.: University of North Carolina Press.</w:t>
      </w:r>
    </w:p>
    <w:p w:rsidR="00603315" w:rsidRPr="00603315" w:rsidRDefault="00603315" w:rsidP="00603315">
      <w:pPr>
        <w:spacing w:after="20"/>
        <w:ind w:left="720" w:hanging="720"/>
        <w:rPr>
          <w:rFonts w:asciiTheme="majorBidi" w:hAnsiTheme="majorBidi" w:cstheme="majorBidi"/>
          <w:sz w:val="22"/>
          <w:szCs w:val="22"/>
        </w:rPr>
      </w:pPr>
      <w:r w:rsidRPr="00603315">
        <w:rPr>
          <w:rFonts w:asciiTheme="majorBidi" w:hAnsiTheme="majorBidi" w:cstheme="majorBidi"/>
          <w:sz w:val="22"/>
          <w:szCs w:val="22"/>
        </w:rPr>
        <w:t xml:space="preserve">Cohn, B., </w:t>
      </w:r>
      <w:proofErr w:type="spellStart"/>
      <w:r w:rsidRPr="00603315">
        <w:rPr>
          <w:rFonts w:asciiTheme="majorBidi" w:hAnsiTheme="majorBidi" w:cstheme="majorBidi"/>
          <w:sz w:val="22"/>
          <w:szCs w:val="22"/>
        </w:rPr>
        <w:t>Cirillo</w:t>
      </w:r>
      <w:proofErr w:type="spellEnd"/>
      <w:r w:rsidRPr="00603315">
        <w:rPr>
          <w:rFonts w:asciiTheme="majorBidi" w:hAnsiTheme="majorBidi" w:cstheme="majorBidi"/>
          <w:sz w:val="22"/>
          <w:szCs w:val="22"/>
        </w:rPr>
        <w:t xml:space="preserve">, P., Murphy, C., </w:t>
      </w:r>
      <w:proofErr w:type="spellStart"/>
      <w:r w:rsidRPr="00603315">
        <w:rPr>
          <w:rFonts w:asciiTheme="majorBidi" w:hAnsiTheme="majorBidi" w:cstheme="majorBidi"/>
          <w:sz w:val="22"/>
          <w:szCs w:val="22"/>
        </w:rPr>
        <w:t>Krigbaum</w:t>
      </w:r>
      <w:proofErr w:type="spellEnd"/>
      <w:r w:rsidRPr="00603315">
        <w:rPr>
          <w:rFonts w:asciiTheme="majorBidi" w:hAnsiTheme="majorBidi" w:cstheme="majorBidi"/>
          <w:sz w:val="22"/>
          <w:szCs w:val="22"/>
        </w:rPr>
        <w:t xml:space="preserve">, N., &amp; Wallace, A. (2021). Breakthrough SARS-CoV-2 infections in 620,000 US veterans, February 1, 2021 to August 13, 2021. </w:t>
      </w:r>
      <w:proofErr w:type="spellStart"/>
      <w:r w:rsidRPr="00603315">
        <w:rPr>
          <w:rFonts w:asciiTheme="majorBidi" w:hAnsiTheme="majorBidi" w:cstheme="majorBidi"/>
          <w:i/>
          <w:iCs/>
          <w:sz w:val="22"/>
          <w:szCs w:val="22"/>
        </w:rPr>
        <w:t>medRxiv</w:t>
      </w:r>
      <w:proofErr w:type="spellEnd"/>
      <w:r w:rsidRPr="00603315">
        <w:rPr>
          <w:rFonts w:asciiTheme="majorBidi" w:hAnsiTheme="majorBidi" w:cstheme="majorBidi"/>
          <w:sz w:val="22"/>
          <w:szCs w:val="22"/>
        </w:rPr>
        <w:t xml:space="preserve">. </w:t>
      </w:r>
      <w:hyperlink r:id="rId12" w:history="1">
        <w:r w:rsidRPr="00603315">
          <w:rPr>
            <w:rStyle w:val="Hyperlink"/>
            <w:rFonts w:asciiTheme="majorBidi" w:hAnsiTheme="majorBidi" w:cstheme="majorBidi"/>
            <w:sz w:val="22"/>
            <w:szCs w:val="22"/>
            <w:shd w:val="clear" w:color="auto" w:fill="FFFFFF"/>
          </w:rPr>
          <w:t>https://doi.org/10.1101/2021.10.13.21264966</w:t>
        </w:r>
      </w:hyperlink>
      <w:r w:rsidRPr="00603315">
        <w:rPr>
          <w:rFonts w:asciiTheme="majorBidi" w:hAnsiTheme="majorBidi" w:cstheme="majorBidi"/>
          <w:color w:val="333333"/>
          <w:sz w:val="22"/>
          <w:szCs w:val="22"/>
          <w:shd w:val="clear" w:color="auto" w:fill="FFFFFF"/>
        </w:rPr>
        <w:t xml:space="preserve"> </w:t>
      </w:r>
    </w:p>
    <w:p w:rsidR="00603315" w:rsidRPr="00603315" w:rsidRDefault="00603315" w:rsidP="00603315">
      <w:pPr>
        <w:spacing w:after="20"/>
        <w:ind w:left="720" w:hanging="720"/>
        <w:rPr>
          <w:rFonts w:asciiTheme="majorBidi" w:hAnsiTheme="majorBidi"/>
          <w:color w:val="222222"/>
          <w:sz w:val="22"/>
          <w:szCs w:val="22"/>
          <w:shd w:val="clear" w:color="auto" w:fill="FFFFFF"/>
        </w:rPr>
      </w:pPr>
      <w:proofErr w:type="spellStart"/>
      <w:r w:rsidRPr="00603315">
        <w:rPr>
          <w:rFonts w:asciiTheme="majorBidi" w:hAnsiTheme="majorBidi" w:cstheme="majorBidi"/>
          <w:color w:val="222222"/>
          <w:sz w:val="22"/>
          <w:szCs w:val="22"/>
          <w:shd w:val="clear" w:color="auto" w:fill="FFFFFF"/>
        </w:rPr>
        <w:t>Dodsworth</w:t>
      </w:r>
      <w:proofErr w:type="spellEnd"/>
      <w:r w:rsidRPr="00603315">
        <w:rPr>
          <w:rFonts w:asciiTheme="majorBidi" w:hAnsiTheme="majorBidi" w:cstheme="majorBidi"/>
          <w:color w:val="222222"/>
          <w:sz w:val="22"/>
          <w:szCs w:val="22"/>
          <w:shd w:val="clear" w:color="auto" w:fill="FFFFFF"/>
        </w:rPr>
        <w:t xml:space="preserve">, L. (2021) </w:t>
      </w:r>
      <w:r w:rsidRPr="00603315">
        <w:rPr>
          <w:rFonts w:asciiTheme="majorBidi" w:hAnsiTheme="majorBidi"/>
          <w:i/>
          <w:iCs/>
          <w:color w:val="222222"/>
          <w:sz w:val="22"/>
          <w:szCs w:val="22"/>
          <w:shd w:val="clear" w:color="auto" w:fill="FFFFFF"/>
        </w:rPr>
        <w:t>A State of Fear : How The UK Government Weaponised Fear During the COVID-19 Pandemic</w:t>
      </w:r>
      <w:r w:rsidRPr="00603315">
        <w:rPr>
          <w:rFonts w:asciiTheme="majorBidi" w:hAnsiTheme="majorBidi"/>
          <w:color w:val="222222"/>
          <w:sz w:val="22"/>
          <w:szCs w:val="22"/>
          <w:shd w:val="clear" w:color="auto" w:fill="FFFFFF"/>
        </w:rPr>
        <w:t xml:space="preserve"> Pinter and Martin: London</w:t>
      </w:r>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proofErr w:type="spellStart"/>
      <w:r w:rsidRPr="00603315">
        <w:rPr>
          <w:rFonts w:asciiTheme="majorBidi" w:hAnsiTheme="majorBidi" w:cstheme="majorBidi"/>
          <w:color w:val="222222"/>
          <w:sz w:val="22"/>
          <w:szCs w:val="22"/>
          <w:shd w:val="clear" w:color="auto" w:fill="FFFFFF"/>
        </w:rPr>
        <w:t>Doshi</w:t>
      </w:r>
      <w:proofErr w:type="spellEnd"/>
      <w:r w:rsidRPr="00603315">
        <w:rPr>
          <w:rFonts w:asciiTheme="majorBidi" w:hAnsiTheme="majorBidi" w:cstheme="majorBidi"/>
          <w:color w:val="222222"/>
          <w:sz w:val="22"/>
          <w:szCs w:val="22"/>
          <w:shd w:val="clear" w:color="auto" w:fill="FFFFFF"/>
        </w:rPr>
        <w:t xml:space="preserve"> P. (2020). Pfizer and </w:t>
      </w:r>
      <w:proofErr w:type="spellStart"/>
      <w:r w:rsidRPr="00603315">
        <w:rPr>
          <w:rFonts w:asciiTheme="majorBidi" w:hAnsiTheme="majorBidi" w:cstheme="majorBidi"/>
          <w:color w:val="222222"/>
          <w:sz w:val="22"/>
          <w:szCs w:val="22"/>
          <w:shd w:val="clear" w:color="auto" w:fill="FFFFFF"/>
        </w:rPr>
        <w:t>Moderna's</w:t>
      </w:r>
      <w:proofErr w:type="spellEnd"/>
      <w:r w:rsidRPr="00603315">
        <w:rPr>
          <w:rFonts w:asciiTheme="majorBidi" w:hAnsiTheme="majorBidi" w:cstheme="majorBidi"/>
          <w:color w:val="222222"/>
          <w:sz w:val="22"/>
          <w:szCs w:val="22"/>
          <w:shd w:val="clear" w:color="auto" w:fill="FFFFFF"/>
        </w:rPr>
        <w:t xml:space="preserve"> “95% effective” vaccines—let's be cautious and first see the full data. </w:t>
      </w:r>
      <w:hyperlink r:id="rId13" w:tgtFrame="_blank" w:history="1">
        <w:r w:rsidRPr="00603315">
          <w:rPr>
            <w:rStyle w:val="Hyperlink"/>
            <w:rFonts w:asciiTheme="majorBidi" w:hAnsiTheme="majorBidi" w:cstheme="majorBidi"/>
            <w:sz w:val="22"/>
            <w:szCs w:val="22"/>
            <w:shd w:val="clear" w:color="auto" w:fill="FFFFFF"/>
          </w:rPr>
          <w:t>https://blogs.bmj.com/bmj/2020/11/26/peter-doshi-pfizer-and-modernas-95-effective-vaccines-lets-be-cautious-and-first-see-the-full-data</w:t>
        </w:r>
      </w:hyperlink>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proofErr w:type="spellStart"/>
      <w:r w:rsidRPr="00603315">
        <w:rPr>
          <w:rFonts w:asciiTheme="majorBidi" w:hAnsiTheme="majorBidi" w:cstheme="majorBidi"/>
          <w:color w:val="222222"/>
          <w:sz w:val="22"/>
          <w:szCs w:val="22"/>
          <w:shd w:val="clear" w:color="auto" w:fill="FFFFFF"/>
        </w:rPr>
        <w:t>Elvidge</w:t>
      </w:r>
      <w:proofErr w:type="spellEnd"/>
      <w:r w:rsidRPr="00603315">
        <w:rPr>
          <w:rFonts w:asciiTheme="majorBidi" w:hAnsiTheme="majorBidi" w:cstheme="majorBidi"/>
          <w:color w:val="222222"/>
          <w:sz w:val="22"/>
          <w:szCs w:val="22"/>
          <w:shd w:val="clear" w:color="auto" w:fill="FFFFFF"/>
        </w:rPr>
        <w:t xml:space="preserve">, C. D., Baugh, K., </w:t>
      </w:r>
      <w:proofErr w:type="spellStart"/>
      <w:r w:rsidRPr="00603315">
        <w:rPr>
          <w:rFonts w:asciiTheme="majorBidi" w:hAnsiTheme="majorBidi" w:cstheme="majorBidi"/>
          <w:color w:val="222222"/>
          <w:sz w:val="22"/>
          <w:szCs w:val="22"/>
          <w:shd w:val="clear" w:color="auto" w:fill="FFFFFF"/>
        </w:rPr>
        <w:t>Zhizhin</w:t>
      </w:r>
      <w:proofErr w:type="spellEnd"/>
      <w:r w:rsidRPr="00603315">
        <w:rPr>
          <w:rFonts w:asciiTheme="majorBidi" w:hAnsiTheme="majorBidi" w:cstheme="majorBidi"/>
          <w:color w:val="222222"/>
          <w:sz w:val="22"/>
          <w:szCs w:val="22"/>
          <w:shd w:val="clear" w:color="auto" w:fill="FFFFFF"/>
        </w:rPr>
        <w:t>, M., Hsu, F. C., &amp; Ghosh, T. (2017). VIIRS night-time lights. </w:t>
      </w:r>
      <w:r w:rsidRPr="00603315">
        <w:rPr>
          <w:rFonts w:asciiTheme="majorBidi" w:hAnsiTheme="majorBidi" w:cstheme="majorBidi"/>
          <w:i/>
          <w:iCs/>
          <w:color w:val="222222"/>
          <w:sz w:val="22"/>
          <w:szCs w:val="22"/>
          <w:shd w:val="clear" w:color="auto" w:fill="FFFFFF"/>
        </w:rPr>
        <w:t>International Journal of Remote Sensing</w:t>
      </w:r>
      <w:r w:rsidRPr="00603315">
        <w:rPr>
          <w:rFonts w:asciiTheme="majorBidi" w:hAnsiTheme="majorBidi" w:cstheme="majorBidi"/>
          <w:color w:val="222222"/>
          <w:sz w:val="22"/>
          <w:szCs w:val="22"/>
          <w:shd w:val="clear" w:color="auto" w:fill="FFFFFF"/>
        </w:rPr>
        <w:t>, </w:t>
      </w:r>
      <w:r w:rsidRPr="00603315">
        <w:rPr>
          <w:rFonts w:asciiTheme="majorBidi" w:hAnsiTheme="majorBidi" w:cstheme="majorBidi"/>
          <w:i/>
          <w:iCs/>
          <w:color w:val="222222"/>
          <w:sz w:val="22"/>
          <w:szCs w:val="22"/>
          <w:shd w:val="clear" w:color="auto" w:fill="FFFFFF"/>
        </w:rPr>
        <w:t>38</w:t>
      </w:r>
      <w:r w:rsidRPr="00603315">
        <w:rPr>
          <w:rFonts w:asciiTheme="majorBidi" w:hAnsiTheme="majorBidi" w:cstheme="majorBidi"/>
          <w:color w:val="222222"/>
          <w:sz w:val="22"/>
          <w:szCs w:val="22"/>
          <w:shd w:val="clear" w:color="auto" w:fill="FFFFFF"/>
        </w:rPr>
        <w:t>(21), 5860-5879.</w:t>
      </w:r>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r w:rsidRPr="00603315">
        <w:rPr>
          <w:rFonts w:asciiTheme="majorBidi" w:hAnsiTheme="majorBidi" w:cstheme="majorBidi"/>
          <w:color w:val="222222"/>
          <w:sz w:val="22"/>
          <w:szCs w:val="22"/>
          <w:shd w:val="clear" w:color="auto" w:fill="FFFFFF"/>
        </w:rPr>
        <w:t>Gibson, J. (2021). Better night lights data, for longer. </w:t>
      </w:r>
      <w:r w:rsidRPr="00603315">
        <w:rPr>
          <w:rFonts w:asciiTheme="majorBidi" w:hAnsiTheme="majorBidi" w:cstheme="majorBidi"/>
          <w:i/>
          <w:iCs/>
          <w:color w:val="222222"/>
          <w:sz w:val="22"/>
          <w:szCs w:val="22"/>
          <w:shd w:val="clear" w:color="auto" w:fill="FFFFFF"/>
        </w:rPr>
        <w:t>Oxford Bulletin of Economics and Statistics</w:t>
      </w:r>
      <w:r w:rsidRPr="00603315">
        <w:rPr>
          <w:rFonts w:asciiTheme="majorBidi" w:hAnsiTheme="majorBidi" w:cstheme="majorBidi"/>
          <w:color w:val="222222"/>
          <w:sz w:val="22"/>
          <w:szCs w:val="22"/>
          <w:shd w:val="clear" w:color="auto" w:fill="FFFFFF"/>
        </w:rPr>
        <w:t>, </w:t>
      </w:r>
      <w:r w:rsidRPr="00603315">
        <w:rPr>
          <w:rFonts w:asciiTheme="majorBidi" w:hAnsiTheme="majorBidi" w:cstheme="majorBidi"/>
          <w:i/>
          <w:iCs/>
          <w:color w:val="222222"/>
          <w:sz w:val="22"/>
          <w:szCs w:val="22"/>
          <w:shd w:val="clear" w:color="auto" w:fill="FFFFFF"/>
        </w:rPr>
        <w:t>83</w:t>
      </w:r>
      <w:r w:rsidRPr="00603315">
        <w:rPr>
          <w:rFonts w:asciiTheme="majorBidi" w:hAnsiTheme="majorBidi" w:cstheme="majorBidi"/>
          <w:color w:val="222222"/>
          <w:sz w:val="22"/>
          <w:szCs w:val="22"/>
          <w:shd w:val="clear" w:color="auto" w:fill="FFFFFF"/>
        </w:rPr>
        <w:t>(3), 770-791.</w:t>
      </w:r>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r w:rsidRPr="00603315">
        <w:rPr>
          <w:rFonts w:asciiTheme="majorBidi" w:hAnsiTheme="majorBidi" w:cstheme="majorBidi"/>
          <w:color w:val="222222"/>
          <w:sz w:val="22"/>
          <w:szCs w:val="22"/>
          <w:shd w:val="clear" w:color="auto" w:fill="FFFFFF"/>
        </w:rPr>
        <w:t xml:space="preserve">Gibson, J. (2021a). Lockdowns for Covid-19 did not reduce mortality: Synthetic control evidence from the no-lockdown case of Belarus. </w:t>
      </w:r>
      <w:r w:rsidRPr="00603315">
        <w:rPr>
          <w:rFonts w:asciiTheme="majorBidi" w:hAnsiTheme="majorBidi" w:cstheme="majorBidi"/>
          <w:i/>
          <w:iCs/>
          <w:color w:val="222222"/>
          <w:sz w:val="22"/>
          <w:szCs w:val="22"/>
          <w:shd w:val="clear" w:color="auto" w:fill="FFFFFF"/>
        </w:rPr>
        <w:t xml:space="preserve">Working Papers in Economics </w:t>
      </w:r>
      <w:r w:rsidRPr="00603315">
        <w:rPr>
          <w:rFonts w:asciiTheme="majorBidi" w:hAnsiTheme="majorBidi" w:cstheme="majorBidi"/>
          <w:color w:val="222222"/>
          <w:sz w:val="22"/>
          <w:szCs w:val="22"/>
          <w:shd w:val="clear" w:color="auto" w:fill="FFFFFF"/>
        </w:rPr>
        <w:t>No. </w:t>
      </w:r>
      <w:r>
        <w:rPr>
          <w:rFonts w:asciiTheme="majorBidi" w:hAnsiTheme="majorBidi" w:cstheme="majorBidi"/>
          <w:color w:val="222222"/>
          <w:sz w:val="22"/>
          <w:szCs w:val="22"/>
          <w:shd w:val="clear" w:color="auto" w:fill="FFFFFF"/>
        </w:rPr>
        <w:t>21/14</w:t>
      </w:r>
      <w:r w:rsidRPr="00603315">
        <w:rPr>
          <w:rFonts w:asciiTheme="majorBidi" w:hAnsiTheme="majorBidi" w:cstheme="majorBidi"/>
          <w:color w:val="222222"/>
          <w:sz w:val="22"/>
          <w:szCs w:val="22"/>
          <w:shd w:val="clear" w:color="auto" w:fill="FFFFFF"/>
        </w:rPr>
        <w:t>, Waikato Management School, University of Waikato.</w:t>
      </w:r>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proofErr w:type="spellStart"/>
      <w:r w:rsidRPr="00603315">
        <w:rPr>
          <w:rFonts w:asciiTheme="majorBidi" w:hAnsiTheme="majorBidi" w:cstheme="majorBidi"/>
          <w:color w:val="222222"/>
          <w:sz w:val="22"/>
          <w:szCs w:val="22"/>
          <w:shd w:val="clear" w:color="auto" w:fill="FFFFFF"/>
        </w:rPr>
        <w:t>Goolsbee</w:t>
      </w:r>
      <w:proofErr w:type="spellEnd"/>
      <w:r w:rsidRPr="00603315">
        <w:rPr>
          <w:rFonts w:asciiTheme="majorBidi" w:hAnsiTheme="majorBidi" w:cstheme="majorBidi"/>
          <w:color w:val="222222"/>
          <w:sz w:val="22"/>
          <w:szCs w:val="22"/>
          <w:shd w:val="clear" w:color="auto" w:fill="FFFFFF"/>
        </w:rPr>
        <w:t xml:space="preserve">, A., &amp; </w:t>
      </w:r>
      <w:proofErr w:type="spellStart"/>
      <w:r w:rsidRPr="00603315">
        <w:rPr>
          <w:rFonts w:asciiTheme="majorBidi" w:hAnsiTheme="majorBidi" w:cstheme="majorBidi"/>
          <w:color w:val="222222"/>
          <w:sz w:val="22"/>
          <w:szCs w:val="22"/>
          <w:shd w:val="clear" w:color="auto" w:fill="FFFFFF"/>
        </w:rPr>
        <w:t>Syverson</w:t>
      </w:r>
      <w:proofErr w:type="spellEnd"/>
      <w:r w:rsidRPr="00603315">
        <w:rPr>
          <w:rFonts w:asciiTheme="majorBidi" w:hAnsiTheme="majorBidi" w:cstheme="majorBidi"/>
          <w:color w:val="222222"/>
          <w:sz w:val="22"/>
          <w:szCs w:val="22"/>
          <w:shd w:val="clear" w:color="auto" w:fill="FFFFFF"/>
        </w:rPr>
        <w:t>, C. (2021). Fear, lockdown, and diversion: Comparing drivers of pandemic economic decline 2020. </w:t>
      </w:r>
      <w:r w:rsidRPr="00603315">
        <w:rPr>
          <w:rFonts w:asciiTheme="majorBidi" w:hAnsiTheme="majorBidi" w:cstheme="majorBidi"/>
          <w:i/>
          <w:iCs/>
          <w:color w:val="222222"/>
          <w:sz w:val="22"/>
          <w:szCs w:val="22"/>
          <w:shd w:val="clear" w:color="auto" w:fill="FFFFFF"/>
        </w:rPr>
        <w:t>Journal of Public Economics</w:t>
      </w:r>
      <w:r w:rsidRPr="00603315">
        <w:rPr>
          <w:rFonts w:asciiTheme="majorBidi" w:hAnsiTheme="majorBidi" w:cstheme="majorBidi"/>
          <w:color w:val="222222"/>
          <w:sz w:val="22"/>
          <w:szCs w:val="22"/>
          <w:shd w:val="clear" w:color="auto" w:fill="FFFFFF"/>
        </w:rPr>
        <w:t>, </w:t>
      </w:r>
      <w:r w:rsidRPr="00603315">
        <w:rPr>
          <w:rFonts w:asciiTheme="majorBidi" w:hAnsiTheme="majorBidi" w:cstheme="majorBidi"/>
          <w:i/>
          <w:iCs/>
          <w:color w:val="222222"/>
          <w:sz w:val="22"/>
          <w:szCs w:val="22"/>
          <w:shd w:val="clear" w:color="auto" w:fill="FFFFFF"/>
        </w:rPr>
        <w:t>193</w:t>
      </w:r>
      <w:r w:rsidRPr="00603315">
        <w:rPr>
          <w:rFonts w:asciiTheme="majorBidi" w:hAnsiTheme="majorBidi" w:cstheme="majorBidi"/>
          <w:color w:val="222222"/>
          <w:sz w:val="22"/>
          <w:szCs w:val="22"/>
          <w:shd w:val="clear" w:color="auto" w:fill="FFFFFF"/>
        </w:rPr>
        <w:t>, 104311.</w:t>
      </w:r>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r w:rsidRPr="00603315">
        <w:rPr>
          <w:rFonts w:asciiTheme="majorBidi" w:hAnsiTheme="majorBidi" w:cstheme="majorBidi"/>
          <w:color w:val="222222"/>
          <w:sz w:val="22"/>
          <w:szCs w:val="22"/>
          <w:shd w:val="clear" w:color="auto" w:fill="FFFFFF"/>
        </w:rPr>
        <w:t xml:space="preserve">Hale, T., Angrist, N., </w:t>
      </w:r>
      <w:proofErr w:type="spellStart"/>
      <w:r w:rsidRPr="00603315">
        <w:rPr>
          <w:rFonts w:asciiTheme="majorBidi" w:hAnsiTheme="majorBidi" w:cstheme="majorBidi"/>
          <w:color w:val="222222"/>
          <w:sz w:val="22"/>
          <w:szCs w:val="22"/>
          <w:shd w:val="clear" w:color="auto" w:fill="FFFFFF"/>
        </w:rPr>
        <w:t>Goldszmidt</w:t>
      </w:r>
      <w:proofErr w:type="spellEnd"/>
      <w:r w:rsidRPr="00603315">
        <w:rPr>
          <w:rFonts w:asciiTheme="majorBidi" w:hAnsiTheme="majorBidi" w:cstheme="majorBidi"/>
          <w:color w:val="222222"/>
          <w:sz w:val="22"/>
          <w:szCs w:val="22"/>
          <w:shd w:val="clear" w:color="auto" w:fill="FFFFFF"/>
        </w:rPr>
        <w:t xml:space="preserve">, R., Kira, B., Petherick, A., Phillips, T., Webster, S., Cameron-Blake, E., Hallas, L., </w:t>
      </w:r>
      <w:proofErr w:type="spellStart"/>
      <w:r w:rsidRPr="00603315">
        <w:rPr>
          <w:rFonts w:asciiTheme="majorBidi" w:hAnsiTheme="majorBidi" w:cstheme="majorBidi"/>
          <w:color w:val="222222"/>
          <w:sz w:val="22"/>
          <w:szCs w:val="22"/>
          <w:shd w:val="clear" w:color="auto" w:fill="FFFFFF"/>
        </w:rPr>
        <w:t>Majumdar</w:t>
      </w:r>
      <w:proofErr w:type="spellEnd"/>
      <w:r w:rsidRPr="00603315">
        <w:rPr>
          <w:rFonts w:asciiTheme="majorBidi" w:hAnsiTheme="majorBidi" w:cstheme="majorBidi"/>
          <w:color w:val="222222"/>
          <w:sz w:val="22"/>
          <w:szCs w:val="22"/>
          <w:shd w:val="clear" w:color="auto" w:fill="FFFFFF"/>
        </w:rPr>
        <w:t xml:space="preserve">, S. &amp; </w:t>
      </w:r>
      <w:proofErr w:type="spellStart"/>
      <w:r w:rsidRPr="00603315">
        <w:rPr>
          <w:rFonts w:asciiTheme="majorBidi" w:hAnsiTheme="majorBidi" w:cstheme="majorBidi"/>
          <w:color w:val="222222"/>
          <w:sz w:val="22"/>
          <w:szCs w:val="22"/>
          <w:shd w:val="clear" w:color="auto" w:fill="FFFFFF"/>
        </w:rPr>
        <w:t>Tatlow</w:t>
      </w:r>
      <w:proofErr w:type="spellEnd"/>
      <w:r w:rsidRPr="00603315">
        <w:rPr>
          <w:rFonts w:asciiTheme="majorBidi" w:hAnsiTheme="majorBidi" w:cstheme="majorBidi"/>
          <w:color w:val="222222"/>
          <w:sz w:val="22"/>
          <w:szCs w:val="22"/>
          <w:shd w:val="clear" w:color="auto" w:fill="FFFFFF"/>
        </w:rPr>
        <w:t>, H. (2021). A global panel database of pandemic policies (Oxford COVID-19 Government Response Tracker). </w:t>
      </w:r>
      <w:r w:rsidRPr="00603315">
        <w:rPr>
          <w:rFonts w:asciiTheme="majorBidi" w:hAnsiTheme="majorBidi" w:cstheme="majorBidi"/>
          <w:i/>
          <w:iCs/>
          <w:color w:val="222222"/>
          <w:sz w:val="22"/>
          <w:szCs w:val="22"/>
          <w:shd w:val="clear" w:color="auto" w:fill="FFFFFF"/>
        </w:rPr>
        <w:t>Nature Human Behaviour</w:t>
      </w:r>
      <w:r w:rsidRPr="00603315">
        <w:rPr>
          <w:rFonts w:asciiTheme="majorBidi" w:hAnsiTheme="majorBidi" w:cstheme="majorBidi"/>
          <w:color w:val="222222"/>
          <w:sz w:val="22"/>
          <w:szCs w:val="22"/>
          <w:shd w:val="clear" w:color="auto" w:fill="FFFFFF"/>
        </w:rPr>
        <w:t>, </w:t>
      </w:r>
      <w:r w:rsidRPr="00603315">
        <w:rPr>
          <w:rFonts w:asciiTheme="majorBidi" w:hAnsiTheme="majorBidi" w:cstheme="majorBidi"/>
          <w:i/>
          <w:iCs/>
          <w:color w:val="222222"/>
          <w:sz w:val="22"/>
          <w:szCs w:val="22"/>
          <w:shd w:val="clear" w:color="auto" w:fill="FFFFFF"/>
        </w:rPr>
        <w:t>5</w:t>
      </w:r>
      <w:r w:rsidRPr="00603315">
        <w:rPr>
          <w:rFonts w:asciiTheme="majorBidi" w:hAnsiTheme="majorBidi" w:cstheme="majorBidi"/>
          <w:color w:val="222222"/>
          <w:sz w:val="22"/>
          <w:szCs w:val="22"/>
          <w:shd w:val="clear" w:color="auto" w:fill="FFFFFF"/>
        </w:rPr>
        <w:t>(4), 529-538.</w:t>
      </w:r>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r w:rsidRPr="00603315">
        <w:rPr>
          <w:rFonts w:asciiTheme="majorBidi" w:hAnsiTheme="majorBidi" w:cstheme="majorBidi"/>
          <w:color w:val="222222"/>
          <w:sz w:val="22"/>
          <w:szCs w:val="22"/>
          <w:shd w:val="clear" w:color="auto" w:fill="FFFFFF"/>
        </w:rPr>
        <w:t>Mathieu, E., Ritchie, H., Ortiz-</w:t>
      </w:r>
      <w:proofErr w:type="spellStart"/>
      <w:r w:rsidRPr="00603315">
        <w:rPr>
          <w:rFonts w:asciiTheme="majorBidi" w:hAnsiTheme="majorBidi" w:cstheme="majorBidi"/>
          <w:color w:val="222222"/>
          <w:sz w:val="22"/>
          <w:szCs w:val="22"/>
          <w:shd w:val="clear" w:color="auto" w:fill="FFFFFF"/>
        </w:rPr>
        <w:t>Ospina</w:t>
      </w:r>
      <w:proofErr w:type="spellEnd"/>
      <w:r w:rsidRPr="00603315">
        <w:rPr>
          <w:rFonts w:asciiTheme="majorBidi" w:hAnsiTheme="majorBidi" w:cstheme="majorBidi"/>
          <w:color w:val="222222"/>
          <w:sz w:val="22"/>
          <w:szCs w:val="22"/>
          <w:shd w:val="clear" w:color="auto" w:fill="FFFFFF"/>
        </w:rPr>
        <w:t xml:space="preserve">, E., </w:t>
      </w:r>
      <w:proofErr w:type="spellStart"/>
      <w:r w:rsidRPr="00603315">
        <w:rPr>
          <w:rFonts w:asciiTheme="majorBidi" w:hAnsiTheme="majorBidi" w:cstheme="majorBidi"/>
          <w:color w:val="222222"/>
          <w:sz w:val="22"/>
          <w:szCs w:val="22"/>
          <w:shd w:val="clear" w:color="auto" w:fill="FFFFFF"/>
        </w:rPr>
        <w:t>Roser</w:t>
      </w:r>
      <w:proofErr w:type="spellEnd"/>
      <w:r w:rsidRPr="00603315">
        <w:rPr>
          <w:rFonts w:asciiTheme="majorBidi" w:hAnsiTheme="majorBidi" w:cstheme="majorBidi"/>
          <w:color w:val="222222"/>
          <w:sz w:val="22"/>
          <w:szCs w:val="22"/>
          <w:shd w:val="clear" w:color="auto" w:fill="FFFFFF"/>
        </w:rPr>
        <w:t xml:space="preserve">, M., </w:t>
      </w:r>
      <w:proofErr w:type="spellStart"/>
      <w:r w:rsidRPr="00603315">
        <w:rPr>
          <w:rFonts w:asciiTheme="majorBidi" w:hAnsiTheme="majorBidi" w:cstheme="majorBidi"/>
          <w:color w:val="222222"/>
          <w:sz w:val="22"/>
          <w:szCs w:val="22"/>
          <w:shd w:val="clear" w:color="auto" w:fill="FFFFFF"/>
        </w:rPr>
        <w:t>Hasell</w:t>
      </w:r>
      <w:proofErr w:type="spellEnd"/>
      <w:r w:rsidRPr="00603315">
        <w:rPr>
          <w:rFonts w:asciiTheme="majorBidi" w:hAnsiTheme="majorBidi" w:cstheme="majorBidi"/>
          <w:color w:val="222222"/>
          <w:sz w:val="22"/>
          <w:szCs w:val="22"/>
          <w:shd w:val="clear" w:color="auto" w:fill="FFFFFF"/>
        </w:rPr>
        <w:t xml:space="preserve">, J., Appel, C., </w:t>
      </w:r>
      <w:proofErr w:type="spellStart"/>
      <w:r w:rsidRPr="00603315">
        <w:rPr>
          <w:rFonts w:asciiTheme="majorBidi" w:hAnsiTheme="majorBidi" w:cstheme="majorBidi"/>
          <w:color w:val="222222"/>
          <w:sz w:val="22"/>
          <w:szCs w:val="22"/>
          <w:shd w:val="clear" w:color="auto" w:fill="FFFFFF"/>
        </w:rPr>
        <w:t>Giattino</w:t>
      </w:r>
      <w:proofErr w:type="spellEnd"/>
      <w:r w:rsidRPr="00603315">
        <w:rPr>
          <w:rFonts w:asciiTheme="majorBidi" w:hAnsiTheme="majorBidi" w:cstheme="majorBidi"/>
          <w:color w:val="222222"/>
          <w:sz w:val="22"/>
          <w:szCs w:val="22"/>
          <w:shd w:val="clear" w:color="auto" w:fill="FFFFFF"/>
        </w:rPr>
        <w:t xml:space="preserve">, C. &amp; </w:t>
      </w:r>
      <w:proofErr w:type="spellStart"/>
      <w:r w:rsidRPr="00603315">
        <w:rPr>
          <w:rFonts w:asciiTheme="majorBidi" w:hAnsiTheme="majorBidi" w:cstheme="majorBidi"/>
          <w:color w:val="222222"/>
          <w:sz w:val="22"/>
          <w:szCs w:val="22"/>
          <w:shd w:val="clear" w:color="auto" w:fill="FFFFFF"/>
        </w:rPr>
        <w:t>Rodés-Guirao</w:t>
      </w:r>
      <w:proofErr w:type="spellEnd"/>
      <w:r w:rsidRPr="00603315">
        <w:rPr>
          <w:rFonts w:asciiTheme="majorBidi" w:hAnsiTheme="majorBidi" w:cstheme="majorBidi"/>
          <w:color w:val="222222"/>
          <w:sz w:val="22"/>
          <w:szCs w:val="22"/>
          <w:shd w:val="clear" w:color="auto" w:fill="FFFFFF"/>
        </w:rPr>
        <w:t>, L. (2021). A global database of COVID-19 vaccinations. </w:t>
      </w:r>
      <w:r w:rsidRPr="00603315">
        <w:rPr>
          <w:rFonts w:asciiTheme="majorBidi" w:hAnsiTheme="majorBidi" w:cstheme="majorBidi"/>
          <w:i/>
          <w:iCs/>
          <w:color w:val="222222"/>
          <w:sz w:val="22"/>
          <w:szCs w:val="22"/>
          <w:shd w:val="clear" w:color="auto" w:fill="FFFFFF"/>
        </w:rPr>
        <w:t>Nature Human Behaviour</w:t>
      </w:r>
      <w:r w:rsidRPr="00603315">
        <w:rPr>
          <w:rFonts w:asciiTheme="majorBidi" w:hAnsiTheme="majorBidi" w:cstheme="majorBidi"/>
          <w:color w:val="222222"/>
          <w:sz w:val="22"/>
          <w:szCs w:val="22"/>
          <w:shd w:val="clear" w:color="auto" w:fill="FFFFFF"/>
        </w:rPr>
        <w:t xml:space="preserve">, </w:t>
      </w:r>
      <w:r w:rsidRPr="00603315">
        <w:rPr>
          <w:rFonts w:asciiTheme="majorBidi" w:hAnsiTheme="majorBidi" w:cstheme="majorBidi"/>
          <w:i/>
          <w:iCs/>
          <w:color w:val="222222"/>
          <w:sz w:val="22"/>
          <w:szCs w:val="22"/>
          <w:shd w:val="clear" w:color="auto" w:fill="FFFFFF"/>
        </w:rPr>
        <w:t>5</w:t>
      </w:r>
      <w:r w:rsidRPr="00603315">
        <w:rPr>
          <w:rFonts w:asciiTheme="majorBidi" w:hAnsiTheme="majorBidi" w:cstheme="majorBidi"/>
          <w:color w:val="222222"/>
          <w:sz w:val="22"/>
          <w:szCs w:val="22"/>
          <w:shd w:val="clear" w:color="auto" w:fill="FFFFFF"/>
        </w:rPr>
        <w:t>, 947–953.</w:t>
      </w:r>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proofErr w:type="spellStart"/>
      <w:r w:rsidRPr="00603315">
        <w:rPr>
          <w:rFonts w:asciiTheme="majorBidi" w:hAnsiTheme="majorBidi" w:cstheme="majorBidi"/>
          <w:color w:val="222222"/>
          <w:sz w:val="22"/>
          <w:szCs w:val="22"/>
          <w:shd w:val="clear" w:color="auto" w:fill="FFFFFF"/>
        </w:rPr>
        <w:t>Németh</w:t>
      </w:r>
      <w:proofErr w:type="spellEnd"/>
      <w:r w:rsidRPr="00603315">
        <w:rPr>
          <w:rFonts w:asciiTheme="majorBidi" w:hAnsiTheme="majorBidi" w:cstheme="majorBidi"/>
          <w:color w:val="222222"/>
          <w:sz w:val="22"/>
          <w:szCs w:val="22"/>
          <w:shd w:val="clear" w:color="auto" w:fill="FFFFFF"/>
        </w:rPr>
        <w:t xml:space="preserve">, L., </w:t>
      </w:r>
      <w:proofErr w:type="spellStart"/>
      <w:r w:rsidRPr="00603315">
        <w:rPr>
          <w:rFonts w:asciiTheme="majorBidi" w:hAnsiTheme="majorBidi" w:cstheme="majorBidi"/>
          <w:color w:val="222222"/>
          <w:sz w:val="22"/>
          <w:szCs w:val="22"/>
          <w:shd w:val="clear" w:color="auto" w:fill="FFFFFF"/>
        </w:rPr>
        <w:t>Jdanov</w:t>
      </w:r>
      <w:proofErr w:type="spellEnd"/>
      <w:r w:rsidRPr="00603315">
        <w:rPr>
          <w:rFonts w:asciiTheme="majorBidi" w:hAnsiTheme="majorBidi" w:cstheme="majorBidi"/>
          <w:color w:val="222222"/>
          <w:sz w:val="22"/>
          <w:szCs w:val="22"/>
          <w:shd w:val="clear" w:color="auto" w:fill="FFFFFF"/>
        </w:rPr>
        <w:t xml:space="preserve">, D., &amp; </w:t>
      </w:r>
      <w:proofErr w:type="spellStart"/>
      <w:r w:rsidRPr="00603315">
        <w:rPr>
          <w:rFonts w:asciiTheme="majorBidi" w:hAnsiTheme="majorBidi" w:cstheme="majorBidi"/>
          <w:color w:val="222222"/>
          <w:sz w:val="22"/>
          <w:szCs w:val="22"/>
          <w:shd w:val="clear" w:color="auto" w:fill="FFFFFF"/>
        </w:rPr>
        <w:t>Shkolnikov</w:t>
      </w:r>
      <w:proofErr w:type="spellEnd"/>
      <w:r w:rsidRPr="00603315">
        <w:rPr>
          <w:rFonts w:asciiTheme="majorBidi" w:hAnsiTheme="majorBidi" w:cstheme="majorBidi"/>
          <w:color w:val="222222"/>
          <w:sz w:val="22"/>
          <w:szCs w:val="22"/>
          <w:shd w:val="clear" w:color="auto" w:fill="FFFFFF"/>
        </w:rPr>
        <w:t>, V. (2021). An open-sourced, web-based application to analyse weekly excess mortality based on the Short-term Mortality Fluctuations data series. </w:t>
      </w:r>
      <w:proofErr w:type="spellStart"/>
      <w:r w:rsidRPr="00603315">
        <w:rPr>
          <w:rFonts w:asciiTheme="majorBidi" w:hAnsiTheme="majorBidi" w:cstheme="majorBidi"/>
          <w:i/>
          <w:iCs/>
          <w:color w:val="222222"/>
          <w:sz w:val="22"/>
          <w:szCs w:val="22"/>
          <w:shd w:val="clear" w:color="auto" w:fill="FFFFFF"/>
        </w:rPr>
        <w:t>PloS</w:t>
      </w:r>
      <w:proofErr w:type="spellEnd"/>
      <w:r w:rsidRPr="00603315">
        <w:rPr>
          <w:rFonts w:asciiTheme="majorBidi" w:hAnsiTheme="majorBidi" w:cstheme="majorBidi"/>
          <w:i/>
          <w:iCs/>
          <w:color w:val="222222"/>
          <w:sz w:val="22"/>
          <w:szCs w:val="22"/>
          <w:shd w:val="clear" w:color="auto" w:fill="FFFFFF"/>
        </w:rPr>
        <w:t xml:space="preserve"> One</w:t>
      </w:r>
      <w:r w:rsidRPr="00603315">
        <w:rPr>
          <w:rFonts w:asciiTheme="majorBidi" w:hAnsiTheme="majorBidi" w:cstheme="majorBidi"/>
          <w:color w:val="222222"/>
          <w:sz w:val="22"/>
          <w:szCs w:val="22"/>
          <w:shd w:val="clear" w:color="auto" w:fill="FFFFFF"/>
        </w:rPr>
        <w:t>, </w:t>
      </w:r>
      <w:r w:rsidRPr="00603315">
        <w:rPr>
          <w:rFonts w:asciiTheme="majorBidi" w:hAnsiTheme="majorBidi" w:cstheme="majorBidi"/>
          <w:i/>
          <w:iCs/>
          <w:color w:val="222222"/>
          <w:sz w:val="22"/>
          <w:szCs w:val="22"/>
          <w:shd w:val="clear" w:color="auto" w:fill="FFFFFF"/>
        </w:rPr>
        <w:t>16</w:t>
      </w:r>
      <w:r w:rsidRPr="00603315">
        <w:rPr>
          <w:rFonts w:asciiTheme="majorBidi" w:hAnsiTheme="majorBidi" w:cstheme="majorBidi"/>
          <w:color w:val="222222"/>
          <w:sz w:val="22"/>
          <w:szCs w:val="22"/>
          <w:shd w:val="clear" w:color="auto" w:fill="FFFFFF"/>
        </w:rPr>
        <w:t xml:space="preserve">(2), e0246663. </w:t>
      </w:r>
    </w:p>
    <w:p w:rsidR="00603315" w:rsidRPr="00603315" w:rsidRDefault="00603315" w:rsidP="00603315">
      <w:pPr>
        <w:spacing w:after="20"/>
        <w:ind w:left="720" w:hanging="720"/>
        <w:rPr>
          <w:rFonts w:asciiTheme="majorBidi" w:hAnsiTheme="majorBidi" w:cstheme="majorBidi"/>
          <w:color w:val="222222"/>
          <w:sz w:val="22"/>
          <w:szCs w:val="22"/>
          <w:shd w:val="clear" w:color="auto" w:fill="FFFFFF"/>
          <w:lang w:val="it-IT"/>
        </w:rPr>
      </w:pPr>
      <w:r w:rsidRPr="00603315">
        <w:rPr>
          <w:rFonts w:asciiTheme="majorBidi" w:hAnsiTheme="majorBidi" w:cstheme="majorBidi"/>
          <w:color w:val="222222"/>
          <w:sz w:val="22"/>
          <w:szCs w:val="22"/>
          <w:shd w:val="clear" w:color="auto" w:fill="FFFFFF"/>
        </w:rPr>
        <w:t xml:space="preserve">Organization for Economic Cooperation and Development [OECD] (2021). </w:t>
      </w:r>
      <w:r w:rsidRPr="00603315">
        <w:rPr>
          <w:rFonts w:asciiTheme="majorBidi" w:hAnsiTheme="majorBidi" w:cstheme="majorBidi"/>
          <w:i/>
          <w:iCs/>
          <w:color w:val="222222"/>
          <w:sz w:val="22"/>
          <w:szCs w:val="22"/>
          <w:shd w:val="clear" w:color="auto" w:fill="FFFFFF"/>
        </w:rPr>
        <w:t xml:space="preserve">The Race to Vaccinate: Understanding the Policy Challenges Around Covid-19 Vaccines. </w:t>
      </w:r>
      <w:hyperlink r:id="rId14" w:history="1">
        <w:r w:rsidRPr="00603315">
          <w:rPr>
            <w:rStyle w:val="Hyperlink"/>
            <w:rFonts w:asciiTheme="majorBidi" w:hAnsiTheme="majorBidi" w:cstheme="majorBidi"/>
            <w:sz w:val="22"/>
            <w:szCs w:val="22"/>
            <w:shd w:val="clear" w:color="auto" w:fill="FFFFFF"/>
            <w:lang w:val="it-IT"/>
          </w:rPr>
          <w:t>https://www.oecd.org/coronavirus/en/vaccines</w:t>
        </w:r>
      </w:hyperlink>
      <w:r w:rsidRPr="00603315">
        <w:rPr>
          <w:rFonts w:asciiTheme="majorBidi" w:hAnsiTheme="majorBidi" w:cstheme="majorBidi"/>
          <w:color w:val="222222"/>
          <w:sz w:val="22"/>
          <w:szCs w:val="22"/>
          <w:shd w:val="clear" w:color="auto" w:fill="FFFFFF"/>
          <w:lang w:val="it-IT"/>
        </w:rPr>
        <w:t xml:space="preserve"> </w:t>
      </w:r>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r w:rsidRPr="00603315">
        <w:rPr>
          <w:rFonts w:asciiTheme="majorBidi" w:hAnsiTheme="majorBidi" w:cstheme="majorBidi"/>
          <w:color w:val="222222"/>
          <w:sz w:val="22"/>
          <w:szCs w:val="22"/>
          <w:shd w:val="clear" w:color="auto" w:fill="FFFFFF"/>
          <w:lang w:val="it-IT"/>
        </w:rPr>
        <w:t xml:space="preserve">Olliaro, P., Torreele, E., &amp; Vaillant, M. (2021). </w:t>
      </w:r>
      <w:r w:rsidRPr="00603315">
        <w:rPr>
          <w:rFonts w:asciiTheme="majorBidi" w:hAnsiTheme="majorBidi" w:cstheme="majorBidi"/>
          <w:color w:val="222222"/>
          <w:sz w:val="22"/>
          <w:szCs w:val="22"/>
          <w:shd w:val="clear" w:color="auto" w:fill="FFFFFF"/>
        </w:rPr>
        <w:t>COVID-19 vaccine efficacy and effectiveness—the elephant (not) in the room. </w:t>
      </w:r>
      <w:r w:rsidRPr="00603315">
        <w:rPr>
          <w:rFonts w:asciiTheme="majorBidi" w:hAnsiTheme="majorBidi" w:cstheme="majorBidi"/>
          <w:i/>
          <w:iCs/>
          <w:color w:val="222222"/>
          <w:sz w:val="22"/>
          <w:szCs w:val="22"/>
          <w:shd w:val="clear" w:color="auto" w:fill="FFFFFF"/>
        </w:rPr>
        <w:t>The Lancet Microbe</w:t>
      </w:r>
      <w:r w:rsidRPr="00603315">
        <w:rPr>
          <w:rFonts w:asciiTheme="majorBidi" w:hAnsiTheme="majorBidi" w:cstheme="majorBidi"/>
          <w:color w:val="222222"/>
          <w:sz w:val="22"/>
          <w:szCs w:val="22"/>
          <w:shd w:val="clear" w:color="auto" w:fill="FFFFFF"/>
        </w:rPr>
        <w:t xml:space="preserve">, </w:t>
      </w:r>
      <w:r w:rsidRPr="00603315">
        <w:rPr>
          <w:rFonts w:asciiTheme="majorBidi" w:hAnsiTheme="majorBidi" w:cstheme="majorBidi"/>
          <w:i/>
          <w:iCs/>
          <w:color w:val="222222"/>
          <w:sz w:val="22"/>
          <w:szCs w:val="22"/>
          <w:shd w:val="clear" w:color="auto" w:fill="FFFFFF"/>
        </w:rPr>
        <w:t>2</w:t>
      </w:r>
      <w:r w:rsidRPr="00603315">
        <w:rPr>
          <w:rFonts w:asciiTheme="majorBidi" w:hAnsiTheme="majorBidi" w:cstheme="majorBidi"/>
          <w:color w:val="222222"/>
          <w:sz w:val="22"/>
          <w:szCs w:val="22"/>
          <w:shd w:val="clear" w:color="auto" w:fill="FFFFFF"/>
        </w:rPr>
        <w:t>(7) e279-e280.</w:t>
      </w:r>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r w:rsidRPr="00603315">
        <w:rPr>
          <w:rFonts w:asciiTheme="majorBidi" w:hAnsiTheme="majorBidi" w:cstheme="majorBidi"/>
          <w:color w:val="222222"/>
          <w:sz w:val="22"/>
          <w:szCs w:val="22"/>
          <w:shd w:val="clear" w:color="auto" w:fill="FFFFFF"/>
        </w:rPr>
        <w:t>Subramanian, S., &amp; Kumar, A. (2021). Increases in COVID-19 are unrelated to levels of vaccination across 68 countries and 2947 counties in the United States. </w:t>
      </w:r>
      <w:r w:rsidRPr="00603315">
        <w:rPr>
          <w:rFonts w:asciiTheme="majorBidi" w:hAnsiTheme="majorBidi" w:cstheme="majorBidi"/>
          <w:i/>
          <w:iCs/>
          <w:color w:val="222222"/>
          <w:sz w:val="22"/>
          <w:szCs w:val="22"/>
          <w:shd w:val="clear" w:color="auto" w:fill="FFFFFF"/>
        </w:rPr>
        <w:t>European Journal of Epidemiology</w:t>
      </w:r>
      <w:r w:rsidRPr="00603315">
        <w:rPr>
          <w:rFonts w:asciiTheme="majorBidi" w:hAnsiTheme="majorBidi" w:cstheme="majorBidi"/>
          <w:color w:val="222222"/>
          <w:sz w:val="22"/>
          <w:szCs w:val="22"/>
          <w:shd w:val="clear" w:color="auto" w:fill="FFFFFF"/>
        </w:rPr>
        <w:t>, 1-4.</w:t>
      </w:r>
    </w:p>
    <w:p w:rsidR="00640C1E" w:rsidRPr="00603315" w:rsidRDefault="00603315" w:rsidP="00603315">
      <w:pPr>
        <w:widowControl w:val="0"/>
        <w:spacing w:after="0"/>
        <w:ind w:left="720" w:hanging="720"/>
        <w:rPr>
          <w:rFonts w:asciiTheme="majorBidi" w:eastAsia="Times New Roman" w:hAnsiTheme="majorBidi" w:cstheme="majorBidi"/>
          <w:sz w:val="22"/>
          <w:szCs w:val="22"/>
          <w:lang w:bidi="he-IL"/>
        </w:rPr>
      </w:pPr>
      <w:proofErr w:type="spellStart"/>
      <w:r w:rsidRPr="00603315">
        <w:rPr>
          <w:rFonts w:asciiTheme="majorBidi" w:hAnsiTheme="majorBidi" w:cstheme="majorBidi"/>
          <w:color w:val="222222"/>
          <w:sz w:val="22"/>
          <w:szCs w:val="22"/>
          <w:shd w:val="clear" w:color="auto" w:fill="FFFFFF"/>
        </w:rPr>
        <w:t>Tartof</w:t>
      </w:r>
      <w:proofErr w:type="spellEnd"/>
      <w:r w:rsidRPr="00603315">
        <w:rPr>
          <w:rFonts w:asciiTheme="majorBidi" w:hAnsiTheme="majorBidi" w:cstheme="majorBidi"/>
          <w:color w:val="222222"/>
          <w:sz w:val="22"/>
          <w:szCs w:val="22"/>
          <w:shd w:val="clear" w:color="auto" w:fill="FFFFFF"/>
        </w:rPr>
        <w:t xml:space="preserve">, S., </w:t>
      </w:r>
      <w:proofErr w:type="spellStart"/>
      <w:r w:rsidRPr="00603315">
        <w:rPr>
          <w:rFonts w:asciiTheme="majorBidi" w:hAnsiTheme="majorBidi" w:cstheme="majorBidi"/>
          <w:color w:val="222222"/>
          <w:sz w:val="22"/>
          <w:szCs w:val="22"/>
          <w:shd w:val="clear" w:color="auto" w:fill="FFFFFF"/>
        </w:rPr>
        <w:t>Slezak</w:t>
      </w:r>
      <w:proofErr w:type="spellEnd"/>
      <w:r w:rsidRPr="00603315">
        <w:rPr>
          <w:rFonts w:asciiTheme="majorBidi" w:hAnsiTheme="majorBidi" w:cstheme="majorBidi"/>
          <w:color w:val="222222"/>
          <w:sz w:val="22"/>
          <w:szCs w:val="22"/>
          <w:shd w:val="clear" w:color="auto" w:fill="FFFFFF"/>
        </w:rPr>
        <w:t xml:space="preserve">, J., Fischer, H., Hong, V., Ackerson, B., </w:t>
      </w:r>
      <w:proofErr w:type="spellStart"/>
      <w:r w:rsidRPr="00603315">
        <w:rPr>
          <w:rFonts w:asciiTheme="majorBidi" w:hAnsiTheme="majorBidi" w:cstheme="majorBidi"/>
          <w:color w:val="222222"/>
          <w:sz w:val="22"/>
          <w:szCs w:val="22"/>
          <w:shd w:val="clear" w:color="auto" w:fill="FFFFFF"/>
        </w:rPr>
        <w:t>Ranasinghe</w:t>
      </w:r>
      <w:proofErr w:type="spellEnd"/>
      <w:r w:rsidRPr="00603315">
        <w:rPr>
          <w:rFonts w:asciiTheme="majorBidi" w:hAnsiTheme="majorBidi" w:cstheme="majorBidi"/>
          <w:color w:val="222222"/>
          <w:sz w:val="22"/>
          <w:szCs w:val="22"/>
          <w:shd w:val="clear" w:color="auto" w:fill="FFFFFF"/>
        </w:rPr>
        <w:t xml:space="preserve">, O., </w:t>
      </w:r>
      <w:proofErr w:type="spellStart"/>
      <w:r w:rsidRPr="00603315">
        <w:rPr>
          <w:rFonts w:asciiTheme="majorBidi" w:hAnsiTheme="majorBidi" w:cstheme="majorBidi"/>
          <w:color w:val="222222"/>
          <w:sz w:val="22"/>
          <w:szCs w:val="22"/>
          <w:shd w:val="clear" w:color="auto" w:fill="FFFFFF"/>
        </w:rPr>
        <w:t>Frankland</w:t>
      </w:r>
      <w:proofErr w:type="spellEnd"/>
      <w:r w:rsidRPr="00603315">
        <w:rPr>
          <w:rFonts w:asciiTheme="majorBidi" w:hAnsiTheme="majorBidi" w:cstheme="majorBidi"/>
          <w:color w:val="222222"/>
          <w:sz w:val="22"/>
          <w:szCs w:val="22"/>
          <w:shd w:val="clear" w:color="auto" w:fill="FFFFFF"/>
        </w:rPr>
        <w:t xml:space="preserve">, T., </w:t>
      </w:r>
      <w:proofErr w:type="spellStart"/>
      <w:r w:rsidRPr="00603315">
        <w:rPr>
          <w:rFonts w:asciiTheme="majorBidi" w:hAnsiTheme="majorBidi" w:cstheme="majorBidi"/>
          <w:color w:val="222222"/>
          <w:sz w:val="22"/>
          <w:szCs w:val="22"/>
          <w:shd w:val="clear" w:color="auto" w:fill="FFFFFF"/>
        </w:rPr>
        <w:t>Okun</w:t>
      </w:r>
      <w:proofErr w:type="spellEnd"/>
      <w:r w:rsidRPr="00603315">
        <w:rPr>
          <w:rFonts w:asciiTheme="majorBidi" w:hAnsiTheme="majorBidi" w:cstheme="majorBidi"/>
          <w:color w:val="222222"/>
          <w:sz w:val="22"/>
          <w:szCs w:val="22"/>
          <w:shd w:val="clear" w:color="auto" w:fill="FFFFFF"/>
        </w:rPr>
        <w:t xml:space="preserve">, O., </w:t>
      </w:r>
      <w:proofErr w:type="spellStart"/>
      <w:r w:rsidRPr="00603315">
        <w:rPr>
          <w:rFonts w:asciiTheme="majorBidi" w:hAnsiTheme="majorBidi" w:cstheme="majorBidi"/>
          <w:color w:val="222222"/>
          <w:sz w:val="22"/>
          <w:szCs w:val="22"/>
          <w:shd w:val="clear" w:color="auto" w:fill="FFFFFF"/>
        </w:rPr>
        <w:t>Zampara</w:t>
      </w:r>
      <w:proofErr w:type="spellEnd"/>
      <w:r w:rsidRPr="00603315">
        <w:rPr>
          <w:rFonts w:asciiTheme="majorBidi" w:hAnsiTheme="majorBidi" w:cstheme="majorBidi"/>
          <w:color w:val="222222"/>
          <w:sz w:val="22"/>
          <w:szCs w:val="22"/>
          <w:shd w:val="clear" w:color="auto" w:fill="FFFFFF"/>
        </w:rPr>
        <w:t xml:space="preserve">, J., </w:t>
      </w:r>
      <w:proofErr w:type="spellStart"/>
      <w:r w:rsidRPr="00603315">
        <w:rPr>
          <w:rFonts w:asciiTheme="majorBidi" w:hAnsiTheme="majorBidi" w:cstheme="majorBidi"/>
          <w:color w:val="222222"/>
          <w:sz w:val="22"/>
          <w:szCs w:val="22"/>
          <w:shd w:val="clear" w:color="auto" w:fill="FFFFFF"/>
        </w:rPr>
        <w:t>Gray</w:t>
      </w:r>
      <w:proofErr w:type="spellEnd"/>
      <w:r w:rsidRPr="00603315">
        <w:rPr>
          <w:rFonts w:asciiTheme="majorBidi" w:hAnsiTheme="majorBidi" w:cstheme="majorBidi"/>
          <w:color w:val="222222"/>
          <w:sz w:val="22"/>
          <w:szCs w:val="22"/>
          <w:shd w:val="clear" w:color="auto" w:fill="FFFFFF"/>
        </w:rPr>
        <w:t xml:space="preserve">, S., </w:t>
      </w:r>
      <w:proofErr w:type="spellStart"/>
      <w:r w:rsidRPr="00603315">
        <w:rPr>
          <w:rFonts w:asciiTheme="majorBidi" w:hAnsiTheme="majorBidi" w:cstheme="majorBidi"/>
          <w:color w:val="222222"/>
          <w:sz w:val="22"/>
          <w:szCs w:val="22"/>
          <w:shd w:val="clear" w:color="auto" w:fill="FFFFFF"/>
        </w:rPr>
        <w:t>Valluri</w:t>
      </w:r>
      <w:proofErr w:type="spellEnd"/>
      <w:r w:rsidRPr="00603315">
        <w:rPr>
          <w:rFonts w:asciiTheme="majorBidi" w:hAnsiTheme="majorBidi" w:cstheme="majorBidi"/>
          <w:color w:val="222222"/>
          <w:sz w:val="22"/>
          <w:szCs w:val="22"/>
          <w:shd w:val="clear" w:color="auto" w:fill="FFFFFF"/>
        </w:rPr>
        <w:t xml:space="preserve">, S., Pan, K., Angulo, F., </w:t>
      </w:r>
      <w:proofErr w:type="spellStart"/>
      <w:r w:rsidRPr="00603315">
        <w:rPr>
          <w:rFonts w:asciiTheme="majorBidi" w:hAnsiTheme="majorBidi" w:cstheme="majorBidi"/>
          <w:color w:val="222222"/>
          <w:sz w:val="22"/>
          <w:szCs w:val="22"/>
          <w:shd w:val="clear" w:color="auto" w:fill="FFFFFF"/>
        </w:rPr>
        <w:t>Jodar</w:t>
      </w:r>
      <w:proofErr w:type="spellEnd"/>
      <w:r w:rsidRPr="00603315">
        <w:rPr>
          <w:rFonts w:asciiTheme="majorBidi" w:hAnsiTheme="majorBidi" w:cstheme="majorBidi"/>
          <w:color w:val="222222"/>
          <w:sz w:val="22"/>
          <w:szCs w:val="22"/>
          <w:shd w:val="clear" w:color="auto" w:fill="FFFFFF"/>
        </w:rPr>
        <w:t>, L., &amp; McLaughlin, J. M. (2021). Effectiveness of mRNA BNT162b2 COVID-19 vaccine up to 6 months in a large integrated health system in the USA: a retrospective cohort study. </w:t>
      </w:r>
      <w:r w:rsidRPr="00603315">
        <w:rPr>
          <w:rFonts w:asciiTheme="majorBidi" w:hAnsiTheme="majorBidi" w:cstheme="majorBidi"/>
          <w:i/>
          <w:iCs/>
          <w:color w:val="222222"/>
          <w:sz w:val="22"/>
          <w:szCs w:val="22"/>
          <w:shd w:val="clear" w:color="auto" w:fill="FFFFFF"/>
        </w:rPr>
        <w:t>The Lancet</w:t>
      </w:r>
      <w:r w:rsidRPr="00603315">
        <w:rPr>
          <w:rFonts w:asciiTheme="majorBidi" w:hAnsiTheme="majorBidi" w:cstheme="majorBidi"/>
          <w:color w:val="222222"/>
          <w:sz w:val="22"/>
          <w:szCs w:val="22"/>
          <w:shd w:val="clear" w:color="auto" w:fill="FFFFFF"/>
        </w:rPr>
        <w:t>, 398 (10309) 1407-16.</w:t>
      </w:r>
    </w:p>
    <w:tbl>
      <w:tblPr>
        <w:tblStyle w:val="TableGrid"/>
        <w:tblW w:w="8846" w:type="dxa"/>
        <w:tblCellMar>
          <w:left w:w="0" w:type="dxa"/>
          <w:right w:w="0" w:type="dxa"/>
        </w:tblCellMar>
        <w:tblLook w:val="04A0" w:firstRow="1" w:lastRow="0" w:firstColumn="1" w:lastColumn="0" w:noHBand="0" w:noVBand="1"/>
      </w:tblPr>
      <w:tblGrid>
        <w:gridCol w:w="2098"/>
        <w:gridCol w:w="1191"/>
        <w:gridCol w:w="1361"/>
        <w:gridCol w:w="1361"/>
        <w:gridCol w:w="113"/>
        <w:gridCol w:w="1361"/>
        <w:gridCol w:w="1361"/>
      </w:tblGrid>
      <w:tr w:rsidR="003F1941" w:rsidTr="003F1941">
        <w:tc>
          <w:tcPr>
            <w:tcW w:w="8846" w:type="dxa"/>
            <w:gridSpan w:val="7"/>
            <w:tcBorders>
              <w:top w:val="nil"/>
              <w:left w:val="nil"/>
              <w:bottom w:val="single" w:sz="4" w:space="0" w:color="auto"/>
              <w:right w:val="nil"/>
            </w:tcBorders>
          </w:tcPr>
          <w:p w:rsidR="003F1941" w:rsidRPr="003F1941" w:rsidRDefault="003F1941" w:rsidP="003F1941">
            <w:pPr>
              <w:widowControl w:val="0"/>
              <w:spacing w:after="40"/>
              <w:jc w:val="center"/>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lastRenderedPageBreak/>
              <w:t>Appendix Table 1: Countries in the sample and summary statistics on vaccination rates</w:t>
            </w:r>
          </w:p>
        </w:tc>
      </w:tr>
      <w:tr w:rsidR="003F1941" w:rsidTr="0007596A">
        <w:tc>
          <w:tcPr>
            <w:tcW w:w="2098" w:type="dxa"/>
            <w:tcBorders>
              <w:top w:val="single" w:sz="4" w:space="0" w:color="auto"/>
              <w:left w:val="nil"/>
              <w:bottom w:val="nil"/>
              <w:right w:val="nil"/>
            </w:tcBorders>
          </w:tcPr>
          <w:p w:rsidR="003F1941" w:rsidRPr="003F1941" w:rsidRDefault="003F1941" w:rsidP="003F1941">
            <w:pPr>
              <w:widowControl w:val="0"/>
              <w:rPr>
                <w:rFonts w:asciiTheme="majorBidi" w:eastAsia="Times New Roman" w:hAnsiTheme="majorBidi" w:cstheme="majorBidi"/>
                <w:sz w:val="22"/>
                <w:szCs w:val="22"/>
                <w:lang w:bidi="he-IL"/>
              </w:rPr>
            </w:pPr>
          </w:p>
        </w:tc>
        <w:tc>
          <w:tcPr>
            <w:tcW w:w="1191" w:type="dxa"/>
            <w:tcBorders>
              <w:top w:val="single" w:sz="4" w:space="0" w:color="auto"/>
              <w:left w:val="nil"/>
              <w:bottom w:val="nil"/>
              <w:right w:val="nil"/>
            </w:tcBorders>
          </w:tcPr>
          <w:p w:rsidR="003F1941" w:rsidRPr="003F1941" w:rsidRDefault="003F1941" w:rsidP="003F1941">
            <w:pPr>
              <w:widowControl w:val="0"/>
              <w:rPr>
                <w:rFonts w:asciiTheme="majorBidi" w:eastAsia="Times New Roman" w:hAnsiTheme="majorBidi" w:cstheme="majorBidi"/>
                <w:sz w:val="22"/>
                <w:szCs w:val="22"/>
                <w:lang w:bidi="he-IL"/>
              </w:rPr>
            </w:pPr>
          </w:p>
        </w:tc>
        <w:tc>
          <w:tcPr>
            <w:tcW w:w="2722" w:type="dxa"/>
            <w:gridSpan w:val="2"/>
            <w:tcBorders>
              <w:top w:val="single" w:sz="4" w:space="0" w:color="auto"/>
              <w:left w:val="nil"/>
              <w:bottom w:val="nil"/>
              <w:right w:val="nil"/>
            </w:tcBorders>
          </w:tcPr>
          <w:p w:rsidR="003F1941" w:rsidRPr="003F1941" w:rsidRDefault="003F1941" w:rsidP="003F1941">
            <w:pPr>
              <w:widowControl w:val="0"/>
              <w:spacing w:before="40"/>
              <w:jc w:val="center"/>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Fully vaccinated rate</w:t>
            </w:r>
          </w:p>
        </w:tc>
        <w:tc>
          <w:tcPr>
            <w:tcW w:w="113" w:type="dxa"/>
            <w:tcBorders>
              <w:top w:val="single" w:sz="4" w:space="0" w:color="auto"/>
              <w:left w:val="nil"/>
              <w:bottom w:val="nil"/>
              <w:right w:val="nil"/>
            </w:tcBorders>
          </w:tcPr>
          <w:p w:rsidR="003F1941" w:rsidRPr="003F1941" w:rsidRDefault="003F1941" w:rsidP="003F1941">
            <w:pPr>
              <w:widowControl w:val="0"/>
              <w:spacing w:before="40"/>
              <w:jc w:val="center"/>
              <w:rPr>
                <w:rFonts w:asciiTheme="majorBidi" w:eastAsia="Times New Roman" w:hAnsiTheme="majorBidi" w:cstheme="majorBidi"/>
                <w:sz w:val="22"/>
                <w:szCs w:val="22"/>
                <w:lang w:bidi="he-IL"/>
              </w:rPr>
            </w:pPr>
          </w:p>
        </w:tc>
        <w:tc>
          <w:tcPr>
            <w:tcW w:w="2722" w:type="dxa"/>
            <w:gridSpan w:val="2"/>
            <w:tcBorders>
              <w:top w:val="single" w:sz="4" w:space="0" w:color="auto"/>
              <w:left w:val="nil"/>
              <w:bottom w:val="nil"/>
              <w:right w:val="nil"/>
            </w:tcBorders>
          </w:tcPr>
          <w:p w:rsidR="003F1941" w:rsidRPr="003F1941" w:rsidRDefault="003F1941" w:rsidP="003F1941">
            <w:pPr>
              <w:widowControl w:val="0"/>
              <w:spacing w:before="40"/>
              <w:jc w:val="center"/>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Either fully or partly rate</w:t>
            </w:r>
          </w:p>
        </w:tc>
      </w:tr>
      <w:tr w:rsidR="003F1941" w:rsidTr="0007596A">
        <w:tc>
          <w:tcPr>
            <w:tcW w:w="2098" w:type="dxa"/>
            <w:tcBorders>
              <w:top w:val="nil"/>
              <w:left w:val="nil"/>
              <w:bottom w:val="single" w:sz="4" w:space="0" w:color="auto"/>
              <w:right w:val="nil"/>
            </w:tcBorders>
          </w:tcPr>
          <w:p w:rsidR="003F1941" w:rsidRPr="003F1941" w:rsidRDefault="003F1941" w:rsidP="003F1941">
            <w:pPr>
              <w:widowControl w:val="0"/>
              <w:spacing w:after="4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Country name</w:t>
            </w:r>
          </w:p>
        </w:tc>
        <w:tc>
          <w:tcPr>
            <w:tcW w:w="1191" w:type="dxa"/>
            <w:tcBorders>
              <w:top w:val="nil"/>
              <w:left w:val="nil"/>
              <w:bottom w:val="single" w:sz="4" w:space="0" w:color="auto"/>
              <w:right w:val="nil"/>
            </w:tcBorders>
          </w:tcPr>
          <w:p w:rsidR="003F1941" w:rsidRPr="003F1941" w:rsidRDefault="003F1941" w:rsidP="003F1941">
            <w:pPr>
              <w:widowControl w:val="0"/>
              <w:spacing w:after="40"/>
              <w:jc w:val="center"/>
              <w:rPr>
                <w:rFonts w:asciiTheme="majorBidi" w:eastAsia="Times New Roman" w:hAnsiTheme="majorBidi" w:cstheme="majorBidi"/>
                <w:sz w:val="22"/>
                <w:szCs w:val="22"/>
                <w:lang w:bidi="he-IL"/>
              </w:rPr>
            </w:pPr>
            <w:proofErr w:type="spellStart"/>
            <w:r>
              <w:rPr>
                <w:rFonts w:asciiTheme="majorBidi" w:eastAsia="Times New Roman" w:hAnsiTheme="majorBidi" w:cstheme="majorBidi"/>
                <w:sz w:val="22"/>
                <w:szCs w:val="22"/>
                <w:lang w:bidi="he-IL"/>
              </w:rPr>
              <w:t>iso_code</w:t>
            </w:r>
            <w:proofErr w:type="spellEnd"/>
          </w:p>
        </w:tc>
        <w:tc>
          <w:tcPr>
            <w:tcW w:w="1361" w:type="dxa"/>
            <w:tcBorders>
              <w:top w:val="nil"/>
              <w:left w:val="nil"/>
              <w:bottom w:val="single" w:sz="4" w:space="0" w:color="auto"/>
              <w:right w:val="nil"/>
            </w:tcBorders>
          </w:tcPr>
          <w:p w:rsidR="003F1941" w:rsidRPr="003F1941" w:rsidRDefault="003F1941" w:rsidP="003F1941">
            <w:pPr>
              <w:widowControl w:val="0"/>
              <w:spacing w:after="40"/>
              <w:jc w:val="center"/>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Mean</w:t>
            </w:r>
          </w:p>
        </w:tc>
        <w:tc>
          <w:tcPr>
            <w:tcW w:w="1361" w:type="dxa"/>
            <w:tcBorders>
              <w:top w:val="nil"/>
              <w:left w:val="nil"/>
              <w:bottom w:val="single" w:sz="4" w:space="0" w:color="auto"/>
              <w:right w:val="nil"/>
            </w:tcBorders>
          </w:tcPr>
          <w:p w:rsidR="003F1941" w:rsidRPr="003F1941" w:rsidRDefault="003F1941" w:rsidP="003F1941">
            <w:pPr>
              <w:widowControl w:val="0"/>
              <w:spacing w:after="40"/>
              <w:jc w:val="center"/>
              <w:rPr>
                <w:rFonts w:asciiTheme="majorBidi" w:eastAsia="Times New Roman" w:hAnsiTheme="majorBidi" w:cstheme="majorBidi"/>
                <w:sz w:val="22"/>
                <w:szCs w:val="22"/>
                <w:lang w:bidi="he-IL"/>
              </w:rPr>
            </w:pPr>
            <w:proofErr w:type="spellStart"/>
            <w:r>
              <w:rPr>
                <w:rFonts w:asciiTheme="majorBidi" w:eastAsia="Times New Roman" w:hAnsiTheme="majorBidi" w:cstheme="majorBidi"/>
                <w:sz w:val="22"/>
                <w:szCs w:val="22"/>
                <w:lang w:bidi="he-IL"/>
              </w:rPr>
              <w:t>Std</w:t>
            </w:r>
            <w:proofErr w:type="spellEnd"/>
            <w:r>
              <w:rPr>
                <w:rFonts w:asciiTheme="majorBidi" w:eastAsia="Times New Roman" w:hAnsiTheme="majorBidi" w:cstheme="majorBidi"/>
                <w:sz w:val="22"/>
                <w:szCs w:val="22"/>
                <w:lang w:bidi="he-IL"/>
              </w:rPr>
              <w:t xml:space="preserve"> Deviation</w:t>
            </w:r>
          </w:p>
        </w:tc>
        <w:tc>
          <w:tcPr>
            <w:tcW w:w="113" w:type="dxa"/>
            <w:tcBorders>
              <w:top w:val="nil"/>
              <w:left w:val="nil"/>
              <w:bottom w:val="single" w:sz="4" w:space="0" w:color="auto"/>
              <w:right w:val="nil"/>
            </w:tcBorders>
          </w:tcPr>
          <w:p w:rsidR="003F1941" w:rsidRPr="003F1941" w:rsidRDefault="003F1941" w:rsidP="003F1941">
            <w:pPr>
              <w:widowControl w:val="0"/>
              <w:spacing w:after="40"/>
              <w:jc w:val="center"/>
              <w:rPr>
                <w:rFonts w:asciiTheme="majorBidi" w:eastAsia="Times New Roman" w:hAnsiTheme="majorBidi" w:cstheme="majorBidi"/>
                <w:sz w:val="22"/>
                <w:szCs w:val="22"/>
                <w:lang w:bidi="he-IL"/>
              </w:rPr>
            </w:pPr>
          </w:p>
        </w:tc>
        <w:tc>
          <w:tcPr>
            <w:tcW w:w="1361" w:type="dxa"/>
            <w:tcBorders>
              <w:top w:val="nil"/>
              <w:left w:val="nil"/>
              <w:bottom w:val="single" w:sz="4" w:space="0" w:color="auto"/>
              <w:right w:val="nil"/>
            </w:tcBorders>
          </w:tcPr>
          <w:p w:rsidR="003F1941" w:rsidRPr="003F1941" w:rsidRDefault="003F1941" w:rsidP="003F1941">
            <w:pPr>
              <w:widowControl w:val="0"/>
              <w:spacing w:after="40"/>
              <w:jc w:val="center"/>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Mean</w:t>
            </w:r>
          </w:p>
        </w:tc>
        <w:tc>
          <w:tcPr>
            <w:tcW w:w="1361" w:type="dxa"/>
            <w:tcBorders>
              <w:top w:val="nil"/>
              <w:left w:val="nil"/>
              <w:bottom w:val="single" w:sz="4" w:space="0" w:color="auto"/>
              <w:right w:val="nil"/>
            </w:tcBorders>
          </w:tcPr>
          <w:p w:rsidR="003F1941" w:rsidRPr="003F1941" w:rsidRDefault="003F1941" w:rsidP="003F1941">
            <w:pPr>
              <w:widowControl w:val="0"/>
              <w:spacing w:after="40"/>
              <w:jc w:val="center"/>
              <w:rPr>
                <w:rFonts w:asciiTheme="majorBidi" w:eastAsia="Times New Roman" w:hAnsiTheme="majorBidi" w:cstheme="majorBidi"/>
                <w:sz w:val="22"/>
                <w:szCs w:val="22"/>
                <w:lang w:bidi="he-IL"/>
              </w:rPr>
            </w:pPr>
            <w:proofErr w:type="spellStart"/>
            <w:r>
              <w:rPr>
                <w:rFonts w:asciiTheme="majorBidi" w:eastAsia="Times New Roman" w:hAnsiTheme="majorBidi" w:cstheme="majorBidi"/>
                <w:sz w:val="22"/>
                <w:szCs w:val="22"/>
                <w:lang w:bidi="he-IL"/>
              </w:rPr>
              <w:t>Std</w:t>
            </w:r>
            <w:proofErr w:type="spellEnd"/>
            <w:r>
              <w:rPr>
                <w:rFonts w:asciiTheme="majorBidi" w:eastAsia="Times New Roman" w:hAnsiTheme="majorBidi" w:cstheme="majorBidi"/>
                <w:sz w:val="22"/>
                <w:szCs w:val="22"/>
                <w:lang w:bidi="he-IL"/>
              </w:rPr>
              <w:t xml:space="preserve"> Deviation</w:t>
            </w:r>
          </w:p>
        </w:tc>
      </w:tr>
      <w:tr w:rsidR="003F1941" w:rsidTr="0007596A">
        <w:tc>
          <w:tcPr>
            <w:tcW w:w="2098" w:type="dxa"/>
            <w:tcBorders>
              <w:top w:val="single" w:sz="4" w:space="0" w:color="auto"/>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Australia</w:t>
            </w:r>
          </w:p>
        </w:tc>
        <w:tc>
          <w:tcPr>
            <w:tcW w:w="1191" w:type="dxa"/>
            <w:tcBorders>
              <w:top w:val="single" w:sz="4" w:space="0" w:color="auto"/>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AUS</w:t>
            </w:r>
          </w:p>
        </w:tc>
        <w:tc>
          <w:tcPr>
            <w:tcW w:w="1361" w:type="dxa"/>
            <w:tcBorders>
              <w:top w:val="single" w:sz="4" w:space="0" w:color="auto"/>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8.18</w:t>
            </w:r>
          </w:p>
        </w:tc>
        <w:tc>
          <w:tcPr>
            <w:tcW w:w="1361" w:type="dxa"/>
            <w:tcBorders>
              <w:top w:val="single" w:sz="4" w:space="0" w:color="auto"/>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12.80</w:t>
            </w:r>
          </w:p>
        </w:tc>
        <w:tc>
          <w:tcPr>
            <w:tcW w:w="113" w:type="dxa"/>
            <w:tcBorders>
              <w:top w:val="single" w:sz="4" w:space="0" w:color="auto"/>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single" w:sz="4" w:space="0" w:color="auto"/>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18.12</w:t>
            </w:r>
          </w:p>
        </w:tc>
        <w:tc>
          <w:tcPr>
            <w:tcW w:w="1361" w:type="dxa"/>
            <w:tcBorders>
              <w:top w:val="single" w:sz="4" w:space="0" w:color="auto"/>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19.94</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Austria</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AUT</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23.38</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23.66</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32.68</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24.95</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Belgium</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BEL</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26.32</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28.31</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36.61</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29.88</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Canada</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CAN</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22.59</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28.78</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39.92</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31.58</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Switzerland</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CHE</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23.72</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22.42</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30.16</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23.58</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Chile</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CHL</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36.48</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28.46</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45.25</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28.18</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Czech Republic</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CZE</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20.96</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21.53</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28.89</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22.73</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Germany</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DEU</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24.06</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24.82</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34.08</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26.63</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Denmark</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DNK</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27.11</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27.91</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36.44</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30.27</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Spain</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ESP</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27.62</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28.98</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36.49</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30.60</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Estonia</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EST</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20.92</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19.69</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28.93</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20.76</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Finland</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FIN</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16.76</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21.05</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37.32</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28.52</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France</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FRA</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22.79</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24.06</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34.07</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28.12</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United Kingdom</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GBR</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29.94</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26.22</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48.87</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22.35</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Greece</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GRC</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23.31</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22.78</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29.70</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23.59</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Hungary</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HUN</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29.28</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24.81</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37.05</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24.55</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Iceland</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ISL</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33.46</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33.30</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42.93</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34.02</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Israel</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ISR</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49.34</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18.73</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57.14</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13.89</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Italy</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ITA</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24.21</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24.82</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34.82</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28.57</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South Korea</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KOR</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9.26</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13.87</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20.29</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24.29</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Lithuania</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LTU</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24.05</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22.66</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31.27</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23.52</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Luxembourg</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LUX</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7.93</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20.69</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32.46</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26.47</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Latvia</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LVA</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16.74</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18.03</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21.50</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18.10</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Netherlands</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NLD</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24.54</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26.44</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36.70</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30.13</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Norway</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NOR</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20.88</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21.91</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33.60</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28.03</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New Zealand</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NZL</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8.31</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11.18</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14.96</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20.45</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Poland</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POL</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21.45</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20.74</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27.83</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20.60</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Portugal</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PRT</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28.25</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30.99</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37.66</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32.64</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Slovakia</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SVK</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17.74</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16.45</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24.42</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17.05</w:t>
            </w:r>
          </w:p>
        </w:tc>
      </w:tr>
      <w:tr w:rsidR="003F1941" w:rsidTr="0007596A">
        <w:tc>
          <w:tcPr>
            <w:tcW w:w="2098" w:type="dxa"/>
            <w:tcBorders>
              <w:top w:val="nil"/>
              <w:left w:val="nil"/>
              <w:bottom w:val="nil"/>
              <w:right w:val="nil"/>
            </w:tcBorders>
          </w:tcPr>
          <w:p w:rsidR="003F1941" w:rsidRPr="003F1941" w:rsidRDefault="003F1941"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Slovenia</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SVN</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19.01</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17.92</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26.08</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18.89</w:t>
            </w:r>
          </w:p>
        </w:tc>
      </w:tr>
      <w:tr w:rsidR="003F1941" w:rsidTr="0007596A">
        <w:tc>
          <w:tcPr>
            <w:tcW w:w="2098" w:type="dxa"/>
            <w:tcBorders>
              <w:top w:val="nil"/>
              <w:left w:val="nil"/>
              <w:bottom w:val="nil"/>
              <w:right w:val="nil"/>
            </w:tcBorders>
          </w:tcPr>
          <w:p w:rsidR="003F1941" w:rsidRPr="003F1941" w:rsidRDefault="0007596A"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Sweden</w:t>
            </w:r>
          </w:p>
        </w:tc>
        <w:tc>
          <w:tcPr>
            <w:tcW w:w="119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SWE</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21.77</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22.60</w:t>
            </w:r>
          </w:p>
        </w:tc>
        <w:tc>
          <w:tcPr>
            <w:tcW w:w="113"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33.66</w:t>
            </w:r>
          </w:p>
        </w:tc>
        <w:tc>
          <w:tcPr>
            <w:tcW w:w="1361" w:type="dxa"/>
            <w:tcBorders>
              <w:top w:val="nil"/>
              <w:left w:val="nil"/>
              <w:bottom w:val="nil"/>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26.74</w:t>
            </w:r>
          </w:p>
        </w:tc>
      </w:tr>
      <w:tr w:rsidR="003F1941" w:rsidTr="0007596A">
        <w:tc>
          <w:tcPr>
            <w:tcW w:w="2098" w:type="dxa"/>
            <w:tcBorders>
              <w:top w:val="nil"/>
              <w:left w:val="nil"/>
              <w:bottom w:val="single" w:sz="4" w:space="0" w:color="auto"/>
              <w:right w:val="nil"/>
            </w:tcBorders>
          </w:tcPr>
          <w:p w:rsidR="003F1941" w:rsidRPr="003F1941" w:rsidRDefault="0007596A" w:rsidP="0007596A">
            <w:pPr>
              <w:widowControl w:val="0"/>
              <w:spacing w:before="20"/>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United States</w:t>
            </w:r>
          </w:p>
        </w:tc>
        <w:tc>
          <w:tcPr>
            <w:tcW w:w="1191" w:type="dxa"/>
            <w:tcBorders>
              <w:top w:val="nil"/>
              <w:left w:val="nil"/>
              <w:bottom w:val="single" w:sz="4" w:space="0" w:color="auto"/>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USA</w:t>
            </w:r>
          </w:p>
        </w:tc>
        <w:tc>
          <w:tcPr>
            <w:tcW w:w="1361" w:type="dxa"/>
            <w:tcBorders>
              <w:top w:val="nil"/>
              <w:left w:val="nil"/>
              <w:bottom w:val="single" w:sz="4" w:space="0" w:color="auto"/>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30.13</w:t>
            </w:r>
          </w:p>
        </w:tc>
        <w:tc>
          <w:tcPr>
            <w:tcW w:w="1361" w:type="dxa"/>
            <w:tcBorders>
              <w:top w:val="nil"/>
              <w:left w:val="nil"/>
              <w:bottom w:val="single" w:sz="4" w:space="0" w:color="auto"/>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20.54</w:t>
            </w:r>
          </w:p>
        </w:tc>
        <w:tc>
          <w:tcPr>
            <w:tcW w:w="113" w:type="dxa"/>
            <w:tcBorders>
              <w:top w:val="nil"/>
              <w:left w:val="nil"/>
              <w:bottom w:val="single" w:sz="4" w:space="0" w:color="auto"/>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p>
        </w:tc>
        <w:tc>
          <w:tcPr>
            <w:tcW w:w="1361" w:type="dxa"/>
            <w:tcBorders>
              <w:top w:val="nil"/>
              <w:left w:val="nil"/>
              <w:bottom w:val="single" w:sz="4" w:space="0" w:color="auto"/>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38.85</w:t>
            </w:r>
          </w:p>
        </w:tc>
        <w:tc>
          <w:tcPr>
            <w:tcW w:w="1361" w:type="dxa"/>
            <w:tcBorders>
              <w:top w:val="nil"/>
              <w:left w:val="nil"/>
              <w:bottom w:val="single" w:sz="4" w:space="0" w:color="auto"/>
              <w:right w:val="nil"/>
            </w:tcBorders>
            <w:vAlign w:val="bottom"/>
          </w:tcPr>
          <w:p w:rsidR="003F1941" w:rsidRPr="003F1941" w:rsidRDefault="003F1941" w:rsidP="0007596A">
            <w:pPr>
              <w:spacing w:before="20"/>
              <w:jc w:val="center"/>
              <w:rPr>
                <w:rFonts w:asciiTheme="majorBidi" w:hAnsiTheme="majorBidi" w:cstheme="majorBidi"/>
                <w:color w:val="000000"/>
                <w:sz w:val="21"/>
                <w:szCs w:val="21"/>
              </w:rPr>
            </w:pPr>
            <w:r w:rsidRPr="003F1941">
              <w:rPr>
                <w:rFonts w:asciiTheme="majorBidi" w:hAnsiTheme="majorBidi" w:cstheme="majorBidi"/>
                <w:color w:val="000000"/>
                <w:sz w:val="21"/>
                <w:szCs w:val="21"/>
              </w:rPr>
              <w:t>21.61</w:t>
            </w:r>
          </w:p>
        </w:tc>
      </w:tr>
      <w:tr w:rsidR="0007596A" w:rsidTr="0007596A">
        <w:tc>
          <w:tcPr>
            <w:tcW w:w="8846" w:type="dxa"/>
            <w:gridSpan w:val="7"/>
            <w:tcBorders>
              <w:top w:val="single" w:sz="4" w:space="0" w:color="auto"/>
              <w:left w:val="nil"/>
              <w:bottom w:val="nil"/>
              <w:right w:val="nil"/>
            </w:tcBorders>
          </w:tcPr>
          <w:p w:rsidR="0007596A" w:rsidRPr="0007596A" w:rsidRDefault="0007596A" w:rsidP="0007596A">
            <w:pPr>
              <w:widowControl w:val="0"/>
              <w:spacing w:before="40"/>
              <w:rPr>
                <w:rFonts w:asciiTheme="majorBidi" w:eastAsia="Times New Roman" w:hAnsiTheme="majorBidi" w:cstheme="majorBidi"/>
                <w:sz w:val="18"/>
                <w:szCs w:val="18"/>
                <w:lang w:bidi="he-IL"/>
              </w:rPr>
            </w:pPr>
            <w:r>
              <w:rPr>
                <w:rFonts w:asciiTheme="majorBidi" w:eastAsia="Times New Roman" w:hAnsiTheme="majorBidi" w:cstheme="majorBidi"/>
                <w:i/>
                <w:iCs/>
                <w:sz w:val="18"/>
                <w:szCs w:val="18"/>
                <w:lang w:bidi="he-IL"/>
              </w:rPr>
              <w:t xml:space="preserve">Notes: </w:t>
            </w:r>
            <w:r>
              <w:rPr>
                <w:rFonts w:asciiTheme="majorBidi" w:eastAsia="Times New Roman" w:hAnsiTheme="majorBidi" w:cstheme="majorBidi"/>
                <w:sz w:val="18"/>
                <w:szCs w:val="18"/>
                <w:lang w:bidi="he-IL"/>
              </w:rPr>
              <w:t xml:space="preserve">Means and standard deviations calculated from monthly averages, from January to September 2021. The original source of the data is </w:t>
            </w:r>
            <w:r>
              <w:rPr>
                <w:rFonts w:asciiTheme="majorBidi" w:eastAsia="Times New Roman" w:hAnsiTheme="majorBidi" w:cstheme="majorBidi"/>
                <w:i/>
                <w:iCs/>
                <w:sz w:val="18"/>
                <w:szCs w:val="18"/>
                <w:lang w:bidi="he-IL"/>
              </w:rPr>
              <w:t>OWID</w:t>
            </w:r>
            <w:r>
              <w:rPr>
                <w:rFonts w:asciiTheme="majorBidi" w:eastAsia="Times New Roman" w:hAnsiTheme="majorBidi" w:cstheme="majorBidi"/>
                <w:sz w:val="18"/>
                <w:szCs w:val="18"/>
                <w:lang w:bidi="he-IL"/>
              </w:rPr>
              <w:t>.</w:t>
            </w:r>
          </w:p>
        </w:tc>
      </w:tr>
    </w:tbl>
    <w:p w:rsidR="006E1A33" w:rsidRDefault="006E1A33" w:rsidP="003F1941">
      <w:pPr>
        <w:widowControl w:val="0"/>
        <w:spacing w:after="0" w:line="240" w:lineRule="auto"/>
        <w:rPr>
          <w:rFonts w:asciiTheme="majorBidi" w:eastAsia="Times New Roman" w:hAnsiTheme="majorBidi" w:cstheme="majorBidi"/>
          <w:lang w:bidi="he-IL"/>
        </w:rPr>
      </w:pPr>
    </w:p>
    <w:p w:rsidR="0028356F" w:rsidRDefault="0028356F" w:rsidP="009A15CD">
      <w:pPr>
        <w:spacing w:after="80" w:line="276" w:lineRule="auto"/>
        <w:ind w:left="720" w:hanging="720"/>
        <w:rPr>
          <w:rFonts w:eastAsia="Times New Roman" w:cs="Arial"/>
          <w:lang w:bidi="he-IL"/>
        </w:rPr>
      </w:pPr>
    </w:p>
    <w:sectPr w:rsidR="0028356F" w:rsidSect="00E0243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11" w:rsidRDefault="00BE0A11" w:rsidP="00A97771">
      <w:pPr>
        <w:spacing w:after="0" w:line="240" w:lineRule="auto"/>
      </w:pPr>
      <w:r>
        <w:separator/>
      </w:r>
    </w:p>
  </w:endnote>
  <w:endnote w:type="continuationSeparator" w:id="0">
    <w:p w:rsidR="00BE0A11" w:rsidRDefault="00BE0A11" w:rsidP="00A9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71763"/>
      <w:docPartObj>
        <w:docPartGallery w:val="Page Numbers (Bottom of Page)"/>
        <w:docPartUnique/>
      </w:docPartObj>
    </w:sdtPr>
    <w:sdtEndPr>
      <w:rPr>
        <w:noProof/>
      </w:rPr>
    </w:sdtEndPr>
    <w:sdtContent>
      <w:p w:rsidR="003F1941" w:rsidRDefault="003F1941" w:rsidP="00FE2861">
        <w:pPr>
          <w:pStyle w:val="Footer"/>
          <w:jc w:val="center"/>
        </w:pPr>
        <w:r>
          <w:fldChar w:fldCharType="begin"/>
        </w:r>
        <w:r>
          <w:instrText xml:space="preserve"> PAGE   \* MERGEFORMAT </w:instrText>
        </w:r>
        <w:r>
          <w:fldChar w:fldCharType="separate"/>
        </w:r>
        <w:r w:rsidR="00025758">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41" w:rsidRDefault="003F1941" w:rsidP="006B0214">
    <w:pPr>
      <w:pStyle w:val="Footer"/>
      <w:jc w:val="center"/>
    </w:pPr>
  </w:p>
  <w:p w:rsidR="003F1941" w:rsidRDefault="003F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11" w:rsidRDefault="00BE0A11" w:rsidP="00A97771">
      <w:pPr>
        <w:spacing w:after="0" w:line="240" w:lineRule="auto"/>
      </w:pPr>
      <w:r>
        <w:separator/>
      </w:r>
    </w:p>
  </w:footnote>
  <w:footnote w:type="continuationSeparator" w:id="0">
    <w:p w:rsidR="00BE0A11" w:rsidRDefault="00BE0A11" w:rsidP="00A97771">
      <w:pPr>
        <w:spacing w:after="0" w:line="240" w:lineRule="auto"/>
      </w:pPr>
      <w:r>
        <w:continuationSeparator/>
      </w:r>
    </w:p>
  </w:footnote>
  <w:footnote w:id="1">
    <w:p w:rsidR="003F1941" w:rsidRPr="00C9116D" w:rsidRDefault="003F1941" w:rsidP="009C0F5A">
      <w:pPr>
        <w:pStyle w:val="FootnoteText"/>
      </w:pPr>
      <w:r w:rsidRPr="00C9116D">
        <w:rPr>
          <w:rStyle w:val="FootnoteReference"/>
        </w:rPr>
        <w:footnoteRef/>
      </w:r>
      <w:r w:rsidRPr="00C9116D">
        <w:t xml:space="preserve"> </w:t>
      </w:r>
      <w:r w:rsidRPr="00C9116D">
        <w:rPr>
          <w:rFonts w:asciiTheme="majorBidi" w:hAnsiTheme="majorBidi" w:cstheme="majorBidi"/>
          <w:color w:val="000000" w:themeColor="text1"/>
          <w:shd w:val="clear" w:color="auto" w:fill="FFFFFF"/>
        </w:rPr>
        <w:t>For example, a study of 3.5 million people covered</w:t>
      </w:r>
      <w:r>
        <w:rPr>
          <w:rFonts w:asciiTheme="majorBidi" w:hAnsiTheme="majorBidi" w:cstheme="majorBidi"/>
          <w:color w:val="000000" w:themeColor="text1"/>
          <w:shd w:val="clear" w:color="auto" w:fill="FFFFFF"/>
        </w:rPr>
        <w:t xml:space="preserve"> by a large U.S. health insurer</w:t>
      </w:r>
      <w:r w:rsidRPr="00C9116D">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found </w:t>
      </w:r>
      <w:r w:rsidRPr="00C9116D">
        <w:rPr>
          <w:rFonts w:asciiTheme="majorBidi" w:hAnsiTheme="majorBidi" w:cstheme="majorBidi"/>
        </w:rPr>
        <w:t>vaccine efficacy (VE) for the Pfizer jab fell 10 percentage points per month (for the Delta variant, and eight points per month for other variants), to be just 53% if the second jab was more than four months ago (</w:t>
      </w:r>
      <w:proofErr w:type="spellStart"/>
      <w:r w:rsidRPr="00C9116D">
        <w:rPr>
          <w:rFonts w:asciiTheme="majorBidi" w:hAnsiTheme="majorBidi" w:cstheme="majorBidi"/>
        </w:rPr>
        <w:t>Tartof</w:t>
      </w:r>
      <w:proofErr w:type="spellEnd"/>
      <w:r w:rsidRPr="00C9116D">
        <w:rPr>
          <w:rFonts w:asciiTheme="majorBidi" w:hAnsiTheme="majorBidi" w:cstheme="majorBidi"/>
        </w:rPr>
        <w:t xml:space="preserve"> et al, 2021). Likewise, Cohn et al (2021)</w:t>
      </w:r>
      <w:r>
        <w:rPr>
          <w:rFonts w:asciiTheme="majorBidi" w:hAnsiTheme="majorBidi" w:cstheme="majorBidi"/>
        </w:rPr>
        <w:t xml:space="preserve"> study 0.62 million U.S. veterans, vaccinated with either Pfizer, </w:t>
      </w:r>
      <w:proofErr w:type="spellStart"/>
      <w:r>
        <w:rPr>
          <w:rFonts w:asciiTheme="majorBidi" w:hAnsiTheme="majorBidi" w:cstheme="majorBidi"/>
        </w:rPr>
        <w:t>Moderna</w:t>
      </w:r>
      <w:proofErr w:type="spellEnd"/>
      <w:r>
        <w:rPr>
          <w:rFonts w:asciiTheme="majorBidi" w:hAnsiTheme="majorBidi" w:cstheme="majorBidi"/>
        </w:rPr>
        <w:t>, or J&amp;J; VE against infection started at 91-95% but after five months had fallen sharply, to 3% (J&amp;J), to 50% (Pfizer) or to 64% (</w:t>
      </w:r>
      <w:proofErr w:type="spellStart"/>
      <w:r>
        <w:rPr>
          <w:rFonts w:asciiTheme="majorBidi" w:hAnsiTheme="majorBidi" w:cstheme="majorBidi"/>
        </w:rPr>
        <w:t>Moderna</w:t>
      </w:r>
      <w:proofErr w:type="spellEnd"/>
      <w:r>
        <w:rPr>
          <w:rFonts w:asciiTheme="majorBidi" w:hAnsiTheme="majorBidi" w:cstheme="majorBidi"/>
        </w:rPr>
        <w:t>).</w:t>
      </w:r>
    </w:p>
  </w:footnote>
  <w:footnote w:id="2">
    <w:p w:rsidR="003F1941" w:rsidRPr="001233C0" w:rsidRDefault="003F1941" w:rsidP="00A77DD6">
      <w:pPr>
        <w:pStyle w:val="FootnoteText"/>
        <w:rPr>
          <w:rFonts w:asciiTheme="majorBidi" w:hAnsiTheme="majorBidi" w:cstheme="majorBidi"/>
        </w:rPr>
      </w:pPr>
      <w:r w:rsidRPr="001233C0">
        <w:rPr>
          <w:rStyle w:val="FootnoteReference"/>
          <w:rFonts w:asciiTheme="majorBidi" w:hAnsiTheme="majorBidi" w:cstheme="majorBidi"/>
        </w:rPr>
        <w:footnoteRef/>
      </w:r>
      <w:r w:rsidRPr="001233C0">
        <w:rPr>
          <w:rFonts w:asciiTheme="majorBidi" w:hAnsiTheme="majorBidi" w:cstheme="majorBidi"/>
        </w:rPr>
        <w:t xml:space="preserve"> To translate into economic growth terms, a one SD higher mean stringency index in 2020 was associa</w:t>
      </w:r>
      <w:r>
        <w:rPr>
          <w:rFonts w:asciiTheme="majorBidi" w:hAnsiTheme="majorBidi" w:cstheme="majorBidi"/>
        </w:rPr>
        <w:t>ted with a 1.4 percentage point</w:t>
      </w:r>
      <w:r w:rsidRPr="001233C0">
        <w:rPr>
          <w:rFonts w:asciiTheme="majorBidi" w:hAnsiTheme="majorBidi" w:cstheme="majorBidi"/>
        </w:rPr>
        <w:t xml:space="preserve"> lower GDP growth rate for these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6F1A"/>
    <w:multiLevelType w:val="hybridMultilevel"/>
    <w:tmpl w:val="67E2E9C6"/>
    <w:lvl w:ilvl="0" w:tplc="FBBC02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B"/>
    <w:rsid w:val="00001B7E"/>
    <w:rsid w:val="00002279"/>
    <w:rsid w:val="00004403"/>
    <w:rsid w:val="00004567"/>
    <w:rsid w:val="000053DA"/>
    <w:rsid w:val="000065F2"/>
    <w:rsid w:val="00007462"/>
    <w:rsid w:val="00007A41"/>
    <w:rsid w:val="00010C53"/>
    <w:rsid w:val="00012246"/>
    <w:rsid w:val="00013328"/>
    <w:rsid w:val="0001424F"/>
    <w:rsid w:val="0001456C"/>
    <w:rsid w:val="000150BC"/>
    <w:rsid w:val="00016A72"/>
    <w:rsid w:val="000200EC"/>
    <w:rsid w:val="00020BEC"/>
    <w:rsid w:val="00023C81"/>
    <w:rsid w:val="00023ED8"/>
    <w:rsid w:val="0002469C"/>
    <w:rsid w:val="0002493E"/>
    <w:rsid w:val="00025317"/>
    <w:rsid w:val="00025758"/>
    <w:rsid w:val="00026615"/>
    <w:rsid w:val="000271F1"/>
    <w:rsid w:val="00027ABC"/>
    <w:rsid w:val="00027AC8"/>
    <w:rsid w:val="000302A6"/>
    <w:rsid w:val="000304BD"/>
    <w:rsid w:val="00031CE0"/>
    <w:rsid w:val="00031EE7"/>
    <w:rsid w:val="00032873"/>
    <w:rsid w:val="00032B6E"/>
    <w:rsid w:val="00032F1D"/>
    <w:rsid w:val="000359F4"/>
    <w:rsid w:val="00036F59"/>
    <w:rsid w:val="00041814"/>
    <w:rsid w:val="00041C56"/>
    <w:rsid w:val="000429B6"/>
    <w:rsid w:val="000430B4"/>
    <w:rsid w:val="00044576"/>
    <w:rsid w:val="0004457F"/>
    <w:rsid w:val="00044689"/>
    <w:rsid w:val="00045373"/>
    <w:rsid w:val="00047C60"/>
    <w:rsid w:val="0005182B"/>
    <w:rsid w:val="00051CFA"/>
    <w:rsid w:val="00052401"/>
    <w:rsid w:val="00052767"/>
    <w:rsid w:val="00055721"/>
    <w:rsid w:val="00056FE0"/>
    <w:rsid w:val="00057774"/>
    <w:rsid w:val="000663C4"/>
    <w:rsid w:val="00066616"/>
    <w:rsid w:val="00066A91"/>
    <w:rsid w:val="00066F0C"/>
    <w:rsid w:val="000679C1"/>
    <w:rsid w:val="00070934"/>
    <w:rsid w:val="00070E29"/>
    <w:rsid w:val="00071E99"/>
    <w:rsid w:val="000728C5"/>
    <w:rsid w:val="00072F37"/>
    <w:rsid w:val="00074ECB"/>
    <w:rsid w:val="00075759"/>
    <w:rsid w:val="0007596A"/>
    <w:rsid w:val="00075D6D"/>
    <w:rsid w:val="000766F8"/>
    <w:rsid w:val="00080066"/>
    <w:rsid w:val="00080123"/>
    <w:rsid w:val="0008015C"/>
    <w:rsid w:val="00081B74"/>
    <w:rsid w:val="0008350E"/>
    <w:rsid w:val="000841D6"/>
    <w:rsid w:val="00084D97"/>
    <w:rsid w:val="000851F0"/>
    <w:rsid w:val="000875B9"/>
    <w:rsid w:val="00087C02"/>
    <w:rsid w:val="000900CE"/>
    <w:rsid w:val="00091BAC"/>
    <w:rsid w:val="00092079"/>
    <w:rsid w:val="000A3580"/>
    <w:rsid w:val="000A3E9C"/>
    <w:rsid w:val="000A4237"/>
    <w:rsid w:val="000A5474"/>
    <w:rsid w:val="000A6977"/>
    <w:rsid w:val="000A75AB"/>
    <w:rsid w:val="000A7729"/>
    <w:rsid w:val="000B11EE"/>
    <w:rsid w:val="000B26C3"/>
    <w:rsid w:val="000B384A"/>
    <w:rsid w:val="000B69D0"/>
    <w:rsid w:val="000B78E9"/>
    <w:rsid w:val="000B7C0F"/>
    <w:rsid w:val="000C0044"/>
    <w:rsid w:val="000C0821"/>
    <w:rsid w:val="000C096F"/>
    <w:rsid w:val="000C0A63"/>
    <w:rsid w:val="000C1545"/>
    <w:rsid w:val="000C1DA7"/>
    <w:rsid w:val="000C21D9"/>
    <w:rsid w:val="000C2308"/>
    <w:rsid w:val="000C2DBE"/>
    <w:rsid w:val="000C368B"/>
    <w:rsid w:val="000C572C"/>
    <w:rsid w:val="000C5757"/>
    <w:rsid w:val="000C63F5"/>
    <w:rsid w:val="000C6826"/>
    <w:rsid w:val="000C6960"/>
    <w:rsid w:val="000C6F48"/>
    <w:rsid w:val="000D158E"/>
    <w:rsid w:val="000D4B3C"/>
    <w:rsid w:val="000D5669"/>
    <w:rsid w:val="000D727D"/>
    <w:rsid w:val="000D79D7"/>
    <w:rsid w:val="000E0071"/>
    <w:rsid w:val="000E00AD"/>
    <w:rsid w:val="000E1BF8"/>
    <w:rsid w:val="000E4023"/>
    <w:rsid w:val="000E4879"/>
    <w:rsid w:val="000E4A01"/>
    <w:rsid w:val="000E5AC1"/>
    <w:rsid w:val="000E5ACF"/>
    <w:rsid w:val="000E6DC9"/>
    <w:rsid w:val="000E752E"/>
    <w:rsid w:val="000E75E5"/>
    <w:rsid w:val="000E7A10"/>
    <w:rsid w:val="000E7DE0"/>
    <w:rsid w:val="000F0020"/>
    <w:rsid w:val="000F06D5"/>
    <w:rsid w:val="000F0817"/>
    <w:rsid w:val="000F0884"/>
    <w:rsid w:val="000F0F9C"/>
    <w:rsid w:val="000F170D"/>
    <w:rsid w:val="000F180D"/>
    <w:rsid w:val="000F1892"/>
    <w:rsid w:val="000F199B"/>
    <w:rsid w:val="000F3FBA"/>
    <w:rsid w:val="000F5A73"/>
    <w:rsid w:val="000F5EB6"/>
    <w:rsid w:val="000F622A"/>
    <w:rsid w:val="000F63D2"/>
    <w:rsid w:val="00100D22"/>
    <w:rsid w:val="00101073"/>
    <w:rsid w:val="0010124A"/>
    <w:rsid w:val="00101C23"/>
    <w:rsid w:val="00102929"/>
    <w:rsid w:val="00104533"/>
    <w:rsid w:val="001046FC"/>
    <w:rsid w:val="001106A9"/>
    <w:rsid w:val="00110C8B"/>
    <w:rsid w:val="00112AC7"/>
    <w:rsid w:val="00114D29"/>
    <w:rsid w:val="001151B0"/>
    <w:rsid w:val="001224B2"/>
    <w:rsid w:val="00123084"/>
    <w:rsid w:val="00124D49"/>
    <w:rsid w:val="001250FD"/>
    <w:rsid w:val="00126BFD"/>
    <w:rsid w:val="00126FD2"/>
    <w:rsid w:val="00133C61"/>
    <w:rsid w:val="001340E6"/>
    <w:rsid w:val="00134337"/>
    <w:rsid w:val="00134537"/>
    <w:rsid w:val="001347AC"/>
    <w:rsid w:val="001358D4"/>
    <w:rsid w:val="00137DC8"/>
    <w:rsid w:val="00144B68"/>
    <w:rsid w:val="00144D60"/>
    <w:rsid w:val="001514FA"/>
    <w:rsid w:val="00151C20"/>
    <w:rsid w:val="001521B9"/>
    <w:rsid w:val="00152B75"/>
    <w:rsid w:val="00153566"/>
    <w:rsid w:val="001547C0"/>
    <w:rsid w:val="001548D2"/>
    <w:rsid w:val="00156B76"/>
    <w:rsid w:val="00161EE3"/>
    <w:rsid w:val="001629B2"/>
    <w:rsid w:val="00163B89"/>
    <w:rsid w:val="001653E3"/>
    <w:rsid w:val="00170A57"/>
    <w:rsid w:val="00171B42"/>
    <w:rsid w:val="00171CB6"/>
    <w:rsid w:val="001745CF"/>
    <w:rsid w:val="00176C50"/>
    <w:rsid w:val="0018220C"/>
    <w:rsid w:val="00182DF0"/>
    <w:rsid w:val="0018427F"/>
    <w:rsid w:val="00184897"/>
    <w:rsid w:val="00184EBC"/>
    <w:rsid w:val="001862F5"/>
    <w:rsid w:val="0018663B"/>
    <w:rsid w:val="001879DA"/>
    <w:rsid w:val="0019091C"/>
    <w:rsid w:val="00191F05"/>
    <w:rsid w:val="001936B0"/>
    <w:rsid w:val="00194405"/>
    <w:rsid w:val="00194DE6"/>
    <w:rsid w:val="001953B5"/>
    <w:rsid w:val="00196DEE"/>
    <w:rsid w:val="0019712A"/>
    <w:rsid w:val="00197D19"/>
    <w:rsid w:val="001A1111"/>
    <w:rsid w:val="001A1AE4"/>
    <w:rsid w:val="001A1E83"/>
    <w:rsid w:val="001A330D"/>
    <w:rsid w:val="001A3F51"/>
    <w:rsid w:val="001A6B9B"/>
    <w:rsid w:val="001A7193"/>
    <w:rsid w:val="001B0B56"/>
    <w:rsid w:val="001B0EFF"/>
    <w:rsid w:val="001B307F"/>
    <w:rsid w:val="001B33D1"/>
    <w:rsid w:val="001B4E73"/>
    <w:rsid w:val="001B5F59"/>
    <w:rsid w:val="001C1F4D"/>
    <w:rsid w:val="001C3FE8"/>
    <w:rsid w:val="001C7364"/>
    <w:rsid w:val="001D52FC"/>
    <w:rsid w:val="001D68E2"/>
    <w:rsid w:val="001D6BC7"/>
    <w:rsid w:val="001E0F73"/>
    <w:rsid w:val="001E1D87"/>
    <w:rsid w:val="001E2802"/>
    <w:rsid w:val="001E7415"/>
    <w:rsid w:val="001E7B15"/>
    <w:rsid w:val="001E7DBB"/>
    <w:rsid w:val="001F0D09"/>
    <w:rsid w:val="001F6018"/>
    <w:rsid w:val="001F64DA"/>
    <w:rsid w:val="001F75DB"/>
    <w:rsid w:val="001F76DE"/>
    <w:rsid w:val="0020283B"/>
    <w:rsid w:val="00202E7E"/>
    <w:rsid w:val="00206140"/>
    <w:rsid w:val="002113A9"/>
    <w:rsid w:val="00213A18"/>
    <w:rsid w:val="00213C1D"/>
    <w:rsid w:val="00213D13"/>
    <w:rsid w:val="00214622"/>
    <w:rsid w:val="00214726"/>
    <w:rsid w:val="002147F0"/>
    <w:rsid w:val="00214A7D"/>
    <w:rsid w:val="00214C92"/>
    <w:rsid w:val="00214D94"/>
    <w:rsid w:val="0021726B"/>
    <w:rsid w:val="00217731"/>
    <w:rsid w:val="00220548"/>
    <w:rsid w:val="00221253"/>
    <w:rsid w:val="002227FE"/>
    <w:rsid w:val="002235D3"/>
    <w:rsid w:val="0022401B"/>
    <w:rsid w:val="002240A8"/>
    <w:rsid w:val="00224732"/>
    <w:rsid w:val="00225D79"/>
    <w:rsid w:val="00227BD1"/>
    <w:rsid w:val="00227D7A"/>
    <w:rsid w:val="0023069C"/>
    <w:rsid w:val="002319E5"/>
    <w:rsid w:val="00233546"/>
    <w:rsid w:val="00235687"/>
    <w:rsid w:val="00235A3B"/>
    <w:rsid w:val="002428BD"/>
    <w:rsid w:val="00242CDB"/>
    <w:rsid w:val="00243BE9"/>
    <w:rsid w:val="00244069"/>
    <w:rsid w:val="00244F1A"/>
    <w:rsid w:val="002466E8"/>
    <w:rsid w:val="00250584"/>
    <w:rsid w:val="00250D8F"/>
    <w:rsid w:val="00251D61"/>
    <w:rsid w:val="002520F7"/>
    <w:rsid w:val="002524F6"/>
    <w:rsid w:val="00254DE6"/>
    <w:rsid w:val="0025570B"/>
    <w:rsid w:val="00260C95"/>
    <w:rsid w:val="002619E2"/>
    <w:rsid w:val="00261AB7"/>
    <w:rsid w:val="00267618"/>
    <w:rsid w:val="00271BB7"/>
    <w:rsid w:val="00274481"/>
    <w:rsid w:val="00274AE9"/>
    <w:rsid w:val="00275508"/>
    <w:rsid w:val="00275D16"/>
    <w:rsid w:val="0028356F"/>
    <w:rsid w:val="00284373"/>
    <w:rsid w:val="002858B5"/>
    <w:rsid w:val="00287E18"/>
    <w:rsid w:val="002903EF"/>
    <w:rsid w:val="00291A78"/>
    <w:rsid w:val="00291F25"/>
    <w:rsid w:val="002920BD"/>
    <w:rsid w:val="0029226C"/>
    <w:rsid w:val="002936EA"/>
    <w:rsid w:val="00293F73"/>
    <w:rsid w:val="00294D67"/>
    <w:rsid w:val="00296C04"/>
    <w:rsid w:val="00296F29"/>
    <w:rsid w:val="00297677"/>
    <w:rsid w:val="002A1F76"/>
    <w:rsid w:val="002A21F3"/>
    <w:rsid w:val="002A2603"/>
    <w:rsid w:val="002A30C8"/>
    <w:rsid w:val="002A423A"/>
    <w:rsid w:val="002A5E2D"/>
    <w:rsid w:val="002A6915"/>
    <w:rsid w:val="002A6B07"/>
    <w:rsid w:val="002B06A5"/>
    <w:rsid w:val="002B1F34"/>
    <w:rsid w:val="002B3897"/>
    <w:rsid w:val="002B71DC"/>
    <w:rsid w:val="002B7418"/>
    <w:rsid w:val="002C0CBB"/>
    <w:rsid w:val="002C127F"/>
    <w:rsid w:val="002C1C8A"/>
    <w:rsid w:val="002C1FBF"/>
    <w:rsid w:val="002C2413"/>
    <w:rsid w:val="002C25F9"/>
    <w:rsid w:val="002C3EE7"/>
    <w:rsid w:val="002C44AA"/>
    <w:rsid w:val="002C5554"/>
    <w:rsid w:val="002C5B8B"/>
    <w:rsid w:val="002C6994"/>
    <w:rsid w:val="002C74C4"/>
    <w:rsid w:val="002D0466"/>
    <w:rsid w:val="002D05F2"/>
    <w:rsid w:val="002D2D8E"/>
    <w:rsid w:val="002D3117"/>
    <w:rsid w:val="002D31C8"/>
    <w:rsid w:val="002D50DC"/>
    <w:rsid w:val="002D59F7"/>
    <w:rsid w:val="002D6353"/>
    <w:rsid w:val="002E09AF"/>
    <w:rsid w:val="002E115F"/>
    <w:rsid w:val="002E13C3"/>
    <w:rsid w:val="002E25B7"/>
    <w:rsid w:val="002E3247"/>
    <w:rsid w:val="002E3741"/>
    <w:rsid w:val="002E62D9"/>
    <w:rsid w:val="002E6937"/>
    <w:rsid w:val="002F0C3F"/>
    <w:rsid w:val="002F1C9E"/>
    <w:rsid w:val="002F23D5"/>
    <w:rsid w:val="002F35F1"/>
    <w:rsid w:val="002F5BBC"/>
    <w:rsid w:val="002F6CD4"/>
    <w:rsid w:val="0030131B"/>
    <w:rsid w:val="003015B5"/>
    <w:rsid w:val="00301C42"/>
    <w:rsid w:val="00303F15"/>
    <w:rsid w:val="00304E9C"/>
    <w:rsid w:val="00305809"/>
    <w:rsid w:val="00307CB8"/>
    <w:rsid w:val="00310A4D"/>
    <w:rsid w:val="003115C3"/>
    <w:rsid w:val="00312C8D"/>
    <w:rsid w:val="003176A2"/>
    <w:rsid w:val="003215DC"/>
    <w:rsid w:val="003220E4"/>
    <w:rsid w:val="003226F2"/>
    <w:rsid w:val="00322983"/>
    <w:rsid w:val="00323192"/>
    <w:rsid w:val="0032325D"/>
    <w:rsid w:val="0032581D"/>
    <w:rsid w:val="0032699D"/>
    <w:rsid w:val="00326CF7"/>
    <w:rsid w:val="003270BE"/>
    <w:rsid w:val="00327A5A"/>
    <w:rsid w:val="0033098D"/>
    <w:rsid w:val="0033209F"/>
    <w:rsid w:val="0033214C"/>
    <w:rsid w:val="00332AAD"/>
    <w:rsid w:val="0033540C"/>
    <w:rsid w:val="00336CA2"/>
    <w:rsid w:val="0034053E"/>
    <w:rsid w:val="003416E7"/>
    <w:rsid w:val="00342A26"/>
    <w:rsid w:val="00342E38"/>
    <w:rsid w:val="003461E2"/>
    <w:rsid w:val="003466ED"/>
    <w:rsid w:val="00346E44"/>
    <w:rsid w:val="00351228"/>
    <w:rsid w:val="00351695"/>
    <w:rsid w:val="00352283"/>
    <w:rsid w:val="00357070"/>
    <w:rsid w:val="003575FD"/>
    <w:rsid w:val="0035782B"/>
    <w:rsid w:val="00360994"/>
    <w:rsid w:val="003639E3"/>
    <w:rsid w:val="0036420A"/>
    <w:rsid w:val="0036596F"/>
    <w:rsid w:val="00367361"/>
    <w:rsid w:val="003705EA"/>
    <w:rsid w:val="00371247"/>
    <w:rsid w:val="00372189"/>
    <w:rsid w:val="0037219C"/>
    <w:rsid w:val="0037345B"/>
    <w:rsid w:val="0037378E"/>
    <w:rsid w:val="00373DC9"/>
    <w:rsid w:val="00374734"/>
    <w:rsid w:val="00374ADC"/>
    <w:rsid w:val="00377520"/>
    <w:rsid w:val="00377714"/>
    <w:rsid w:val="003802F8"/>
    <w:rsid w:val="003815C0"/>
    <w:rsid w:val="00381D95"/>
    <w:rsid w:val="003832DF"/>
    <w:rsid w:val="00385A0E"/>
    <w:rsid w:val="00385E02"/>
    <w:rsid w:val="00386B5A"/>
    <w:rsid w:val="00386EE0"/>
    <w:rsid w:val="00387156"/>
    <w:rsid w:val="00387464"/>
    <w:rsid w:val="0038767B"/>
    <w:rsid w:val="0039140B"/>
    <w:rsid w:val="00391E8D"/>
    <w:rsid w:val="0039259D"/>
    <w:rsid w:val="00392A11"/>
    <w:rsid w:val="003965A5"/>
    <w:rsid w:val="003965EC"/>
    <w:rsid w:val="003967E9"/>
    <w:rsid w:val="003A0386"/>
    <w:rsid w:val="003A1456"/>
    <w:rsid w:val="003A36C0"/>
    <w:rsid w:val="003A496E"/>
    <w:rsid w:val="003A56CD"/>
    <w:rsid w:val="003A75AA"/>
    <w:rsid w:val="003A75AB"/>
    <w:rsid w:val="003A7F49"/>
    <w:rsid w:val="003B03BA"/>
    <w:rsid w:val="003B042D"/>
    <w:rsid w:val="003B0607"/>
    <w:rsid w:val="003B0C66"/>
    <w:rsid w:val="003B1580"/>
    <w:rsid w:val="003B427C"/>
    <w:rsid w:val="003B4381"/>
    <w:rsid w:val="003B4D8E"/>
    <w:rsid w:val="003B5740"/>
    <w:rsid w:val="003B64A6"/>
    <w:rsid w:val="003B7672"/>
    <w:rsid w:val="003B7A69"/>
    <w:rsid w:val="003C2496"/>
    <w:rsid w:val="003C24DF"/>
    <w:rsid w:val="003C5D9F"/>
    <w:rsid w:val="003C60B8"/>
    <w:rsid w:val="003C617A"/>
    <w:rsid w:val="003C6226"/>
    <w:rsid w:val="003C66B6"/>
    <w:rsid w:val="003C7709"/>
    <w:rsid w:val="003D043B"/>
    <w:rsid w:val="003D2AA7"/>
    <w:rsid w:val="003D33C9"/>
    <w:rsid w:val="003D33D2"/>
    <w:rsid w:val="003D4B34"/>
    <w:rsid w:val="003D5189"/>
    <w:rsid w:val="003D5D8A"/>
    <w:rsid w:val="003E023A"/>
    <w:rsid w:val="003E026B"/>
    <w:rsid w:val="003E1DEE"/>
    <w:rsid w:val="003E2175"/>
    <w:rsid w:val="003E2743"/>
    <w:rsid w:val="003E642B"/>
    <w:rsid w:val="003E73FE"/>
    <w:rsid w:val="003E7847"/>
    <w:rsid w:val="003F0198"/>
    <w:rsid w:val="003F1941"/>
    <w:rsid w:val="003F1BC3"/>
    <w:rsid w:val="003F2177"/>
    <w:rsid w:val="003F3282"/>
    <w:rsid w:val="003F359E"/>
    <w:rsid w:val="003F465D"/>
    <w:rsid w:val="003F490C"/>
    <w:rsid w:val="003F4B87"/>
    <w:rsid w:val="003F4C23"/>
    <w:rsid w:val="003F6961"/>
    <w:rsid w:val="003F6D59"/>
    <w:rsid w:val="004001ED"/>
    <w:rsid w:val="00404AE6"/>
    <w:rsid w:val="00405EAA"/>
    <w:rsid w:val="0041000D"/>
    <w:rsid w:val="004101BE"/>
    <w:rsid w:val="00410ABE"/>
    <w:rsid w:val="00413C37"/>
    <w:rsid w:val="0041438D"/>
    <w:rsid w:val="004148FF"/>
    <w:rsid w:val="00421CC7"/>
    <w:rsid w:val="0043256F"/>
    <w:rsid w:val="004327EE"/>
    <w:rsid w:val="00433461"/>
    <w:rsid w:val="00434F1E"/>
    <w:rsid w:val="004355AB"/>
    <w:rsid w:val="00435FB9"/>
    <w:rsid w:val="00437255"/>
    <w:rsid w:val="004378F9"/>
    <w:rsid w:val="00446258"/>
    <w:rsid w:val="0044662D"/>
    <w:rsid w:val="00447027"/>
    <w:rsid w:val="00451C9A"/>
    <w:rsid w:val="00451CD2"/>
    <w:rsid w:val="00452061"/>
    <w:rsid w:val="004527A1"/>
    <w:rsid w:val="004529B6"/>
    <w:rsid w:val="00453EAA"/>
    <w:rsid w:val="0045572F"/>
    <w:rsid w:val="00456343"/>
    <w:rsid w:val="00456E61"/>
    <w:rsid w:val="00456F71"/>
    <w:rsid w:val="0045731C"/>
    <w:rsid w:val="00457FE2"/>
    <w:rsid w:val="00461097"/>
    <w:rsid w:val="004640A5"/>
    <w:rsid w:val="00464B9C"/>
    <w:rsid w:val="0046574C"/>
    <w:rsid w:val="004660CE"/>
    <w:rsid w:val="00467A48"/>
    <w:rsid w:val="00467E26"/>
    <w:rsid w:val="00470B2C"/>
    <w:rsid w:val="0047304A"/>
    <w:rsid w:val="00475F32"/>
    <w:rsid w:val="00477CC3"/>
    <w:rsid w:val="0048060A"/>
    <w:rsid w:val="00482133"/>
    <w:rsid w:val="0048292E"/>
    <w:rsid w:val="0048381D"/>
    <w:rsid w:val="0048394C"/>
    <w:rsid w:val="004839DE"/>
    <w:rsid w:val="004855B9"/>
    <w:rsid w:val="004862F3"/>
    <w:rsid w:val="004872D2"/>
    <w:rsid w:val="004901F9"/>
    <w:rsid w:val="00493EE6"/>
    <w:rsid w:val="00494324"/>
    <w:rsid w:val="00496EA0"/>
    <w:rsid w:val="004976CA"/>
    <w:rsid w:val="004A1E78"/>
    <w:rsid w:val="004A2068"/>
    <w:rsid w:val="004A2F9C"/>
    <w:rsid w:val="004A3AE2"/>
    <w:rsid w:val="004A3EAC"/>
    <w:rsid w:val="004A5144"/>
    <w:rsid w:val="004A621D"/>
    <w:rsid w:val="004B0257"/>
    <w:rsid w:val="004B0396"/>
    <w:rsid w:val="004B0F83"/>
    <w:rsid w:val="004B1019"/>
    <w:rsid w:val="004B2158"/>
    <w:rsid w:val="004B48CE"/>
    <w:rsid w:val="004B4D63"/>
    <w:rsid w:val="004B6CCC"/>
    <w:rsid w:val="004C0DAC"/>
    <w:rsid w:val="004C1709"/>
    <w:rsid w:val="004C21C8"/>
    <w:rsid w:val="004C344C"/>
    <w:rsid w:val="004C43EE"/>
    <w:rsid w:val="004C47DB"/>
    <w:rsid w:val="004C5EA1"/>
    <w:rsid w:val="004C6DA3"/>
    <w:rsid w:val="004D26F5"/>
    <w:rsid w:val="004D2BD7"/>
    <w:rsid w:val="004D315B"/>
    <w:rsid w:val="004D5A97"/>
    <w:rsid w:val="004D5CDB"/>
    <w:rsid w:val="004D5DA7"/>
    <w:rsid w:val="004E6525"/>
    <w:rsid w:val="004E73C3"/>
    <w:rsid w:val="004F1F88"/>
    <w:rsid w:val="004F3372"/>
    <w:rsid w:val="004F3C54"/>
    <w:rsid w:val="004F3FCB"/>
    <w:rsid w:val="004F612E"/>
    <w:rsid w:val="004F762C"/>
    <w:rsid w:val="004F7B6C"/>
    <w:rsid w:val="004F7F1B"/>
    <w:rsid w:val="005017BD"/>
    <w:rsid w:val="00501E32"/>
    <w:rsid w:val="005046F4"/>
    <w:rsid w:val="0050594D"/>
    <w:rsid w:val="00506047"/>
    <w:rsid w:val="005063EA"/>
    <w:rsid w:val="00506830"/>
    <w:rsid w:val="00507E37"/>
    <w:rsid w:val="00510E58"/>
    <w:rsid w:val="0051580D"/>
    <w:rsid w:val="0052052A"/>
    <w:rsid w:val="0052077C"/>
    <w:rsid w:val="00520C02"/>
    <w:rsid w:val="00522690"/>
    <w:rsid w:val="00523356"/>
    <w:rsid w:val="0052490F"/>
    <w:rsid w:val="00526A0C"/>
    <w:rsid w:val="00527085"/>
    <w:rsid w:val="00527356"/>
    <w:rsid w:val="0052796B"/>
    <w:rsid w:val="00530D91"/>
    <w:rsid w:val="00530FC8"/>
    <w:rsid w:val="00530FF0"/>
    <w:rsid w:val="005321E5"/>
    <w:rsid w:val="0053301E"/>
    <w:rsid w:val="005336B5"/>
    <w:rsid w:val="005338E9"/>
    <w:rsid w:val="00536611"/>
    <w:rsid w:val="00537144"/>
    <w:rsid w:val="00537736"/>
    <w:rsid w:val="005378DF"/>
    <w:rsid w:val="00540940"/>
    <w:rsid w:val="0054147B"/>
    <w:rsid w:val="00541F35"/>
    <w:rsid w:val="00542CBB"/>
    <w:rsid w:val="00544737"/>
    <w:rsid w:val="00544901"/>
    <w:rsid w:val="00547562"/>
    <w:rsid w:val="00547B30"/>
    <w:rsid w:val="00547BE5"/>
    <w:rsid w:val="005503B6"/>
    <w:rsid w:val="005523DF"/>
    <w:rsid w:val="00555CD4"/>
    <w:rsid w:val="00560CD2"/>
    <w:rsid w:val="00561DAD"/>
    <w:rsid w:val="00564EA6"/>
    <w:rsid w:val="0056551B"/>
    <w:rsid w:val="00566909"/>
    <w:rsid w:val="00566FA7"/>
    <w:rsid w:val="005722DC"/>
    <w:rsid w:val="005741F4"/>
    <w:rsid w:val="0057675C"/>
    <w:rsid w:val="005769F7"/>
    <w:rsid w:val="00576CF1"/>
    <w:rsid w:val="005775C2"/>
    <w:rsid w:val="00577BF6"/>
    <w:rsid w:val="005811DF"/>
    <w:rsid w:val="00582836"/>
    <w:rsid w:val="00582C7C"/>
    <w:rsid w:val="00582FD6"/>
    <w:rsid w:val="00583170"/>
    <w:rsid w:val="00583A9D"/>
    <w:rsid w:val="00584009"/>
    <w:rsid w:val="00585703"/>
    <w:rsid w:val="005865E9"/>
    <w:rsid w:val="00586929"/>
    <w:rsid w:val="00587157"/>
    <w:rsid w:val="00587A31"/>
    <w:rsid w:val="00590169"/>
    <w:rsid w:val="005922B7"/>
    <w:rsid w:val="00592C8E"/>
    <w:rsid w:val="0059408F"/>
    <w:rsid w:val="005966D7"/>
    <w:rsid w:val="00596E37"/>
    <w:rsid w:val="005977D7"/>
    <w:rsid w:val="005A0260"/>
    <w:rsid w:val="005A1042"/>
    <w:rsid w:val="005A243F"/>
    <w:rsid w:val="005A2993"/>
    <w:rsid w:val="005A461C"/>
    <w:rsid w:val="005A4794"/>
    <w:rsid w:val="005A4B57"/>
    <w:rsid w:val="005A545A"/>
    <w:rsid w:val="005A66DE"/>
    <w:rsid w:val="005B3645"/>
    <w:rsid w:val="005B473E"/>
    <w:rsid w:val="005B4C84"/>
    <w:rsid w:val="005B59A4"/>
    <w:rsid w:val="005B6B2D"/>
    <w:rsid w:val="005B7948"/>
    <w:rsid w:val="005B7D6B"/>
    <w:rsid w:val="005C2836"/>
    <w:rsid w:val="005C2E59"/>
    <w:rsid w:val="005C323B"/>
    <w:rsid w:val="005C3C5E"/>
    <w:rsid w:val="005C51A6"/>
    <w:rsid w:val="005C6074"/>
    <w:rsid w:val="005C777B"/>
    <w:rsid w:val="005C7A41"/>
    <w:rsid w:val="005C7FCF"/>
    <w:rsid w:val="005D1361"/>
    <w:rsid w:val="005D1A93"/>
    <w:rsid w:val="005D1F08"/>
    <w:rsid w:val="005D2698"/>
    <w:rsid w:val="005D3F48"/>
    <w:rsid w:val="005D4F7F"/>
    <w:rsid w:val="005D6CFF"/>
    <w:rsid w:val="005E0399"/>
    <w:rsid w:val="005E160E"/>
    <w:rsid w:val="005E6824"/>
    <w:rsid w:val="005E7897"/>
    <w:rsid w:val="005F0720"/>
    <w:rsid w:val="005F11CF"/>
    <w:rsid w:val="005F7860"/>
    <w:rsid w:val="006004F8"/>
    <w:rsid w:val="00600B4D"/>
    <w:rsid w:val="00601072"/>
    <w:rsid w:val="00601715"/>
    <w:rsid w:val="0060211C"/>
    <w:rsid w:val="0060230A"/>
    <w:rsid w:val="00602CB3"/>
    <w:rsid w:val="00603315"/>
    <w:rsid w:val="00603843"/>
    <w:rsid w:val="00604524"/>
    <w:rsid w:val="00605454"/>
    <w:rsid w:val="00607DB5"/>
    <w:rsid w:val="0061099C"/>
    <w:rsid w:val="0061127D"/>
    <w:rsid w:val="00611B1C"/>
    <w:rsid w:val="00611FE5"/>
    <w:rsid w:val="00612E4D"/>
    <w:rsid w:val="0061317E"/>
    <w:rsid w:val="00615CB9"/>
    <w:rsid w:val="00616F31"/>
    <w:rsid w:val="00617583"/>
    <w:rsid w:val="00621BA8"/>
    <w:rsid w:val="00622006"/>
    <w:rsid w:val="00623641"/>
    <w:rsid w:val="00624A4E"/>
    <w:rsid w:val="00630706"/>
    <w:rsid w:val="0063343D"/>
    <w:rsid w:val="006351C8"/>
    <w:rsid w:val="00637B96"/>
    <w:rsid w:val="00640C1E"/>
    <w:rsid w:val="00641F5D"/>
    <w:rsid w:val="0064256F"/>
    <w:rsid w:val="006430B8"/>
    <w:rsid w:val="006432D6"/>
    <w:rsid w:val="00645D7F"/>
    <w:rsid w:val="00646F3E"/>
    <w:rsid w:val="00647C21"/>
    <w:rsid w:val="00647CE4"/>
    <w:rsid w:val="00647F65"/>
    <w:rsid w:val="0065168B"/>
    <w:rsid w:val="00652EB5"/>
    <w:rsid w:val="00655ADB"/>
    <w:rsid w:val="00656259"/>
    <w:rsid w:val="006577A8"/>
    <w:rsid w:val="006579F2"/>
    <w:rsid w:val="00657A8F"/>
    <w:rsid w:val="00661687"/>
    <w:rsid w:val="00663AEB"/>
    <w:rsid w:val="0066585D"/>
    <w:rsid w:val="00665FB1"/>
    <w:rsid w:val="006702A7"/>
    <w:rsid w:val="00670698"/>
    <w:rsid w:val="00670752"/>
    <w:rsid w:val="0067241A"/>
    <w:rsid w:val="00673043"/>
    <w:rsid w:val="006741F0"/>
    <w:rsid w:val="00674F26"/>
    <w:rsid w:val="00675115"/>
    <w:rsid w:val="006760E8"/>
    <w:rsid w:val="00680335"/>
    <w:rsid w:val="00681A39"/>
    <w:rsid w:val="0068603E"/>
    <w:rsid w:val="006919FA"/>
    <w:rsid w:val="00692DA7"/>
    <w:rsid w:val="006932DE"/>
    <w:rsid w:val="006935DB"/>
    <w:rsid w:val="00694592"/>
    <w:rsid w:val="00695332"/>
    <w:rsid w:val="00695ACB"/>
    <w:rsid w:val="00695E2D"/>
    <w:rsid w:val="006A0942"/>
    <w:rsid w:val="006A1853"/>
    <w:rsid w:val="006A30C2"/>
    <w:rsid w:val="006A49CA"/>
    <w:rsid w:val="006A5436"/>
    <w:rsid w:val="006A59AD"/>
    <w:rsid w:val="006A6529"/>
    <w:rsid w:val="006A7104"/>
    <w:rsid w:val="006A7767"/>
    <w:rsid w:val="006A7F30"/>
    <w:rsid w:val="006B0214"/>
    <w:rsid w:val="006B23E4"/>
    <w:rsid w:val="006B374C"/>
    <w:rsid w:val="006B396D"/>
    <w:rsid w:val="006B3BED"/>
    <w:rsid w:val="006B4336"/>
    <w:rsid w:val="006B7C93"/>
    <w:rsid w:val="006C422F"/>
    <w:rsid w:val="006C44B6"/>
    <w:rsid w:val="006C482B"/>
    <w:rsid w:val="006C52D9"/>
    <w:rsid w:val="006C6424"/>
    <w:rsid w:val="006C76B3"/>
    <w:rsid w:val="006D18AA"/>
    <w:rsid w:val="006D1D0A"/>
    <w:rsid w:val="006D28EA"/>
    <w:rsid w:val="006D49D1"/>
    <w:rsid w:val="006D6658"/>
    <w:rsid w:val="006E1698"/>
    <w:rsid w:val="006E1A33"/>
    <w:rsid w:val="006E474F"/>
    <w:rsid w:val="006E6113"/>
    <w:rsid w:val="006E6954"/>
    <w:rsid w:val="006E6EA7"/>
    <w:rsid w:val="006F0748"/>
    <w:rsid w:val="006F1946"/>
    <w:rsid w:val="006F26DF"/>
    <w:rsid w:val="006F29EE"/>
    <w:rsid w:val="006F2CD4"/>
    <w:rsid w:val="006F4F14"/>
    <w:rsid w:val="006F5FB3"/>
    <w:rsid w:val="006F6526"/>
    <w:rsid w:val="006F6B8E"/>
    <w:rsid w:val="006F707D"/>
    <w:rsid w:val="006F799B"/>
    <w:rsid w:val="00700872"/>
    <w:rsid w:val="00702703"/>
    <w:rsid w:val="0070376E"/>
    <w:rsid w:val="00703ED8"/>
    <w:rsid w:val="007114A4"/>
    <w:rsid w:val="00711B5B"/>
    <w:rsid w:val="0071265F"/>
    <w:rsid w:val="00714DA8"/>
    <w:rsid w:val="00715ECB"/>
    <w:rsid w:val="007177A8"/>
    <w:rsid w:val="0071780B"/>
    <w:rsid w:val="00717F08"/>
    <w:rsid w:val="00720DBF"/>
    <w:rsid w:val="00723937"/>
    <w:rsid w:val="00725EE4"/>
    <w:rsid w:val="00727528"/>
    <w:rsid w:val="0073232E"/>
    <w:rsid w:val="00733A30"/>
    <w:rsid w:val="00734351"/>
    <w:rsid w:val="00735301"/>
    <w:rsid w:val="00735A9C"/>
    <w:rsid w:val="0073600F"/>
    <w:rsid w:val="00740A96"/>
    <w:rsid w:val="00741202"/>
    <w:rsid w:val="00741776"/>
    <w:rsid w:val="007437F7"/>
    <w:rsid w:val="00744996"/>
    <w:rsid w:val="00744BAC"/>
    <w:rsid w:val="00745450"/>
    <w:rsid w:val="007468AF"/>
    <w:rsid w:val="00747049"/>
    <w:rsid w:val="007474C2"/>
    <w:rsid w:val="00747BA5"/>
    <w:rsid w:val="00751316"/>
    <w:rsid w:val="00756DB4"/>
    <w:rsid w:val="00757943"/>
    <w:rsid w:val="00757F22"/>
    <w:rsid w:val="007600F8"/>
    <w:rsid w:val="0076032F"/>
    <w:rsid w:val="007624DF"/>
    <w:rsid w:val="007632DB"/>
    <w:rsid w:val="00763CF9"/>
    <w:rsid w:val="00763D6E"/>
    <w:rsid w:val="007717B8"/>
    <w:rsid w:val="007729F5"/>
    <w:rsid w:val="00772E71"/>
    <w:rsid w:val="007732CD"/>
    <w:rsid w:val="007737A3"/>
    <w:rsid w:val="00773D1F"/>
    <w:rsid w:val="0077567C"/>
    <w:rsid w:val="00775A95"/>
    <w:rsid w:val="007760BF"/>
    <w:rsid w:val="007766CE"/>
    <w:rsid w:val="007813CB"/>
    <w:rsid w:val="007835D8"/>
    <w:rsid w:val="00790CFD"/>
    <w:rsid w:val="0079186E"/>
    <w:rsid w:val="00791ABA"/>
    <w:rsid w:val="00791BEA"/>
    <w:rsid w:val="00793B70"/>
    <w:rsid w:val="007957AB"/>
    <w:rsid w:val="007968C5"/>
    <w:rsid w:val="00796B00"/>
    <w:rsid w:val="00796DC9"/>
    <w:rsid w:val="00797832"/>
    <w:rsid w:val="007A04FA"/>
    <w:rsid w:val="007A415D"/>
    <w:rsid w:val="007A4302"/>
    <w:rsid w:val="007A5055"/>
    <w:rsid w:val="007A722F"/>
    <w:rsid w:val="007B0726"/>
    <w:rsid w:val="007B1338"/>
    <w:rsid w:val="007B45F3"/>
    <w:rsid w:val="007B4B54"/>
    <w:rsid w:val="007B5849"/>
    <w:rsid w:val="007B5B95"/>
    <w:rsid w:val="007B5EEB"/>
    <w:rsid w:val="007B5F42"/>
    <w:rsid w:val="007C0060"/>
    <w:rsid w:val="007C0AFD"/>
    <w:rsid w:val="007C1CDD"/>
    <w:rsid w:val="007C2C05"/>
    <w:rsid w:val="007C3222"/>
    <w:rsid w:val="007C3E25"/>
    <w:rsid w:val="007C4988"/>
    <w:rsid w:val="007C6206"/>
    <w:rsid w:val="007C676A"/>
    <w:rsid w:val="007C6C7B"/>
    <w:rsid w:val="007D0313"/>
    <w:rsid w:val="007D1FD1"/>
    <w:rsid w:val="007D4330"/>
    <w:rsid w:val="007D4367"/>
    <w:rsid w:val="007D670F"/>
    <w:rsid w:val="007D716A"/>
    <w:rsid w:val="007E1017"/>
    <w:rsid w:val="007E2BC4"/>
    <w:rsid w:val="007E3A94"/>
    <w:rsid w:val="007E3C3D"/>
    <w:rsid w:val="007E5B69"/>
    <w:rsid w:val="007E6A7D"/>
    <w:rsid w:val="007F23E7"/>
    <w:rsid w:val="007F268F"/>
    <w:rsid w:val="007F4B11"/>
    <w:rsid w:val="007F6D64"/>
    <w:rsid w:val="007F7137"/>
    <w:rsid w:val="0080262D"/>
    <w:rsid w:val="00802A80"/>
    <w:rsid w:val="0080380C"/>
    <w:rsid w:val="00803C8B"/>
    <w:rsid w:val="00804449"/>
    <w:rsid w:val="008065A8"/>
    <w:rsid w:val="00806D4F"/>
    <w:rsid w:val="00807C5A"/>
    <w:rsid w:val="00807E7C"/>
    <w:rsid w:val="0081149C"/>
    <w:rsid w:val="0081286D"/>
    <w:rsid w:val="00813802"/>
    <w:rsid w:val="008168B6"/>
    <w:rsid w:val="00817218"/>
    <w:rsid w:val="00821D4F"/>
    <w:rsid w:val="00822078"/>
    <w:rsid w:val="00822860"/>
    <w:rsid w:val="00823957"/>
    <w:rsid w:val="0082626C"/>
    <w:rsid w:val="008268F1"/>
    <w:rsid w:val="00832B4A"/>
    <w:rsid w:val="008335F6"/>
    <w:rsid w:val="00833CB7"/>
    <w:rsid w:val="00836317"/>
    <w:rsid w:val="00837F99"/>
    <w:rsid w:val="00837F9B"/>
    <w:rsid w:val="0084159F"/>
    <w:rsid w:val="008419DE"/>
    <w:rsid w:val="00841BCF"/>
    <w:rsid w:val="00842746"/>
    <w:rsid w:val="00842D3D"/>
    <w:rsid w:val="008463EB"/>
    <w:rsid w:val="00846DD6"/>
    <w:rsid w:val="0085025E"/>
    <w:rsid w:val="00851883"/>
    <w:rsid w:val="008518B7"/>
    <w:rsid w:val="008528BF"/>
    <w:rsid w:val="00853925"/>
    <w:rsid w:val="00854781"/>
    <w:rsid w:val="00854C0C"/>
    <w:rsid w:val="00855250"/>
    <w:rsid w:val="00860C38"/>
    <w:rsid w:val="00860F17"/>
    <w:rsid w:val="0086182F"/>
    <w:rsid w:val="00865E08"/>
    <w:rsid w:val="008673D0"/>
    <w:rsid w:val="0087183B"/>
    <w:rsid w:val="0087247F"/>
    <w:rsid w:val="008743F1"/>
    <w:rsid w:val="00880F72"/>
    <w:rsid w:val="0088156A"/>
    <w:rsid w:val="00881831"/>
    <w:rsid w:val="00882924"/>
    <w:rsid w:val="00884525"/>
    <w:rsid w:val="008854F8"/>
    <w:rsid w:val="00885FF3"/>
    <w:rsid w:val="00886096"/>
    <w:rsid w:val="008866A2"/>
    <w:rsid w:val="008904AC"/>
    <w:rsid w:val="008961C1"/>
    <w:rsid w:val="008976CE"/>
    <w:rsid w:val="00897E09"/>
    <w:rsid w:val="008A06E0"/>
    <w:rsid w:val="008A070C"/>
    <w:rsid w:val="008A08FC"/>
    <w:rsid w:val="008A1FCF"/>
    <w:rsid w:val="008A34A9"/>
    <w:rsid w:val="008A36B5"/>
    <w:rsid w:val="008A622D"/>
    <w:rsid w:val="008A6487"/>
    <w:rsid w:val="008A6CA9"/>
    <w:rsid w:val="008A795D"/>
    <w:rsid w:val="008B0E66"/>
    <w:rsid w:val="008B16CA"/>
    <w:rsid w:val="008B2515"/>
    <w:rsid w:val="008B5C22"/>
    <w:rsid w:val="008B5CF7"/>
    <w:rsid w:val="008B6E69"/>
    <w:rsid w:val="008C2B5E"/>
    <w:rsid w:val="008C31C3"/>
    <w:rsid w:val="008C40E6"/>
    <w:rsid w:val="008C6430"/>
    <w:rsid w:val="008D0CCD"/>
    <w:rsid w:val="008D36D0"/>
    <w:rsid w:val="008D4729"/>
    <w:rsid w:val="008D4CA7"/>
    <w:rsid w:val="008D63A2"/>
    <w:rsid w:val="008D6BA3"/>
    <w:rsid w:val="008E07BD"/>
    <w:rsid w:val="008E3BE5"/>
    <w:rsid w:val="008E5462"/>
    <w:rsid w:val="008E5EBA"/>
    <w:rsid w:val="008E6427"/>
    <w:rsid w:val="008F08C9"/>
    <w:rsid w:val="008F1A12"/>
    <w:rsid w:val="008F58AB"/>
    <w:rsid w:val="008F5DB8"/>
    <w:rsid w:val="008F627B"/>
    <w:rsid w:val="009009ED"/>
    <w:rsid w:val="009013F2"/>
    <w:rsid w:val="0090187B"/>
    <w:rsid w:val="00901F58"/>
    <w:rsid w:val="00904060"/>
    <w:rsid w:val="0090557B"/>
    <w:rsid w:val="00906556"/>
    <w:rsid w:val="00912F6D"/>
    <w:rsid w:val="0091339E"/>
    <w:rsid w:val="00915AD8"/>
    <w:rsid w:val="0091664F"/>
    <w:rsid w:val="00920210"/>
    <w:rsid w:val="00920E18"/>
    <w:rsid w:val="009217E3"/>
    <w:rsid w:val="0092277C"/>
    <w:rsid w:val="009238F5"/>
    <w:rsid w:val="00923A3D"/>
    <w:rsid w:val="009254ED"/>
    <w:rsid w:val="00925695"/>
    <w:rsid w:val="00926FDA"/>
    <w:rsid w:val="00927C7B"/>
    <w:rsid w:val="00927D43"/>
    <w:rsid w:val="009302E0"/>
    <w:rsid w:val="00933546"/>
    <w:rsid w:val="0093367E"/>
    <w:rsid w:val="00933E9A"/>
    <w:rsid w:val="00935460"/>
    <w:rsid w:val="00936B60"/>
    <w:rsid w:val="00936FE4"/>
    <w:rsid w:val="00937089"/>
    <w:rsid w:val="009376CD"/>
    <w:rsid w:val="00937A04"/>
    <w:rsid w:val="00937D8B"/>
    <w:rsid w:val="00942A59"/>
    <w:rsid w:val="009457EF"/>
    <w:rsid w:val="009472D2"/>
    <w:rsid w:val="009509B4"/>
    <w:rsid w:val="00951103"/>
    <w:rsid w:val="00952701"/>
    <w:rsid w:val="00952F3C"/>
    <w:rsid w:val="00955FCE"/>
    <w:rsid w:val="00956728"/>
    <w:rsid w:val="00956EED"/>
    <w:rsid w:val="0096039C"/>
    <w:rsid w:val="00960511"/>
    <w:rsid w:val="0096670D"/>
    <w:rsid w:val="00967384"/>
    <w:rsid w:val="0096772C"/>
    <w:rsid w:val="00967C19"/>
    <w:rsid w:val="00970235"/>
    <w:rsid w:val="0097049A"/>
    <w:rsid w:val="0097064A"/>
    <w:rsid w:val="00970860"/>
    <w:rsid w:val="00972422"/>
    <w:rsid w:val="00972651"/>
    <w:rsid w:val="00973A2D"/>
    <w:rsid w:val="00974AEA"/>
    <w:rsid w:val="00975662"/>
    <w:rsid w:val="009760A6"/>
    <w:rsid w:val="0098105F"/>
    <w:rsid w:val="00981A1A"/>
    <w:rsid w:val="00981CAB"/>
    <w:rsid w:val="00983639"/>
    <w:rsid w:val="00987810"/>
    <w:rsid w:val="00991682"/>
    <w:rsid w:val="00991DF9"/>
    <w:rsid w:val="009928CA"/>
    <w:rsid w:val="009936F7"/>
    <w:rsid w:val="00993D21"/>
    <w:rsid w:val="0099494D"/>
    <w:rsid w:val="009954ED"/>
    <w:rsid w:val="00995DE9"/>
    <w:rsid w:val="009969BD"/>
    <w:rsid w:val="009979C0"/>
    <w:rsid w:val="00997F40"/>
    <w:rsid w:val="009A0C91"/>
    <w:rsid w:val="009A152E"/>
    <w:rsid w:val="009A15CD"/>
    <w:rsid w:val="009A2126"/>
    <w:rsid w:val="009A3C97"/>
    <w:rsid w:val="009A4271"/>
    <w:rsid w:val="009A5730"/>
    <w:rsid w:val="009A62B9"/>
    <w:rsid w:val="009B03C5"/>
    <w:rsid w:val="009B1E94"/>
    <w:rsid w:val="009B4576"/>
    <w:rsid w:val="009B47E4"/>
    <w:rsid w:val="009B5F78"/>
    <w:rsid w:val="009B64F1"/>
    <w:rsid w:val="009B66D3"/>
    <w:rsid w:val="009B68FA"/>
    <w:rsid w:val="009B6960"/>
    <w:rsid w:val="009C0A86"/>
    <w:rsid w:val="009C0D82"/>
    <w:rsid w:val="009C0F5A"/>
    <w:rsid w:val="009C1234"/>
    <w:rsid w:val="009C1A97"/>
    <w:rsid w:val="009C25C6"/>
    <w:rsid w:val="009C399B"/>
    <w:rsid w:val="009C4471"/>
    <w:rsid w:val="009C50B9"/>
    <w:rsid w:val="009C54B6"/>
    <w:rsid w:val="009D1035"/>
    <w:rsid w:val="009D12B3"/>
    <w:rsid w:val="009D1406"/>
    <w:rsid w:val="009D29A5"/>
    <w:rsid w:val="009D3011"/>
    <w:rsid w:val="009D4771"/>
    <w:rsid w:val="009D51DB"/>
    <w:rsid w:val="009D6AAB"/>
    <w:rsid w:val="009D6EB8"/>
    <w:rsid w:val="009E0BDB"/>
    <w:rsid w:val="009E1F26"/>
    <w:rsid w:val="009E3BAC"/>
    <w:rsid w:val="009E3CD4"/>
    <w:rsid w:val="009E4750"/>
    <w:rsid w:val="009E5B10"/>
    <w:rsid w:val="009E5FD5"/>
    <w:rsid w:val="009F0F6F"/>
    <w:rsid w:val="009F1C24"/>
    <w:rsid w:val="009F21F4"/>
    <w:rsid w:val="009F2468"/>
    <w:rsid w:val="009F309D"/>
    <w:rsid w:val="009F5929"/>
    <w:rsid w:val="009F5AE6"/>
    <w:rsid w:val="009F6004"/>
    <w:rsid w:val="00A0065E"/>
    <w:rsid w:val="00A02C51"/>
    <w:rsid w:val="00A0302B"/>
    <w:rsid w:val="00A046B0"/>
    <w:rsid w:val="00A04EEE"/>
    <w:rsid w:val="00A07280"/>
    <w:rsid w:val="00A07708"/>
    <w:rsid w:val="00A1336E"/>
    <w:rsid w:val="00A135CD"/>
    <w:rsid w:val="00A13ABC"/>
    <w:rsid w:val="00A157E3"/>
    <w:rsid w:val="00A15972"/>
    <w:rsid w:val="00A159BD"/>
    <w:rsid w:val="00A1606E"/>
    <w:rsid w:val="00A21D41"/>
    <w:rsid w:val="00A22BAB"/>
    <w:rsid w:val="00A247A1"/>
    <w:rsid w:val="00A25CCA"/>
    <w:rsid w:val="00A25F4E"/>
    <w:rsid w:val="00A312F3"/>
    <w:rsid w:val="00A320FC"/>
    <w:rsid w:val="00A3690A"/>
    <w:rsid w:val="00A406A2"/>
    <w:rsid w:val="00A419CC"/>
    <w:rsid w:val="00A43367"/>
    <w:rsid w:val="00A446C2"/>
    <w:rsid w:val="00A4478D"/>
    <w:rsid w:val="00A47B1B"/>
    <w:rsid w:val="00A50826"/>
    <w:rsid w:val="00A53B58"/>
    <w:rsid w:val="00A547B2"/>
    <w:rsid w:val="00A55DA9"/>
    <w:rsid w:val="00A55FF2"/>
    <w:rsid w:val="00A566A9"/>
    <w:rsid w:val="00A57C1A"/>
    <w:rsid w:val="00A60D4A"/>
    <w:rsid w:val="00A61755"/>
    <w:rsid w:val="00A62CED"/>
    <w:rsid w:val="00A63080"/>
    <w:rsid w:val="00A6622D"/>
    <w:rsid w:val="00A67CD1"/>
    <w:rsid w:val="00A71303"/>
    <w:rsid w:val="00A7220C"/>
    <w:rsid w:val="00A7229C"/>
    <w:rsid w:val="00A73ECA"/>
    <w:rsid w:val="00A76ED8"/>
    <w:rsid w:val="00A77DD6"/>
    <w:rsid w:val="00A82C8D"/>
    <w:rsid w:val="00A82D8A"/>
    <w:rsid w:val="00A8428F"/>
    <w:rsid w:val="00A84E22"/>
    <w:rsid w:val="00A86049"/>
    <w:rsid w:val="00A86AF2"/>
    <w:rsid w:val="00A87A02"/>
    <w:rsid w:val="00A9155A"/>
    <w:rsid w:val="00A93490"/>
    <w:rsid w:val="00A93E81"/>
    <w:rsid w:val="00A94CA5"/>
    <w:rsid w:val="00A97771"/>
    <w:rsid w:val="00AA2444"/>
    <w:rsid w:val="00AA25FD"/>
    <w:rsid w:val="00AA37C6"/>
    <w:rsid w:val="00AA39EC"/>
    <w:rsid w:val="00AA3F1F"/>
    <w:rsid w:val="00AA4CD3"/>
    <w:rsid w:val="00AA4ECC"/>
    <w:rsid w:val="00AA4FA0"/>
    <w:rsid w:val="00AA5625"/>
    <w:rsid w:val="00AA73A5"/>
    <w:rsid w:val="00AB08BA"/>
    <w:rsid w:val="00AB0D18"/>
    <w:rsid w:val="00AB0E57"/>
    <w:rsid w:val="00AB2207"/>
    <w:rsid w:val="00AB2378"/>
    <w:rsid w:val="00AB595B"/>
    <w:rsid w:val="00AB7015"/>
    <w:rsid w:val="00AB72C3"/>
    <w:rsid w:val="00AC0F07"/>
    <w:rsid w:val="00AC21C2"/>
    <w:rsid w:val="00AC290E"/>
    <w:rsid w:val="00AC3E52"/>
    <w:rsid w:val="00AC4D37"/>
    <w:rsid w:val="00AC50B1"/>
    <w:rsid w:val="00AC5685"/>
    <w:rsid w:val="00AC7E1F"/>
    <w:rsid w:val="00AD0A3C"/>
    <w:rsid w:val="00AD1C2A"/>
    <w:rsid w:val="00AD2BBA"/>
    <w:rsid w:val="00AD3145"/>
    <w:rsid w:val="00AD35AC"/>
    <w:rsid w:val="00AE131F"/>
    <w:rsid w:val="00AE2CE5"/>
    <w:rsid w:val="00AE404C"/>
    <w:rsid w:val="00AE40F5"/>
    <w:rsid w:val="00AE6EED"/>
    <w:rsid w:val="00AE73E2"/>
    <w:rsid w:val="00AF07D5"/>
    <w:rsid w:val="00AF0C78"/>
    <w:rsid w:val="00AF1135"/>
    <w:rsid w:val="00AF2CB8"/>
    <w:rsid w:val="00AF32B3"/>
    <w:rsid w:val="00AF33F8"/>
    <w:rsid w:val="00AF399A"/>
    <w:rsid w:val="00AF478A"/>
    <w:rsid w:val="00AF51C8"/>
    <w:rsid w:val="00AF547A"/>
    <w:rsid w:val="00B00AA3"/>
    <w:rsid w:val="00B01003"/>
    <w:rsid w:val="00B01446"/>
    <w:rsid w:val="00B01B5E"/>
    <w:rsid w:val="00B05871"/>
    <w:rsid w:val="00B0656D"/>
    <w:rsid w:val="00B10789"/>
    <w:rsid w:val="00B107FD"/>
    <w:rsid w:val="00B1094A"/>
    <w:rsid w:val="00B13A4D"/>
    <w:rsid w:val="00B15348"/>
    <w:rsid w:val="00B15458"/>
    <w:rsid w:val="00B15D84"/>
    <w:rsid w:val="00B16101"/>
    <w:rsid w:val="00B21CCC"/>
    <w:rsid w:val="00B22682"/>
    <w:rsid w:val="00B2284D"/>
    <w:rsid w:val="00B2300A"/>
    <w:rsid w:val="00B23263"/>
    <w:rsid w:val="00B24D38"/>
    <w:rsid w:val="00B254CE"/>
    <w:rsid w:val="00B25AD0"/>
    <w:rsid w:val="00B25BD1"/>
    <w:rsid w:val="00B2616F"/>
    <w:rsid w:val="00B3232F"/>
    <w:rsid w:val="00B33662"/>
    <w:rsid w:val="00B336D4"/>
    <w:rsid w:val="00B34841"/>
    <w:rsid w:val="00B35B11"/>
    <w:rsid w:val="00B35D0D"/>
    <w:rsid w:val="00B36FAF"/>
    <w:rsid w:val="00B4175A"/>
    <w:rsid w:val="00B42705"/>
    <w:rsid w:val="00B427C0"/>
    <w:rsid w:val="00B42B1B"/>
    <w:rsid w:val="00B430F1"/>
    <w:rsid w:val="00B43ADD"/>
    <w:rsid w:val="00B43FED"/>
    <w:rsid w:val="00B44491"/>
    <w:rsid w:val="00B45DE7"/>
    <w:rsid w:val="00B46773"/>
    <w:rsid w:val="00B46CE8"/>
    <w:rsid w:val="00B503EC"/>
    <w:rsid w:val="00B5041D"/>
    <w:rsid w:val="00B52546"/>
    <w:rsid w:val="00B52D27"/>
    <w:rsid w:val="00B5301F"/>
    <w:rsid w:val="00B53744"/>
    <w:rsid w:val="00B54528"/>
    <w:rsid w:val="00B566E2"/>
    <w:rsid w:val="00B576E4"/>
    <w:rsid w:val="00B5790D"/>
    <w:rsid w:val="00B57E84"/>
    <w:rsid w:val="00B61E16"/>
    <w:rsid w:val="00B63294"/>
    <w:rsid w:val="00B6383A"/>
    <w:rsid w:val="00B63D7C"/>
    <w:rsid w:val="00B64166"/>
    <w:rsid w:val="00B650E7"/>
    <w:rsid w:val="00B654A3"/>
    <w:rsid w:val="00B65675"/>
    <w:rsid w:val="00B65938"/>
    <w:rsid w:val="00B664DA"/>
    <w:rsid w:val="00B668C8"/>
    <w:rsid w:val="00B66A5C"/>
    <w:rsid w:val="00B67E99"/>
    <w:rsid w:val="00B7141B"/>
    <w:rsid w:val="00B71CDD"/>
    <w:rsid w:val="00B72AEE"/>
    <w:rsid w:val="00B732CF"/>
    <w:rsid w:val="00B73375"/>
    <w:rsid w:val="00B762C6"/>
    <w:rsid w:val="00B8066A"/>
    <w:rsid w:val="00B83E10"/>
    <w:rsid w:val="00B85B32"/>
    <w:rsid w:val="00B86F7F"/>
    <w:rsid w:val="00B910AE"/>
    <w:rsid w:val="00B91BC9"/>
    <w:rsid w:val="00B91F19"/>
    <w:rsid w:val="00B95680"/>
    <w:rsid w:val="00B95BFD"/>
    <w:rsid w:val="00B97C47"/>
    <w:rsid w:val="00BA04BD"/>
    <w:rsid w:val="00BA1121"/>
    <w:rsid w:val="00BA2AD7"/>
    <w:rsid w:val="00BA2BFB"/>
    <w:rsid w:val="00BA38DC"/>
    <w:rsid w:val="00BA4D9B"/>
    <w:rsid w:val="00BA5778"/>
    <w:rsid w:val="00BA58DD"/>
    <w:rsid w:val="00BA5C29"/>
    <w:rsid w:val="00BA66D2"/>
    <w:rsid w:val="00BA7790"/>
    <w:rsid w:val="00BA791D"/>
    <w:rsid w:val="00BB12D9"/>
    <w:rsid w:val="00BB2BAA"/>
    <w:rsid w:val="00BB5B2E"/>
    <w:rsid w:val="00BB6CD3"/>
    <w:rsid w:val="00BB70A4"/>
    <w:rsid w:val="00BB766F"/>
    <w:rsid w:val="00BB769A"/>
    <w:rsid w:val="00BB7F49"/>
    <w:rsid w:val="00BC038A"/>
    <w:rsid w:val="00BC0811"/>
    <w:rsid w:val="00BC222A"/>
    <w:rsid w:val="00BC38B5"/>
    <w:rsid w:val="00BC4E80"/>
    <w:rsid w:val="00BC5145"/>
    <w:rsid w:val="00BD103E"/>
    <w:rsid w:val="00BD25C3"/>
    <w:rsid w:val="00BD260C"/>
    <w:rsid w:val="00BD56E7"/>
    <w:rsid w:val="00BD5D45"/>
    <w:rsid w:val="00BD6111"/>
    <w:rsid w:val="00BD6660"/>
    <w:rsid w:val="00BD6E8A"/>
    <w:rsid w:val="00BD7E64"/>
    <w:rsid w:val="00BE0A11"/>
    <w:rsid w:val="00BE12E6"/>
    <w:rsid w:val="00BE1A47"/>
    <w:rsid w:val="00BE4C3E"/>
    <w:rsid w:val="00BE534D"/>
    <w:rsid w:val="00BE5437"/>
    <w:rsid w:val="00BE6B4B"/>
    <w:rsid w:val="00BF1615"/>
    <w:rsid w:val="00BF5CB7"/>
    <w:rsid w:val="00BF7E70"/>
    <w:rsid w:val="00C013E5"/>
    <w:rsid w:val="00C03265"/>
    <w:rsid w:val="00C03B42"/>
    <w:rsid w:val="00C03C18"/>
    <w:rsid w:val="00C06396"/>
    <w:rsid w:val="00C063AC"/>
    <w:rsid w:val="00C0661B"/>
    <w:rsid w:val="00C06F28"/>
    <w:rsid w:val="00C079FA"/>
    <w:rsid w:val="00C1162C"/>
    <w:rsid w:val="00C122A2"/>
    <w:rsid w:val="00C13FCF"/>
    <w:rsid w:val="00C154A4"/>
    <w:rsid w:val="00C15A41"/>
    <w:rsid w:val="00C167EA"/>
    <w:rsid w:val="00C16A67"/>
    <w:rsid w:val="00C16CF7"/>
    <w:rsid w:val="00C16FBB"/>
    <w:rsid w:val="00C1755C"/>
    <w:rsid w:val="00C2056D"/>
    <w:rsid w:val="00C21F7A"/>
    <w:rsid w:val="00C224CE"/>
    <w:rsid w:val="00C23239"/>
    <w:rsid w:val="00C23955"/>
    <w:rsid w:val="00C24084"/>
    <w:rsid w:val="00C241D9"/>
    <w:rsid w:val="00C24BEB"/>
    <w:rsid w:val="00C27525"/>
    <w:rsid w:val="00C343D9"/>
    <w:rsid w:val="00C3544B"/>
    <w:rsid w:val="00C357CF"/>
    <w:rsid w:val="00C37ADB"/>
    <w:rsid w:val="00C37F68"/>
    <w:rsid w:val="00C40988"/>
    <w:rsid w:val="00C40E8E"/>
    <w:rsid w:val="00C41B68"/>
    <w:rsid w:val="00C43A0B"/>
    <w:rsid w:val="00C45905"/>
    <w:rsid w:val="00C461E6"/>
    <w:rsid w:val="00C513B4"/>
    <w:rsid w:val="00C5177A"/>
    <w:rsid w:val="00C52D82"/>
    <w:rsid w:val="00C56785"/>
    <w:rsid w:val="00C573B4"/>
    <w:rsid w:val="00C57A3A"/>
    <w:rsid w:val="00C57C44"/>
    <w:rsid w:val="00C602AA"/>
    <w:rsid w:val="00C61197"/>
    <w:rsid w:val="00C61245"/>
    <w:rsid w:val="00C66173"/>
    <w:rsid w:val="00C70578"/>
    <w:rsid w:val="00C7195D"/>
    <w:rsid w:val="00C723B3"/>
    <w:rsid w:val="00C72511"/>
    <w:rsid w:val="00C75BF2"/>
    <w:rsid w:val="00C768FB"/>
    <w:rsid w:val="00C7708E"/>
    <w:rsid w:val="00C77932"/>
    <w:rsid w:val="00C77CC0"/>
    <w:rsid w:val="00C8047A"/>
    <w:rsid w:val="00C81443"/>
    <w:rsid w:val="00C81E8C"/>
    <w:rsid w:val="00C84DA6"/>
    <w:rsid w:val="00C8503F"/>
    <w:rsid w:val="00C854E2"/>
    <w:rsid w:val="00C86204"/>
    <w:rsid w:val="00C90E88"/>
    <w:rsid w:val="00C9210B"/>
    <w:rsid w:val="00C933A5"/>
    <w:rsid w:val="00C942A1"/>
    <w:rsid w:val="00C943FC"/>
    <w:rsid w:val="00C94C9F"/>
    <w:rsid w:val="00C97326"/>
    <w:rsid w:val="00CA32C7"/>
    <w:rsid w:val="00CA3CF1"/>
    <w:rsid w:val="00CA426E"/>
    <w:rsid w:val="00CB1EC4"/>
    <w:rsid w:val="00CB216E"/>
    <w:rsid w:val="00CB34D3"/>
    <w:rsid w:val="00CB5AC3"/>
    <w:rsid w:val="00CB5C19"/>
    <w:rsid w:val="00CB5D16"/>
    <w:rsid w:val="00CC1295"/>
    <w:rsid w:val="00CC1BCF"/>
    <w:rsid w:val="00CC1F37"/>
    <w:rsid w:val="00CC22A1"/>
    <w:rsid w:val="00CC4092"/>
    <w:rsid w:val="00CC6FB3"/>
    <w:rsid w:val="00CC746F"/>
    <w:rsid w:val="00CD1075"/>
    <w:rsid w:val="00CD1F79"/>
    <w:rsid w:val="00CD23FF"/>
    <w:rsid w:val="00CD2588"/>
    <w:rsid w:val="00CD2CD3"/>
    <w:rsid w:val="00CD4930"/>
    <w:rsid w:val="00CD5653"/>
    <w:rsid w:val="00CD62A6"/>
    <w:rsid w:val="00CD7F22"/>
    <w:rsid w:val="00CE09ED"/>
    <w:rsid w:val="00CE17EB"/>
    <w:rsid w:val="00CE27EF"/>
    <w:rsid w:val="00CE5774"/>
    <w:rsid w:val="00CE6708"/>
    <w:rsid w:val="00CE6D4F"/>
    <w:rsid w:val="00CE7A5D"/>
    <w:rsid w:val="00CF11DF"/>
    <w:rsid w:val="00CF1B23"/>
    <w:rsid w:val="00CF3D5C"/>
    <w:rsid w:val="00CF55C0"/>
    <w:rsid w:val="00CF5788"/>
    <w:rsid w:val="00D00136"/>
    <w:rsid w:val="00D00213"/>
    <w:rsid w:val="00D01563"/>
    <w:rsid w:val="00D01924"/>
    <w:rsid w:val="00D035A4"/>
    <w:rsid w:val="00D0365F"/>
    <w:rsid w:val="00D04893"/>
    <w:rsid w:val="00D04B9C"/>
    <w:rsid w:val="00D04BBB"/>
    <w:rsid w:val="00D07231"/>
    <w:rsid w:val="00D07FD2"/>
    <w:rsid w:val="00D10542"/>
    <w:rsid w:val="00D11745"/>
    <w:rsid w:val="00D1202F"/>
    <w:rsid w:val="00D121C1"/>
    <w:rsid w:val="00D12B69"/>
    <w:rsid w:val="00D14111"/>
    <w:rsid w:val="00D15381"/>
    <w:rsid w:val="00D16B36"/>
    <w:rsid w:val="00D1721C"/>
    <w:rsid w:val="00D20FE3"/>
    <w:rsid w:val="00D21DAA"/>
    <w:rsid w:val="00D220D6"/>
    <w:rsid w:val="00D23E5D"/>
    <w:rsid w:val="00D24303"/>
    <w:rsid w:val="00D3100C"/>
    <w:rsid w:val="00D31DFA"/>
    <w:rsid w:val="00D3266D"/>
    <w:rsid w:val="00D3503B"/>
    <w:rsid w:val="00D36BF8"/>
    <w:rsid w:val="00D37747"/>
    <w:rsid w:val="00D40362"/>
    <w:rsid w:val="00D40416"/>
    <w:rsid w:val="00D406F2"/>
    <w:rsid w:val="00D409F8"/>
    <w:rsid w:val="00D4156A"/>
    <w:rsid w:val="00D41DB6"/>
    <w:rsid w:val="00D42E54"/>
    <w:rsid w:val="00D44B51"/>
    <w:rsid w:val="00D45821"/>
    <w:rsid w:val="00D47449"/>
    <w:rsid w:val="00D47958"/>
    <w:rsid w:val="00D47B5A"/>
    <w:rsid w:val="00D47F3C"/>
    <w:rsid w:val="00D5356D"/>
    <w:rsid w:val="00D5359A"/>
    <w:rsid w:val="00D55187"/>
    <w:rsid w:val="00D571E6"/>
    <w:rsid w:val="00D573D0"/>
    <w:rsid w:val="00D57494"/>
    <w:rsid w:val="00D61AC1"/>
    <w:rsid w:val="00D61BB3"/>
    <w:rsid w:val="00D633AE"/>
    <w:rsid w:val="00D63E54"/>
    <w:rsid w:val="00D646D5"/>
    <w:rsid w:val="00D66673"/>
    <w:rsid w:val="00D676AD"/>
    <w:rsid w:val="00D71713"/>
    <w:rsid w:val="00D73BDE"/>
    <w:rsid w:val="00D73C64"/>
    <w:rsid w:val="00D7714F"/>
    <w:rsid w:val="00D77470"/>
    <w:rsid w:val="00D808C0"/>
    <w:rsid w:val="00D81873"/>
    <w:rsid w:val="00D825C4"/>
    <w:rsid w:val="00D84A8B"/>
    <w:rsid w:val="00D85381"/>
    <w:rsid w:val="00D865EC"/>
    <w:rsid w:val="00D86BF6"/>
    <w:rsid w:val="00D9009D"/>
    <w:rsid w:val="00D903FA"/>
    <w:rsid w:val="00D9131E"/>
    <w:rsid w:val="00D92CF8"/>
    <w:rsid w:val="00D93F18"/>
    <w:rsid w:val="00D943DD"/>
    <w:rsid w:val="00D964B0"/>
    <w:rsid w:val="00D96F7E"/>
    <w:rsid w:val="00D97BC8"/>
    <w:rsid w:val="00DA0B00"/>
    <w:rsid w:val="00DA0EA5"/>
    <w:rsid w:val="00DA34FB"/>
    <w:rsid w:val="00DA561D"/>
    <w:rsid w:val="00DA58F1"/>
    <w:rsid w:val="00DB034C"/>
    <w:rsid w:val="00DB03A4"/>
    <w:rsid w:val="00DB0D33"/>
    <w:rsid w:val="00DB3261"/>
    <w:rsid w:val="00DB47D3"/>
    <w:rsid w:val="00DB58E0"/>
    <w:rsid w:val="00DB6F71"/>
    <w:rsid w:val="00DB7E64"/>
    <w:rsid w:val="00DC0191"/>
    <w:rsid w:val="00DC0ECC"/>
    <w:rsid w:val="00DD2768"/>
    <w:rsid w:val="00DD6F8E"/>
    <w:rsid w:val="00DE2107"/>
    <w:rsid w:val="00DE2529"/>
    <w:rsid w:val="00DE28EA"/>
    <w:rsid w:val="00DE3E20"/>
    <w:rsid w:val="00DE4D7F"/>
    <w:rsid w:val="00DE65D2"/>
    <w:rsid w:val="00DE6734"/>
    <w:rsid w:val="00DE7627"/>
    <w:rsid w:val="00DF10AE"/>
    <w:rsid w:val="00DF1831"/>
    <w:rsid w:val="00DF2E71"/>
    <w:rsid w:val="00DF3147"/>
    <w:rsid w:val="00DF465F"/>
    <w:rsid w:val="00DF5DA3"/>
    <w:rsid w:val="00E00C60"/>
    <w:rsid w:val="00E00D7C"/>
    <w:rsid w:val="00E0243C"/>
    <w:rsid w:val="00E03CEE"/>
    <w:rsid w:val="00E04D3B"/>
    <w:rsid w:val="00E05661"/>
    <w:rsid w:val="00E05CCA"/>
    <w:rsid w:val="00E07E8C"/>
    <w:rsid w:val="00E103CA"/>
    <w:rsid w:val="00E106CB"/>
    <w:rsid w:val="00E11630"/>
    <w:rsid w:val="00E11683"/>
    <w:rsid w:val="00E118C4"/>
    <w:rsid w:val="00E11DD1"/>
    <w:rsid w:val="00E122D0"/>
    <w:rsid w:val="00E137C3"/>
    <w:rsid w:val="00E20602"/>
    <w:rsid w:val="00E2232B"/>
    <w:rsid w:val="00E22B51"/>
    <w:rsid w:val="00E23253"/>
    <w:rsid w:val="00E24720"/>
    <w:rsid w:val="00E26DB3"/>
    <w:rsid w:val="00E31807"/>
    <w:rsid w:val="00E32486"/>
    <w:rsid w:val="00E32E1C"/>
    <w:rsid w:val="00E34CD1"/>
    <w:rsid w:val="00E35903"/>
    <w:rsid w:val="00E405EE"/>
    <w:rsid w:val="00E41003"/>
    <w:rsid w:val="00E43B33"/>
    <w:rsid w:val="00E43D61"/>
    <w:rsid w:val="00E45228"/>
    <w:rsid w:val="00E46AD0"/>
    <w:rsid w:val="00E47E1D"/>
    <w:rsid w:val="00E5009B"/>
    <w:rsid w:val="00E50445"/>
    <w:rsid w:val="00E5156B"/>
    <w:rsid w:val="00E52AB6"/>
    <w:rsid w:val="00E54150"/>
    <w:rsid w:val="00E5469A"/>
    <w:rsid w:val="00E56EF1"/>
    <w:rsid w:val="00E573A3"/>
    <w:rsid w:val="00E60104"/>
    <w:rsid w:val="00E60A10"/>
    <w:rsid w:val="00E61E6D"/>
    <w:rsid w:val="00E635CD"/>
    <w:rsid w:val="00E63939"/>
    <w:rsid w:val="00E63F84"/>
    <w:rsid w:val="00E64A99"/>
    <w:rsid w:val="00E64D5E"/>
    <w:rsid w:val="00E65FAE"/>
    <w:rsid w:val="00E66958"/>
    <w:rsid w:val="00E67C79"/>
    <w:rsid w:val="00E72AC4"/>
    <w:rsid w:val="00E72EE2"/>
    <w:rsid w:val="00E741A9"/>
    <w:rsid w:val="00E74ADA"/>
    <w:rsid w:val="00E74E43"/>
    <w:rsid w:val="00E759C1"/>
    <w:rsid w:val="00E75A17"/>
    <w:rsid w:val="00E77C07"/>
    <w:rsid w:val="00E77E0C"/>
    <w:rsid w:val="00E80FD9"/>
    <w:rsid w:val="00E81246"/>
    <w:rsid w:val="00E8144F"/>
    <w:rsid w:val="00E81C59"/>
    <w:rsid w:val="00E82B9E"/>
    <w:rsid w:val="00E84BEE"/>
    <w:rsid w:val="00E85C83"/>
    <w:rsid w:val="00E8683A"/>
    <w:rsid w:val="00E87829"/>
    <w:rsid w:val="00E87EFC"/>
    <w:rsid w:val="00E90075"/>
    <w:rsid w:val="00E90B98"/>
    <w:rsid w:val="00E90EC3"/>
    <w:rsid w:val="00E916D5"/>
    <w:rsid w:val="00E91D2D"/>
    <w:rsid w:val="00E92719"/>
    <w:rsid w:val="00E92CE4"/>
    <w:rsid w:val="00E93ABC"/>
    <w:rsid w:val="00E95FC6"/>
    <w:rsid w:val="00EA1E0B"/>
    <w:rsid w:val="00EA273E"/>
    <w:rsid w:val="00EA41A0"/>
    <w:rsid w:val="00EA43C8"/>
    <w:rsid w:val="00EA4854"/>
    <w:rsid w:val="00EA4D34"/>
    <w:rsid w:val="00EA5114"/>
    <w:rsid w:val="00EA66F3"/>
    <w:rsid w:val="00EA6E1A"/>
    <w:rsid w:val="00EA7090"/>
    <w:rsid w:val="00EA7427"/>
    <w:rsid w:val="00EA769E"/>
    <w:rsid w:val="00EB221F"/>
    <w:rsid w:val="00EB36A1"/>
    <w:rsid w:val="00EB3B0A"/>
    <w:rsid w:val="00EB3D73"/>
    <w:rsid w:val="00EB5D6B"/>
    <w:rsid w:val="00EC12CF"/>
    <w:rsid w:val="00EC16E8"/>
    <w:rsid w:val="00EC595B"/>
    <w:rsid w:val="00EC5BB4"/>
    <w:rsid w:val="00EC6AA7"/>
    <w:rsid w:val="00EC735B"/>
    <w:rsid w:val="00EC7FE5"/>
    <w:rsid w:val="00ED1EB5"/>
    <w:rsid w:val="00ED5CD1"/>
    <w:rsid w:val="00ED5E9B"/>
    <w:rsid w:val="00EE1DFD"/>
    <w:rsid w:val="00EE1EF4"/>
    <w:rsid w:val="00EE3270"/>
    <w:rsid w:val="00EE4F21"/>
    <w:rsid w:val="00EE6CE9"/>
    <w:rsid w:val="00EE7128"/>
    <w:rsid w:val="00EF364D"/>
    <w:rsid w:val="00EF365E"/>
    <w:rsid w:val="00EF4291"/>
    <w:rsid w:val="00EF4F66"/>
    <w:rsid w:val="00EF5434"/>
    <w:rsid w:val="00EF6477"/>
    <w:rsid w:val="00EF6CE3"/>
    <w:rsid w:val="00EF7482"/>
    <w:rsid w:val="00F01264"/>
    <w:rsid w:val="00F0149A"/>
    <w:rsid w:val="00F039AC"/>
    <w:rsid w:val="00F03DB3"/>
    <w:rsid w:val="00F07464"/>
    <w:rsid w:val="00F07FEC"/>
    <w:rsid w:val="00F16FC9"/>
    <w:rsid w:val="00F201CD"/>
    <w:rsid w:val="00F212A8"/>
    <w:rsid w:val="00F221A0"/>
    <w:rsid w:val="00F23BE4"/>
    <w:rsid w:val="00F24828"/>
    <w:rsid w:val="00F24BA6"/>
    <w:rsid w:val="00F2521C"/>
    <w:rsid w:val="00F25298"/>
    <w:rsid w:val="00F2581B"/>
    <w:rsid w:val="00F3005F"/>
    <w:rsid w:val="00F327D7"/>
    <w:rsid w:val="00F33527"/>
    <w:rsid w:val="00F35108"/>
    <w:rsid w:val="00F360E8"/>
    <w:rsid w:val="00F361EA"/>
    <w:rsid w:val="00F36B5A"/>
    <w:rsid w:val="00F40B31"/>
    <w:rsid w:val="00F40E38"/>
    <w:rsid w:val="00F43497"/>
    <w:rsid w:val="00F4471B"/>
    <w:rsid w:val="00F4565A"/>
    <w:rsid w:val="00F465C8"/>
    <w:rsid w:val="00F47232"/>
    <w:rsid w:val="00F47606"/>
    <w:rsid w:val="00F52159"/>
    <w:rsid w:val="00F54EF0"/>
    <w:rsid w:val="00F5611B"/>
    <w:rsid w:val="00F56C2F"/>
    <w:rsid w:val="00F60D82"/>
    <w:rsid w:val="00F62AF0"/>
    <w:rsid w:val="00F65609"/>
    <w:rsid w:val="00F6666B"/>
    <w:rsid w:val="00F66849"/>
    <w:rsid w:val="00F67582"/>
    <w:rsid w:val="00F734B1"/>
    <w:rsid w:val="00F73C9C"/>
    <w:rsid w:val="00F74D9D"/>
    <w:rsid w:val="00F75524"/>
    <w:rsid w:val="00F770AD"/>
    <w:rsid w:val="00F77E67"/>
    <w:rsid w:val="00F80469"/>
    <w:rsid w:val="00F806FB"/>
    <w:rsid w:val="00F84335"/>
    <w:rsid w:val="00F902A7"/>
    <w:rsid w:val="00F90D87"/>
    <w:rsid w:val="00F90FAF"/>
    <w:rsid w:val="00F914C4"/>
    <w:rsid w:val="00F92B7B"/>
    <w:rsid w:val="00F92C47"/>
    <w:rsid w:val="00F93A98"/>
    <w:rsid w:val="00F95057"/>
    <w:rsid w:val="00F96420"/>
    <w:rsid w:val="00FA1384"/>
    <w:rsid w:val="00FA265F"/>
    <w:rsid w:val="00FA3849"/>
    <w:rsid w:val="00FB0DFC"/>
    <w:rsid w:val="00FB532F"/>
    <w:rsid w:val="00FC1095"/>
    <w:rsid w:val="00FC1242"/>
    <w:rsid w:val="00FC1CB2"/>
    <w:rsid w:val="00FC3E2B"/>
    <w:rsid w:val="00FC6A49"/>
    <w:rsid w:val="00FC73A0"/>
    <w:rsid w:val="00FC74F0"/>
    <w:rsid w:val="00FC78A0"/>
    <w:rsid w:val="00FC78D1"/>
    <w:rsid w:val="00FD0052"/>
    <w:rsid w:val="00FD22A8"/>
    <w:rsid w:val="00FD5C43"/>
    <w:rsid w:val="00FD7FB0"/>
    <w:rsid w:val="00FE1BE3"/>
    <w:rsid w:val="00FE225D"/>
    <w:rsid w:val="00FE2719"/>
    <w:rsid w:val="00FE2861"/>
    <w:rsid w:val="00FE317D"/>
    <w:rsid w:val="00FE38C9"/>
    <w:rsid w:val="00FE3CD4"/>
    <w:rsid w:val="00FE4C55"/>
    <w:rsid w:val="00FE51E0"/>
    <w:rsid w:val="00FE5311"/>
    <w:rsid w:val="00FE56C8"/>
    <w:rsid w:val="00FE694E"/>
    <w:rsid w:val="00FE6FE9"/>
    <w:rsid w:val="00FE7970"/>
    <w:rsid w:val="00FF295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B0197"/>
  <w14:defaultImageDpi w14:val="330"/>
  <w15:docId w15:val="{8B27B79A-E8CB-4BFF-A50D-920BEA7F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CD"/>
  </w:style>
  <w:style w:type="paragraph" w:styleId="Heading1">
    <w:name w:val="heading 1"/>
    <w:basedOn w:val="Normal"/>
    <w:next w:val="Normal"/>
    <w:link w:val="Heading1Char"/>
    <w:uiPriority w:val="9"/>
    <w:qFormat/>
    <w:rsid w:val="00AA5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A4F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2C5B8B"/>
    <w:pPr>
      <w:widowControl w:val="0"/>
      <w:tabs>
        <w:tab w:val="left" w:pos="720"/>
      </w:tabs>
      <w:spacing w:after="0" w:line="240" w:lineRule="auto"/>
      <w:ind w:left="720" w:hanging="720"/>
      <w:jc w:val="both"/>
    </w:pPr>
    <w:rPr>
      <w:rFonts w:eastAsia="Times New Roman"/>
      <w:snapToGrid w:val="0"/>
      <w:szCs w:val="20"/>
      <w:lang w:val="en-AU"/>
    </w:rPr>
  </w:style>
  <w:style w:type="paragraph" w:styleId="BalloonText">
    <w:name w:val="Balloon Text"/>
    <w:basedOn w:val="Normal"/>
    <w:link w:val="BalloonTextChar"/>
    <w:uiPriority w:val="99"/>
    <w:semiHidden/>
    <w:unhideWhenUsed/>
    <w:rsid w:val="00E1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CA"/>
    <w:rPr>
      <w:rFonts w:ascii="Segoe UI" w:hAnsi="Segoe UI" w:cs="Segoe UI"/>
      <w:sz w:val="18"/>
      <w:szCs w:val="18"/>
    </w:rPr>
  </w:style>
  <w:style w:type="paragraph" w:styleId="FootnoteText">
    <w:name w:val="footnote text"/>
    <w:aliases w:val="single space,FOOTNOTES,ft,footnote text,Footnote Text Char2 Char,Footnote Text Char1 Char Char,Footnote Text Char Char Char Char,Footnote Text Char2 Char Char Char Char,Footnote Text Char Char Char Char Char Char,ADB"/>
    <w:basedOn w:val="Normal"/>
    <w:link w:val="FootnoteTextChar"/>
    <w:uiPriority w:val="99"/>
    <w:unhideWhenUsed/>
    <w:qFormat/>
    <w:rsid w:val="00A97771"/>
    <w:pPr>
      <w:spacing w:after="0" w:line="240" w:lineRule="auto"/>
    </w:pPr>
    <w:rPr>
      <w:sz w:val="20"/>
      <w:szCs w:val="20"/>
    </w:rPr>
  </w:style>
  <w:style w:type="character" w:customStyle="1" w:styleId="FootnoteTextChar">
    <w:name w:val="Footnote Text Char"/>
    <w:aliases w:val="single space Char,FOOTNOTES Char,ft Char,footnote text Char,Footnote Text Char2 Char Char,Footnote Text Char1 Char Char Char,Footnote Text Char Char Char Char Char,Footnote Text Char2 Char Char Char Char Char,ADB Char"/>
    <w:basedOn w:val="DefaultParagraphFont"/>
    <w:link w:val="FootnoteText"/>
    <w:uiPriority w:val="99"/>
    <w:rsid w:val="00A97771"/>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uiPriority w:val="99"/>
    <w:unhideWhenUsed/>
    <w:rsid w:val="00A97771"/>
    <w:rPr>
      <w:vertAlign w:val="superscript"/>
    </w:rPr>
  </w:style>
  <w:style w:type="character" w:styleId="Hyperlink">
    <w:name w:val="Hyperlink"/>
    <w:basedOn w:val="DefaultParagraphFont"/>
    <w:uiPriority w:val="99"/>
    <w:unhideWhenUsed/>
    <w:rsid w:val="00FE56C8"/>
    <w:rPr>
      <w:color w:val="0563C1" w:themeColor="hyperlink"/>
      <w:u w:val="single"/>
    </w:rPr>
  </w:style>
  <w:style w:type="character" w:customStyle="1" w:styleId="Heading1Char">
    <w:name w:val="Heading 1 Char"/>
    <w:basedOn w:val="DefaultParagraphFont"/>
    <w:link w:val="Heading1"/>
    <w:uiPriority w:val="9"/>
    <w:rsid w:val="00AA562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DF"/>
  </w:style>
  <w:style w:type="paragraph" w:styleId="Footer">
    <w:name w:val="footer"/>
    <w:basedOn w:val="Normal"/>
    <w:link w:val="FooterChar"/>
    <w:uiPriority w:val="99"/>
    <w:unhideWhenUsed/>
    <w:rsid w:val="0058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DF"/>
  </w:style>
  <w:style w:type="paragraph" w:styleId="ListParagraph">
    <w:name w:val="List Paragraph"/>
    <w:basedOn w:val="Normal"/>
    <w:uiPriority w:val="34"/>
    <w:qFormat/>
    <w:rsid w:val="004327EE"/>
    <w:pPr>
      <w:ind w:left="720"/>
      <w:contextualSpacing/>
    </w:pPr>
  </w:style>
  <w:style w:type="paragraph" w:styleId="BodyText3">
    <w:name w:val="Body Text 3"/>
    <w:basedOn w:val="Normal"/>
    <w:link w:val="BodyText3Char"/>
    <w:rsid w:val="0032699D"/>
    <w:pPr>
      <w:spacing w:after="120" w:line="240" w:lineRule="auto"/>
    </w:pPr>
    <w:rPr>
      <w:rFonts w:eastAsia="Times New Roman"/>
      <w:sz w:val="16"/>
      <w:szCs w:val="20"/>
      <w:lang w:val="en-US"/>
    </w:rPr>
  </w:style>
  <w:style w:type="character" w:customStyle="1" w:styleId="BodyText3Char">
    <w:name w:val="Body Text 3 Char"/>
    <w:basedOn w:val="DefaultParagraphFont"/>
    <w:link w:val="BodyText3"/>
    <w:rsid w:val="0032699D"/>
    <w:rPr>
      <w:rFonts w:eastAsia="Times New Roman"/>
      <w:sz w:val="16"/>
      <w:szCs w:val="20"/>
      <w:lang w:val="en-US"/>
    </w:rPr>
  </w:style>
  <w:style w:type="character" w:styleId="HTMLCite">
    <w:name w:val="HTML Cite"/>
    <w:basedOn w:val="DefaultParagraphFont"/>
    <w:uiPriority w:val="99"/>
    <w:semiHidden/>
    <w:unhideWhenUsed/>
    <w:rsid w:val="00467A48"/>
    <w:rPr>
      <w:i/>
      <w:iCs/>
    </w:rPr>
  </w:style>
  <w:style w:type="paragraph" w:styleId="PlainText">
    <w:name w:val="Plain Text"/>
    <w:basedOn w:val="Normal"/>
    <w:link w:val="PlainTextChar"/>
    <w:uiPriority w:val="99"/>
    <w:unhideWhenUsed/>
    <w:rsid w:val="00FE28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2861"/>
    <w:rPr>
      <w:rFonts w:ascii="Consolas" w:hAnsi="Consolas"/>
      <w:sz w:val="21"/>
      <w:szCs w:val="21"/>
    </w:rPr>
  </w:style>
  <w:style w:type="table" w:styleId="TableGrid">
    <w:name w:val="Table Grid"/>
    <w:basedOn w:val="TableNormal"/>
    <w:uiPriority w:val="39"/>
    <w:rsid w:val="00FE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uthor">
    <w:name w:val="post-author"/>
    <w:basedOn w:val="DefaultParagraphFont"/>
    <w:rsid w:val="001A3F51"/>
  </w:style>
  <w:style w:type="character" w:customStyle="1" w:styleId="apple-converted-space">
    <w:name w:val="apple-converted-space"/>
    <w:basedOn w:val="DefaultParagraphFont"/>
    <w:rsid w:val="001A3F51"/>
  </w:style>
  <w:style w:type="character" w:styleId="CommentReference">
    <w:name w:val="annotation reference"/>
    <w:basedOn w:val="DefaultParagraphFont"/>
    <w:uiPriority w:val="99"/>
    <w:semiHidden/>
    <w:unhideWhenUsed/>
    <w:rsid w:val="00C43A0B"/>
    <w:rPr>
      <w:sz w:val="16"/>
      <w:szCs w:val="16"/>
    </w:rPr>
  </w:style>
  <w:style w:type="paragraph" w:styleId="CommentText">
    <w:name w:val="annotation text"/>
    <w:basedOn w:val="Normal"/>
    <w:link w:val="CommentTextChar"/>
    <w:uiPriority w:val="99"/>
    <w:unhideWhenUsed/>
    <w:rsid w:val="00C43A0B"/>
    <w:pPr>
      <w:spacing w:line="240" w:lineRule="auto"/>
    </w:pPr>
    <w:rPr>
      <w:sz w:val="20"/>
      <w:szCs w:val="20"/>
    </w:rPr>
  </w:style>
  <w:style w:type="character" w:customStyle="1" w:styleId="CommentTextChar">
    <w:name w:val="Comment Text Char"/>
    <w:basedOn w:val="DefaultParagraphFont"/>
    <w:link w:val="CommentText"/>
    <w:uiPriority w:val="99"/>
    <w:rsid w:val="00C43A0B"/>
    <w:rPr>
      <w:sz w:val="20"/>
      <w:szCs w:val="20"/>
    </w:rPr>
  </w:style>
  <w:style w:type="paragraph" w:styleId="CommentSubject">
    <w:name w:val="annotation subject"/>
    <w:basedOn w:val="CommentText"/>
    <w:next w:val="CommentText"/>
    <w:link w:val="CommentSubjectChar"/>
    <w:uiPriority w:val="99"/>
    <w:semiHidden/>
    <w:unhideWhenUsed/>
    <w:rsid w:val="00C43A0B"/>
    <w:rPr>
      <w:b/>
      <w:bCs/>
    </w:rPr>
  </w:style>
  <w:style w:type="character" w:customStyle="1" w:styleId="CommentSubjectChar">
    <w:name w:val="Comment Subject Char"/>
    <w:basedOn w:val="CommentTextChar"/>
    <w:link w:val="CommentSubject"/>
    <w:uiPriority w:val="99"/>
    <w:semiHidden/>
    <w:rsid w:val="00C43A0B"/>
    <w:rPr>
      <w:b/>
      <w:bCs/>
      <w:sz w:val="20"/>
      <w:szCs w:val="20"/>
    </w:rPr>
  </w:style>
  <w:style w:type="character" w:styleId="PlaceholderText">
    <w:name w:val="Placeholder Text"/>
    <w:basedOn w:val="DefaultParagraphFont"/>
    <w:uiPriority w:val="99"/>
    <w:semiHidden/>
    <w:rsid w:val="00CF3D5C"/>
    <w:rPr>
      <w:color w:val="808080"/>
    </w:rPr>
  </w:style>
  <w:style w:type="paragraph" w:styleId="NormalWeb">
    <w:name w:val="Normal (Web)"/>
    <w:basedOn w:val="Normal"/>
    <w:uiPriority w:val="99"/>
    <w:unhideWhenUsed/>
    <w:rsid w:val="00B16101"/>
    <w:pPr>
      <w:spacing w:before="100" w:beforeAutospacing="1" w:after="100" w:afterAutospacing="1" w:line="240" w:lineRule="auto"/>
    </w:pPr>
    <w:rPr>
      <w:rFonts w:eastAsia="Times New Roman"/>
      <w:lang w:val="en-US"/>
    </w:rPr>
  </w:style>
  <w:style w:type="character" w:customStyle="1" w:styleId="Heading5Char">
    <w:name w:val="Heading 5 Char"/>
    <w:basedOn w:val="DefaultParagraphFont"/>
    <w:link w:val="Heading5"/>
    <w:uiPriority w:val="9"/>
    <w:semiHidden/>
    <w:rsid w:val="00AA4FA0"/>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F476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7606"/>
    <w:rPr>
      <w:rFonts w:ascii="Consolas" w:hAnsi="Consolas"/>
      <w:sz w:val="20"/>
      <w:szCs w:val="20"/>
    </w:rPr>
  </w:style>
  <w:style w:type="character" w:customStyle="1" w:styleId="PlainTextChar1">
    <w:name w:val="Plain Text Char1"/>
    <w:basedOn w:val="DefaultParagraphFont"/>
    <w:uiPriority w:val="99"/>
    <w:rsid w:val="005B7D6B"/>
    <w:rPr>
      <w:rFonts w:ascii="Consolas" w:hAnsi="Consolas" w:cs="Consolas"/>
      <w:sz w:val="21"/>
      <w:szCs w:val="21"/>
    </w:rPr>
  </w:style>
  <w:style w:type="character" w:styleId="FollowedHyperlink">
    <w:name w:val="FollowedHyperlink"/>
    <w:basedOn w:val="DefaultParagraphFont"/>
    <w:uiPriority w:val="99"/>
    <w:semiHidden/>
    <w:unhideWhenUsed/>
    <w:rsid w:val="00F40E38"/>
    <w:rPr>
      <w:color w:val="954F72" w:themeColor="followedHyperlink"/>
      <w:u w:val="single"/>
    </w:rPr>
  </w:style>
  <w:style w:type="character" w:customStyle="1" w:styleId="hgkelc">
    <w:name w:val="hgkelc"/>
    <w:basedOn w:val="DefaultParagraphFont"/>
    <w:rsid w:val="00133C61"/>
  </w:style>
  <w:style w:type="paragraph" w:customStyle="1" w:styleId="Default">
    <w:name w:val="Default"/>
    <w:rsid w:val="00E67C79"/>
    <w:pPr>
      <w:autoSpaceDE w:val="0"/>
      <w:autoSpaceDN w:val="0"/>
      <w:adjustRightInd w:val="0"/>
      <w:spacing w:after="0" w:line="240" w:lineRule="auto"/>
    </w:pPr>
    <w:rPr>
      <w:rFonts w:eastAsia="Times New Roman"/>
      <w:color w:val="000000"/>
      <w:lang w:eastAsia="en-NZ"/>
    </w:rPr>
  </w:style>
  <w:style w:type="paragraph" w:customStyle="1" w:styleId="CM3">
    <w:name w:val="CM3"/>
    <w:basedOn w:val="Default"/>
    <w:next w:val="Default"/>
    <w:rsid w:val="00E67C79"/>
    <w:pPr>
      <w:widowControl w:val="0"/>
    </w:pPr>
    <w:rPr>
      <w:color w:val="auto"/>
      <w:lang w:val="en-US" w:eastAsia="en-US"/>
    </w:rPr>
  </w:style>
  <w:style w:type="paragraph" w:customStyle="1" w:styleId="CM4">
    <w:name w:val="CM4"/>
    <w:basedOn w:val="Default"/>
    <w:next w:val="Default"/>
    <w:rsid w:val="00E67C79"/>
    <w:pPr>
      <w:widowControl w:val="0"/>
      <w:spacing w:line="253" w:lineRule="atLeast"/>
    </w:pPr>
    <w:rPr>
      <w:color w:val="auto"/>
      <w:lang w:val="en-US" w:eastAsia="en-US"/>
    </w:rPr>
  </w:style>
  <w:style w:type="paragraph" w:customStyle="1" w:styleId="CM23">
    <w:name w:val="CM23"/>
    <w:basedOn w:val="Default"/>
    <w:next w:val="Default"/>
    <w:rsid w:val="00E67C79"/>
    <w:pPr>
      <w:widowControl w:val="0"/>
      <w:spacing w:after="233"/>
    </w:pPr>
    <w:rPr>
      <w:color w:val="auto"/>
      <w:lang w:val="en-US" w:eastAsia="en-US"/>
    </w:rPr>
  </w:style>
  <w:style w:type="paragraph" w:customStyle="1" w:styleId="FigureText">
    <w:name w:val="Figure Text"/>
    <w:basedOn w:val="FootnoteText"/>
    <w:rsid w:val="00EF6477"/>
    <w:rPr>
      <w:rFonts w:ascii="Arial Narrow" w:eastAsia="Times New Roman" w:hAnsi="Arial Narrow"/>
      <w:position w:val="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775">
      <w:bodyDiv w:val="1"/>
      <w:marLeft w:val="0"/>
      <w:marRight w:val="0"/>
      <w:marTop w:val="0"/>
      <w:marBottom w:val="0"/>
      <w:divBdr>
        <w:top w:val="none" w:sz="0" w:space="0" w:color="auto"/>
        <w:left w:val="none" w:sz="0" w:space="0" w:color="auto"/>
        <w:bottom w:val="none" w:sz="0" w:space="0" w:color="auto"/>
        <w:right w:val="none" w:sz="0" w:space="0" w:color="auto"/>
      </w:divBdr>
    </w:div>
    <w:div w:id="195125462">
      <w:bodyDiv w:val="1"/>
      <w:marLeft w:val="0"/>
      <w:marRight w:val="0"/>
      <w:marTop w:val="0"/>
      <w:marBottom w:val="0"/>
      <w:divBdr>
        <w:top w:val="none" w:sz="0" w:space="0" w:color="auto"/>
        <w:left w:val="none" w:sz="0" w:space="0" w:color="auto"/>
        <w:bottom w:val="none" w:sz="0" w:space="0" w:color="auto"/>
        <w:right w:val="none" w:sz="0" w:space="0" w:color="auto"/>
      </w:divBdr>
    </w:div>
    <w:div w:id="227884796">
      <w:bodyDiv w:val="1"/>
      <w:marLeft w:val="0"/>
      <w:marRight w:val="0"/>
      <w:marTop w:val="0"/>
      <w:marBottom w:val="0"/>
      <w:divBdr>
        <w:top w:val="none" w:sz="0" w:space="0" w:color="auto"/>
        <w:left w:val="none" w:sz="0" w:space="0" w:color="auto"/>
        <w:bottom w:val="none" w:sz="0" w:space="0" w:color="auto"/>
        <w:right w:val="none" w:sz="0" w:space="0" w:color="auto"/>
      </w:divBdr>
    </w:div>
    <w:div w:id="324552745">
      <w:bodyDiv w:val="1"/>
      <w:marLeft w:val="0"/>
      <w:marRight w:val="0"/>
      <w:marTop w:val="0"/>
      <w:marBottom w:val="0"/>
      <w:divBdr>
        <w:top w:val="none" w:sz="0" w:space="0" w:color="auto"/>
        <w:left w:val="none" w:sz="0" w:space="0" w:color="auto"/>
        <w:bottom w:val="none" w:sz="0" w:space="0" w:color="auto"/>
        <w:right w:val="none" w:sz="0" w:space="0" w:color="auto"/>
      </w:divBdr>
    </w:div>
    <w:div w:id="477308404">
      <w:bodyDiv w:val="1"/>
      <w:marLeft w:val="0"/>
      <w:marRight w:val="0"/>
      <w:marTop w:val="0"/>
      <w:marBottom w:val="0"/>
      <w:divBdr>
        <w:top w:val="none" w:sz="0" w:space="0" w:color="auto"/>
        <w:left w:val="none" w:sz="0" w:space="0" w:color="auto"/>
        <w:bottom w:val="none" w:sz="0" w:space="0" w:color="auto"/>
        <w:right w:val="none" w:sz="0" w:space="0" w:color="auto"/>
      </w:divBdr>
    </w:div>
    <w:div w:id="619651659">
      <w:bodyDiv w:val="1"/>
      <w:marLeft w:val="0"/>
      <w:marRight w:val="0"/>
      <w:marTop w:val="0"/>
      <w:marBottom w:val="0"/>
      <w:divBdr>
        <w:top w:val="none" w:sz="0" w:space="0" w:color="auto"/>
        <w:left w:val="none" w:sz="0" w:space="0" w:color="auto"/>
        <w:bottom w:val="none" w:sz="0" w:space="0" w:color="auto"/>
        <w:right w:val="none" w:sz="0" w:space="0" w:color="auto"/>
      </w:divBdr>
    </w:div>
    <w:div w:id="732853316">
      <w:bodyDiv w:val="1"/>
      <w:marLeft w:val="0"/>
      <w:marRight w:val="0"/>
      <w:marTop w:val="0"/>
      <w:marBottom w:val="0"/>
      <w:divBdr>
        <w:top w:val="none" w:sz="0" w:space="0" w:color="auto"/>
        <w:left w:val="none" w:sz="0" w:space="0" w:color="auto"/>
        <w:bottom w:val="none" w:sz="0" w:space="0" w:color="auto"/>
        <w:right w:val="none" w:sz="0" w:space="0" w:color="auto"/>
      </w:divBdr>
    </w:div>
    <w:div w:id="871965759">
      <w:bodyDiv w:val="1"/>
      <w:marLeft w:val="0"/>
      <w:marRight w:val="0"/>
      <w:marTop w:val="0"/>
      <w:marBottom w:val="0"/>
      <w:divBdr>
        <w:top w:val="none" w:sz="0" w:space="0" w:color="auto"/>
        <w:left w:val="none" w:sz="0" w:space="0" w:color="auto"/>
        <w:bottom w:val="none" w:sz="0" w:space="0" w:color="auto"/>
        <w:right w:val="none" w:sz="0" w:space="0" w:color="auto"/>
      </w:divBdr>
      <w:divsChild>
        <w:div w:id="607080256">
          <w:marLeft w:val="0"/>
          <w:marRight w:val="0"/>
          <w:marTop w:val="0"/>
          <w:marBottom w:val="0"/>
          <w:divBdr>
            <w:top w:val="none" w:sz="0" w:space="0" w:color="auto"/>
            <w:left w:val="none" w:sz="0" w:space="0" w:color="auto"/>
            <w:bottom w:val="none" w:sz="0" w:space="0" w:color="auto"/>
            <w:right w:val="none" w:sz="0" w:space="0" w:color="auto"/>
          </w:divBdr>
        </w:div>
        <w:div w:id="1927416874">
          <w:marLeft w:val="0"/>
          <w:marRight w:val="0"/>
          <w:marTop w:val="0"/>
          <w:marBottom w:val="0"/>
          <w:divBdr>
            <w:top w:val="none" w:sz="0" w:space="0" w:color="auto"/>
            <w:left w:val="none" w:sz="0" w:space="0" w:color="auto"/>
            <w:bottom w:val="none" w:sz="0" w:space="0" w:color="auto"/>
            <w:right w:val="none" w:sz="0" w:space="0" w:color="auto"/>
          </w:divBdr>
        </w:div>
        <w:div w:id="698699032">
          <w:marLeft w:val="0"/>
          <w:marRight w:val="0"/>
          <w:marTop w:val="0"/>
          <w:marBottom w:val="0"/>
          <w:divBdr>
            <w:top w:val="none" w:sz="0" w:space="0" w:color="auto"/>
            <w:left w:val="none" w:sz="0" w:space="0" w:color="auto"/>
            <w:bottom w:val="none" w:sz="0" w:space="0" w:color="auto"/>
            <w:right w:val="none" w:sz="0" w:space="0" w:color="auto"/>
          </w:divBdr>
        </w:div>
      </w:divsChild>
    </w:div>
    <w:div w:id="941650059">
      <w:bodyDiv w:val="1"/>
      <w:marLeft w:val="0"/>
      <w:marRight w:val="0"/>
      <w:marTop w:val="0"/>
      <w:marBottom w:val="0"/>
      <w:divBdr>
        <w:top w:val="none" w:sz="0" w:space="0" w:color="auto"/>
        <w:left w:val="none" w:sz="0" w:space="0" w:color="auto"/>
        <w:bottom w:val="none" w:sz="0" w:space="0" w:color="auto"/>
        <w:right w:val="none" w:sz="0" w:space="0" w:color="auto"/>
      </w:divBdr>
    </w:div>
    <w:div w:id="1140876714">
      <w:bodyDiv w:val="1"/>
      <w:marLeft w:val="0"/>
      <w:marRight w:val="0"/>
      <w:marTop w:val="0"/>
      <w:marBottom w:val="0"/>
      <w:divBdr>
        <w:top w:val="none" w:sz="0" w:space="0" w:color="auto"/>
        <w:left w:val="none" w:sz="0" w:space="0" w:color="auto"/>
        <w:bottom w:val="none" w:sz="0" w:space="0" w:color="auto"/>
        <w:right w:val="none" w:sz="0" w:space="0" w:color="auto"/>
      </w:divBdr>
    </w:div>
    <w:div w:id="1210530782">
      <w:bodyDiv w:val="1"/>
      <w:marLeft w:val="0"/>
      <w:marRight w:val="0"/>
      <w:marTop w:val="0"/>
      <w:marBottom w:val="0"/>
      <w:divBdr>
        <w:top w:val="none" w:sz="0" w:space="0" w:color="auto"/>
        <w:left w:val="none" w:sz="0" w:space="0" w:color="auto"/>
        <w:bottom w:val="none" w:sz="0" w:space="0" w:color="auto"/>
        <w:right w:val="none" w:sz="0" w:space="0" w:color="auto"/>
      </w:divBdr>
    </w:div>
    <w:div w:id="1218662986">
      <w:bodyDiv w:val="1"/>
      <w:marLeft w:val="0"/>
      <w:marRight w:val="0"/>
      <w:marTop w:val="0"/>
      <w:marBottom w:val="0"/>
      <w:divBdr>
        <w:top w:val="none" w:sz="0" w:space="0" w:color="auto"/>
        <w:left w:val="none" w:sz="0" w:space="0" w:color="auto"/>
        <w:bottom w:val="none" w:sz="0" w:space="0" w:color="auto"/>
        <w:right w:val="none" w:sz="0" w:space="0" w:color="auto"/>
      </w:divBdr>
    </w:div>
    <w:div w:id="1254127886">
      <w:bodyDiv w:val="1"/>
      <w:marLeft w:val="0"/>
      <w:marRight w:val="0"/>
      <w:marTop w:val="0"/>
      <w:marBottom w:val="0"/>
      <w:divBdr>
        <w:top w:val="none" w:sz="0" w:space="0" w:color="auto"/>
        <w:left w:val="none" w:sz="0" w:space="0" w:color="auto"/>
        <w:bottom w:val="none" w:sz="0" w:space="0" w:color="auto"/>
        <w:right w:val="none" w:sz="0" w:space="0" w:color="auto"/>
      </w:divBdr>
    </w:div>
    <w:div w:id="1395619013">
      <w:bodyDiv w:val="1"/>
      <w:marLeft w:val="0"/>
      <w:marRight w:val="0"/>
      <w:marTop w:val="0"/>
      <w:marBottom w:val="0"/>
      <w:divBdr>
        <w:top w:val="none" w:sz="0" w:space="0" w:color="auto"/>
        <w:left w:val="none" w:sz="0" w:space="0" w:color="auto"/>
        <w:bottom w:val="none" w:sz="0" w:space="0" w:color="auto"/>
        <w:right w:val="none" w:sz="0" w:space="0" w:color="auto"/>
      </w:divBdr>
    </w:div>
    <w:div w:id="1486430863">
      <w:bodyDiv w:val="1"/>
      <w:marLeft w:val="0"/>
      <w:marRight w:val="0"/>
      <w:marTop w:val="0"/>
      <w:marBottom w:val="0"/>
      <w:divBdr>
        <w:top w:val="none" w:sz="0" w:space="0" w:color="auto"/>
        <w:left w:val="none" w:sz="0" w:space="0" w:color="auto"/>
        <w:bottom w:val="none" w:sz="0" w:space="0" w:color="auto"/>
        <w:right w:val="none" w:sz="0" w:space="0" w:color="auto"/>
      </w:divBdr>
      <w:divsChild>
        <w:div w:id="117336757">
          <w:marLeft w:val="0"/>
          <w:marRight w:val="0"/>
          <w:marTop w:val="0"/>
          <w:marBottom w:val="0"/>
          <w:divBdr>
            <w:top w:val="none" w:sz="0" w:space="0" w:color="auto"/>
            <w:left w:val="none" w:sz="0" w:space="0" w:color="auto"/>
            <w:bottom w:val="none" w:sz="0" w:space="0" w:color="auto"/>
            <w:right w:val="none" w:sz="0" w:space="0" w:color="auto"/>
          </w:divBdr>
        </w:div>
        <w:div w:id="1384409518">
          <w:marLeft w:val="0"/>
          <w:marRight w:val="0"/>
          <w:marTop w:val="0"/>
          <w:marBottom w:val="0"/>
          <w:divBdr>
            <w:top w:val="none" w:sz="0" w:space="0" w:color="auto"/>
            <w:left w:val="none" w:sz="0" w:space="0" w:color="auto"/>
            <w:bottom w:val="none" w:sz="0" w:space="0" w:color="auto"/>
            <w:right w:val="none" w:sz="0" w:space="0" w:color="auto"/>
          </w:divBdr>
        </w:div>
        <w:div w:id="1751462381">
          <w:marLeft w:val="0"/>
          <w:marRight w:val="0"/>
          <w:marTop w:val="0"/>
          <w:marBottom w:val="0"/>
          <w:divBdr>
            <w:top w:val="none" w:sz="0" w:space="0" w:color="auto"/>
            <w:left w:val="none" w:sz="0" w:space="0" w:color="auto"/>
            <w:bottom w:val="none" w:sz="0" w:space="0" w:color="auto"/>
            <w:right w:val="none" w:sz="0" w:space="0" w:color="auto"/>
          </w:divBdr>
        </w:div>
      </w:divsChild>
    </w:div>
    <w:div w:id="1492671403">
      <w:bodyDiv w:val="1"/>
      <w:marLeft w:val="0"/>
      <w:marRight w:val="0"/>
      <w:marTop w:val="0"/>
      <w:marBottom w:val="0"/>
      <w:divBdr>
        <w:top w:val="none" w:sz="0" w:space="0" w:color="auto"/>
        <w:left w:val="none" w:sz="0" w:space="0" w:color="auto"/>
        <w:bottom w:val="none" w:sz="0" w:space="0" w:color="auto"/>
        <w:right w:val="none" w:sz="0" w:space="0" w:color="auto"/>
      </w:divBdr>
    </w:div>
    <w:div w:id="1505197990">
      <w:bodyDiv w:val="1"/>
      <w:marLeft w:val="0"/>
      <w:marRight w:val="0"/>
      <w:marTop w:val="0"/>
      <w:marBottom w:val="0"/>
      <w:divBdr>
        <w:top w:val="none" w:sz="0" w:space="0" w:color="auto"/>
        <w:left w:val="none" w:sz="0" w:space="0" w:color="auto"/>
        <w:bottom w:val="none" w:sz="0" w:space="0" w:color="auto"/>
        <w:right w:val="none" w:sz="0" w:space="0" w:color="auto"/>
      </w:divBdr>
      <w:divsChild>
        <w:div w:id="1366251374">
          <w:marLeft w:val="0"/>
          <w:marRight w:val="0"/>
          <w:marTop w:val="0"/>
          <w:marBottom w:val="0"/>
          <w:divBdr>
            <w:top w:val="none" w:sz="0" w:space="0" w:color="auto"/>
            <w:left w:val="none" w:sz="0" w:space="0" w:color="auto"/>
            <w:bottom w:val="none" w:sz="0" w:space="0" w:color="auto"/>
            <w:right w:val="none" w:sz="0" w:space="0" w:color="auto"/>
          </w:divBdr>
        </w:div>
        <w:div w:id="834342753">
          <w:marLeft w:val="0"/>
          <w:marRight w:val="0"/>
          <w:marTop w:val="0"/>
          <w:marBottom w:val="0"/>
          <w:divBdr>
            <w:top w:val="none" w:sz="0" w:space="0" w:color="auto"/>
            <w:left w:val="none" w:sz="0" w:space="0" w:color="auto"/>
            <w:bottom w:val="none" w:sz="0" w:space="0" w:color="auto"/>
            <w:right w:val="none" w:sz="0" w:space="0" w:color="auto"/>
          </w:divBdr>
        </w:div>
        <w:div w:id="2140493335">
          <w:marLeft w:val="0"/>
          <w:marRight w:val="0"/>
          <w:marTop w:val="0"/>
          <w:marBottom w:val="0"/>
          <w:divBdr>
            <w:top w:val="none" w:sz="0" w:space="0" w:color="auto"/>
            <w:left w:val="none" w:sz="0" w:space="0" w:color="auto"/>
            <w:bottom w:val="none" w:sz="0" w:space="0" w:color="auto"/>
            <w:right w:val="none" w:sz="0" w:space="0" w:color="auto"/>
          </w:divBdr>
        </w:div>
      </w:divsChild>
    </w:div>
    <w:div w:id="1532186022">
      <w:bodyDiv w:val="1"/>
      <w:marLeft w:val="0"/>
      <w:marRight w:val="0"/>
      <w:marTop w:val="0"/>
      <w:marBottom w:val="0"/>
      <w:divBdr>
        <w:top w:val="none" w:sz="0" w:space="0" w:color="auto"/>
        <w:left w:val="none" w:sz="0" w:space="0" w:color="auto"/>
        <w:bottom w:val="none" w:sz="0" w:space="0" w:color="auto"/>
        <w:right w:val="none" w:sz="0" w:space="0" w:color="auto"/>
      </w:divBdr>
    </w:div>
    <w:div w:id="1677151941">
      <w:bodyDiv w:val="1"/>
      <w:marLeft w:val="0"/>
      <w:marRight w:val="0"/>
      <w:marTop w:val="0"/>
      <w:marBottom w:val="0"/>
      <w:divBdr>
        <w:top w:val="none" w:sz="0" w:space="0" w:color="auto"/>
        <w:left w:val="none" w:sz="0" w:space="0" w:color="auto"/>
        <w:bottom w:val="none" w:sz="0" w:space="0" w:color="auto"/>
        <w:right w:val="none" w:sz="0" w:space="0" w:color="auto"/>
      </w:divBdr>
    </w:div>
    <w:div w:id="1717895521">
      <w:bodyDiv w:val="1"/>
      <w:marLeft w:val="0"/>
      <w:marRight w:val="0"/>
      <w:marTop w:val="0"/>
      <w:marBottom w:val="0"/>
      <w:divBdr>
        <w:top w:val="none" w:sz="0" w:space="0" w:color="auto"/>
        <w:left w:val="none" w:sz="0" w:space="0" w:color="auto"/>
        <w:bottom w:val="none" w:sz="0" w:space="0" w:color="auto"/>
        <w:right w:val="none" w:sz="0" w:space="0" w:color="auto"/>
      </w:divBdr>
      <w:divsChild>
        <w:div w:id="976495324">
          <w:marLeft w:val="0"/>
          <w:marRight w:val="0"/>
          <w:marTop w:val="0"/>
          <w:marBottom w:val="150"/>
          <w:divBdr>
            <w:top w:val="none" w:sz="0" w:space="0" w:color="auto"/>
            <w:left w:val="none" w:sz="0" w:space="0" w:color="auto"/>
            <w:bottom w:val="none" w:sz="0" w:space="0" w:color="auto"/>
            <w:right w:val="none" w:sz="0" w:space="0" w:color="auto"/>
          </w:divBdr>
        </w:div>
      </w:divsChild>
    </w:div>
    <w:div w:id="20324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logs.bmj.com/bmj/2020/11/26/peter-doshi-pfizer-and-modernas-95-effective-vaccines-lets-be-cautious-and-first-see-the-ful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1/2021.10.13.2126496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oecd.org/coronavirus/en/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BF31-F9FE-4C76-8198-71F022F2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Gibson</dc:creator>
  <cp:lastModifiedBy>John Gibson</cp:lastModifiedBy>
  <cp:revision>2</cp:revision>
  <cp:lastPrinted>2021-10-29T02:11:00Z</cp:lastPrinted>
  <dcterms:created xsi:type="dcterms:W3CDTF">2021-10-29T02:32:00Z</dcterms:created>
  <dcterms:modified xsi:type="dcterms:W3CDTF">2021-10-29T02:32:00Z</dcterms:modified>
</cp:coreProperties>
</file>