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19A70" w14:textId="0F845C29" w:rsidR="00A71EB9" w:rsidRDefault="005F4D5E" w:rsidP="00A71EB9">
      <w:pPr>
        <w:pStyle w:val="Default"/>
        <w:jc w:val="center"/>
        <w:rPr>
          <w:b/>
          <w:iCs/>
        </w:rPr>
      </w:pPr>
      <w:bookmarkStart w:id="0" w:name="_Toc43041668"/>
      <w:bookmarkStart w:id="1" w:name="_Toc43045110"/>
      <w:r>
        <w:rPr>
          <w:b/>
          <w:bCs/>
          <w:sz w:val="28"/>
          <w:szCs w:val="28"/>
        </w:rPr>
        <w:t xml:space="preserve"> </w:t>
      </w:r>
      <w:r w:rsidR="00A71EB9">
        <w:rPr>
          <w:b/>
          <w:bCs/>
          <w:sz w:val="28"/>
          <w:szCs w:val="28"/>
        </w:rPr>
        <w:t>UNIVERSITY OF WAIKATO</w:t>
      </w:r>
    </w:p>
    <w:p w14:paraId="6C9E67B8" w14:textId="77777777" w:rsidR="00A71EB9" w:rsidRDefault="00A71EB9" w:rsidP="00A71EB9">
      <w:pPr>
        <w:pStyle w:val="Default"/>
        <w:jc w:val="center"/>
        <w:rPr>
          <w:b/>
          <w:bCs/>
          <w:sz w:val="28"/>
          <w:szCs w:val="28"/>
        </w:rPr>
      </w:pPr>
      <w:r>
        <w:rPr>
          <w:b/>
          <w:bCs/>
          <w:sz w:val="28"/>
          <w:szCs w:val="28"/>
        </w:rPr>
        <w:br/>
        <w:t>Hamilton</w:t>
      </w:r>
    </w:p>
    <w:p w14:paraId="13FDDE0F" w14:textId="77777777" w:rsidR="00A71EB9" w:rsidRDefault="00A71EB9" w:rsidP="00A71EB9">
      <w:pPr>
        <w:pStyle w:val="CM1"/>
        <w:spacing w:line="240" w:lineRule="auto"/>
        <w:jc w:val="center"/>
        <w:rPr>
          <w:b/>
          <w:bCs/>
          <w:sz w:val="28"/>
          <w:szCs w:val="28"/>
        </w:rPr>
      </w:pPr>
      <w:r>
        <w:rPr>
          <w:b/>
          <w:bCs/>
          <w:sz w:val="28"/>
          <w:szCs w:val="28"/>
        </w:rPr>
        <w:t xml:space="preserve">New Zealand </w:t>
      </w:r>
    </w:p>
    <w:p w14:paraId="0D3C9256" w14:textId="77777777" w:rsidR="00A71EB9" w:rsidRDefault="00A71EB9" w:rsidP="00A71EB9">
      <w:pPr>
        <w:pStyle w:val="Default"/>
      </w:pPr>
    </w:p>
    <w:p w14:paraId="67C69926" w14:textId="77777777" w:rsidR="00A71EB9" w:rsidRDefault="00A71EB9" w:rsidP="00A71EB9">
      <w:pPr>
        <w:pStyle w:val="Default"/>
      </w:pPr>
    </w:p>
    <w:p w14:paraId="48EE3194" w14:textId="77777777" w:rsidR="00A71EB9" w:rsidRDefault="00A71EB9" w:rsidP="00A71EB9">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6A850775" w14:textId="77777777" w:rsidR="00A75625" w:rsidRPr="00A75625" w:rsidRDefault="00A75625" w:rsidP="00A75625">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ind w:firstLine="0"/>
        <w:jc w:val="center"/>
        <w:rPr>
          <w:rFonts w:ascii="Times New Roman" w:hAnsi="Times New Roman"/>
          <w:bCs/>
          <w:sz w:val="28"/>
          <w:szCs w:val="28"/>
          <w:lang w:val="en-NZ"/>
        </w:rPr>
      </w:pPr>
      <w:r w:rsidRPr="00A75625">
        <w:rPr>
          <w:rFonts w:ascii="Times New Roman" w:hAnsi="Times New Roman"/>
          <w:bCs/>
          <w:sz w:val="28"/>
          <w:szCs w:val="28"/>
          <w:lang w:val="en-NZ"/>
        </w:rPr>
        <w:t>Is performance affected by the CEO-Employee pay gap?</w:t>
      </w:r>
    </w:p>
    <w:p w14:paraId="552A7AB7" w14:textId="0C7BF3F1" w:rsidR="00A71EB9" w:rsidRPr="00714455" w:rsidRDefault="00A75625" w:rsidP="00A75625">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val="0"/>
          <w:bCs/>
          <w:sz w:val="14"/>
          <w:szCs w:val="14"/>
        </w:rPr>
      </w:pPr>
      <w:r w:rsidRPr="00A75625">
        <w:rPr>
          <w:rFonts w:ascii="Times New Roman" w:hAnsi="Times New Roman"/>
          <w:bCs/>
          <w:sz w:val="28"/>
          <w:szCs w:val="28"/>
          <w:lang w:val="en-NZ"/>
        </w:rPr>
        <w:t>Evidence from Australia</w:t>
      </w:r>
    </w:p>
    <w:p w14:paraId="59B294B9" w14:textId="08236E96" w:rsidR="00A71EB9" w:rsidRDefault="00A75625" w:rsidP="00A71EB9">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sz w:val="28"/>
          <w:szCs w:val="28"/>
        </w:rPr>
      </w:pPr>
      <w:r>
        <w:rPr>
          <w:rFonts w:ascii="Times New Roman" w:hAnsi="Times New Roman"/>
          <w:sz w:val="28"/>
          <w:szCs w:val="28"/>
        </w:rPr>
        <w:t>Roya Taherifar</w:t>
      </w:r>
      <w:r w:rsidR="00A47099">
        <w:rPr>
          <w:rFonts w:ascii="Times New Roman" w:hAnsi="Times New Roman"/>
          <w:sz w:val="28"/>
          <w:szCs w:val="28"/>
        </w:rPr>
        <w:t xml:space="preserve">, </w:t>
      </w:r>
      <w:r>
        <w:rPr>
          <w:rFonts w:ascii="Times New Roman" w:hAnsi="Times New Roman"/>
          <w:sz w:val="28"/>
          <w:szCs w:val="28"/>
        </w:rPr>
        <w:t xml:space="preserve">Mark J. Holmes </w:t>
      </w:r>
      <w:r w:rsidR="00A47099">
        <w:rPr>
          <w:rFonts w:ascii="Times New Roman" w:hAnsi="Times New Roman"/>
          <w:sz w:val="28"/>
          <w:szCs w:val="28"/>
        </w:rPr>
        <w:t xml:space="preserve">and </w:t>
      </w:r>
      <w:r>
        <w:rPr>
          <w:rFonts w:ascii="Times New Roman" w:hAnsi="Times New Roman"/>
          <w:sz w:val="28"/>
          <w:szCs w:val="28"/>
        </w:rPr>
        <w:t>Gazi M. Hassan</w:t>
      </w:r>
    </w:p>
    <w:p w14:paraId="330059AB" w14:textId="77777777" w:rsidR="00A71EB9" w:rsidRDefault="00A71EB9" w:rsidP="00A71EB9">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val="0"/>
          <w:bCs/>
          <w:sz w:val="28"/>
          <w:szCs w:val="28"/>
        </w:rPr>
      </w:pPr>
      <w:r>
        <w:rPr>
          <w:rFonts w:ascii="Times New Roman" w:hAnsi="Times New Roman"/>
          <w:bCs/>
          <w:sz w:val="28"/>
          <w:szCs w:val="28"/>
        </w:rPr>
        <w:t xml:space="preserve"> </w:t>
      </w:r>
    </w:p>
    <w:p w14:paraId="2F7CD482" w14:textId="77777777" w:rsidR="00A71EB9" w:rsidRDefault="00A71EB9" w:rsidP="00A71EB9">
      <w:pPr>
        <w:rPr>
          <w:rFonts w:ascii="Times New Roman" w:hAnsi="Times New Roman"/>
          <w:szCs w:val="24"/>
          <w:lang w:val="en-US" w:eastAsia="ko-KR"/>
        </w:rPr>
      </w:pPr>
    </w:p>
    <w:p w14:paraId="62F13B78" w14:textId="3F9886B1" w:rsidR="00A71EB9" w:rsidRDefault="00A71EB9" w:rsidP="00C354E9">
      <w:pPr>
        <w:pStyle w:val="CM22"/>
        <w:spacing w:after="0"/>
        <w:jc w:val="center"/>
        <w:rPr>
          <w:b/>
          <w:bCs/>
          <w:sz w:val="28"/>
          <w:szCs w:val="28"/>
        </w:rPr>
      </w:pPr>
      <w:r>
        <w:rPr>
          <w:b/>
          <w:bCs/>
          <w:sz w:val="28"/>
          <w:szCs w:val="28"/>
        </w:rPr>
        <w:t xml:space="preserve">Working Paper in Economics </w:t>
      </w:r>
      <w:r w:rsidR="00845702">
        <w:rPr>
          <w:b/>
          <w:bCs/>
          <w:sz w:val="28"/>
          <w:szCs w:val="28"/>
        </w:rPr>
        <w:t>14/21</w:t>
      </w:r>
    </w:p>
    <w:p w14:paraId="5B8345EE" w14:textId="77777777" w:rsidR="00A71EB9" w:rsidRDefault="00A71EB9" w:rsidP="00A71EB9">
      <w:pPr>
        <w:pStyle w:val="CM22"/>
        <w:spacing w:after="0"/>
        <w:jc w:val="center"/>
        <w:rPr>
          <w:b/>
          <w:bCs/>
          <w:sz w:val="28"/>
          <w:szCs w:val="28"/>
        </w:rPr>
      </w:pPr>
    </w:p>
    <w:p w14:paraId="561EA569" w14:textId="585EF4A5" w:rsidR="00A71EB9" w:rsidRDefault="00F97E53" w:rsidP="00A71EB9">
      <w:pPr>
        <w:pStyle w:val="CM22"/>
        <w:spacing w:after="0"/>
        <w:jc w:val="center"/>
        <w:rPr>
          <w:sz w:val="28"/>
          <w:szCs w:val="28"/>
        </w:rPr>
      </w:pPr>
      <w:r>
        <w:rPr>
          <w:sz w:val="28"/>
          <w:szCs w:val="28"/>
        </w:rPr>
        <w:t>November</w:t>
      </w:r>
      <w:r w:rsidR="00A71EB9">
        <w:rPr>
          <w:sz w:val="28"/>
          <w:szCs w:val="28"/>
        </w:rPr>
        <w:t xml:space="preserve"> 2021</w:t>
      </w:r>
    </w:p>
    <w:p w14:paraId="6288EA2C" w14:textId="78E45CA7" w:rsidR="00A71EB9" w:rsidRDefault="00A71EB9" w:rsidP="00A71EB9">
      <w:pPr>
        <w:pStyle w:val="Default"/>
      </w:pPr>
    </w:p>
    <w:p w14:paraId="398C8DF9" w14:textId="77777777" w:rsidR="00A71EB9" w:rsidRDefault="00A71EB9" w:rsidP="00A71EB9">
      <w:pPr>
        <w:pStyle w:val="Default"/>
        <w:jc w:val="center"/>
      </w:pPr>
    </w:p>
    <w:p w14:paraId="602F6A30" w14:textId="1F8DDCCB" w:rsidR="00A71EB9" w:rsidRDefault="00A71EB9" w:rsidP="00A71EB9">
      <w:pPr>
        <w:pStyle w:val="Default"/>
        <w:jc w:val="center"/>
        <w:rPr>
          <w:i/>
        </w:rPr>
      </w:pPr>
      <w:r>
        <w:rPr>
          <w:i/>
        </w:rPr>
        <w:t>Corresponding Author</w:t>
      </w:r>
    </w:p>
    <w:p w14:paraId="205C0DD9" w14:textId="62D9E860" w:rsidR="002642BF" w:rsidRDefault="002642BF" w:rsidP="00A71EB9">
      <w:pPr>
        <w:pStyle w:val="Default"/>
        <w:jc w:val="center"/>
        <w:rPr>
          <w:iCs/>
        </w:rPr>
      </w:pPr>
    </w:p>
    <w:p w14:paraId="5CB48E3A" w14:textId="0C30B920" w:rsidR="002642BF" w:rsidRDefault="00243C25" w:rsidP="00A71EB9">
      <w:pPr>
        <w:pStyle w:val="Default"/>
        <w:jc w:val="center"/>
        <w:rPr>
          <w:b/>
          <w:bCs/>
          <w:iCs/>
        </w:rPr>
      </w:pPr>
      <w:r>
        <w:rPr>
          <w:b/>
          <w:bCs/>
          <w:iCs/>
        </w:rPr>
        <w:t>Roya Taherifar</w:t>
      </w:r>
    </w:p>
    <w:p w14:paraId="5DBC739A" w14:textId="77777777" w:rsidR="00830BB9" w:rsidRDefault="00830BB9" w:rsidP="00A71EB9">
      <w:pPr>
        <w:pStyle w:val="Default"/>
        <w:jc w:val="center"/>
        <w:rPr>
          <w:iCs/>
        </w:rPr>
      </w:pPr>
      <w:r>
        <w:rPr>
          <w:iCs/>
        </w:rPr>
        <w:t>School of Accounting, Finance and Economics</w:t>
      </w:r>
    </w:p>
    <w:p w14:paraId="7D1AC21C" w14:textId="46D1126B" w:rsidR="002642BF" w:rsidRDefault="002642BF" w:rsidP="00A71EB9">
      <w:pPr>
        <w:pStyle w:val="Default"/>
        <w:jc w:val="center"/>
        <w:rPr>
          <w:iCs/>
        </w:rPr>
      </w:pPr>
      <w:r>
        <w:rPr>
          <w:iCs/>
        </w:rPr>
        <w:t>University of Waikato</w:t>
      </w:r>
    </w:p>
    <w:p w14:paraId="715D2D85" w14:textId="4F57EDBB" w:rsidR="002642BF" w:rsidRDefault="002642BF" w:rsidP="00A71EB9">
      <w:pPr>
        <w:pStyle w:val="Default"/>
        <w:jc w:val="center"/>
        <w:rPr>
          <w:iCs/>
        </w:rPr>
      </w:pPr>
      <w:r>
        <w:rPr>
          <w:iCs/>
        </w:rPr>
        <w:t>Private Bag 3105</w:t>
      </w:r>
    </w:p>
    <w:p w14:paraId="7B48044F" w14:textId="32F81323" w:rsidR="002642BF" w:rsidRDefault="00B61941" w:rsidP="00A71EB9">
      <w:pPr>
        <w:pStyle w:val="Default"/>
        <w:jc w:val="center"/>
        <w:rPr>
          <w:iCs/>
        </w:rPr>
      </w:pPr>
      <w:r>
        <w:rPr>
          <w:iCs/>
        </w:rPr>
        <w:t>Hamilton 3240</w:t>
      </w:r>
    </w:p>
    <w:p w14:paraId="48D2EA6C" w14:textId="2AB10394" w:rsidR="002642BF" w:rsidRDefault="002642BF" w:rsidP="00A71EB9">
      <w:pPr>
        <w:pStyle w:val="Default"/>
        <w:jc w:val="center"/>
        <w:rPr>
          <w:iCs/>
        </w:rPr>
      </w:pPr>
      <w:r>
        <w:rPr>
          <w:iCs/>
        </w:rPr>
        <w:t>New Zealand</w:t>
      </w:r>
    </w:p>
    <w:p w14:paraId="63E30B1F" w14:textId="77777777" w:rsidR="00DE375C" w:rsidRDefault="00DE375C" w:rsidP="00A71EB9">
      <w:pPr>
        <w:pStyle w:val="Default"/>
        <w:jc w:val="center"/>
        <w:rPr>
          <w:iCs/>
        </w:rPr>
      </w:pPr>
    </w:p>
    <w:p w14:paraId="0EDE0CD5" w14:textId="0336977F" w:rsidR="00F64F99" w:rsidRDefault="00F64F99" w:rsidP="00A71EB9">
      <w:pPr>
        <w:pStyle w:val="Default"/>
        <w:jc w:val="center"/>
        <w:rPr>
          <w:iCs/>
        </w:rPr>
      </w:pPr>
      <w:r>
        <w:rPr>
          <w:bCs/>
        </w:rPr>
        <w:t xml:space="preserve">Email: </w:t>
      </w:r>
      <w:r w:rsidR="00243C25">
        <w:rPr>
          <w:bCs/>
        </w:rPr>
        <w:t>rt228</w:t>
      </w:r>
      <w:r>
        <w:rPr>
          <w:bCs/>
        </w:rPr>
        <w:t>@students.waikato.ac.nz</w:t>
      </w:r>
    </w:p>
    <w:p w14:paraId="1FFA0C2A" w14:textId="77777777" w:rsidR="002642BF" w:rsidRPr="002642BF" w:rsidRDefault="002642BF" w:rsidP="00A71EB9">
      <w:pPr>
        <w:pStyle w:val="Default"/>
        <w:jc w:val="center"/>
        <w:rPr>
          <w:iCs/>
        </w:rPr>
      </w:pPr>
    </w:p>
    <w:tbl>
      <w:tblPr>
        <w:tblW w:w="0" w:type="auto"/>
        <w:jc w:val="center"/>
        <w:tblLook w:val="04A0" w:firstRow="1" w:lastRow="0" w:firstColumn="1" w:lastColumn="0" w:noHBand="0" w:noVBand="1"/>
      </w:tblPr>
      <w:tblGrid>
        <w:gridCol w:w="6946"/>
      </w:tblGrid>
      <w:tr w:rsidR="00A71EB9" w14:paraId="7CC0B119" w14:textId="77777777" w:rsidTr="00754F52">
        <w:trPr>
          <w:jc w:val="center"/>
        </w:trPr>
        <w:tc>
          <w:tcPr>
            <w:tcW w:w="6946" w:type="dxa"/>
          </w:tcPr>
          <w:p w14:paraId="1609A063" w14:textId="77777777" w:rsidR="00A71EB9" w:rsidRDefault="00A71EB9" w:rsidP="00754F52">
            <w:pPr>
              <w:pStyle w:val="CM4"/>
              <w:spacing w:line="240" w:lineRule="auto"/>
              <w:jc w:val="center"/>
              <w:rPr>
                <w:b/>
                <w:sz w:val="8"/>
                <w:szCs w:val="8"/>
              </w:rPr>
            </w:pPr>
          </w:p>
          <w:p w14:paraId="45282AED" w14:textId="77777777" w:rsidR="00243C25" w:rsidRDefault="00243C25" w:rsidP="00243C25">
            <w:pPr>
              <w:pStyle w:val="CM4"/>
              <w:spacing w:line="240" w:lineRule="auto"/>
              <w:jc w:val="center"/>
              <w:rPr>
                <w:b/>
                <w:bCs/>
              </w:rPr>
            </w:pPr>
            <w:r>
              <w:rPr>
                <w:b/>
                <w:bCs/>
              </w:rPr>
              <w:t>Mark J. Holmes</w:t>
            </w:r>
          </w:p>
          <w:p w14:paraId="31039ED0" w14:textId="77777777" w:rsidR="00243C25" w:rsidRDefault="00243C25" w:rsidP="00243C25">
            <w:pPr>
              <w:pStyle w:val="Default"/>
              <w:jc w:val="center"/>
              <w:rPr>
                <w:iCs/>
              </w:rPr>
            </w:pPr>
            <w:r>
              <w:rPr>
                <w:iCs/>
              </w:rPr>
              <w:t>School of Accounting, Finance and Economics</w:t>
            </w:r>
          </w:p>
          <w:p w14:paraId="72F06DCC" w14:textId="77777777" w:rsidR="00243C25" w:rsidRDefault="00243C25" w:rsidP="00243C25">
            <w:pPr>
              <w:pStyle w:val="Default"/>
              <w:jc w:val="center"/>
              <w:rPr>
                <w:iCs/>
              </w:rPr>
            </w:pPr>
            <w:r>
              <w:rPr>
                <w:iCs/>
              </w:rPr>
              <w:t>University of Waikato</w:t>
            </w:r>
          </w:p>
          <w:p w14:paraId="0CB11BF4" w14:textId="77777777" w:rsidR="00243C25" w:rsidRDefault="00243C25" w:rsidP="00243C25">
            <w:pPr>
              <w:pStyle w:val="CM23"/>
              <w:spacing w:after="0"/>
              <w:jc w:val="center"/>
            </w:pPr>
            <w:r>
              <w:t>Hamilton 3240</w:t>
            </w:r>
          </w:p>
          <w:p w14:paraId="018A2866" w14:textId="77777777" w:rsidR="00243C25" w:rsidRDefault="00243C25" w:rsidP="00243C25">
            <w:pPr>
              <w:pStyle w:val="CM4"/>
              <w:spacing w:line="240" w:lineRule="auto"/>
              <w:jc w:val="center"/>
            </w:pPr>
            <w:r>
              <w:t>New Zealand</w:t>
            </w:r>
          </w:p>
          <w:p w14:paraId="2C3C92D8" w14:textId="77777777" w:rsidR="00243C25" w:rsidRPr="00247734" w:rsidRDefault="00243C25" w:rsidP="00243C25">
            <w:pPr>
              <w:pStyle w:val="Default"/>
              <w:jc w:val="center"/>
              <w:rPr>
                <w:sz w:val="6"/>
                <w:szCs w:val="6"/>
                <w:lang w:val="en-US" w:eastAsia="en-US"/>
              </w:rPr>
            </w:pPr>
          </w:p>
          <w:p w14:paraId="2ADA2E61" w14:textId="77777777" w:rsidR="00243C25" w:rsidRDefault="00243C25" w:rsidP="00243C25">
            <w:pPr>
              <w:pStyle w:val="Default"/>
              <w:spacing w:line="256" w:lineRule="auto"/>
              <w:jc w:val="center"/>
              <w:rPr>
                <w:sz w:val="6"/>
                <w:szCs w:val="6"/>
                <w:lang w:val="en-US" w:eastAsia="ko-KR"/>
              </w:rPr>
            </w:pPr>
          </w:p>
          <w:p w14:paraId="1DB4892B" w14:textId="77777777" w:rsidR="00243C25" w:rsidRDefault="00243C25" w:rsidP="00243C25">
            <w:pPr>
              <w:pStyle w:val="CM4"/>
              <w:spacing w:line="240" w:lineRule="auto"/>
              <w:jc w:val="center"/>
              <w:rPr>
                <w:b/>
              </w:rPr>
            </w:pPr>
            <w:r>
              <w:rPr>
                <w:bCs/>
              </w:rPr>
              <w:t xml:space="preserve">Email: </w:t>
            </w:r>
            <w:r w:rsidRPr="00EE2833">
              <w:rPr>
                <w:rFonts w:asciiTheme="majorBidi" w:hAnsiTheme="majorBidi" w:cstheme="majorBidi"/>
                <w:color w:val="353535"/>
                <w:shd w:val="clear" w:color="auto" w:fill="FFFFFF"/>
              </w:rPr>
              <w:t>holmesmj@waikato.ac.nz</w:t>
            </w:r>
            <w:r>
              <w:rPr>
                <w:b/>
              </w:rPr>
              <w:t xml:space="preserve"> </w:t>
            </w:r>
          </w:p>
          <w:p w14:paraId="1DD196F4" w14:textId="77777777" w:rsidR="00243C25" w:rsidRDefault="00243C25" w:rsidP="00243C25">
            <w:pPr>
              <w:pStyle w:val="CM4"/>
              <w:spacing w:line="240" w:lineRule="auto"/>
              <w:jc w:val="center"/>
              <w:rPr>
                <w:b/>
              </w:rPr>
            </w:pPr>
          </w:p>
          <w:p w14:paraId="0A5AAD7E" w14:textId="31FEFA35" w:rsidR="00A71EB9" w:rsidRDefault="00754F52" w:rsidP="00243C25">
            <w:pPr>
              <w:pStyle w:val="CM4"/>
              <w:spacing w:line="240" w:lineRule="auto"/>
              <w:jc w:val="center"/>
              <w:rPr>
                <w:b/>
              </w:rPr>
            </w:pPr>
            <w:r>
              <w:rPr>
                <w:b/>
              </w:rPr>
              <w:t>Gazi M. Hassan</w:t>
            </w:r>
          </w:p>
          <w:p w14:paraId="4491A5A9" w14:textId="77777777" w:rsidR="00435CEF" w:rsidRDefault="00435CEF" w:rsidP="00435CEF">
            <w:pPr>
              <w:pStyle w:val="Default"/>
              <w:jc w:val="center"/>
              <w:rPr>
                <w:iCs/>
              </w:rPr>
            </w:pPr>
            <w:r>
              <w:rPr>
                <w:iCs/>
              </w:rPr>
              <w:t>School of Accounting, Finance and Economics</w:t>
            </w:r>
          </w:p>
          <w:p w14:paraId="1A16103E" w14:textId="77777777" w:rsidR="002642BF" w:rsidRDefault="002642BF" w:rsidP="002642BF">
            <w:pPr>
              <w:pStyle w:val="Default"/>
              <w:jc w:val="center"/>
              <w:rPr>
                <w:iCs/>
              </w:rPr>
            </w:pPr>
            <w:r>
              <w:rPr>
                <w:iCs/>
              </w:rPr>
              <w:t>University of Waikato</w:t>
            </w:r>
          </w:p>
          <w:p w14:paraId="048EBDC3" w14:textId="27411B96" w:rsidR="00A71EB9" w:rsidRDefault="00A71EB9" w:rsidP="00754F52">
            <w:pPr>
              <w:pStyle w:val="CM23"/>
              <w:spacing w:after="0"/>
              <w:jc w:val="center"/>
            </w:pPr>
            <w:r>
              <w:t>Hamilton</w:t>
            </w:r>
            <w:r w:rsidR="00B61941">
              <w:t xml:space="preserve"> 3240</w:t>
            </w:r>
          </w:p>
          <w:p w14:paraId="731288E0" w14:textId="4F7A58CE" w:rsidR="00A71EB9" w:rsidRDefault="00A71EB9" w:rsidP="002642BF">
            <w:pPr>
              <w:pStyle w:val="CM4"/>
              <w:spacing w:line="240" w:lineRule="auto"/>
              <w:jc w:val="center"/>
            </w:pPr>
            <w:r>
              <w:t>New Zealand</w:t>
            </w:r>
            <w:r w:rsidR="002642BF">
              <w:t xml:space="preserve"> </w:t>
            </w:r>
          </w:p>
          <w:p w14:paraId="2919EB91" w14:textId="77777777" w:rsidR="00A71EB9" w:rsidRPr="00247734" w:rsidRDefault="00A71EB9" w:rsidP="00754F52">
            <w:pPr>
              <w:pStyle w:val="Default"/>
              <w:rPr>
                <w:sz w:val="6"/>
                <w:szCs w:val="6"/>
                <w:lang w:val="en-US" w:eastAsia="en-US"/>
              </w:rPr>
            </w:pPr>
          </w:p>
          <w:p w14:paraId="24557044" w14:textId="5ABDB1AF" w:rsidR="00A71EB9" w:rsidRPr="00243C25" w:rsidRDefault="00A71EB9" w:rsidP="00243C25">
            <w:pPr>
              <w:pStyle w:val="CM4"/>
              <w:spacing w:line="240" w:lineRule="auto"/>
              <w:jc w:val="center"/>
              <w:rPr>
                <w:rFonts w:asciiTheme="majorBidi" w:hAnsiTheme="majorBidi" w:cstheme="majorBidi"/>
                <w:b/>
                <w:bCs/>
              </w:rPr>
            </w:pPr>
            <w:r>
              <w:rPr>
                <w:bCs/>
              </w:rPr>
              <w:t xml:space="preserve">Email: </w:t>
            </w:r>
            <w:r w:rsidR="00754F52" w:rsidRPr="00754F52">
              <w:rPr>
                <w:rFonts w:asciiTheme="majorBidi" w:hAnsiTheme="majorBidi" w:cstheme="majorBidi"/>
                <w:color w:val="353535"/>
                <w:shd w:val="clear" w:color="auto" w:fill="FFFFFF"/>
              </w:rPr>
              <w:t>gmhassan@waikato.ac.nz</w:t>
            </w:r>
          </w:p>
        </w:tc>
      </w:tr>
    </w:tbl>
    <w:p w14:paraId="007618E9" w14:textId="77777777" w:rsidR="00FE7754" w:rsidRPr="00FE7754" w:rsidRDefault="00FE7754" w:rsidP="00FA4293">
      <w:pPr>
        <w:ind w:firstLine="0"/>
      </w:pPr>
    </w:p>
    <w:p w14:paraId="281A2642" w14:textId="435B4AA4" w:rsidR="003A7E47" w:rsidRDefault="003A7E47" w:rsidP="00FE7754">
      <w:pPr>
        <w:pStyle w:val="Heading2"/>
        <w:spacing w:line="360" w:lineRule="auto"/>
        <w:jc w:val="center"/>
        <w:rPr>
          <w:b w:val="0"/>
          <w:bCs/>
          <w:szCs w:val="24"/>
        </w:rPr>
      </w:pPr>
    </w:p>
    <w:p w14:paraId="204B4FCB" w14:textId="0440ECE6" w:rsidR="00FA4293" w:rsidRDefault="00FA4293" w:rsidP="00FA4293"/>
    <w:p w14:paraId="49CCF857" w14:textId="77777777" w:rsidR="00FA4293" w:rsidRPr="00FA4293" w:rsidRDefault="00FA4293" w:rsidP="00FA4293"/>
    <w:p w14:paraId="168FEACD" w14:textId="71650C16" w:rsidR="002D504C" w:rsidRDefault="002D504C" w:rsidP="00A471C8">
      <w:pPr>
        <w:pStyle w:val="Heading2"/>
        <w:spacing w:line="360" w:lineRule="auto"/>
        <w:jc w:val="center"/>
      </w:pPr>
      <w:r>
        <w:rPr>
          <w:bCs/>
          <w:szCs w:val="24"/>
        </w:rPr>
        <w:t>Abstract</w:t>
      </w:r>
    </w:p>
    <w:p w14:paraId="15F8044B" w14:textId="426A3F93" w:rsidR="004B1F65" w:rsidRPr="004B1F65" w:rsidRDefault="004B1F65" w:rsidP="00752D4D">
      <w:pPr>
        <w:ind w:firstLine="0"/>
        <w:rPr>
          <w:rFonts w:cstheme="majorBidi"/>
          <w:szCs w:val="24"/>
        </w:rPr>
      </w:pPr>
      <w:bookmarkStart w:id="2" w:name="_Toc43041669"/>
      <w:bookmarkStart w:id="3" w:name="_Toc43045111"/>
      <w:bookmarkEnd w:id="0"/>
      <w:bookmarkEnd w:id="1"/>
      <w:r w:rsidRPr="004B1F65">
        <w:rPr>
          <w:rFonts w:cstheme="majorBidi"/>
          <w:szCs w:val="24"/>
        </w:rPr>
        <w:t xml:space="preserve">It is argued that pay inequality between CEOs and employees impacts employee performance, although empirical studies are inconsistent about the directionality of the effect. This paper shows that seemingly contradictory predictions of sociological and economic perspectives about the impact of pay inequality are more complementary than contradictory. Using data from a sample of public companies over the period 2004-2019, we show that pay inequality attributed to individuals’ skills, company characteristics, and </w:t>
      </w:r>
      <w:r w:rsidR="00287231">
        <w:rPr>
          <w:rFonts w:cstheme="majorBidi"/>
          <w:szCs w:val="24"/>
        </w:rPr>
        <w:t>labour market</w:t>
      </w:r>
      <w:r w:rsidRPr="004B1F65">
        <w:rPr>
          <w:rFonts w:cstheme="majorBidi"/>
          <w:szCs w:val="24"/>
        </w:rPr>
        <w:t xml:space="preserve"> is positively associated with employee performance. However, this positive impact on employee performance declines at high levels of pay disparity. In addition, pay</w:t>
      </w:r>
      <w:bookmarkStart w:id="4" w:name="_GoBack"/>
      <w:bookmarkEnd w:id="4"/>
      <w:r w:rsidRPr="004B1F65">
        <w:rPr>
          <w:rFonts w:cstheme="majorBidi"/>
          <w:szCs w:val="24"/>
        </w:rPr>
        <w:t xml:space="preserve"> inequality based on other unknown factors has a negative impact on employee performance. </w:t>
      </w:r>
    </w:p>
    <w:p w14:paraId="176A5877" w14:textId="66C97787" w:rsidR="000737DE" w:rsidRDefault="000737DE" w:rsidP="001D11DF">
      <w:pPr>
        <w:rPr>
          <w:rFonts w:cstheme="majorBidi"/>
          <w:szCs w:val="24"/>
        </w:rPr>
      </w:pPr>
    </w:p>
    <w:p w14:paraId="5E4E4742" w14:textId="5CB2DEF0" w:rsidR="00FE7754" w:rsidRDefault="00FE7754" w:rsidP="00FE7754">
      <w:pPr>
        <w:spacing w:line="360" w:lineRule="auto"/>
        <w:rPr>
          <w:rFonts w:cstheme="majorBidi"/>
          <w:szCs w:val="24"/>
        </w:rPr>
      </w:pPr>
    </w:p>
    <w:p w14:paraId="73884CD5" w14:textId="4B75D289" w:rsidR="005C1F2B" w:rsidRDefault="005C1F2B" w:rsidP="00FE7754">
      <w:pPr>
        <w:spacing w:line="360" w:lineRule="auto"/>
        <w:rPr>
          <w:rFonts w:cstheme="majorBidi"/>
          <w:szCs w:val="24"/>
        </w:rPr>
      </w:pPr>
    </w:p>
    <w:p w14:paraId="53814BCC" w14:textId="77777777" w:rsidR="00EE2833" w:rsidRPr="00447368" w:rsidRDefault="00EE2833" w:rsidP="00EE2833">
      <w:pPr>
        <w:spacing w:after="0" w:line="240" w:lineRule="auto"/>
        <w:jc w:val="center"/>
        <w:rPr>
          <w:rFonts w:ascii="Times New Roman" w:hAnsi="Times New Roman" w:cs="Times New Roman"/>
          <w:b/>
          <w:bCs/>
          <w:szCs w:val="24"/>
          <w:lang w:val="it-IT"/>
        </w:rPr>
      </w:pPr>
      <w:r w:rsidRPr="00447368">
        <w:rPr>
          <w:rFonts w:ascii="Times New Roman" w:hAnsi="Times New Roman" w:cs="Times New Roman"/>
          <w:b/>
          <w:bCs/>
          <w:szCs w:val="24"/>
          <w:lang w:val="it-IT"/>
        </w:rPr>
        <w:t>JEL Classification</w:t>
      </w:r>
    </w:p>
    <w:p w14:paraId="6556B032" w14:textId="30963712" w:rsidR="009328CC" w:rsidRDefault="00544C97" w:rsidP="00B75482">
      <w:pPr>
        <w:spacing w:after="0" w:line="240" w:lineRule="auto"/>
        <w:jc w:val="center"/>
        <w:rPr>
          <w:rFonts w:ascii="Times New Roman" w:hAnsi="Times New Roman" w:cs="Times New Roman"/>
          <w:szCs w:val="24"/>
          <w:lang w:val="it-IT"/>
        </w:rPr>
      </w:pPr>
      <w:r>
        <w:rPr>
          <w:rFonts w:ascii="Times New Roman" w:hAnsi="Times New Roman" w:cs="Times New Roman"/>
          <w:szCs w:val="24"/>
          <w:lang w:val="it-IT"/>
        </w:rPr>
        <w:t>D24, G34, J31, M12, M52</w:t>
      </w:r>
    </w:p>
    <w:p w14:paraId="5B4F9431" w14:textId="77777777" w:rsidR="009328CC" w:rsidRDefault="009328CC" w:rsidP="00224929">
      <w:pPr>
        <w:spacing w:after="0" w:line="240" w:lineRule="auto"/>
        <w:jc w:val="center"/>
        <w:rPr>
          <w:rFonts w:ascii="Times New Roman" w:hAnsi="Times New Roman" w:cs="Times New Roman"/>
          <w:szCs w:val="24"/>
          <w:lang w:val="it-IT"/>
        </w:rPr>
      </w:pPr>
    </w:p>
    <w:p w14:paraId="5C3290B4" w14:textId="77777777" w:rsidR="00EE2833" w:rsidRPr="00447368" w:rsidRDefault="00EE2833" w:rsidP="00544C97">
      <w:pPr>
        <w:spacing w:after="0" w:line="240" w:lineRule="auto"/>
        <w:ind w:firstLine="0"/>
        <w:rPr>
          <w:rFonts w:ascii="Times New Roman" w:hAnsi="Times New Roman" w:cs="Times New Roman"/>
          <w:b/>
          <w:bCs/>
          <w:szCs w:val="24"/>
          <w:lang w:val="it-IT"/>
        </w:rPr>
      </w:pPr>
    </w:p>
    <w:p w14:paraId="1AE627F4" w14:textId="77777777" w:rsidR="00EE2833" w:rsidRDefault="00EE2833" w:rsidP="00EE2833">
      <w:pPr>
        <w:spacing w:after="0" w:line="240" w:lineRule="auto"/>
        <w:jc w:val="center"/>
        <w:rPr>
          <w:rFonts w:ascii="Times New Roman" w:hAnsi="Times New Roman" w:cs="Times New Roman"/>
          <w:szCs w:val="24"/>
          <w:lang w:val="en-US"/>
        </w:rPr>
      </w:pPr>
      <w:r w:rsidRPr="00A82ADF">
        <w:rPr>
          <w:rFonts w:ascii="Times New Roman" w:hAnsi="Times New Roman" w:cs="Times New Roman"/>
          <w:b/>
          <w:bCs/>
          <w:szCs w:val="24"/>
          <w:lang w:val="en-US"/>
        </w:rPr>
        <w:t>Keywords</w:t>
      </w:r>
    </w:p>
    <w:p w14:paraId="6CF2759B" w14:textId="762371B4" w:rsidR="000104D8" w:rsidRDefault="004B1F65" w:rsidP="004B1F65">
      <w:pPr>
        <w:spacing w:after="0" w:line="240" w:lineRule="auto"/>
        <w:jc w:val="center"/>
        <w:rPr>
          <w:rFonts w:ascii="Times New Roman" w:hAnsi="Times New Roman" w:cs="Times New Roman"/>
          <w:szCs w:val="24"/>
          <w:lang w:val="en-US"/>
        </w:rPr>
      </w:pPr>
      <w:r w:rsidRPr="004B1F65">
        <w:rPr>
          <w:rFonts w:ascii="Times New Roman" w:hAnsi="Times New Roman" w:cs="Times New Roman"/>
          <w:szCs w:val="24"/>
          <w:lang w:val="en-US"/>
        </w:rPr>
        <w:t>CEO compensation</w:t>
      </w:r>
    </w:p>
    <w:p w14:paraId="7D63F1B6" w14:textId="6AF6B60F" w:rsidR="000104D8" w:rsidRDefault="004B1F65" w:rsidP="004B1F65">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pay inequality</w:t>
      </w:r>
    </w:p>
    <w:p w14:paraId="3BC6B610" w14:textId="63C20BB0" w:rsidR="000104D8" w:rsidRDefault="004B1F65" w:rsidP="004B1F65">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pay ratio</w:t>
      </w:r>
    </w:p>
    <w:p w14:paraId="46D375EC" w14:textId="3EFFC44D" w:rsidR="009328CC" w:rsidRDefault="004B1F65" w:rsidP="004B1F65">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employee performance</w:t>
      </w:r>
    </w:p>
    <w:p w14:paraId="25019395" w14:textId="43688F15" w:rsidR="004B1F65" w:rsidRDefault="004B1F65" w:rsidP="004B1F65">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productivity</w:t>
      </w:r>
    </w:p>
    <w:p w14:paraId="30F1C05D" w14:textId="77777777" w:rsidR="009328CC" w:rsidRDefault="009328CC" w:rsidP="003A7E47">
      <w:pPr>
        <w:spacing w:after="0" w:line="240" w:lineRule="auto"/>
        <w:jc w:val="center"/>
        <w:rPr>
          <w:rFonts w:ascii="Times New Roman" w:hAnsi="Times New Roman" w:cs="Times New Roman"/>
          <w:szCs w:val="24"/>
          <w:lang w:val="en-US"/>
        </w:rPr>
      </w:pPr>
    </w:p>
    <w:p w14:paraId="20FAA8C2" w14:textId="4B28CDE1" w:rsidR="000737DE" w:rsidRDefault="000737DE" w:rsidP="003A7E47">
      <w:pPr>
        <w:spacing w:after="0" w:line="240" w:lineRule="auto"/>
        <w:jc w:val="center"/>
        <w:rPr>
          <w:rFonts w:ascii="Times New Roman" w:hAnsi="Times New Roman" w:cs="Times New Roman"/>
          <w:szCs w:val="24"/>
          <w:lang w:val="en-US"/>
        </w:rPr>
      </w:pPr>
    </w:p>
    <w:p w14:paraId="771E1C9D" w14:textId="3D8C5A86" w:rsidR="00830BB9" w:rsidRDefault="00830BB9" w:rsidP="00544C97">
      <w:pPr>
        <w:spacing w:after="0" w:line="240" w:lineRule="auto"/>
        <w:ind w:firstLine="0"/>
        <w:rPr>
          <w:rFonts w:ascii="Times New Roman" w:hAnsi="Times New Roman" w:cs="Times New Roman"/>
          <w:szCs w:val="24"/>
          <w:lang w:val="en-US"/>
        </w:rPr>
      </w:pPr>
    </w:p>
    <w:p w14:paraId="4C79AB4F" w14:textId="77777777" w:rsidR="00830BB9" w:rsidRDefault="00830BB9" w:rsidP="003A7E47">
      <w:pPr>
        <w:spacing w:after="0" w:line="240" w:lineRule="auto"/>
        <w:jc w:val="center"/>
        <w:rPr>
          <w:rFonts w:ascii="Times New Roman" w:hAnsi="Times New Roman" w:cs="Times New Roman"/>
          <w:szCs w:val="24"/>
          <w:lang w:val="en-US"/>
        </w:rPr>
      </w:pPr>
    </w:p>
    <w:p w14:paraId="77C43843" w14:textId="05D634EA" w:rsidR="003A7E47" w:rsidRDefault="00830BB9" w:rsidP="003A7E47">
      <w:pPr>
        <w:spacing w:after="0" w:line="240" w:lineRule="auto"/>
        <w:jc w:val="center"/>
        <w:rPr>
          <w:rFonts w:cstheme="majorBidi"/>
          <w:b/>
          <w:bCs/>
          <w:szCs w:val="24"/>
        </w:rPr>
      </w:pPr>
      <w:r w:rsidRPr="00830BB9">
        <w:rPr>
          <w:rFonts w:cstheme="majorBidi"/>
          <w:b/>
          <w:bCs/>
          <w:szCs w:val="24"/>
        </w:rPr>
        <w:t>Acknowledgement</w:t>
      </w:r>
      <w:r w:rsidR="00C311EC">
        <w:rPr>
          <w:rFonts w:cstheme="majorBidi"/>
          <w:b/>
          <w:bCs/>
          <w:szCs w:val="24"/>
        </w:rPr>
        <w:t>s</w:t>
      </w:r>
    </w:p>
    <w:p w14:paraId="55F52F25" w14:textId="1E8F31A4" w:rsidR="00FE7754" w:rsidRDefault="00830BB9" w:rsidP="00845702">
      <w:pPr>
        <w:spacing w:after="0" w:line="240" w:lineRule="auto"/>
        <w:ind w:firstLine="0"/>
        <w:rPr>
          <w:rFonts w:cstheme="majorBidi"/>
          <w:szCs w:val="24"/>
        </w:rPr>
      </w:pPr>
      <w:r w:rsidRPr="00071517">
        <w:rPr>
          <w:rFonts w:cstheme="majorBidi"/>
          <w:szCs w:val="24"/>
        </w:rPr>
        <w:t xml:space="preserve">We would like to thank </w:t>
      </w:r>
      <w:r w:rsidR="008E68A4" w:rsidRPr="00071517">
        <w:rPr>
          <w:rFonts w:cstheme="majorBidi"/>
          <w:szCs w:val="24"/>
        </w:rPr>
        <w:t xml:space="preserve">the </w:t>
      </w:r>
      <w:r w:rsidR="00071517" w:rsidRPr="00071517">
        <w:rPr>
          <w:rFonts w:cstheme="majorBidi"/>
          <w:szCs w:val="24"/>
        </w:rPr>
        <w:t xml:space="preserve">Australian Bureau of Statistics </w:t>
      </w:r>
      <w:r w:rsidR="00C745F5" w:rsidRPr="00071517">
        <w:rPr>
          <w:rFonts w:cstheme="majorBidi"/>
          <w:szCs w:val="24"/>
        </w:rPr>
        <w:t>(</w:t>
      </w:r>
      <w:r w:rsidR="00071517" w:rsidRPr="00071517">
        <w:rPr>
          <w:rFonts w:cstheme="majorBidi"/>
          <w:szCs w:val="24"/>
        </w:rPr>
        <w:t>ABS</w:t>
      </w:r>
      <w:r w:rsidR="00C745F5" w:rsidRPr="00071517">
        <w:rPr>
          <w:rFonts w:cstheme="majorBidi"/>
          <w:szCs w:val="24"/>
        </w:rPr>
        <w:t>)</w:t>
      </w:r>
      <w:r w:rsidR="00FF72B7" w:rsidRPr="00071517">
        <w:rPr>
          <w:rFonts w:cstheme="majorBidi"/>
          <w:szCs w:val="24"/>
        </w:rPr>
        <w:t xml:space="preserve">, </w:t>
      </w:r>
      <w:r w:rsidR="00071517" w:rsidRPr="00071517">
        <w:t>Thomson Reuters</w:t>
      </w:r>
      <w:r w:rsidR="008E68A4" w:rsidRPr="00071517">
        <w:rPr>
          <w:rFonts w:cstheme="majorBidi"/>
          <w:szCs w:val="24"/>
        </w:rPr>
        <w:t>,</w:t>
      </w:r>
      <w:r w:rsidR="00071517" w:rsidRPr="00071517">
        <w:rPr>
          <w:rFonts w:cstheme="majorBidi"/>
          <w:szCs w:val="24"/>
        </w:rPr>
        <w:t xml:space="preserve"> and</w:t>
      </w:r>
      <w:r w:rsidR="009D2930">
        <w:rPr>
          <w:rFonts w:cstheme="majorBidi"/>
          <w:szCs w:val="24"/>
        </w:rPr>
        <w:t xml:space="preserve"> </w:t>
      </w:r>
      <w:proofErr w:type="spellStart"/>
      <w:r w:rsidR="00071517" w:rsidRPr="00071517">
        <w:rPr>
          <w:rFonts w:cstheme="majorBidi"/>
          <w:szCs w:val="24"/>
        </w:rPr>
        <w:t>MorningStar</w:t>
      </w:r>
      <w:proofErr w:type="spellEnd"/>
      <w:r w:rsidR="00071517" w:rsidRPr="00071517">
        <w:rPr>
          <w:rFonts w:cstheme="majorBidi"/>
          <w:szCs w:val="24"/>
        </w:rPr>
        <w:t xml:space="preserve"> </w:t>
      </w:r>
      <w:r w:rsidR="00BA6FD4" w:rsidRPr="00071517">
        <w:rPr>
          <w:rFonts w:cstheme="majorBidi"/>
          <w:szCs w:val="24"/>
        </w:rPr>
        <w:t>for providing</w:t>
      </w:r>
      <w:r w:rsidR="00FF72B7" w:rsidRPr="00071517">
        <w:rPr>
          <w:rFonts w:cstheme="majorBidi"/>
          <w:szCs w:val="24"/>
        </w:rPr>
        <w:t xml:space="preserve"> access to the data required for this study. </w:t>
      </w:r>
      <w:r w:rsidR="00071517" w:rsidRPr="00071517">
        <w:rPr>
          <w:rFonts w:cstheme="majorBidi"/>
          <w:szCs w:val="24"/>
        </w:rPr>
        <w:t>In addition, we</w:t>
      </w:r>
      <w:r w:rsidR="009D2930">
        <w:rPr>
          <w:rFonts w:cstheme="majorBidi"/>
          <w:szCs w:val="24"/>
        </w:rPr>
        <w:t xml:space="preserve"> </w:t>
      </w:r>
      <w:r w:rsidR="00071517" w:rsidRPr="00071517">
        <w:rPr>
          <w:rFonts w:cstheme="majorBidi"/>
          <w:szCs w:val="24"/>
        </w:rPr>
        <w:t>acknowledge the University of Waikato for providing funds for the study. We also appreciate the constructive suggestions from the reviewers.</w:t>
      </w:r>
    </w:p>
    <w:p w14:paraId="14D0D8D0" w14:textId="47B0763B" w:rsidR="00FE7754" w:rsidRDefault="00FE7754" w:rsidP="006C41AE">
      <w:pPr>
        <w:spacing w:line="360" w:lineRule="auto"/>
        <w:ind w:firstLine="0"/>
        <w:rPr>
          <w:rFonts w:cstheme="majorBidi"/>
          <w:szCs w:val="24"/>
        </w:rPr>
      </w:pPr>
    </w:p>
    <w:p w14:paraId="625FEF7F" w14:textId="1904B93B" w:rsidR="000026A6" w:rsidRDefault="00953145" w:rsidP="00853595">
      <w:pPr>
        <w:pStyle w:val="Heading1"/>
        <w:numPr>
          <w:ilvl w:val="0"/>
          <w:numId w:val="1"/>
        </w:numPr>
      </w:pPr>
      <w:r w:rsidRPr="002D7619">
        <w:lastRenderedPageBreak/>
        <w:t>Introduction</w:t>
      </w:r>
      <w:bookmarkEnd w:id="2"/>
      <w:bookmarkEnd w:id="3"/>
    </w:p>
    <w:p w14:paraId="3B26554F" w14:textId="73B9814A" w:rsidR="000176E7" w:rsidRPr="000176E7" w:rsidRDefault="00EB6D88" w:rsidP="000176E7">
      <w:pPr>
        <w:ind w:firstLine="0"/>
        <w:rPr>
          <w:rFonts w:cstheme="majorBidi"/>
        </w:rPr>
      </w:pPr>
      <w:r w:rsidRPr="00EB6D88">
        <w:rPr>
          <w:rFonts w:cstheme="majorBidi"/>
        </w:rPr>
        <w:t>The pay gap between executives and employees has become an indicator of pay inequality between top and bottom income levels</w:t>
      </w:r>
      <w:r w:rsidRPr="00240C0C">
        <w:rPr>
          <w:rStyle w:val="FootnoteReference"/>
          <w:rFonts w:cstheme="majorBidi"/>
          <w:szCs w:val="24"/>
        </w:rPr>
        <w:footnoteReference w:id="1"/>
      </w:r>
      <w:r w:rsidRPr="00EB6D88">
        <w:rPr>
          <w:rFonts w:cstheme="majorBidi"/>
        </w:rPr>
        <w:t xml:space="preserve"> and has attracted considerable attention from news media, regulators, and researchers. International news and business articles recommend that regulators reduce the</w:t>
      </w:r>
      <w:r w:rsidRPr="00EB6D88">
        <w:rPr>
          <w:rFonts w:cstheme="majorBidi"/>
          <w:i/>
          <w:iCs/>
        </w:rPr>
        <w:t xml:space="preserve"> </w:t>
      </w:r>
      <w:r w:rsidRPr="00EB6D88">
        <w:rPr>
          <w:rFonts w:cstheme="majorBidi"/>
        </w:rPr>
        <w:t>pay inequality driven by executives’ pay growth. Hence, the issue of pay inequality has led to mandatory financial disclosure from regulators. US and UK publicly listed firms have been obliged to disclose the ratio of their CEO’s compensation to median employee pay from 2017 and 2019, respectively. Recently</w:t>
      </w:r>
      <w:r w:rsidRPr="00EB6D88">
        <w:rPr>
          <w:rFonts w:cstheme="majorBidi"/>
          <w:szCs w:val="24"/>
        </w:rPr>
        <w:t xml:space="preserve"> released reports recommend similar disclosures for Australian public firms, although </w:t>
      </w:r>
      <w:r w:rsidRPr="00EB6D88">
        <w:rPr>
          <w:rFonts w:cstheme="majorBidi"/>
        </w:rPr>
        <w:t>pay inequality</w:t>
      </w:r>
      <w:r w:rsidRPr="00EB6D88">
        <w:rPr>
          <w:szCs w:val="24"/>
        </w:rPr>
        <w:t xml:space="preserve"> in Australia is still below that of countries such as the US and the UK. In the top 100 publicly Australian listed firms (ASX100), the gap between average CEO compensation and average weekly earnings rose </w:t>
      </w:r>
      <w:r w:rsidRPr="00EB6D88">
        <w:rPr>
          <w:rFonts w:cstheme="majorBidi"/>
          <w:szCs w:val="24"/>
        </w:rPr>
        <w:t xml:space="preserve">from a multiple of 15.3 in 1993 to 51.4 </w:t>
      </w:r>
      <w:r w:rsidRPr="00EB6D88">
        <w:rPr>
          <w:szCs w:val="24"/>
        </w:rPr>
        <w:t>in 2008,</w:t>
      </w:r>
      <w:r w:rsidRPr="00EB6D88">
        <w:rPr>
          <w:rFonts w:cstheme="majorBidi"/>
          <w:szCs w:val="24"/>
        </w:rPr>
        <w:t xml:space="preserve"> driven by</w:t>
      </w:r>
      <w:r w:rsidRPr="00EB6D88">
        <w:rPr>
          <w:szCs w:val="24"/>
        </w:rPr>
        <w:t xml:space="preserve"> the real growth in CEO compensation over this period </w:t>
      </w:r>
      <w:r w:rsidRPr="00EB6D88">
        <w:rPr>
          <w:szCs w:val="24"/>
        </w:rPr>
        <w:fldChar w:fldCharType="begin" w:fldLock="1"/>
      </w:r>
      <w:r w:rsidR="002E5440">
        <w:rPr>
          <w:szCs w:val="24"/>
        </w:rPr>
        <w:instrText>ADDIN CSL_CITATION {"citationItems":[{"id":"ITEM-1","itemData":{"ISBN":"9781740373005","author":[{"dropping-particle":"","family":"Productivity Commission","given":"","non-dropping-particle":"","parse-names":false,"suffix":""}],"id":"ITEM-1","issue":"49","issued":{"date-parts":[["2009"]]},"number-of-pages":"1-520","title":"Executive Remuneration in Australia: Productivity Commission Inquiry Report","type":"book"},"uris":["http://www.mendeley.com/documents/?uuid=e4326ff9-446c-47d0-952b-36ba100d1252"]},{"id":"ITEM-2","itemData":{"ISSN":"1836-9014","author":[{"dropping-particle":"","family":"Baker","given":"David","non-dropping-particle":"","parse-names":false,"suffix":""},{"dropping-particle":"","family":"Denniss","given":"Richard","non-dropping-particle":"","parse-names":false,"suffix":""}],"id":"ITEM-2","issue":"9","issued":{"date-parts":[["2010"]]},"page":"1-23","title":"Reining it in Executive pay in Australia","type":"article-journal"},"uris":["http://www.mendeley.com/documents/?uuid=5c2a1cc0-07a9-491b-9996-edfabf99df6b"]}],"mendeley":{"formattedCitation":"(Baker &amp; Denniss, 2010; Productivity Commission, 2009)","plainTextFormattedCitation":"(Baker &amp; Denniss, 2010; Productivity Commission, 2009)","previouslyFormattedCitation":"(Baker &amp; Denniss, 2010; Productivity Commission, 2009)"},"properties":{"noteIndex":0},"schema":"https://github.com/citation-style-language/schema/raw/master/csl-citation.json"}</w:instrText>
      </w:r>
      <w:r w:rsidRPr="00EB6D88">
        <w:rPr>
          <w:szCs w:val="24"/>
        </w:rPr>
        <w:fldChar w:fldCharType="separate"/>
      </w:r>
      <w:r w:rsidR="009D2930" w:rsidRPr="009D2930">
        <w:rPr>
          <w:noProof/>
          <w:szCs w:val="24"/>
        </w:rPr>
        <w:t>(Baker &amp; Denniss, 2010; Productivity Commission, 2009)</w:t>
      </w:r>
      <w:r w:rsidRPr="00EB6D88">
        <w:rPr>
          <w:szCs w:val="24"/>
        </w:rPr>
        <w:fldChar w:fldCharType="end"/>
      </w:r>
      <w:r w:rsidRPr="00EB6D88">
        <w:rPr>
          <w:szCs w:val="24"/>
        </w:rPr>
        <w:t>. To improve the accountability of executive pay, the Australian Government introduced the Remuneration Amendment Act, named the “two-strike rule”, effective from Jul. 1, 2011.</w:t>
      </w:r>
      <w:r w:rsidRPr="004D72B3">
        <w:rPr>
          <w:rStyle w:val="FootnoteReference"/>
          <w:rFonts w:eastAsia="AdvTimes" w:cstheme="majorBidi"/>
          <w:szCs w:val="24"/>
        </w:rPr>
        <w:footnoteReference w:id="2"/>
      </w:r>
      <w:r w:rsidRPr="00EB6D88">
        <w:rPr>
          <w:szCs w:val="24"/>
        </w:rPr>
        <w:t xml:space="preserve"> Following the introduction of this rule, </w:t>
      </w:r>
      <w:r w:rsidRPr="00EB6D88">
        <w:rPr>
          <w:rFonts w:cstheme="majorBidi"/>
        </w:rPr>
        <w:t xml:space="preserve">pay inequality </w:t>
      </w:r>
      <w:r w:rsidRPr="00EB6D88">
        <w:rPr>
          <w:szCs w:val="24"/>
        </w:rPr>
        <w:t>fluctuated between 69.1 and 59.7 between 2012 and 2019.</w:t>
      </w:r>
      <w:r w:rsidRPr="00F669B1">
        <w:rPr>
          <w:szCs w:val="24"/>
          <w:vertAlign w:val="superscript"/>
        </w:rPr>
        <w:footnoteReference w:id="3"/>
      </w:r>
      <w:r w:rsidRPr="00EB6D88">
        <w:rPr>
          <w:szCs w:val="24"/>
        </w:rPr>
        <w:t xml:space="preserve"> While the ‘two strikes’ rule has moderated CEO pay rises</w:t>
      </w:r>
      <w:r w:rsidRPr="00C92A92">
        <w:rPr>
          <w:rStyle w:val="FootnoteReference"/>
          <w:szCs w:val="24"/>
        </w:rPr>
        <w:footnoteReference w:id="4"/>
      </w:r>
      <w:r w:rsidRPr="00EB6D88">
        <w:rPr>
          <w:szCs w:val="24"/>
        </w:rPr>
        <w:t xml:space="preserve">, further policy interventions, such as </w:t>
      </w:r>
      <w:r w:rsidRPr="00C92A92">
        <w:t xml:space="preserve">CEO-employee </w:t>
      </w:r>
      <w:r w:rsidRPr="00EB6D88">
        <w:rPr>
          <w:rFonts w:cstheme="majorBidi"/>
        </w:rPr>
        <w:t xml:space="preserve">pay inequality </w:t>
      </w:r>
      <w:r w:rsidRPr="00EB6D88">
        <w:rPr>
          <w:szCs w:val="24"/>
        </w:rPr>
        <w:t>disclosure, could be effective.</w:t>
      </w:r>
    </w:p>
    <w:p w14:paraId="3365D63E" w14:textId="680FA47E" w:rsidR="00CB6A83" w:rsidRDefault="00CB6A83" w:rsidP="00CB6A83">
      <w:r>
        <w:t>In addition to the news media and regulators, researchers have recently joined the debate by positing that pay inequality, as the ratio of CEO compensation to average employee pay, impacts employee and firm performance (</w:t>
      </w:r>
      <w:proofErr w:type="spellStart"/>
      <w:r>
        <w:t>Faleye</w:t>
      </w:r>
      <w:proofErr w:type="spellEnd"/>
      <w:r>
        <w:t xml:space="preserve">, Reis, and </w:t>
      </w:r>
      <w:proofErr w:type="spellStart"/>
      <w:r>
        <w:t>Venkateswaran</w:t>
      </w:r>
      <w:proofErr w:type="spellEnd"/>
      <w:r>
        <w:t xml:space="preserve"> 2013; Rouen 2020). However, its effect remains ambiguous (Conroy et al. 2014). Some scholars find that pay inequality is positively associated with employee and firm performance (Banker, Bu, and Mehta 2016; </w:t>
      </w:r>
      <w:proofErr w:type="spellStart"/>
      <w:r>
        <w:t>Faleye</w:t>
      </w:r>
      <w:proofErr w:type="spellEnd"/>
      <w:r>
        <w:t xml:space="preserve"> et al. 2013; Mueller, Ouimet, and </w:t>
      </w:r>
      <w:proofErr w:type="spellStart"/>
      <w:r>
        <w:t>Simintzi</w:t>
      </w:r>
      <w:proofErr w:type="spellEnd"/>
      <w:r>
        <w:t xml:space="preserve"> 2017). This result is interpreted as consistent with Tournament Theory (Lazear &amp; Rosen, 1981) and Expectancy Theory (Lawler 1981), which assert that pay inequality motivates employees to work harder to gain higher compensation. However, other studies show a negative relationship between pay inequality and performance (</w:t>
      </w:r>
      <w:proofErr w:type="spellStart"/>
      <w:r>
        <w:t>Bebchuk</w:t>
      </w:r>
      <w:proofErr w:type="spellEnd"/>
      <w:r>
        <w:t xml:space="preserve">, </w:t>
      </w:r>
      <w:proofErr w:type="spellStart"/>
      <w:r>
        <w:t>Cremers</w:t>
      </w:r>
      <w:proofErr w:type="spellEnd"/>
      <w:r>
        <w:t>, and Peyer 2011; Cowherd and Levine 1992). These results are consistent with Equity Theory</w:t>
      </w:r>
      <w:r w:rsidR="009D2930">
        <w:t xml:space="preserve"> </w:t>
      </w:r>
      <w:r>
        <w:t xml:space="preserve">(Adams 1965) and Relative Deprivation Theory (Crosby 1984; Martin and </w:t>
      </w:r>
      <w:proofErr w:type="spellStart"/>
      <w:r>
        <w:t>Murnighan</w:t>
      </w:r>
      <w:proofErr w:type="spellEnd"/>
      <w:r>
        <w:t xml:space="preserve"> </w:t>
      </w:r>
      <w:r>
        <w:lastRenderedPageBreak/>
        <w:t xml:space="preserve">1981), arguing that employees compare their outcomes with others and feel a sense of inequity and deprivation if their outcome falls short of what they deserve. </w:t>
      </w:r>
    </w:p>
    <w:p w14:paraId="64D8CAE8" w14:textId="4BF65F74" w:rsidR="00CB6A83" w:rsidRDefault="00CB6A83" w:rsidP="00CB6A83">
      <w:r>
        <w:t xml:space="preserve">Scholars (Conroy et al. 2014; Rouen 2020; Trevor, Reilly, and Gerhart 2012) argue that contradictory empirical findings in previous studies can be attributed to undermining the determinants of pay inequality. In other words, they examine the impact of observed pay inequality without considering the impact of CEO and employee inputs (e.g., effort, responsibility, and skill), firm characteristics, and </w:t>
      </w:r>
      <w:r w:rsidR="00287231">
        <w:t>labour market</w:t>
      </w:r>
      <w:r>
        <w:t xml:space="preserve"> on pay inequality. By considering these factors, both perspectives seem compatible with each other (Rouen 2020). Pay inequality related to these factors may motivate employees to perform better, consistent with economic perspectives. In contrast, pay inequality attributed to unknown factors may lead to detrimental activities such as quitting the company or shirking, consistent with the sociological perspective. Two seminal studies, by Trevor et al. (2012) and Rouen (2020), focus on this argument. In the sports </w:t>
      </w:r>
      <w:r w:rsidR="00E82E58">
        <w:t>setting, Trevor</w:t>
      </w:r>
      <w:r>
        <w:t xml:space="preserve"> et al. (2012</w:t>
      </w:r>
      <w:r w:rsidR="00E82E58">
        <w:t>) assert</w:t>
      </w:r>
      <w:r>
        <w:t xml:space="preserve"> that horizontal pay disparity explained (unexplained) by players’ performance has a positive (negligible or slightly negative) impact on team performance. Rouen (2020) extends the Trevor et al. (2012) approach to pay inequality in organisational settings. He concludes that pay inequality created by explained (unexplained) compensation is positively (negatively) related to future firm performance. </w:t>
      </w:r>
    </w:p>
    <w:p w14:paraId="6BED23EF" w14:textId="596FACC8" w:rsidR="00CB6A83" w:rsidRDefault="00CB6A83" w:rsidP="00CB6A83">
      <w:r>
        <w:t>Existing research offers little clear guidance about the consequences of pay inequality on employee performance. However, employee performance provides significant insights into evaluating how pay inequality affects employees’ incentives and behaviour (</w:t>
      </w:r>
      <w:proofErr w:type="spellStart"/>
      <w:r>
        <w:t>Faleye</w:t>
      </w:r>
      <w:proofErr w:type="spellEnd"/>
      <w:r>
        <w:t xml:space="preserve"> et al. 2013). Furthermore, although Tournament Theory is conceptualised as a contest with an optimal prize that can maximise an employee’s output (Connelly et al. 2014; Lazear and Rosen 1981), examination of the threshold of pay inequality is almost absent from the literature. This paper aims to extend the integration of the contradictory perspective approach into the relationship between pay inequality and employee performance by answering three questions. First, what is the overall impact of pay inequality within the firm on employee performance? Second, can distinguishing between pay inequality explained by individuals’ skills, firm characteristics, and </w:t>
      </w:r>
      <w:r w:rsidR="00287231">
        <w:t>labour market</w:t>
      </w:r>
      <w:r>
        <w:t xml:space="preserve"> (pay equity) and unexplained pay inequality (pay inequity) reconcile the sociological and economic perspectives? If yes, what impacts has each of them had on employee performance? Finally, is there an optimum point for pay equity that maximises employee performance? </w:t>
      </w:r>
    </w:p>
    <w:p w14:paraId="0388791F" w14:textId="77777777" w:rsidR="00CB6A83" w:rsidRDefault="00CB6A83" w:rsidP="00CB6A83">
      <w:r>
        <w:t xml:space="preserve">To conduct our investigation, we analyse a sample of all Australian listed companies that meet the data availability restrictions from 2004 to 2019. Pay inequality is measured as the natural log of the ratio of total CEO compensation to average employee pay. Our empirical analysis is divided into two parts. In the first part, the determinants of pay inequality are examined. Pay equity is defined as predicted pay inequality by our model and pay inequity as the model’s residual. In the second part, we investigate the impact of pay inequality on employee performance. Our results show that employee performance is negatively associated with pay inequality. Then, we conduct further analysis based on the decomposition of pay inequality into pay equity and pay inequity. </w:t>
      </w:r>
      <w:r>
        <w:lastRenderedPageBreak/>
        <w:t xml:space="preserve">We find that pay inequity has a strongly negative impact on employee performance. In addition, there is an inverted U-shaped relationship between pay equity and employee performance. Our results suggest that both economic and sociological perspectives can be supported by considering the role of inputs in our analysis. </w:t>
      </w:r>
    </w:p>
    <w:p w14:paraId="259B3FF4" w14:textId="77777777" w:rsidR="00CB6A83" w:rsidRDefault="00CB6A83" w:rsidP="00CB6A83">
      <w:r>
        <w:t>Our study contributes to the academic literature on pay inequality and has implications for financial regulators and managers.  First, we extend the existing approach (see Trevor et al. 2012) to the relationship between vertical pay disparity and employee performance in an organisational setting. Second, we extend the empirical studies on Tournament Theory in organisational settings by illustrating that neither very high nor very low pay equity can motivate employees to increase their performance, and that there is a threshold. Third, although pay inequality in Australia has gained some media attention recently, there is no evidence that pay inequality impacts employee performance in Australia, according to the existing literature. Finally, our findings can help managers design a compensation system. They also suggest to regulators that CEO pay ratio disclosure per se without providing an equity context may lead to misinterpretation.</w:t>
      </w:r>
    </w:p>
    <w:p w14:paraId="6542BB09" w14:textId="4FF13521" w:rsidR="00760449" w:rsidRPr="00760449" w:rsidRDefault="00CB6A83" w:rsidP="00CB6A83">
      <w:r>
        <w:t>The remainder of this paper is structured as follows. The following section provides the literature review and develops the key hypothesises. The methodology is discussed in section 3, followed by our sample selection and empirical analysis in sections 4 and 5, respectively. The last section provides conclusions.</w:t>
      </w:r>
    </w:p>
    <w:p w14:paraId="6C4F71EC" w14:textId="79A3CC4E" w:rsidR="000026A6" w:rsidRDefault="00953145" w:rsidP="00853595">
      <w:pPr>
        <w:pStyle w:val="Heading1"/>
        <w:numPr>
          <w:ilvl w:val="0"/>
          <w:numId w:val="1"/>
        </w:numPr>
      </w:pPr>
      <w:r w:rsidRPr="008D5F63">
        <w:t>Literature review</w:t>
      </w:r>
      <w:r w:rsidR="002D7619" w:rsidRPr="008D5F63">
        <w:t xml:space="preserve"> and hypothesis development</w:t>
      </w:r>
    </w:p>
    <w:p w14:paraId="0D781210" w14:textId="77777777" w:rsidR="00E53707" w:rsidRDefault="00E53707" w:rsidP="00E53707">
      <w:pPr>
        <w:ind w:firstLine="0"/>
      </w:pPr>
      <w:r>
        <w:t xml:space="preserve">Individuals in an organisation are paid differently, and these differences influence their attitudes and performance. These pay differences are categorised into three types: vertical pay disparity, defined as pay differences across hierarchy levels in a corporation; horizontal pay disparity, defined as pay differences among people holding the same job; and overall pay disparity, which combines both vertical and horizontal pay disparity (Gupta, Conroy, and </w:t>
      </w:r>
      <w:proofErr w:type="spellStart"/>
      <w:r>
        <w:t>Delery</w:t>
      </w:r>
      <w:proofErr w:type="spellEnd"/>
      <w:r>
        <w:t xml:space="preserve"> 2012). Wade, O’Reilly, and Pollock (2006) find evidence that CEOs’ pay is a salient reference for employees in determining the fairness of their pay. Thus, the pay disparity between the CEO and the average employee impacts employees’ reactions to their compensation. This study concentrates on pay inequality as a type of vertical pay disparity. However, the literature review includes broader vertical pay disparity (between different hierarchy organisation levels) and critical horizontal pay disparity studies for more elaboration.</w:t>
      </w:r>
    </w:p>
    <w:p w14:paraId="5259B07A" w14:textId="5F3B2CA9" w:rsidR="00E53707" w:rsidRDefault="00E53707" w:rsidP="00E53707">
      <w:pPr>
        <w:pStyle w:val="Heading2"/>
      </w:pPr>
      <w:r>
        <w:t>2.1. Theoretical background</w:t>
      </w:r>
    </w:p>
    <w:p w14:paraId="55D408CB" w14:textId="77777777" w:rsidR="00E53707" w:rsidRDefault="00E53707" w:rsidP="00E53707">
      <w:pPr>
        <w:ind w:firstLine="0"/>
      </w:pPr>
      <w:r>
        <w:t>The impact of pay disparity in an organisation has been conceptualised from both sociological and economic perspectives (Conroy et al. 2014). The sociological standpoint, mainly Equity Theory and Relative Deprivation Theory, predicts that pay disparity negatively impacts employee performance (</w:t>
      </w:r>
      <w:proofErr w:type="spellStart"/>
      <w:r>
        <w:t>Faleye</w:t>
      </w:r>
      <w:proofErr w:type="spellEnd"/>
      <w:r>
        <w:t xml:space="preserve"> et al. 2013). Equity Theory states that individuals judge the fairness of their exchange relationships with their organisation by comparing the ratio of their inputs (e.g., ability, intelligence, education, effort) into the exchange to their outcome (e.g., compensation, security, </w:t>
      </w:r>
      <w:r>
        <w:lastRenderedPageBreak/>
        <w:t xml:space="preserve">promotion) with others’ ratios (Adams 1965; Homans 1974; </w:t>
      </w:r>
      <w:proofErr w:type="spellStart"/>
      <w:r>
        <w:t>Walster</w:t>
      </w:r>
      <w:proofErr w:type="spellEnd"/>
      <w:r>
        <w:t xml:space="preserve">, </w:t>
      </w:r>
      <w:proofErr w:type="spellStart"/>
      <w:r>
        <w:t>Berscheid</w:t>
      </w:r>
      <w:proofErr w:type="spellEnd"/>
      <w:r>
        <w:t xml:space="preserve">, and </w:t>
      </w:r>
      <w:proofErr w:type="spellStart"/>
      <w:r>
        <w:t>Walster</w:t>
      </w:r>
      <w:proofErr w:type="spellEnd"/>
      <w:r>
        <w:t xml:space="preserve"> 1973). Inequity exists when individuals’ perceived ratios of inputs to outcomes are inconsistent with those of others. Therefore, individuals attempt to reduce inequity by changing their perceptions of their own or their reference group’s inputs and outcomes, altering their actual inputs or outcomes, or leaving their companies (Cowherd and Levine 1992). Similarly, the Relative Deprivation Theory argues that people feel relatively deprived when they have received less than what they deserve relative to their references. Their experience of deprivation leads to lower satisfaction and quitting the job (Levine 1991). </w:t>
      </w:r>
    </w:p>
    <w:p w14:paraId="426230BB" w14:textId="77777777" w:rsidR="00E53707" w:rsidRDefault="00E53707" w:rsidP="00E53707">
      <w:r>
        <w:t>On the other hand, the economic perspective argues that pay disparity positively impacts employees’ motivation and leads to better performance (Conroy et al. 2014). Tournament Theory and Expectancy Theory are two significant theories in this perspective that explain how employees can be induced to perform better by larger pay disparity. Tournament Theory assumes that greater pay disparity between hierarchy levels in a corporation puts employees in competition for the prize of ultimate pay at the CEO level. Consequently, lower-level employees are motivated by the higher pay at higher organisation levels and exert increased effort to climb the corporate ladder. Similarly, the Expectancy Theory argues that employee’s motivation stems from the interplay among three factors, and all three must be strong. Employees must want an outcome such as pay, believe that increased effort will lead to the required performance level, and believe that performance will lead to the desired outcome. Then, they will be motivated to perform.</w:t>
      </w:r>
    </w:p>
    <w:p w14:paraId="4BF45FBB" w14:textId="77777777" w:rsidR="00E53707" w:rsidRDefault="00E53707" w:rsidP="00E53707">
      <w:r>
        <w:t xml:space="preserve">Both perspectives are applicable in vertical pay disparity. Top executives are likely to serve as a vital referent for lower-level employees in determining whether their pay is fair, because executives’ actions are salient to organisational participants (Shin et al. 2015; Wade, O’Reilly, and Pollock 2006). Hence, the sociological perspective is critical in studying vertical pay disparity (Cowherd and Levine 1992; Gupta et al. 2012). Concerning the economic perspective, Tournament Theory is mainly designed for vertical pay disparity between hierarchy organisation levels (Gupta et al. 2012). The expectancy theory is primarily applied in horizontal pay disparity, but it can be extended to vertical pay disparity (Conroy et al. 2014). </w:t>
      </w:r>
    </w:p>
    <w:p w14:paraId="7909750D" w14:textId="118150CF" w:rsidR="00E53707" w:rsidRDefault="00E53707" w:rsidP="00E53707">
      <w:pPr>
        <w:pStyle w:val="Heading2"/>
      </w:pPr>
      <w:r>
        <w:t>2.2. Empirical background</w:t>
      </w:r>
    </w:p>
    <w:p w14:paraId="7ADC780B" w14:textId="77777777" w:rsidR="00E53707" w:rsidRDefault="00E53707" w:rsidP="00E53707">
      <w:pPr>
        <w:ind w:firstLine="0"/>
      </w:pPr>
      <w:r>
        <w:t>Some studies support sociological perspectives in examining the impact of pay disparity to argue that large pay disparity leads to perceptions of inequity and lower employee morale (</w:t>
      </w:r>
      <w:proofErr w:type="spellStart"/>
      <w:r>
        <w:t>Akerlof</w:t>
      </w:r>
      <w:proofErr w:type="spellEnd"/>
      <w:r>
        <w:t xml:space="preserve"> and Yellen 1990; Chen and Sandino 2012; </w:t>
      </w:r>
      <w:proofErr w:type="spellStart"/>
      <w:r>
        <w:t>Corneliben</w:t>
      </w:r>
      <w:proofErr w:type="spellEnd"/>
      <w:r>
        <w:t>, Himmler, and Koenig 2011). For example, some studies illustrate that pay disparity among employees increase absenteeism (</w:t>
      </w:r>
      <w:proofErr w:type="spellStart"/>
      <w:r>
        <w:t>Mahy</w:t>
      </w:r>
      <w:proofErr w:type="spellEnd"/>
      <w:r>
        <w:t xml:space="preserve">, </w:t>
      </w:r>
      <w:proofErr w:type="spellStart"/>
      <w:r>
        <w:t>Rycx</w:t>
      </w:r>
      <w:proofErr w:type="spellEnd"/>
      <w:r>
        <w:t xml:space="preserve">, and </w:t>
      </w:r>
      <w:proofErr w:type="spellStart"/>
      <w:r>
        <w:t>Volral</w:t>
      </w:r>
      <w:proofErr w:type="spellEnd"/>
      <w:r>
        <w:t xml:space="preserve"> 2016) and is associated with higher turnover among lower-paid staff (Bloom and Michel 2002; Jia et al. 2014; Messersmith et al. 2011; Shaw and Gupta 2007; Wade et al. 2006). It has been shown that vertical pay disparity is detrimental to firm performance (</w:t>
      </w:r>
      <w:proofErr w:type="spellStart"/>
      <w:r>
        <w:t>Bebchuk</w:t>
      </w:r>
      <w:proofErr w:type="spellEnd"/>
      <w:r>
        <w:t xml:space="preserve"> et al. 2011; Chen, Huang, and Wei 2013; Cowherd and Levine 1992). In contrast, other studies uncovered evidence favouring the economic perspective that large pay disparity between hierarchy levels in an organisation provides incentives for lower levels to increase effort and performance </w:t>
      </w:r>
      <w:r>
        <w:lastRenderedPageBreak/>
        <w:t>(</w:t>
      </w:r>
      <w:proofErr w:type="spellStart"/>
      <w:r>
        <w:t>DeVaro</w:t>
      </w:r>
      <w:proofErr w:type="spellEnd"/>
      <w:r>
        <w:t xml:space="preserve"> 2006; Ehrenberg and </w:t>
      </w:r>
      <w:proofErr w:type="spellStart"/>
      <w:r>
        <w:t>Bognanno</w:t>
      </w:r>
      <w:proofErr w:type="spellEnd"/>
      <w:r>
        <w:t xml:space="preserve"> 1990; O’Reilly et al. 1993), and eventually benefits firm performance (Banker et al. 2016; Heyman 2005; Kale, Reis, and </w:t>
      </w:r>
      <w:proofErr w:type="spellStart"/>
      <w:r>
        <w:t>Venkateswaran</w:t>
      </w:r>
      <w:proofErr w:type="spellEnd"/>
      <w:r>
        <w:t xml:space="preserve"> 2009; </w:t>
      </w:r>
      <w:proofErr w:type="spellStart"/>
      <w:r>
        <w:t>Lallemand</w:t>
      </w:r>
      <w:proofErr w:type="spellEnd"/>
      <w:r>
        <w:t xml:space="preserve">, </w:t>
      </w:r>
      <w:proofErr w:type="spellStart"/>
      <w:r>
        <w:t>Plasman</w:t>
      </w:r>
      <w:proofErr w:type="spellEnd"/>
      <w:r>
        <w:t xml:space="preserve">, and </w:t>
      </w:r>
      <w:proofErr w:type="spellStart"/>
      <w:r>
        <w:t>Rycx</w:t>
      </w:r>
      <w:proofErr w:type="spellEnd"/>
      <w:r>
        <w:t xml:space="preserve"> 2004; Lee, Lev, and Yeo 2008; Mueller et al. 2017).</w:t>
      </w:r>
    </w:p>
    <w:p w14:paraId="76F635CE" w14:textId="77777777" w:rsidR="00E53707" w:rsidRDefault="00E53707" w:rsidP="00E53707">
      <w:r>
        <w:t xml:space="preserve">Although most empirical studies have focused on disparity among executives (or supervisors and their direct reports), recent studies examining the pay disparity between the CEO and the employee have yielded contradictory results (Rouen 2020). According to Kulik and Ambrose (1992), regardless of the reference group (upper level or same level), individuals feel inequity if they perceive that the ratio of their inputs to outcomes is unequal to their referents. In addition, employees are likely to use CEO pay as a reference in determining the fairness of their compensation, since CEO actions are salient to organisation participants and detailed information on CEOs’ pay is accessible from public sources (Wade et al. 2006). Hence, high pay inequality between CEO and employee can lead to a feeling of inequity. High pay inequality may create negative emotions among employees, leading to job dissatisfaction, lower employee productivity (Pfeffer 2007) and lower firm performance (Shin et al. 2015). However, </w:t>
      </w:r>
      <w:proofErr w:type="spellStart"/>
      <w:r>
        <w:t>Faleye</w:t>
      </w:r>
      <w:proofErr w:type="spellEnd"/>
      <w:r>
        <w:t xml:space="preserve"> et al. (2013) find that employee productivity increases with pay inequality when the ﬁrm has fewer well-informed employees. They also ﬁnd that ﬁrm value and operating performance both increase with pay inequality.</w:t>
      </w:r>
    </w:p>
    <w:p w14:paraId="5E7B0AC2" w14:textId="73542882" w:rsidR="00E53707" w:rsidRDefault="00E53707" w:rsidP="00E53707">
      <w:pPr>
        <w:pStyle w:val="Heading2"/>
      </w:pPr>
      <w:r>
        <w:t>2.3. The elaboration of contradictory perspectives</w:t>
      </w:r>
    </w:p>
    <w:p w14:paraId="3158961C" w14:textId="1DD42C55" w:rsidR="00E53707" w:rsidRDefault="00E53707" w:rsidP="00E53707">
      <w:pPr>
        <w:ind w:firstLine="0"/>
      </w:pPr>
      <w:r>
        <w:t xml:space="preserve">Recent studies argue that sociological and economic perspectives are more complementary than contradictory (Ridge, </w:t>
      </w:r>
      <w:proofErr w:type="spellStart"/>
      <w:r>
        <w:t>Aime</w:t>
      </w:r>
      <w:proofErr w:type="spellEnd"/>
      <w:r>
        <w:t>, and White 2015; Shin et al. 2015). Therefore, they attempt to introduce a complementary approach. The first approach asserts a non-linear relation between pay disparity and outcome rather than a linear one. As a result, some studies illustrate a U-shaped relationship when examining the impact of pay disparity among workers (</w:t>
      </w:r>
      <w:proofErr w:type="spellStart"/>
      <w:r>
        <w:t>Grund</w:t>
      </w:r>
      <w:proofErr w:type="spellEnd"/>
      <w:r>
        <w:t xml:space="preserve"> and </w:t>
      </w:r>
      <w:proofErr w:type="spellStart"/>
      <w:r>
        <w:t>Westergaard</w:t>
      </w:r>
      <w:proofErr w:type="spellEnd"/>
      <w:r>
        <w:t xml:space="preserve">-Nielsen 2008; </w:t>
      </w:r>
      <w:proofErr w:type="spellStart"/>
      <w:r>
        <w:t>Mahy</w:t>
      </w:r>
      <w:proofErr w:type="spellEnd"/>
      <w:r>
        <w:t xml:space="preserve">, </w:t>
      </w:r>
      <w:proofErr w:type="spellStart"/>
      <w:r>
        <w:t>Rycx</w:t>
      </w:r>
      <w:proofErr w:type="spellEnd"/>
      <w:r>
        <w:t xml:space="preserve">, and </w:t>
      </w:r>
      <w:proofErr w:type="spellStart"/>
      <w:r>
        <w:t>Volral</w:t>
      </w:r>
      <w:proofErr w:type="spellEnd"/>
      <w:r>
        <w:t xml:space="preserve"> 2011), or pay disparity between CEO and top management teams, on firm performance (Ridge et al. 2015). Alternatively, other studies find an inverse U-shaped relationship between CEO-employee pay disparity (Dai, Kong, and Xu 2017) or pay differences among employees (</w:t>
      </w:r>
      <w:proofErr w:type="spellStart"/>
      <w:r>
        <w:t>Mahy</w:t>
      </w:r>
      <w:proofErr w:type="spellEnd"/>
      <w:r>
        <w:t xml:space="preserve"> et al. 2011; Winter-</w:t>
      </w:r>
      <w:proofErr w:type="spellStart"/>
      <w:r>
        <w:t>Ebmer</w:t>
      </w:r>
      <w:proofErr w:type="spellEnd"/>
      <w:r>
        <w:t xml:space="preserve"> and </w:t>
      </w:r>
      <w:proofErr w:type="spellStart"/>
      <w:r>
        <w:t>Zweimüller</w:t>
      </w:r>
      <w:proofErr w:type="spellEnd"/>
      <w:r>
        <w:t xml:space="preserve"> 1999) and employee performance. Shin et al. (2015) do not support a non-linear relationship between firm performance and CEO-employee pay disparity. Although evidence suggests that the relationships between pay disparity and outcomes may be non-linear, contradictory findings in these studies make general conclusions difﬁcult. </w:t>
      </w:r>
    </w:p>
    <w:p w14:paraId="6FB586BA" w14:textId="27AFE325" w:rsidR="00EB6D88" w:rsidRDefault="00EB6D88" w:rsidP="00EB6D88">
      <w:r w:rsidRPr="00EB6D88">
        <w:t xml:space="preserve">The second approach argues that contradictory findings in prior studies stem from overlooking individuals’ inputs in their compensation </w:t>
      </w:r>
      <w:r w:rsidRPr="00EB6D88">
        <w:fldChar w:fldCharType="begin" w:fldLock="1"/>
      </w:r>
      <w:r w:rsidR="002E5440">
        <w:instrText>ADDIN CSL_CITATION {"citationItems":[{"id":"ITEM-1","itemData":{"DOI":"10.5465/amj.2006.0127","ISSN":"00014273","abstract":"Pay dispersion in interdependent work settings is virtually universally argued to be detrimental to performance. We contend, however, that these arguments often confound inequality with inequity, thereby overestimating inequity concerns. Consequently, we adopt a sorting (attraction and retention) perspective to differentiate between pay dispersion that is used to secure valued employee inputs and pay dispersion that is not so used. We find that the former is positively related to interdependent team performance, the latter has no effect or is detrimental, and the approach itself helps to reconcile the pay dispersion literature's disparate results. Curvilinearity tests reveal potential constraints on the sorting argument. © 2012 Academy of Management Journal.","author":[{"dropping-particle":"","family":"Trevor","given":"Charlie O.","non-dropping-particle":"","parse-names":false,"suffix":""},{"dropping-particle":"","family":"Reilly","given":"Greg","non-dropping-particle":"","parse-names":false,"suffix":""},{"dropping-particle":"","family":"Gerhart","given":"Barry","non-dropping-particle":"","parse-names":false,"suffix":""}],"container-title":"Academy of Management Journal","id":"ITEM-1","issue":"3","issued":{"date-parts":[["2012","6","1"]]},"page":"585-610","publisher":"American Society of Nephrology Briarcliff Manor, NY","title":"Reconsidering pay dispersion's effect on the performance of interdependent work: Reconciling sorting and pay inequality","type":"article-journal","volume":"55"},"uris":["http://www.mendeley.com/documents/?uuid=fc7a25d6-9c42-37e2-8e4e-37c12e1b801a"]},{"id":"ITEM-2","itemData":{"DOI":"10.1016/j.hrmr.2011.12.001","ISSN":"10534822","abstract":"Research on pay variation and organizational outcomes has yielded inconsistent results. We argue that this is due to a lack of construct clarity regarding pay variation, and we attempt to provide clarification by distinguishing among the sources and types of pay variation. Using these distinctions, we integrate different theoretical perspectives on pay variation, and we propose avenues through which different kinds of pay variations affect outcomes. This clarification also elucidates some measurement concerns affecting pay variation studies. © 2011 Elsevier Inc.","author":[{"dropping-particle":"","family":"Gupta","given":"Nina","non-dropping-particle":"","parse-names":false,"suffix":""},{"dropping-particle":"","family":"Conroy","given":"Samantha A.","non-dropping-particle":"","parse-names":false,"suffix":""},{"dropping-particle":"","family":"Delery","given":"John E.","non-dropping-particle":"","parse-names":false,"suffix":""}],"container-title":"Human Resource Management Review","id":"ITEM-2","issue":"2","issued":{"date-parts":[["2012","6","1"]]},"page":"100-115","publisher":"JAI","title":"The many faces of pay variation","type":"article-journal","volume":"22"},"uris":["http://www.mendeley.com/documents/?uuid=f81a5e70-fc2d-31bc-bfc0-5a103d0c0b13"]},{"id":"ITEM-3","itemData":{"DOI":"10.1108/S0742-730120140000032001","ISBN":"9781783508471","ISSN":"07427301","abstract":"In this paper, we review the literature on pay variation (e.g., pay dispersion, pay compression, pay range) in organizations. Pay variation research has increased markedly in the past two decades and much progress has been made in terms of understanding its consequences for individual, team, and organizational outcomes. Our review of this research exposes several levels-related assumptions that have limited theoretical and empirical progress. We isolate the issues that deserve attention, develop an illustrative multilevel model, and offer a number of testable propositions to guide future research on pay structures. Copyright © 2014 by Emerald Group Publishing Limited.","author":[{"dropping-particle":"","family":"Conroy","given":"Samantha A.","non-dropping-particle":"","parse-names":false,"suffix":""},{"dropping-particle":"","family":"Gupta","given":"Nina","non-dropping-particle":"","parse-names":false,"suffix":""},{"dropping-particle":"","family":"Shaw","given":"Jason D.","non-dropping-particle":"","parse-names":false,"suffix":""},{"dropping-particle":"","family":"Park","given":"Tae-Youn","non-dropping-particle":"","parse-names":false,"suffix":""}],"container-title":"Research in Personnel and Human Resources Management","id":"ITEM-3","issued":{"date-parts":[["2014"]]},"page":"-","publisher":"Emerald Group Publishing Ltd.","title":"A multilevel approach to the effects of pay variation","type":"article-journal"},"uris":["http://www.mendeley.com/documents/?uuid=cd04c850-b5b4-37f9-8541-d34393012b9b"]},{"id":"ITEM-4","itemData":{"DOI":"10.1177/0019793914556242","ISSN":"0019-7939","abstract":"The authors examine factors influencing the executive pay multiple (executive-employee pay disparity) and its effects on performance. Using unique data from Korea, where all publicly listed firms are required to provide detailed information on average employee pay in their annual reports, they find that a substantial portion of crosssectional variation in the executive pay multiple is explained by the firm's economic and political characteristics. Results also indicate that the executive pay multiple has a statistically significant negative relation with subsequent operating and stock return performance. A two-stage approach, however, reveals that the performance effects of the executive pay multiple are likely to be influenced more by deviations from the expected executive pay multiple, estimated vising the first-stage determinant model, than by the absolute pay multiple per se. The study sheds light on recent debates regarding the usefulness of executive pay multiple disclosure.","author":[{"dropping-particle":"","family":"Shin","given":"Jae Yong","non-dropping-particle":"","parse-names":false,"suffix":""},{"dropping-particle":"","family":"Kang","given":"Sung-Choon","non-dropping-particle":"","parse-names":false,"suffix":""},{"dropping-particle":"","family":"Hyun","given":"Jeong-Hoon","non-dropping-particle":"","parse-names":false,"suffix":""},{"dropping-particle":"","family":"Kim","given":"Bum-Joon","non-dropping-particle":"","parse-names":false,"suffix":""}],"container-title":"ILR Review","id":"ITEM-4","issue":"1","issued":{"date-parts":[["2015","1","30"]]},"page":"53-78","publisher":"Cornell University","title":"Determinants and Performance Effects of Executive Pay Multiples","type":"article-journal","volume":"68"},"uris":["http://www.mendeley.com/documents/?uuid=243c9e97-cc53-3ebc-a3b1-87a36e1e1083"]}],"mendeley":{"formattedCitation":"(Conroy et al., 2014; Gupta et al., 2012; Shin et al., 2015; Trevor et al., 2012)","plainTextFormattedCitation":"(Conroy et al., 2014; Gupta et al., 2012; Shin et al., 2015; Trevor et al., 2012)","previouslyFormattedCitation":"(Conroy et al., 2014; Gupta et al., 2012; Shin et al., 2015; Trevor et al., 2012)"},"properties":{"noteIndex":0},"schema":"https://github.com/citation-style-language/schema/raw/master/csl-citation.json"}</w:instrText>
      </w:r>
      <w:r w:rsidRPr="00EB6D88">
        <w:fldChar w:fldCharType="separate"/>
      </w:r>
      <w:r w:rsidR="009D2930" w:rsidRPr="009D2930">
        <w:rPr>
          <w:noProof/>
        </w:rPr>
        <w:t>(Conroy et al., 2014; Gupta et al., 2012; Shin et al., 2015; Trevor et al., 2012)</w:t>
      </w:r>
      <w:r w:rsidRPr="00EB6D88">
        <w:fldChar w:fldCharType="end"/>
      </w:r>
      <w:r w:rsidRPr="00EB6D88">
        <w:t xml:space="preserve">, which is incompatible with critical assumptions in both perspectives. Therefore, some studies use control variables that explain employees’ inputs (such as their talent and previous pay) in their models </w:t>
      </w:r>
      <w:r w:rsidRPr="00EB6D88">
        <w:fldChar w:fldCharType="begin" w:fldLock="1"/>
      </w:r>
      <w:r w:rsidR="002E5440">
        <w:instrText>ADDIN CSL_CITATION {"citationItems":[{"id":"ITEM-1","itemData":{"author":[{"dropping-particle":"","family":"Gerhart","given":"Barry","non-dropping-particle":"","parse-names":false,"suffix":""},{"dropping-particle":"","family":"Rynes","given":"Sara","non-dropping-particle":"","parse-names":false,"suffix":""}],"id":"ITEM-1","issued":{"date-parts":[["2003"]]},"publisher":"SAGE publications","title":"Compensation: Theory, Evidence, and Strategic Implications","type":"book"},"uris":["http://www.mendeley.com/documents/?uuid=9b9fad8a-966f-3a3d-82be-35a03edef976"]}],"mendeley":{"formattedCitation":"(Gerhart &amp; Rynes, 2003)","plainTextFormattedCitation":"(Gerhart &amp; Rynes, 2003)","previouslyFormattedCitation":"(Gerhart &amp; Rynes, 2003)"},"properties":{"noteIndex":0},"schema":"https://github.com/citation-style-language/schema/raw/master/csl-citation.json"}</w:instrText>
      </w:r>
      <w:r w:rsidRPr="00EB6D88">
        <w:fldChar w:fldCharType="separate"/>
      </w:r>
      <w:r w:rsidR="009D2930" w:rsidRPr="009D2930">
        <w:rPr>
          <w:noProof/>
        </w:rPr>
        <w:t>(Gerhart &amp; Rynes, 2003)</w:t>
      </w:r>
      <w:r w:rsidRPr="00EB6D88">
        <w:fldChar w:fldCharType="end"/>
      </w:r>
      <w:r w:rsidRPr="00EB6D88">
        <w:t xml:space="preserve">. However, this procedure removes sources of pay disparity and is thus a sub-optimal approach </w:t>
      </w:r>
      <w:r w:rsidRPr="00EB6D88">
        <w:fldChar w:fldCharType="begin" w:fldLock="1"/>
      </w:r>
      <w:r w:rsidR="002E5440">
        <w:instrText>ADDIN CSL_CITATION {"citationItems":[{"id":"ITEM-1","itemData":{"DOI":"10.1016/j.hrmr.2011.12.001","ISSN":"10534822","abstract":"Research on pay variation and organizational outcomes has yielded inconsistent results. We argue that this is due to a lack of construct clarity regarding pay variation, and we attempt to provide clarification by distinguishing among the sources and types of pay variation. Using these distinctions, we integrate different theoretical perspectives on pay variation, and we propose avenues through which different kinds of pay variations affect outcomes. This clarification also elucidates some measurement concerns affecting pay variation studies. © 2011 Elsevier Inc.","author":[{"dropping-particle":"","family":"Gupta","given":"Nina","non-dropping-particle":"","parse-names":false,"suffix":""},{"dropping-particle":"","family":"Conroy","given":"Samantha A.","non-dropping-particle":"","parse-names":false,"suffix":""},{"dropping-particle":"","family":"Delery","given":"John E.","non-dropping-particle":"","parse-names":false,"suffix":""}],"container-title":"Human Resource Management Review","id":"ITEM-1","issue":"2","issued":{"date-parts":[["2012","6","1"]]},"page":"100-115","publisher":"JAI","title":"The many faces of pay variation","type":"article-journal","volume":"22"},"uris":["http://www.mendeley.com/documents/?uuid=f81a5e70-fc2d-31bc-bfc0-5a103d0c0b13"]}],"mendeley":{"formattedCitation":"(Gupta et al., 2012)","plainTextFormattedCitation":"(Gupta et al., 2012)","previouslyFormattedCitation":"(Gupta et al., 2012)"},"properties":{"noteIndex":0},"schema":"https://github.com/citation-style-language/schema/raw/master/csl-citation.json"}</w:instrText>
      </w:r>
      <w:r w:rsidRPr="00EB6D88">
        <w:fldChar w:fldCharType="separate"/>
      </w:r>
      <w:r w:rsidR="009D2930" w:rsidRPr="009D2930">
        <w:rPr>
          <w:noProof/>
        </w:rPr>
        <w:t>(Gupta et al., 2012)</w:t>
      </w:r>
      <w:r w:rsidRPr="00EB6D88">
        <w:fldChar w:fldCharType="end"/>
      </w:r>
      <w:r w:rsidRPr="00EB6D88">
        <w:t xml:space="preserve">. Other studies argue that pay disparity related to legitimate reasons leads to higher productivity, consistent </w:t>
      </w:r>
      <w:r w:rsidRPr="00EB6D88">
        <w:lastRenderedPageBreak/>
        <w:t xml:space="preserve">with economic perspectives. However, pay disparity for illegitimate reasons is unlikely to yield these benefits. Following this approach, it has been shown that pay-performance disparity is positively related to performance </w:t>
      </w:r>
      <w:r w:rsidRPr="00EB6D88">
        <w:fldChar w:fldCharType="begin" w:fldLock="1"/>
      </w:r>
      <w:r w:rsidR="002E5440">
        <w:instrText>ADDIN CSL_CITATION {"citationItems":[{"id":"ITEM-1","itemData":{"DOI":"10.1002/smj.235","ISSN":"0143-2095","abstract":"The compensation literature is replete with arguments, but lacking in empirical tests, regarding the effects of pay dispersion on organizational outcomes. Pay dispersion may increase effort and provide incentives for high workforce performance levels, but may also inhibit cooperation and goal orientation among employees. Drawing on several theoretical perspectives (individual motivation, institutional theory, organizational justice, and neoclassical economics), this study predicts that pay dispersion will be associated with higher levels of workforce performance when accompanied by formal individual incentive systems and independent work, while pay compression is desirable in the absence of individual incentive systems and when work is interdependent. Survey research studies in two industrial sectors (the motor carrier and concrete pipe industries) were conducted to address these issues. Interactive regression results were generally supportive of the predictions across several measures of workforce performance (accident rates, safety violations, and productivity). Implications of these studies for strategy implementation in terms of compensation theory and practice are addressed. Copyright © 2002 John Wiley &amp; Sons, Ltd.","author":[{"dropping-particle":"","family":"Shaw","given":"Jason D.","non-dropping-particle":"","parse-names":false,"suffix":""},{"dropping-particle":"","family":"Gupta","given":"Nina","non-dropping-particle":"","parse-names":false,"suffix":""},{"dropping-particle":"","family":"Delery","given":"John E.","non-dropping-particle":"","parse-names":false,"suffix":""}],"container-title":"Strategic Management Journal","id":"ITEM-1","issue":"6","issued":{"date-parts":[["2002","6","1"]]},"page":"491-512","publisher":"John Wiley &amp; Sons, Ltd","title":"Pay dispersion and workforce performance: moderating effects of incentives and interdependence","type":"article-journal","volume":"23"},"uris":["http://www.mendeley.com/documents/?uuid=5143bd28-0c30-3f8c-a86b-350ca1830162"]},{"id":"ITEM-2","itemData":{"DOI":"10.1111/j.1744-6570.2009.01146.x","ISSN":"00315826","abstract":"The degree of pay spread can influence many organizational level outcomes (e.g., workforce productivity and organizational performance), but empirical studies are inconsistent about the directionality of the effect. We argue that it is not simply the width of the pay range but also the factors responsible for the width that explain the effects of the pay range on employee and organizational outcomes. We expect that when wider pay ranges are attributable to the use of performance-based pay, the effects of the pay range on performance are positive, but narrower pay ranges attributable to performance-based pay reduce this effect substantially. By contrast, wider pay ranges attributable to politically based pay should have negative effects on performance, and this effect should be weakened when the pay ranges are narrower. Data from a sample of motor carriers generally support our predictions. Although wider pay ranges have positive effects, the results reveal a complex pattern of relationships among the basis of pay allocations and pay range width on the one hand and workforce productivity and organizational performance on the other. Implications for future compensation and strategic human resource management research are discussed. © 2009 Wiley Periodicals, Inc.","author":[{"dropping-particle":"","family":"Kepes","given":"S.","non-dropping-particle":"","parse-names":false,"suffix":""},{"dropping-particle":"","family":"Delery","given":"J.","non-dropping-particle":"","parse-names":false,"suffix":""},{"dropping-particle":"","family":"Gupta","given":"N.","non-dropping-particle":"","parse-names":false,"suffix":""}],"container-title":"Personnel Psychology","id":"ITEM-2","issue":"3","issued":{"date-parts":[["2009","9","1"]]},"page":"497-531","publisher":"John Wiley &amp; Sons, Ltd","title":"Contingencies in the Effects of Pay Range on Organizational Effectiveness","type":"article-journal","volume":"62"},"uris":["http://www.mendeley.com/documents/?uuid=84cdffbc-4739-3808-8385-148c48cf49cf"]}],"mendeley":{"formattedCitation":"(Kepes et al., 2009; Shaw et al., 2002)","plainTextFormattedCitation":"(Kepes et al., 2009; Shaw et al., 2002)","previouslyFormattedCitation":"(Kepes et al., 2009; Shaw et al., 2002)"},"properties":{"noteIndex":0},"schema":"https://github.com/citation-style-language/schema/raw/master/csl-citation.json"}</w:instrText>
      </w:r>
      <w:r w:rsidRPr="00EB6D88">
        <w:fldChar w:fldCharType="separate"/>
      </w:r>
      <w:r w:rsidR="009D2930" w:rsidRPr="009D2930">
        <w:rPr>
          <w:noProof/>
        </w:rPr>
        <w:t>(Kepes et al., 2009; Shaw et al., 2002)</w:t>
      </w:r>
      <w:r w:rsidRPr="00EB6D88">
        <w:fldChar w:fldCharType="end"/>
      </w:r>
      <w:r w:rsidRPr="00EB6D88">
        <w:t xml:space="preserve">. Some studies also examine the impact of pay inequity. For example, </w:t>
      </w:r>
      <w:r w:rsidRPr="00EB6D88">
        <w:fldChar w:fldCharType="begin" w:fldLock="1"/>
      </w:r>
      <w:r w:rsidR="002E5440">
        <w:instrText>ADDIN CSL_CITATION {"citationItems":[{"id":"ITEM-1","itemData":{"DOI":"10.1177/0019793914556242","ISSN":"0019-7939","abstract":"The authors examine factors influencing the executive pay multiple (executive-employee pay disparity) and its effects on performance. Using unique data from Korea, where all publicly listed firms are required to provide detailed information on average employee pay in their annual reports, they find that a substantial portion of crosssectional variation in the executive pay multiple is explained by the firm's economic and political characteristics. Results also indicate that the executive pay multiple has a statistically significant negative relation with subsequent operating and stock return performance. A two-stage approach, however, reveals that the performance effects of the executive pay multiple are likely to be influenced more by deviations from the expected executive pay multiple, estimated vising the first-stage determinant model, than by the absolute pay multiple per se. The study sheds light on recent debates regarding the usefulness of executive pay multiple disclosure.","author":[{"dropping-particle":"","family":"Shin","given":"Jae Yong","non-dropping-particle":"","parse-names":false,"suffix":""},{"dropping-particle":"","family":"Kang","given":"Sung-Choon","non-dropping-particle":"","parse-names":false,"suffix":""},{"dropping-particle":"","family":"Hyun","given":"Jeong-Hoon","non-dropping-particle":"","parse-names":false,"suffix":""},{"dropping-particle":"","family":"Kim","given":"Bum-Joon","non-dropping-particle":"","parse-names":false,"suffix":""}],"container-title":"ILR Review","id":"ITEM-1","issue":"1","issued":{"date-parts":[["2015","1","30"]]},"page":"53-78","publisher":"Cornell University","title":"Determinants and Performance Effects of Executive Pay Multiples","type":"article-journal","volume":"68"},"uris":["http://www.mendeley.com/documents/?uuid=243c9e97-cc53-3ebc-a3b1-87a36e1e1083"]}],"mendeley":{"formattedCitation":"(Shin et al., 2015)","manualFormatting":"Shin et al. (2015","plainTextFormattedCitation":"(Shin et al., 2015)","previouslyFormattedCitation":"(Shin et al., 2015)"},"properties":{"noteIndex":0},"schema":"https://github.com/citation-style-language/schema/raw/master/csl-citation.json"}</w:instrText>
      </w:r>
      <w:r w:rsidRPr="00EB6D88">
        <w:fldChar w:fldCharType="separate"/>
      </w:r>
      <w:r w:rsidRPr="00EB6D88">
        <w:rPr>
          <w:noProof/>
        </w:rPr>
        <w:t>Shin et al. (2015</w:t>
      </w:r>
      <w:r w:rsidRPr="00EB6D88">
        <w:fldChar w:fldCharType="end"/>
      </w:r>
      <w:r w:rsidRPr="00EB6D88">
        <w:t xml:space="preserve">) and </w:t>
      </w:r>
      <w:proofErr w:type="spellStart"/>
      <w:r w:rsidRPr="00EB6D88">
        <w:t>Faleye</w:t>
      </w:r>
      <w:proofErr w:type="spellEnd"/>
      <w:r w:rsidRPr="00EB6D88">
        <w:t xml:space="preserve"> et al. (2013) model the determinants of vertical pay disparity and estimate unexplained vertical pay disparity as the residual of their model.</w:t>
      </w:r>
      <w:r w:rsidRPr="00EB6D88">
        <w:rPr>
          <w:vertAlign w:val="superscript"/>
        </w:rPr>
        <w:footnoteReference w:id="5"/>
      </w:r>
      <w:r w:rsidRPr="00EB6D88">
        <w:t xml:space="preserve"> </w:t>
      </w:r>
      <w:r w:rsidRPr="00EB6D88">
        <w:fldChar w:fldCharType="begin" w:fldLock="1"/>
      </w:r>
      <w:r w:rsidR="002E5440">
        <w:instrText>ADDIN CSL_CITATION {"citationItems":[{"id":"ITEM-1","itemData":{"DOI":"10.1177/0019793914556242","ISSN":"0019-7939","abstract":"The authors examine factors influencing the executive pay multiple (executive-employee pay disparity) and its effects on performance. Using unique data from Korea, where all publicly listed firms are required to provide detailed information on average employee pay in their annual reports, they find that a substantial portion of crosssectional variation in the executive pay multiple is explained by the firm's economic and political characteristics. Results also indicate that the executive pay multiple has a statistically significant negative relation with subsequent operating and stock return performance. A two-stage approach, however, reveals that the performance effects of the executive pay multiple are likely to be influenced more by deviations from the expected executive pay multiple, estimated vising the first-stage determinant model, than by the absolute pay multiple per se. The study sheds light on recent debates regarding the usefulness of executive pay multiple disclosure.","author":[{"dropping-particle":"","family":"Shin","given":"Jae Yong","non-dropping-particle":"","parse-names":false,"suffix":""},{"dropping-particle":"","family":"Kang","given":"Sung-Choon","non-dropping-particle":"","parse-names":false,"suffix":""},{"dropping-particle":"","family":"Hyun","given":"Jeong-Hoon","non-dropping-particle":"","parse-names":false,"suffix":""},{"dropping-particle":"","family":"Kim","given":"Bum-Joon","non-dropping-particle":"","parse-names":false,"suffix":""}],"container-title":"ILR Review","id":"ITEM-1","issue":"1","issued":{"date-parts":[["2015","1","30"]]},"page":"53-78","publisher":"Cornell University","title":"Determinants and Performance Effects of Executive Pay Multiples","type":"article-journal","volume":"68"},"uris":["http://www.mendeley.com/documents/?uuid=243c9e97-cc53-3ebc-a3b1-87a36e1e1083"]}],"mendeley":{"formattedCitation":"(Shin et al., 2015)","manualFormatting":"Shin et al. (2015","plainTextFormattedCitation":"(Shin et al., 2015)","previouslyFormattedCitation":"(Shin et al., 2015)"},"properties":{"noteIndex":0},"schema":"https://github.com/citation-style-language/schema/raw/master/csl-citation.json"}</w:instrText>
      </w:r>
      <w:r w:rsidRPr="00EB6D88">
        <w:fldChar w:fldCharType="separate"/>
      </w:r>
      <w:r w:rsidRPr="00EB6D88">
        <w:rPr>
          <w:noProof/>
        </w:rPr>
        <w:t>Shin et al. (2015</w:t>
      </w:r>
      <w:r w:rsidRPr="00EB6D88">
        <w:fldChar w:fldCharType="end"/>
      </w:r>
      <w:r w:rsidRPr="00EB6D88">
        <w:t xml:space="preserve">) find a negative relationship between absolute pay inequity and future firm performance. However, </w:t>
      </w:r>
      <w:proofErr w:type="spellStart"/>
      <w:r w:rsidRPr="00EB6D88">
        <w:t>Faleye</w:t>
      </w:r>
      <w:proofErr w:type="spellEnd"/>
      <w:r w:rsidRPr="00EB6D88">
        <w:t xml:space="preserve"> et al. (2013) do not find any significant relationship between pay inequity and employee performance.</w:t>
      </w:r>
    </w:p>
    <w:p w14:paraId="05781C1B" w14:textId="77777777" w:rsidR="00E53707" w:rsidRDefault="00E53707" w:rsidP="00E53707">
      <w:r>
        <w:t xml:space="preserve">Two studies attempt to consider both pay equity and inequity in their examination. Trevor et al. (2012) study horizontal pay disparity within interdependent sport teams and find that teams with high pay disparity created by variation in the individual performance of team members have higher team performance, while team performance reduces at high levels of pay disparity. He also shows that pay disparity unexplained by individual performance has a negligible or slightly negative impact. Rouen (2020) separates the component of CEO and employee compensation explained by their inputs and economic factors. He defines pay disparity as the ratio of predicted CEO pay to expected average employee pay and unexplained pay disparity as the difference between the actual pay disparity and the calculated pay disparity. He finds robust evidence of a negative (positive) relation between unexplained (explained) pay disparity and future firm performance. Therefore, the role of inputs in measuring pay inequality should be demonstrated. In the absence of such a demonstration, the impact of pay inequality on performance could lead to an invalid approach to applying those theories (Rouen 2020). </w:t>
      </w:r>
    </w:p>
    <w:p w14:paraId="6BDAE044" w14:textId="51E49C18" w:rsidR="00E53707" w:rsidRDefault="00E53707" w:rsidP="00E53707">
      <w:pPr>
        <w:pStyle w:val="Heading2"/>
      </w:pPr>
      <w:r>
        <w:t>2.4. The impact of pay inequality on employee performance</w:t>
      </w:r>
    </w:p>
    <w:p w14:paraId="46DA9434" w14:textId="77777777" w:rsidR="00E53707" w:rsidRDefault="00E53707" w:rsidP="00E53707">
      <w:pPr>
        <w:ind w:firstLine="0"/>
      </w:pPr>
      <w:r>
        <w:t>As argued, pay inequality per se is an insufficient proxy for testing the sociological and economic perspectives. Therefore, this study focuses on pay inequity and pay equity impacts on employee performance rather than pay inequality. Consistent with the sociological perspective, we expect that pay inequity negatively influences employee performance. This leads to the first hypothesis, as follows:</w:t>
      </w:r>
    </w:p>
    <w:p w14:paraId="4A746056" w14:textId="77777777" w:rsidR="00E53707" w:rsidRDefault="00E53707" w:rsidP="00E53707">
      <w:r>
        <w:t>H1: Pay inequity has a negative association with employee performance.</w:t>
      </w:r>
    </w:p>
    <w:p w14:paraId="6DA0AE16" w14:textId="77777777" w:rsidR="00E53707" w:rsidRDefault="00E53707" w:rsidP="00E53707">
      <w:r>
        <w:t xml:space="preserve">With regard to the previous studies, it is expected that pay equity positively relates to employee performance. However, a critical idea underlying Tournament Theory is the presence of optimal pay disparity, which is the level that can maximise employees’ performance in a contest (Lazear and Rosen 1981). If pay disparity is too small, contestants are not encouraged to compete, so the total productive output of the tournament drops. However, a high prize spread can also be detrimental because it induces high effort that contestants cannot sustain (Connelly et al. 2014). </w:t>
      </w:r>
      <w:r>
        <w:lastRenderedPageBreak/>
        <w:t>Therefore, Tournament design involves strategically choosing optimal pay disparity spreads that maximise the productive output of the tournament. The empirical literature rarely refers to the existence of an optimum point for pay equity. For example, Brown, Sturman, and Simmering (2003) assert that pay disparity clearly explained by inputs may be seen as inequitable and detrimental when it is large. Trevor et al. (2012) also find that the positive impact of horizontal pay disparity, which is explained by their inputs, on team performance, is attenuated at high levels of such dispersion. This argument leads to our second prediction:</w:t>
      </w:r>
    </w:p>
    <w:p w14:paraId="1BE1C6B2" w14:textId="484382F2" w:rsidR="00E53707" w:rsidRPr="00E53707" w:rsidRDefault="00E53707" w:rsidP="00E53707">
      <w:r>
        <w:t>H2: Pay equity has an inverted U-shaped association with employee performance</w:t>
      </w:r>
    </w:p>
    <w:p w14:paraId="7639FE21" w14:textId="48E79699" w:rsidR="00D71EA9" w:rsidRDefault="004149C4" w:rsidP="00853595">
      <w:pPr>
        <w:pStyle w:val="Heading1"/>
        <w:numPr>
          <w:ilvl w:val="0"/>
          <w:numId w:val="1"/>
        </w:numPr>
      </w:pPr>
      <w:r>
        <w:t>Methodology</w:t>
      </w:r>
    </w:p>
    <w:p w14:paraId="7BC3C785" w14:textId="06E1C3F4" w:rsidR="00D71EA9" w:rsidRDefault="00D71EA9" w:rsidP="00D71EA9">
      <w:pPr>
        <w:ind w:firstLine="0"/>
      </w:pPr>
      <w:r w:rsidRPr="00FA2C2F">
        <w:t xml:space="preserve">Given our argument, </w:t>
      </w:r>
      <w:r>
        <w:t>p</w:t>
      </w:r>
      <w:r w:rsidRPr="00FA2C2F">
        <w:t xml:space="preserve">ay </w:t>
      </w:r>
      <w:r>
        <w:t>i</w:t>
      </w:r>
      <w:r w:rsidRPr="00FA2C2F">
        <w:t xml:space="preserve">nequality per se is not a </w:t>
      </w:r>
      <w:r>
        <w:t>reliable</w:t>
      </w:r>
      <w:r w:rsidRPr="00FA2C2F">
        <w:t xml:space="preserve"> measure</w:t>
      </w:r>
      <w:r>
        <w:t xml:space="preserve"> for examining its impact on performance. T</w:t>
      </w:r>
      <w:r w:rsidRPr="00FA2C2F">
        <w:t>here is a need to consider the determinant</w:t>
      </w:r>
      <w:r>
        <w:t>s</w:t>
      </w:r>
      <w:r w:rsidRPr="00FA2C2F">
        <w:t xml:space="preserve"> of pay inequality to separate pay inequ</w:t>
      </w:r>
      <w:r>
        <w:t>it</w:t>
      </w:r>
      <w:r w:rsidRPr="00FA2C2F">
        <w:t>y from pay equity</w:t>
      </w:r>
      <w:r w:rsidR="00E213C5" w:rsidRPr="00FA2C2F">
        <w:t>.</w:t>
      </w:r>
      <w:r w:rsidR="00E213C5">
        <w:t xml:space="preserve"> </w:t>
      </w:r>
      <w:r>
        <w:t xml:space="preserve">First, this section describes our model to measure pay inequality explained by CEO’s and employees’ skill, company characteristics, and </w:t>
      </w:r>
      <w:r w:rsidR="00287231">
        <w:t>labour market</w:t>
      </w:r>
      <w:r>
        <w:t xml:space="preserve">.  Therefore, we </w:t>
      </w:r>
      <w:r w:rsidRPr="004F0561">
        <w:t xml:space="preserve">disentangle </w:t>
      </w:r>
      <w:r>
        <w:t>the components of each firm-year pay equity</w:t>
      </w:r>
      <w:r w:rsidRPr="0031274A">
        <w:t xml:space="preserve"> from</w:t>
      </w:r>
      <w:r>
        <w:t xml:space="preserve"> pay inequity. Second, the model for examining</w:t>
      </w:r>
      <w:r>
        <w:rPr>
          <w:noProof/>
        </w:rPr>
        <w:t xml:space="preserve"> </w:t>
      </w:r>
      <w:r w:rsidRPr="00666846">
        <w:t xml:space="preserve">the </w:t>
      </w:r>
      <w:r>
        <w:t>impact of</w:t>
      </w:r>
      <w:r w:rsidRPr="00666846">
        <w:t xml:space="preserve"> </w:t>
      </w:r>
      <w:r>
        <w:t xml:space="preserve">the key </w:t>
      </w:r>
      <w:r w:rsidRPr="00666846">
        <w:t xml:space="preserve">pay ratios </w:t>
      </w:r>
      <w:r w:rsidRPr="00C87EBF">
        <w:t>(pay inequality, pay equity and pay inequity</w:t>
      </w:r>
      <w:r w:rsidRPr="00666846">
        <w:t xml:space="preserve">) </w:t>
      </w:r>
      <w:r>
        <w:t>on</w:t>
      </w:r>
      <w:r w:rsidRPr="00666846">
        <w:t xml:space="preserve"> employee performance </w:t>
      </w:r>
      <w:r>
        <w:t>is explained.</w:t>
      </w:r>
    </w:p>
    <w:p w14:paraId="20CA4489" w14:textId="7446215D" w:rsidR="00D71EA9" w:rsidRPr="00657953" w:rsidRDefault="00D71EA9" w:rsidP="00853595">
      <w:pPr>
        <w:pStyle w:val="Heading2"/>
        <w:numPr>
          <w:ilvl w:val="1"/>
          <w:numId w:val="1"/>
        </w:numPr>
        <w:ind w:left="426"/>
      </w:pPr>
      <w:r w:rsidRPr="00657953">
        <w:t>Breaking down pay inequality into pay equity and pay inequity</w:t>
      </w:r>
    </w:p>
    <w:p w14:paraId="0AB40221" w14:textId="76F4866E" w:rsidR="00D71EA9" w:rsidRPr="008A5371" w:rsidRDefault="00D71EA9" w:rsidP="00D71EA9">
      <w:pPr>
        <w:ind w:firstLine="0"/>
      </w:pPr>
      <w:r>
        <w:t>F</w:t>
      </w:r>
      <w:r w:rsidRPr="00513194">
        <w:t xml:space="preserve">ollowing </w:t>
      </w:r>
      <w:r>
        <w:t xml:space="preserve">the </w:t>
      </w:r>
      <w:r w:rsidRPr="00513194">
        <w:t>empirical studies</w:t>
      </w:r>
      <w:r>
        <w:t xml:space="preserve"> </w:t>
      </w:r>
      <w:r w:rsidRPr="00513194">
        <w:t xml:space="preserve">approach </w:t>
      </w:r>
      <w:r>
        <w:fldChar w:fldCharType="begin" w:fldLock="1"/>
      </w:r>
      <w:r w:rsidR="002E5440">
        <w:instrText>ADDIN CSL_CITATION {"citationItems":[{"id":"ITEM-1","itemData":{"DOI":"10.1177/0019793914556242","ISSN":"0019-7939","abstract":"The authors examine factors influencing the executive pay multiple (executive-employee pay disparity) and its effects on performance. Using unique data from Korea, where all publicly listed firms are required to provide detailed information on average employee pay in their annual reports, they find that a substantial portion of crosssectional variation in the executive pay multiple is explained by the firm's economic and political characteristics. Results also indicate that the executive pay multiple has a statistically significant negative relation with subsequent operating and stock return performance. A two-stage approach, however, reveals that the performance effects of the executive pay multiple are likely to be influenced more by deviations from the expected executive pay multiple, estimated vising the first-stage determinant model, than by the absolute pay multiple per se. The study sheds light on recent debates regarding the usefulness of executive pay multiple disclosure.","author":[{"dropping-particle":"","family":"Shin","given":"Jae Yong","non-dropping-particle":"","parse-names":false,"suffix":""},{"dropping-particle":"","family":"Kang","given":"Sung-Choon","non-dropping-particle":"","parse-names":false,"suffix":""},{"dropping-particle":"","family":"Hyun","given":"Jeong-Hoon","non-dropping-particle":"","parse-names":false,"suffix":""},{"dropping-particle":"","family":"Kim","given":"Bum-Joon","non-dropping-particle":"","parse-names":false,"suffix":""}],"container-title":"ILR Review","id":"ITEM-1","issue":"1","issued":{"date-parts":[["2015","1","30"]]},"page":"53-78","publisher":"Cornell University","title":"Determinants and Performance Effects of Executive Pay Multiples","type":"article-journal","volume":"68"},"uris":["http://www.mendeley.com/documents/?uuid=243c9e97-cc53-3ebc-a3b1-87a36e1e1083"]},{"id":"ITEM-2","itemData":{"DOI":"10.1016/j.jbankfin.2013.03.003","ISSN":"03784266","abstract":"We study the determinants and effects of the relative compensation of top executives and lower-level employees. First, we show that CEO-employee pay ratios depend on the balance of power between the CEO (relative to the board) and ordinary employees (relative to management). Second, our results suggest that employees do not perceive higher pay ratios as an inequitable outcome to be redressed via costly behaviors that lower productivity. We do not find a negative relation between relative pay and employee productivity, either in our full sample or in subsamples where employees are well-informed about executive pay and are protected against career retributions. Rather, we find that productivity increases with relative pay when the firm has fewer employees who are well-informed, and when promotion decisions are predominantly merit-based. We also find that firm value and operating performance both increase with relative pay. We conclude that ordinary employees appear to perceive an opportunity in higher pay ratios but the extent to which such perception incentivizes them depends on the likelihood of success in a series of sequential promotion tournaments. © 2013 Elsevier B.V.","author":[{"dropping-particle":"","family":"Faleye","given":"Olubunmi","non-dropping-particle":"","parse-names":false,"suffix":""},{"dropping-particle":"","family":"Reis","given":"Ebru","non-dropping-particle":"","parse-names":false,"suffix":""},{"dropping-particle":"","family":"Venkateswaran","given":"Anand","non-dropping-particle":"","parse-names":false,"suffix":""}],"container-title":"Journal of Banking and Finance","id":"ITEM-2","issue":"8","issued":{"date-parts":[["2013","8","1"]]},"page":"3258-3272","publisher":"North-Holland","title":"The determinants and effects of CEO-employee pay ratios","type":"article-journal","volume":"37"},"uris":["http://www.mendeley.com/documents/?uuid=e5f3f9b6-68e5-4bc4-9537-454d7779e4e7"]}],"mendeley":{"formattedCitation":"(Faleye et al., 2013; Shin et al., 2015)","manualFormatting":"(e.g., Faleye et al., 2013; Shin et al., 2015)","plainTextFormattedCitation":"(Faleye et al., 2013; Shin et al., 2015)","previouslyFormattedCitation":"(Faleye et al., 2013; Shin et al., 2015)"},"properties":{"noteIndex":0},"schema":"https://github.com/citation-style-language/schema/raw/master/csl-citation.json"}</w:instrText>
      </w:r>
      <w:r>
        <w:fldChar w:fldCharType="separate"/>
      </w:r>
      <w:r w:rsidRPr="0011018A">
        <w:rPr>
          <w:noProof/>
        </w:rPr>
        <w:t>(</w:t>
      </w:r>
      <w:r>
        <w:rPr>
          <w:noProof/>
        </w:rPr>
        <w:t xml:space="preserve">e.g., </w:t>
      </w:r>
      <w:r w:rsidRPr="0011018A">
        <w:rPr>
          <w:noProof/>
        </w:rPr>
        <w:t>Faleye et al., 2013; Shin et al., 2015)</w:t>
      </w:r>
      <w:r>
        <w:fldChar w:fldCharType="end"/>
      </w:r>
      <w:r>
        <w:t>,</w:t>
      </w:r>
      <w:r w:rsidRPr="00513194">
        <w:t xml:space="preserve"> we </w:t>
      </w:r>
      <w:r>
        <w:t xml:space="preserve">model </w:t>
      </w:r>
      <w:r w:rsidRPr="00FD11AA">
        <w:t>pay inequality</w:t>
      </w:r>
      <w:r w:rsidRPr="00513194">
        <w:t xml:space="preserve"> </w:t>
      </w:r>
      <w:r>
        <w:t>based on CEOs’ and</w:t>
      </w:r>
      <w:r w:rsidRPr="00513194">
        <w:t xml:space="preserve"> employees’</w:t>
      </w:r>
      <w:r>
        <w:t xml:space="preserve"> skills, company characteristics and </w:t>
      </w:r>
      <w:r w:rsidR="00287231">
        <w:t>labour market</w:t>
      </w:r>
      <w:r>
        <w:t>,</w:t>
      </w:r>
      <w:r w:rsidRPr="0031274A">
        <w:t xml:space="preserve"> </w:t>
      </w:r>
      <w:r>
        <w:t xml:space="preserve">as in </w:t>
      </w:r>
      <w:r w:rsidRPr="0031274A">
        <w:t>equation 1.</w:t>
      </w:r>
      <w:r w:rsidRPr="006E0A5E">
        <w:rPr>
          <w:rStyle w:val="FootnoteReference"/>
        </w:rPr>
        <w:t xml:space="preserve"> </w:t>
      </w:r>
      <w:r w:rsidRPr="008A5371">
        <w:t xml:space="preserve">Pay equity is the predicted </w:t>
      </w:r>
      <w:r>
        <w:t xml:space="preserve">pay inequality </w:t>
      </w:r>
      <w:r w:rsidRPr="008A5371">
        <w:t xml:space="preserve">in each firm-year, while the error term </w:t>
      </w:r>
      <w:r w:rsidRPr="00D71EA9">
        <w:rPr>
          <w:rFonts w:cstheme="majorBidi"/>
        </w:rPr>
        <w:t>ε</w:t>
      </w:r>
      <w:r w:rsidRPr="008A5371">
        <w:t xml:space="preserve"> captures pay</w:t>
      </w:r>
      <w:r>
        <w:t xml:space="preserve"> </w:t>
      </w:r>
      <w:r w:rsidRPr="008A5371">
        <w:t>inequity and represent</w:t>
      </w:r>
      <w:r>
        <w:t>s</w:t>
      </w:r>
      <w:r w:rsidRPr="008A5371">
        <w:t xml:space="preserve"> the deviation from the expected </w:t>
      </w:r>
      <w:r>
        <w:t>p</w:t>
      </w:r>
      <w:r w:rsidRPr="008A5371">
        <w:t>ay</w:t>
      </w:r>
      <w:r>
        <w:t xml:space="preserve"> i</w:t>
      </w:r>
      <w:r w:rsidRPr="008A5371">
        <w:t xml:space="preserve">nequality. </w:t>
      </w:r>
    </w:p>
    <w:p w14:paraId="36C274F8" w14:textId="04054550" w:rsidR="00D71EA9" w:rsidRPr="00657953" w:rsidRDefault="006725FE" w:rsidP="00D71EA9">
      <w:pPr>
        <w:spacing w:line="240" w:lineRule="auto"/>
        <w:ind w:firstLine="0"/>
        <w:rPr>
          <w:i/>
          <w:szCs w:val="24"/>
        </w:rPr>
      </w:pPr>
      <m:oMathPara>
        <m:oMath>
          <m:sSub>
            <m:sSubPr>
              <m:ctrlPr>
                <w:rPr>
                  <w:rFonts w:ascii="Cambria Math" w:hAnsi="Cambria Math"/>
                  <w:i/>
                  <w:szCs w:val="24"/>
                </w:rPr>
              </m:ctrlPr>
            </m:sSubPr>
            <m:e>
              <m:r>
                <w:rPr>
                  <w:rFonts w:ascii="Cambria Math" w:hAnsi="Cambria Math"/>
                  <w:szCs w:val="24"/>
                </w:rPr>
                <m:t>Pay Inequality</m:t>
              </m:r>
            </m:e>
            <m:sub>
              <m:r>
                <w:rPr>
                  <w:rFonts w:ascii="Cambria Math" w:hAnsi="Cambria Math"/>
                  <w:szCs w:val="24"/>
                </w:rPr>
                <m:t>i,t</m:t>
              </m:r>
            </m:sub>
          </m:sSub>
          <m:r>
            <w:rPr>
              <w:rFonts w:ascii="Cambria Math" w:hAnsi="Cambria Math"/>
              <w:szCs w:val="24"/>
            </w:rPr>
            <m:t>=α+</m:t>
          </m:r>
          <m:nary>
            <m:naryPr>
              <m:chr m:val="∑"/>
              <m:limLoc m:val="undOvr"/>
              <m:supHide m:val="1"/>
              <m:ctrlPr>
                <w:rPr>
                  <w:rFonts w:ascii="Cambria Math" w:hAnsi="Cambria Math"/>
                  <w:i/>
                  <w:szCs w:val="24"/>
                </w:rPr>
              </m:ctrlPr>
            </m:naryPr>
            <m:sub>
              <m:r>
                <w:rPr>
                  <w:rFonts w:ascii="Cambria Math" w:hAnsi="Cambria Math"/>
                  <w:szCs w:val="24"/>
                </w:rPr>
                <m:t>a</m:t>
              </m:r>
            </m:sub>
            <m:sup/>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a</m:t>
                  </m:r>
                </m:sub>
              </m:sSub>
              <m:sSub>
                <m:sSubPr>
                  <m:ctrlPr>
                    <w:rPr>
                      <w:rFonts w:ascii="Cambria Math" w:hAnsi="Cambria Math"/>
                      <w:i/>
                      <w:szCs w:val="24"/>
                    </w:rPr>
                  </m:ctrlPr>
                </m:sSubPr>
                <m:e>
                  <m:r>
                    <w:rPr>
                      <w:rFonts w:ascii="Cambria Math" w:hAnsi="Cambria Math"/>
                      <w:szCs w:val="24"/>
                    </w:rPr>
                    <m:t>CEO Skills</m:t>
                  </m:r>
                </m:e>
                <m:sub>
                  <m:r>
                    <w:rPr>
                      <w:rFonts w:ascii="Cambria Math" w:hAnsi="Cambria Math"/>
                      <w:szCs w:val="24"/>
                    </w:rPr>
                    <m:t>i,t</m:t>
                  </m:r>
                </m:sub>
              </m:sSub>
            </m:e>
          </m:nary>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b</m:t>
              </m:r>
            </m:sub>
            <m:sup/>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b</m:t>
                  </m:r>
                </m:sub>
              </m:sSub>
              <m:sSub>
                <m:sSubPr>
                  <m:ctrlPr>
                    <w:rPr>
                      <w:rFonts w:ascii="Cambria Math" w:hAnsi="Cambria Math"/>
                      <w:i/>
                      <w:szCs w:val="24"/>
                    </w:rPr>
                  </m:ctrlPr>
                </m:sSubPr>
                <m:e>
                  <m:r>
                    <w:rPr>
                      <w:rFonts w:ascii="Cambria Math" w:hAnsi="Cambria Math"/>
                      <w:szCs w:val="24"/>
                    </w:rPr>
                    <m:t>Employees skills</m:t>
                  </m:r>
                </m:e>
                <m:sub>
                  <m:r>
                    <w:rPr>
                      <w:rFonts w:ascii="Cambria Math" w:hAnsi="Cambria Math"/>
                      <w:szCs w:val="24"/>
                    </w:rPr>
                    <m:t>i,k,t</m:t>
                  </m:r>
                </m:sub>
              </m:sSub>
              <m:r>
                <w:rPr>
                  <w:rFonts w:ascii="Cambria Math" w:hAnsi="Cambria Math"/>
                  <w:szCs w:val="24"/>
                </w:rPr>
                <m:t xml:space="preserve">+ </m:t>
              </m:r>
              <m:nary>
                <m:naryPr>
                  <m:chr m:val="∑"/>
                  <m:limLoc m:val="undOvr"/>
                  <m:supHide m:val="1"/>
                  <m:ctrlPr>
                    <w:rPr>
                      <w:rFonts w:ascii="Cambria Math" w:hAnsi="Cambria Math"/>
                      <w:i/>
                      <w:szCs w:val="24"/>
                    </w:rPr>
                  </m:ctrlPr>
                </m:naryPr>
                <m:sub>
                  <m:r>
                    <w:rPr>
                      <w:rFonts w:ascii="Cambria Math" w:hAnsi="Cambria Math"/>
                      <w:szCs w:val="24"/>
                    </w:rPr>
                    <m:t>a</m:t>
                  </m:r>
                </m:sub>
                <m:sup/>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a</m:t>
                      </m:r>
                    </m:sub>
                  </m:sSub>
                  <m:sSub>
                    <m:sSubPr>
                      <m:ctrlPr>
                        <w:rPr>
                          <w:rFonts w:ascii="Cambria Math" w:hAnsi="Cambria Math"/>
                          <w:i/>
                          <w:szCs w:val="24"/>
                        </w:rPr>
                      </m:ctrlPr>
                    </m:sSubPr>
                    <m:e>
                      <m:r>
                        <w:rPr>
                          <w:rFonts w:ascii="Cambria Math" w:hAnsi="Cambria Math"/>
                          <w:szCs w:val="24"/>
                        </w:rPr>
                        <m:t>Company charactristics</m:t>
                      </m:r>
                    </m:e>
                    <m:sub>
                      <m:r>
                        <w:rPr>
                          <w:rFonts w:ascii="Cambria Math" w:hAnsi="Cambria Math"/>
                          <w:szCs w:val="24"/>
                        </w:rPr>
                        <m:t>i,t</m:t>
                      </m:r>
                    </m:sub>
                  </m:sSub>
                </m:e>
              </m:nary>
            </m:e>
          </m:nary>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b</m:t>
              </m:r>
            </m:sub>
            <m:sup/>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b</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Labour market</m:t>
                  </m:r>
                </m:e>
                <m:sub>
                  <m:r>
                    <w:rPr>
                      <w:rFonts w:ascii="Cambria Math" w:hAnsi="Cambria Math"/>
                      <w:szCs w:val="24"/>
                    </w:rPr>
                    <m:t>j,k,t</m:t>
                  </m:r>
                </m:sub>
              </m:sSub>
            </m:e>
          </m:nary>
          <m:r>
            <w:rPr>
              <w:rFonts w:ascii="Cambria Math" w:hAnsi="Cambria Math"/>
              <w:szCs w:val="24"/>
            </w:rPr>
            <m:t>+</m:t>
          </m:r>
          <m:sSub>
            <m:sSubPr>
              <m:ctrlPr>
                <w:rPr>
                  <w:rFonts w:ascii="Cambria Math" w:hAnsi="Cambria Math"/>
                  <w:i/>
                  <w:szCs w:val="24"/>
                </w:rPr>
              </m:ctrlPr>
            </m:sSubPr>
            <m:e>
              <m:r>
                <w:rPr>
                  <w:rFonts w:ascii="Cambria Math" w:hAnsi="Cambria Math"/>
                  <w:szCs w:val="24"/>
                </w:rPr>
                <m:t>Region Fixed Effects</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Industry Fixed Effects</m:t>
              </m:r>
            </m:e>
            <m:sub>
              <m:r>
                <w:rPr>
                  <w:rFonts w:ascii="Cambria Math" w:hAnsi="Cambria Math"/>
                  <w:szCs w:val="24"/>
                </w:rPr>
                <m:t>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Year Fixed Effects</m:t>
              </m:r>
            </m:e>
            <m:sub>
              <m:r>
                <w:rPr>
                  <w:rFonts w:ascii="Cambria Math" w:hAnsi="Cambria Math"/>
                  <w:szCs w:val="24"/>
                </w:rPr>
                <m:t>t</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  t</m:t>
              </m:r>
            </m:sub>
          </m:sSub>
          <m:r>
            <w:rPr>
              <w:rFonts w:ascii="Cambria Math" w:hAnsi="Cambria Math"/>
              <w:szCs w:val="24"/>
            </w:rPr>
            <m:t xml:space="preserve">    (1)</m:t>
          </m:r>
        </m:oMath>
      </m:oMathPara>
    </w:p>
    <w:p w14:paraId="5D0E24C9" w14:textId="77777777" w:rsidR="00D71EA9" w:rsidRDefault="00D71EA9" w:rsidP="00657953">
      <w:r w:rsidRPr="004F0561">
        <w:t xml:space="preserve">In the above </w:t>
      </w:r>
      <w:r w:rsidRPr="0031274A">
        <w:t xml:space="preserve">equation, </w:t>
      </w:r>
      <w:r w:rsidRPr="00FD11AA">
        <w:t>pay</w:t>
      </w:r>
      <w:r>
        <w:t xml:space="preserve"> </w:t>
      </w:r>
      <w:r w:rsidRPr="00FD11AA">
        <w:t xml:space="preserve">inequality </w:t>
      </w:r>
      <w:r w:rsidRPr="0031274A">
        <w:t xml:space="preserve">is calculated </w:t>
      </w:r>
      <w:r>
        <w:t>using</w:t>
      </w:r>
      <w:r w:rsidRPr="0031274A">
        <w:t xml:space="preserve"> the natural logarithm of the ratio of the total CEO compensation to the mean employee pay during the fiscal year</w:t>
      </w:r>
      <w:r>
        <w:t>.</w:t>
      </w:r>
      <w:r w:rsidRPr="0031274A">
        <w:rPr>
          <w:rStyle w:val="FootnoteReference"/>
        </w:rPr>
        <w:footnoteReference w:id="6"/>
      </w:r>
      <w:r>
        <w:t xml:space="preserve"> </w:t>
      </w:r>
      <w:r w:rsidRPr="0031274A">
        <w:t xml:space="preserve">Industries are </w:t>
      </w:r>
      <w:r w:rsidRPr="0031274A">
        <w:lastRenderedPageBreak/>
        <w:t xml:space="preserve">defined </w:t>
      </w:r>
      <w:r>
        <w:t>using a</w:t>
      </w:r>
      <w:r w:rsidRPr="0031274A">
        <w:t xml:space="preserve"> two-digit </w:t>
      </w:r>
      <w:r w:rsidRPr="00FE5FC6">
        <w:t xml:space="preserve">Global Industry Classification Standard </w:t>
      </w:r>
      <w:r>
        <w:t>(</w:t>
      </w:r>
      <w:r w:rsidRPr="0031274A">
        <w:t>GICS</w:t>
      </w:r>
      <w:r>
        <w:t>)</w:t>
      </w:r>
      <w:r w:rsidRPr="0031274A">
        <w:t xml:space="preserve"> code. Subscri</w:t>
      </w:r>
      <w:r>
        <w:t>pt</w:t>
      </w:r>
      <w:r w:rsidRPr="00D71EA9">
        <w:rPr>
          <w:i/>
          <w:iCs/>
        </w:rPr>
        <w:t xml:space="preserve"> </w:t>
      </w:r>
      <w:proofErr w:type="spellStart"/>
      <w:r w:rsidRPr="00D71EA9">
        <w:rPr>
          <w:i/>
          <w:iCs/>
        </w:rPr>
        <w:t>i</w:t>
      </w:r>
      <w:proofErr w:type="spellEnd"/>
      <w:r w:rsidRPr="0031274A">
        <w:t xml:space="preserve"> is the firm identifier, </w:t>
      </w:r>
      <w:r w:rsidRPr="00D71EA9">
        <w:rPr>
          <w:i/>
        </w:rPr>
        <w:t>j</w:t>
      </w:r>
      <w:r>
        <w:t xml:space="preserve"> is the industry identifier, </w:t>
      </w:r>
      <w:r w:rsidRPr="00D71EA9">
        <w:rPr>
          <w:i/>
        </w:rPr>
        <w:t>k</w:t>
      </w:r>
      <w:r>
        <w:t xml:space="preserve"> is the region identifier, and </w:t>
      </w:r>
      <w:r w:rsidRPr="00D71EA9">
        <w:rPr>
          <w:i/>
          <w:iCs/>
        </w:rPr>
        <w:t>t</w:t>
      </w:r>
      <w:r>
        <w:t xml:space="preserve"> is the fiscal year.</w:t>
      </w:r>
    </w:p>
    <w:p w14:paraId="02A612EF" w14:textId="0DAE1304" w:rsidR="00D71EA9" w:rsidRPr="004F0561" w:rsidRDefault="00D71EA9" w:rsidP="00657953">
      <w:r>
        <w:t>H</w:t>
      </w:r>
      <w:r w:rsidRPr="00036342">
        <w:t>ighly skilled CEO</w:t>
      </w:r>
      <w:r>
        <w:t>s</w:t>
      </w:r>
      <w:r w:rsidRPr="00036342">
        <w:t xml:space="preserve"> are required in larger firms with more complex operation</w:t>
      </w:r>
      <w:r>
        <w:t>s,</w:t>
      </w:r>
      <w:r w:rsidRPr="00036342">
        <w:t xml:space="preserve"> greater growth opportunities</w:t>
      </w:r>
      <w:r>
        <w:t>,</w:t>
      </w:r>
      <w:r w:rsidRPr="004F0561">
        <w:t xml:space="preserve"> and </w:t>
      </w:r>
      <w:r>
        <w:t xml:space="preserve">higher </w:t>
      </w:r>
      <w:r w:rsidRPr="004F0561">
        <w:t>performance</w:t>
      </w:r>
      <w:r>
        <w:t xml:space="preserve"> </w:t>
      </w:r>
      <w:r>
        <w:fldChar w:fldCharType="begin" w:fldLock="1"/>
      </w:r>
      <w:r w:rsidR="002E5440">
        <w:instrText>ADDIN CSL_CITATION {"citationItems":[{"id":"ITEM-1","itemData":{"DOI":"10.1016/S0304-405X(98)00058-0","ISSN":"0304405X","abstract":"We find that measures of board and ownership structure explain a significant amount of cross-sectional variation in CEO compensation, after controlling for standard economic determinants of pay. Moreover, the signs of the coefficients on the board and ownership structure variables suggest that CEOs earn greater compensation when governance structures are less effective. We also find that the predicted component of compensation arising from these characteristics of board and ownership structure has a statistically significant negative relation with subsequent firm operating and stock return performance. Overall, our results suggest that firms with weaker governance structures have greater agency problems; that CEOs at firms with greater agency problems receive greater compensation; and that firms with greater agency problems perform worse.","author":[{"dropping-particle":"","family":"Core","given":"John E.","non-dropping-particle":"","parse-names":false,"suffix":""},{"dropping-particle":"","family":"Holthausen","given":"Robert W.","non-dropping-particle":"","parse-names":false,"suffix":""},{"dropping-particle":"","family":"Larcker","given":"David F.","non-dropping-particle":"","parse-names":false,"suffix":""}],"container-title":"Journal of Financial Economics","id":"ITEM-1","issue":"3","issued":{"date-parts":[["1999","3","1"]]},"page":"371-406","publisher":"North-Holland","title":"Corporate governance, chief executive officer compensation, and firm performance","type":"article-journal","volume":"51"},"uris":["http://www.mendeley.com/documents/?uuid=661f9bce-a0e3-4b69-aaec-1f3a798f8631"]}],"mendeley":{"formattedCitation":"(Core et al., 1999)","plainTextFormattedCitation":"(Core et al., 1999)","previouslyFormattedCitation":"(Core et al., 1999)"},"properties":{"noteIndex":0},"schema":"https://github.com/citation-style-language/schema/raw/master/csl-citation.json"}</w:instrText>
      </w:r>
      <w:r>
        <w:fldChar w:fldCharType="separate"/>
      </w:r>
      <w:r w:rsidR="009D2930" w:rsidRPr="009D2930">
        <w:rPr>
          <w:noProof/>
        </w:rPr>
        <w:t>(Core et al., 1999)</w:t>
      </w:r>
      <w:r>
        <w:fldChar w:fldCharType="end"/>
      </w:r>
      <w:r w:rsidRPr="004F0561">
        <w:t xml:space="preserve">. </w:t>
      </w:r>
      <w:r>
        <w:t>F</w:t>
      </w:r>
      <w:r w:rsidRPr="004F0561">
        <w:t>irm size</w:t>
      </w:r>
      <w:r>
        <w:t xml:space="preserve"> </w:t>
      </w:r>
      <w:r w:rsidRPr="004F0561">
        <w:t>(</w:t>
      </w:r>
      <w:proofErr w:type="spellStart"/>
      <w:r w:rsidRPr="00D71EA9">
        <w:rPr>
          <w:i/>
          <w:iCs/>
        </w:rPr>
        <w:t>LnRevenue</w:t>
      </w:r>
      <w:proofErr w:type="spellEnd"/>
      <w:r w:rsidRPr="004F0561">
        <w:t>)</w:t>
      </w:r>
      <w:r>
        <w:t>, f</w:t>
      </w:r>
      <w:r w:rsidRPr="004F0561">
        <w:t>irm age</w:t>
      </w:r>
      <w:r>
        <w:t xml:space="preserve"> </w:t>
      </w:r>
      <w:r w:rsidRPr="004F0561">
        <w:t>(</w:t>
      </w:r>
      <w:proofErr w:type="spellStart"/>
      <w:r w:rsidRPr="00D71EA9">
        <w:rPr>
          <w:i/>
          <w:iCs/>
        </w:rPr>
        <w:t>LnAge</w:t>
      </w:r>
      <w:proofErr w:type="spellEnd"/>
      <w:r w:rsidRPr="004F0561">
        <w:t>)</w:t>
      </w:r>
      <w:r>
        <w:t xml:space="preserve"> and </w:t>
      </w:r>
      <w:r w:rsidRPr="004F0561">
        <w:t>book to market ratio (</w:t>
      </w:r>
      <w:r w:rsidRPr="00D71EA9">
        <w:rPr>
          <w:i/>
          <w:iCs/>
        </w:rPr>
        <w:t>BTM</w:t>
      </w:r>
      <w:r w:rsidRPr="004F0561">
        <w:t>)</w:t>
      </w:r>
      <w:r>
        <w:t xml:space="preserve"> are included </w:t>
      </w:r>
      <w:r w:rsidRPr="004F0561">
        <w:t>to measure the complexity of a firm’s operation</w:t>
      </w:r>
      <w:r>
        <w:t xml:space="preserve"> and</w:t>
      </w:r>
      <w:r w:rsidRPr="004F0561">
        <w:t xml:space="preserve"> growth opportunit</w:t>
      </w:r>
      <w:r>
        <w:t>ies</w:t>
      </w:r>
      <w:r w:rsidRPr="004F0561">
        <w:t>.</w:t>
      </w:r>
      <w:r>
        <w:t xml:space="preserve"> In addition, </w:t>
      </w:r>
      <w:r w:rsidRPr="00036342">
        <w:t>the CEO’s compensation is an increasing function of ﬁrm performance</w:t>
      </w:r>
      <w:r>
        <w:t xml:space="preserve"> based </w:t>
      </w:r>
      <w:r w:rsidRPr="00036342">
        <w:t>on standard agency models</w:t>
      </w:r>
      <w:r>
        <w:t>. F</w:t>
      </w:r>
      <w:r w:rsidRPr="004F0561">
        <w:t>irm performance</w:t>
      </w:r>
      <w:r>
        <w:t xml:space="preserve"> is measured</w:t>
      </w:r>
      <w:r w:rsidRPr="004F0561">
        <w:t xml:space="preserve"> using the accounting return on asset (</w:t>
      </w:r>
      <w:r w:rsidRPr="00D71EA9">
        <w:rPr>
          <w:i/>
          <w:iCs/>
        </w:rPr>
        <w:t>ROA</w:t>
      </w:r>
      <w:r w:rsidRPr="004F0561">
        <w:t>),  and annual stock return (</w:t>
      </w:r>
      <w:r w:rsidRPr="00D71EA9">
        <w:rPr>
          <w:i/>
          <w:iCs/>
        </w:rPr>
        <w:t>Ret</w:t>
      </w:r>
      <w:r w:rsidRPr="004F0561">
        <w:t>)</w:t>
      </w:r>
      <w:r>
        <w:t xml:space="preserve"> </w:t>
      </w:r>
      <w:r w:rsidRPr="004F0561">
        <w:fldChar w:fldCharType="begin" w:fldLock="1"/>
      </w:r>
      <w:r w:rsidR="002E5440">
        <w:instrText>ADDIN CSL_CITATION {"citationItems":[{"id":"ITEM-1","itemData":{"DOI":"10.1016/S0304-405X(98)00058-0","ISSN":"0304405X","abstract":"We find that measures of board and ownership structure explain a significant amount of cross-sectional variation in CEO compensation, after controlling for standard economic determinants of pay. Moreover, the signs of the coefficients on the board and ownership structure variables suggest that CEOs earn greater compensation when governance structures are less effective. We also find that the predicted component of compensation arising from these characteristics of board and ownership structure has a statistically significant negative relation with subsequent firm operating and stock return performance. Overall, our results suggest that firms with weaker governance structures have greater agency problems; that CEOs at firms with greater agency problems receive greater compensation; and that firms with greater agency problems perform worse.","author":[{"dropping-particle":"","family":"Core","given":"John E.","non-dropping-particle":"","parse-names":false,"suffix":""},{"dropping-particle":"","family":"Holthausen","given":"Robert W.","non-dropping-particle":"","parse-names":false,"suffix":""},{"dropping-particle":"","family":"Larcker","given":"David F.","non-dropping-particle":"","parse-names":false,"suffix":""}],"container-title":"Journal of Financial Economics","id":"ITEM-1","issue":"3","issued":{"date-parts":[["1999","3","1"]]},"page":"371-406","publisher":"North-Holland","title":"Corporate governance, chief executive officer compensation, and firm performance","type":"article-journal","volume":"51"},"uris":["http://www.mendeley.com/documents/?uuid=661f9bce-a0e3-4b69-aaec-1f3a798f8631"]}],"mendeley":{"formattedCitation":"(Core et al., 1999)","plainTextFormattedCitation":"(Core et al., 1999)","previouslyFormattedCitation":"(Core et al., 1999)"},"properties":{"noteIndex":0},"schema":"https://github.com/citation-style-language/schema/raw/master/csl-citation.json"}</w:instrText>
      </w:r>
      <w:r w:rsidRPr="004F0561">
        <w:fldChar w:fldCharType="separate"/>
      </w:r>
      <w:r w:rsidR="009D2930" w:rsidRPr="009D2930">
        <w:rPr>
          <w:noProof/>
        </w:rPr>
        <w:t>(Core et al., 1999)</w:t>
      </w:r>
      <w:r w:rsidRPr="004F0561">
        <w:fldChar w:fldCharType="end"/>
      </w:r>
      <w:r w:rsidRPr="004F0561">
        <w:t xml:space="preserve">. Furthermore, </w:t>
      </w:r>
      <w:r>
        <w:t>it is expected</w:t>
      </w:r>
      <w:r w:rsidRPr="004F0561">
        <w:t xml:space="preserve"> that firm</w:t>
      </w:r>
      <w:r>
        <w:t>s</w:t>
      </w:r>
      <w:r w:rsidRPr="004F0561">
        <w:t xml:space="preserve"> with noisier environments, computed by the standard deviation of common stock returns over the prior ﬁve years (</w:t>
      </w:r>
      <w:proofErr w:type="spellStart"/>
      <w:r w:rsidRPr="00D71EA9">
        <w:rPr>
          <w:i/>
          <w:iCs/>
        </w:rPr>
        <w:t>RetVar</w:t>
      </w:r>
      <w:proofErr w:type="spellEnd"/>
      <w:r w:rsidRPr="004F0561">
        <w:t>), provide higher incentives to attract talented manager</w:t>
      </w:r>
      <w:r>
        <w:t>s</w:t>
      </w:r>
      <w:r w:rsidRPr="004F0561">
        <w:t xml:space="preserve"> </w:t>
      </w:r>
      <w:r w:rsidRPr="004F0561">
        <w:fldChar w:fldCharType="begin" w:fldLock="1"/>
      </w:r>
      <w:r w:rsidR="002E5440">
        <w:instrText>ADDIN CSL_CITATION {"citationItems":[{"id":"ITEM-1","itemData":{"DOI":"10.1016/S0304-405X(98)00058-0","ISSN":"0304405X","abstract":"We find that measures of board and ownership structure explain a significant amount of cross-sectional variation in CEO compensation, after controlling for standard economic determinants of pay. Moreover, the signs of the coefficients on the board and ownership structure variables suggest that CEOs earn greater compensation when governance structures are less effective. We also find that the predicted component of compensation arising from these characteristics of board and ownership structure has a statistically significant negative relation with subsequent firm operating and stock return performance. Overall, our results suggest that firms with weaker governance structures have greater agency problems; that CEOs at firms with greater agency problems receive greater compensation; and that firms with greater agency problems perform worse.","author":[{"dropping-particle":"","family":"Core","given":"John E.","non-dropping-particle":"","parse-names":false,"suffix":""},{"dropping-particle":"","family":"Holthausen","given":"Robert W.","non-dropping-particle":"","parse-names":false,"suffix":""},{"dropping-particle":"","family":"Larcker","given":"David F.","non-dropping-particle":"","parse-names":false,"suffix":""}],"container-title":"Journal of Financial Economics","id":"ITEM-1","issue":"3","issued":{"date-parts":[["1999","3","1"]]},"page":"371-406","publisher":"North-Holland","title":"Corporate governance, chief executive officer compensation, and firm performance","type":"article-journal","volume":"51"},"uris":["http://www.mendeley.com/documents/?uuid=661f9bce-a0e3-4b69-aaec-1f3a798f8631"]},{"id":"ITEM-2","itemData":{"DOI":"10.5465/3069283","ISSN":"0001-4273","abstract":"Relatively little research explores observed differences in pay dispersion across organizations and whether those observed differences have consequences for employee behaviors. Using data from two managerial compensation samples, we found that an organization's context?its environment and diversification strategy?is related to differences in pay dispersion across firms. We also found that pay dispersion within an organization is related to the tenure of managers and the likelihood of their leaving the organization.; Relatively little research explores observed differences in pay dispersion across organizations and whether those observed differences have consequences for employee behaviors. Using data from two managerial compensation samples, we found that an organization's context?its environment and diversification strategy?is related to differences in pay dispersion across firms. We also found that pay dispersion within an organization is related to the tenure of managers and the likelihood of their leaving the organization.","author":[{"dropping-particle":"","family":"Bloom","given":"Matt","non-dropping-particle":"","parse-names":false,"suffix":""},{"dropping-particle":"","family":"Michel","given":"John G.","non-dropping-particle":"","parse-names":false,"suffix":""}],"container-title":"Academy of Management Journal","id":"ITEM-2","issue":"1","issued":{"date-parts":[["2002","2"]]},"page":"33-42","publisher":"Academy of Management","title":"The Relationships Among Organizational Context, Pay Dispersion, and Among Managerial Turnover","type":"article-journal","volume":"45"},"uris":["http://www.mendeley.com/documents/?uuid=313f79bd-1779-434c-95c4-ee80ddc950fa"]}],"mendeley":{"formattedCitation":"(Bloom &amp; Michel, 2002; Core et al., 1999)","plainTextFormattedCitation":"(Bloom &amp; Michel, 2002; Core et al., 1999)","previouslyFormattedCitation":"(Bloom &amp; Michel, 2002; Core et al., 1999)"},"properties":{"noteIndex":0},"schema":"https://github.com/citation-style-language/schema/raw/master/csl-citation.json"}</w:instrText>
      </w:r>
      <w:r w:rsidRPr="004F0561">
        <w:fldChar w:fldCharType="separate"/>
      </w:r>
      <w:r w:rsidR="009D2930" w:rsidRPr="009D2930">
        <w:rPr>
          <w:noProof/>
        </w:rPr>
        <w:t>(Bloom &amp; Michel, 2002; Core et al., 1999)</w:t>
      </w:r>
      <w:r w:rsidRPr="004F0561">
        <w:fldChar w:fldCharType="end"/>
      </w:r>
      <w:r w:rsidRPr="004F0561">
        <w:t>.</w:t>
      </w:r>
      <w:r>
        <w:t xml:space="preserve"> In addition, the</w:t>
      </w:r>
      <w:r w:rsidRPr="004F0561">
        <w:t xml:space="preserve"> capital structure (</w:t>
      </w:r>
      <w:r w:rsidRPr="00D71EA9">
        <w:rPr>
          <w:i/>
          <w:iCs/>
        </w:rPr>
        <w:t>Leverage</w:t>
      </w:r>
      <w:r w:rsidRPr="004F0561">
        <w:t xml:space="preserve">), measured by total long-term debt scaled by the total asset, </w:t>
      </w:r>
      <w:r>
        <w:t xml:space="preserve">is included </w:t>
      </w:r>
      <w:r w:rsidRPr="004F0561">
        <w:t>to control</w:t>
      </w:r>
      <w:r>
        <w:t xml:space="preserve"> </w:t>
      </w:r>
      <w:r w:rsidRPr="00962F25">
        <w:t>pay inequality</w:t>
      </w:r>
      <w:r w:rsidRPr="00D71EA9">
        <w:rPr>
          <w:i/>
          <w:iCs/>
        </w:rPr>
        <w:t>. Leverage</w:t>
      </w:r>
      <w:r w:rsidRPr="004F0561">
        <w:t xml:space="preserve"> may be negatively associated with compensation because it decreases companies’ ability to make their payroll. </w:t>
      </w:r>
      <w:r>
        <w:t>However,</w:t>
      </w:r>
      <w:r w:rsidRPr="004F0561">
        <w:t xml:space="preserve"> leverage can be positively correlated with compensation since potential bankruptcy costs arising from high leverage should be compensated by higher pay </w:t>
      </w:r>
      <w:r>
        <w:fldChar w:fldCharType="begin" w:fldLock="1"/>
      </w:r>
      <w:r w:rsidR="002E5440">
        <w:instrText>ADDIN CSL_CITATION {"citationItems":[{"id":"ITEM-1","itemData":{"DOI":"10.1111/j.1540-6261.2010.01556.x","ISSN":"00221082","abstract":"We derive the optimal labor contract for a levered firm in an economy with perfectly competitive capital and labor markets. Employees become entrenched under this contract and so face large human costs of bankruptcy. The firm's optimal capital structure therefore depends on the trade-off between these human costs and the tax benefits of debt. Optimal debt levels consistent with those observed in practice emerge without relying on frictions such as moral hazard or asymmetric information. Consistent with empirical evidence, persistent idiosyncratic differences in leverage across firms also result. In addition, wages should have explanatory power for firm leverage. © 2010 the American Finance Association.","author":[{"dropping-particle":"","family":"Berk","given":"Jonathan B.","non-dropping-particle":"","parse-names":false,"suffix":""},{"dropping-particle":"","family":"Stanton","given":"Richard","non-dropping-particle":"","parse-names":false,"suffix":""},{"dropping-particle":"","family":"Zechner","given":"Josef","non-dropping-particle":"","parse-names":false,"suffix":""}],"container-title":"The Journal of Finance","id":"ITEM-1","issue":"3","issued":{"date-parts":[["2010","6","1"]]},"page":"891-926","publisher":"Blackwell Publishing Ltd","title":"Human Capital, Bankruptcy, and Capital Structure","type":"article-journal","volume":"65"},"uris":["http://www.mendeley.com/documents/?uuid=40ae2597-781a-3740-a44b-9b9670052078"]},{"id":"ITEM-2","itemData":{"DOI":"10.1016/j.jfineco.2013.07.003","ISSN":"0304405X","abstract":"We test the predictions of Titman (1984) and Berk, Stanton, and Zechner (2010) by examining the effect of leverage on labor costs. Leverage has a significantly positive impact on cash, equity-based, and total compensation of chief executive officers (CEOs). Compensation of new CEOs hired from outside the firm is positively related to prior-year firm leverage. In addition, leverage has a positive and significant impact on average employee pay. The incremental total labor expenses associated with an increase in leverage are large enough to offset the incremental tax benefits of debt. The empirical evidence supports the theoretical prediction that labor costs limit the use of debt. © 2013 Elsevier B.V.","author":[{"dropping-particle":"","family":"Chemmanur","given":"Thomas J.","non-dropping-particle":"","parse-names":false,"suffix":""},{"dropping-particle":"","family":"Cheng","given":"Yingmei","non-dropping-particle":"","parse-names":false,"suffix":""},{"dropping-particle":"","family":"Zhang","given":"Tianming","non-dropping-particle":"","parse-names":false,"suffix":""}],"container-title":"Journal of Financial Economics","id":"ITEM-2","issue":"2","issued":{"date-parts":[["2013","11","1"]]},"page":"478-502","publisher":"North-Holland","title":"Human capital, capital structure, and employee pay: An empirical analysis","type":"article-journal","volume":"110"},"uris":["http://www.mendeley.com/documents/?uuid=d5f99ac8-95fc-3e13-b699-8237a5a3e487"]}],"mendeley":{"formattedCitation":"(Berk et al., 2010; Chemmanur et al., 2013)","manualFormatting":"(e.g., Berk et al., 2010; Chemmanur et al., 2013)","plainTextFormattedCitation":"(Berk et al., 2010; Chemmanur et al., 2013)","previouslyFormattedCitation":"(Berk et al., 2010; Chemmanur et al., 2013)"},"properties":{"noteIndex":0},"schema":"https://github.com/citation-style-language/schema/raw/master/csl-citation.json"}</w:instrText>
      </w:r>
      <w:r>
        <w:fldChar w:fldCharType="separate"/>
      </w:r>
      <w:r w:rsidRPr="00CA30A2">
        <w:rPr>
          <w:noProof/>
        </w:rPr>
        <w:t>(</w:t>
      </w:r>
      <w:r>
        <w:rPr>
          <w:noProof/>
        </w:rPr>
        <w:t xml:space="preserve">e.g., </w:t>
      </w:r>
      <w:r w:rsidRPr="00CA30A2">
        <w:rPr>
          <w:noProof/>
        </w:rPr>
        <w:t>Berk et al., 2010; Chemmanur et al., 2013)</w:t>
      </w:r>
      <w:r>
        <w:fldChar w:fldCharType="end"/>
      </w:r>
      <w:r w:rsidRPr="004F0561">
        <w:t xml:space="preserve">. </w:t>
      </w:r>
      <w:r w:rsidRPr="00240496">
        <w:t xml:space="preserve">Therefore, the sign of its impact </w:t>
      </w:r>
      <w:r w:rsidRPr="00D71EA9">
        <w:rPr>
          <w:color w:val="000000" w:themeColor="text1"/>
        </w:rPr>
        <w:t xml:space="preserve">on pay inequality is not predicted </w:t>
      </w:r>
      <w:r w:rsidRPr="00240496">
        <w:fldChar w:fldCharType="begin" w:fldLock="1"/>
      </w:r>
      <w:r w:rsidR="002E5440">
        <w:instrText>ADDIN CSL_CITATION {"citationItems":[{"id":"ITEM-1","itemData":{"DOI":"10.2308/accr-52440","ISSN":"00014826","abstract":"I develop measures of firm-level pay disparity and examine their relation to firm performance. Using comprehensive compensation data for a large sample of firms, I find no statistically significant relation between the ratio of CEO-to-mean employee compensatfile:///C:/Users/RT228/Desktop/PhD Thesis/Article/My area article/Martin/Rethinking Measurement of Pay Disparity and Its Relation to Firm Performance.pdfion and performance. I next create empirical models that allow me to separate the components of CEO and employee compensation explained by economic factors from those that are not, and use these models to estimate explained and unexplained pay disparity. After validating my estimate of unexplained pay disparity as a proxy for pay fairness, I find robust evidence of a negative (positive) relation between unexplained (explained) pay disparity and future firm performance.","author":[{"dropping-particle":"","family":"Rouen","given":"Ethan","non-dropping-particle":"","parse-names":false,"suffix":""}],"container-title":"Accounting Review","id":"ITEM-1","issue":"1","issued":{"date-parts":[["2020","1","1"]]},"page":"343-378","publisher":"American Accounting Association","title":"Rethinking measurement of pay disparity and its relation to firm performance.","type":"article-journal","volume":"95"},"uris":["http://www.mendeley.com/documents/?uuid=09de6d33-6c58-39a7-b23e-7551aef5db6f"]},{"id":"ITEM-2","itemData":{"DOI":"10.1177/0019793914556242","ISSN":"0019-7939","abstract":"The authors examine factors influencing the executive pay multiple (executive-employee pay disparity) and its effects on performance. Using unique data from Korea, where all publicly listed firms are required to provide detailed information on average employee pay in their annual reports, they find that a substantial portion of crosssectional variation in the executive pay multiple is explained by the firm's economic and political characteristics. Results also indicate that the executive pay multiple has a statistically significant negative relation with subsequent operating and stock return performance. A two-stage approach, however, reveals that the performance effects of the executive pay multiple are likely to be influenced more by deviations from the expected executive pay multiple, estimated vising the first-stage determinant model, than by the absolute pay multiple per se. The study sheds light on recent debates regarding the usefulness of executive pay multiple disclosure.","author":[{"dropping-particle":"","family":"Shin","given":"Jae Yong","non-dropping-particle":"","parse-names":false,"suffix":""},{"dropping-particle":"","family":"Kang","given":"Sung-Choon","non-dropping-particle":"","parse-names":false,"suffix":""},{"dropping-particle":"","family":"Hyun","given":"Jeong-Hoon","non-dropping-particle":"","parse-names":false,"suffix":""},{"dropping-particle":"","family":"Kim","given":"Bum-Joon","non-dropping-particle":"","parse-names":false,"suffix":""}],"container-title":"ILR Review","id":"ITEM-2","issue":"1","issued":{"date-parts":[["2015","1","30"]]},"page":"53-78","publisher":"Cornell University","title":"Determinants and Performance Effects of Executive Pay Multiples","type":"article-journal","volume":"68"},"uris":["http://www.mendeley.com/documents/?uuid=243c9e97-cc53-3ebc-a3b1-87a36e1e1083"]}],"mendeley":{"formattedCitation":"(Rouen, 2020; Shin et al., 2015)","plainTextFormattedCitation":"(Rouen, 2020; Shin et al., 2015)","previouslyFormattedCitation":"(Rouen, 2020; Shin et al., 2015)"},"properties":{"noteIndex":0},"schema":"https://github.com/citation-style-language/schema/raw/master/csl-citation.json"}</w:instrText>
      </w:r>
      <w:r w:rsidRPr="00240496">
        <w:fldChar w:fldCharType="separate"/>
      </w:r>
      <w:r w:rsidR="009D2930" w:rsidRPr="009D2930">
        <w:rPr>
          <w:noProof/>
        </w:rPr>
        <w:t>(Rouen, 2020; Shin et al., 2015)</w:t>
      </w:r>
      <w:r w:rsidRPr="00240496">
        <w:fldChar w:fldCharType="end"/>
      </w:r>
      <w:r w:rsidRPr="00240496">
        <w:t>.</w:t>
      </w:r>
    </w:p>
    <w:p w14:paraId="3830FB1E" w14:textId="40FE3E06" w:rsidR="00D71EA9" w:rsidRDefault="00D71EA9" w:rsidP="00657953">
      <w:r w:rsidRPr="00036342">
        <w:t xml:space="preserve">Furthermore, </w:t>
      </w:r>
      <w:r>
        <w:t>executives’ incomes increase with their</w:t>
      </w:r>
      <w:r w:rsidRPr="00036342">
        <w:t xml:space="preserve"> bargaining power </w:t>
      </w:r>
      <w:r>
        <w:t>over</w:t>
      </w:r>
      <w:r w:rsidRPr="00036342">
        <w:t xml:space="preserve"> board members</w:t>
      </w:r>
      <w:r>
        <w:t xml:space="preserve">, and their </w:t>
      </w:r>
      <w:r w:rsidRPr="00036342">
        <w:t>bargaining power</w:t>
      </w:r>
      <w:r>
        <w:t xml:space="preserve"> decreases with </w:t>
      </w:r>
      <w:r w:rsidRPr="00036342">
        <w:t>effective corporate governance</w:t>
      </w:r>
      <w:r>
        <w:t xml:space="preserve"> </w:t>
      </w:r>
      <w:r w:rsidRPr="004F0561">
        <w:fldChar w:fldCharType="begin" w:fldLock="1"/>
      </w:r>
      <w:r w:rsidR="002E5440">
        <w:instrText>ADDIN CSL_CITATION {"citationItems":[{"id":"ITEM-1","itemData":{"DOI":"10.1016/S0304-405X(98)00058-0","ISSN":"0304405X","abstract":"We find that measures of board and ownership structure explain a significant amount of cross-sectional variation in CEO compensation, after controlling for standard economic determinants of pay. Moreover, the signs of the coefficients on the board and ownership structure variables suggest that CEOs earn greater compensation when governance structures are less effective. We also find that the predicted component of compensation arising from these characteristics of board and ownership structure has a statistically significant negative relation with subsequent firm operating and stock return performance. Overall, our results suggest that firms with weaker governance structures have greater agency problems; that CEOs at firms with greater agency problems receive greater compensation; and that firms with greater agency problems perform worse.","author":[{"dropping-particle":"","family":"Core","given":"John E.","non-dropping-particle":"","parse-names":false,"suffix":""},{"dropping-particle":"","family":"Holthausen","given":"Robert W.","non-dropping-particle":"","parse-names":false,"suffix":""},{"dropping-particle":"","family":"Larcker","given":"David F.","non-dropping-particle":"","parse-names":false,"suffix":""}],"container-title":"Journal of Financial Economics","id":"ITEM-1","issue":"3","issued":{"date-parts":[["1999","3","1"]]},"page":"371-406","publisher":"North-Holland","title":"Corporate governance, chief executive officer compensation, and firm performance","type":"article-journal","volume":"51"},"uris":["http://www.mendeley.com/documents/?uuid=661f9bce-a0e3-4b69-aaec-1f3a798f8631"]}],"mendeley":{"formattedCitation":"(Core et al., 1999)","plainTextFormattedCitation":"(Core et al., 1999)","previouslyFormattedCitation":"(Core et al., 1999)"},"properties":{"noteIndex":0},"schema":"https://github.com/citation-style-language/schema/raw/master/csl-citation.json"}</w:instrText>
      </w:r>
      <w:r w:rsidRPr="004F0561">
        <w:fldChar w:fldCharType="separate"/>
      </w:r>
      <w:r w:rsidR="009D2930" w:rsidRPr="009D2930">
        <w:rPr>
          <w:noProof/>
        </w:rPr>
        <w:t>(Core et al., 1999)</w:t>
      </w:r>
      <w:r w:rsidRPr="004F0561">
        <w:fldChar w:fldCharType="end"/>
      </w:r>
      <w:r w:rsidRPr="004F0561">
        <w:t xml:space="preserve">. The CEO has higher bargaining power when the CEO </w:t>
      </w:r>
      <w:r>
        <w:t>is</w:t>
      </w:r>
      <w:r w:rsidRPr="004F0561">
        <w:t xml:space="preserve"> the board chair (</w:t>
      </w:r>
      <w:proofErr w:type="spellStart"/>
      <w:r w:rsidRPr="00D71EA9">
        <w:rPr>
          <w:i/>
          <w:iCs/>
        </w:rPr>
        <w:t>IsCEOChair</w:t>
      </w:r>
      <w:proofErr w:type="spellEnd"/>
      <w:r w:rsidRPr="004F0561">
        <w:t>)</w:t>
      </w:r>
      <w:r>
        <w:t xml:space="preserve"> </w:t>
      </w:r>
      <w:r w:rsidRPr="004F0561">
        <w:fldChar w:fldCharType="begin" w:fldLock="1"/>
      </w:r>
      <w:r w:rsidR="002E5440">
        <w:instrText>ADDIN CSL_CITATION {"citationItems":[{"id":"ITEM-1","itemData":{"DOI":"10.1016/j.jfineco.2011.02.010","ISSN":"0304405X","abstract":"We study the effects of the intensity of board monitoring on directors' effectiveness in performing their monitoring and advising duties. We find that monitoring quality improves when a majority of independent directors serve on at least two of the three principal monitoring committees. These firms exhibit greater sensitivity of CEO turnover to firm performance, lower excess executive compensation, and reduced earnings management. The improvement in monitoring quality comes at the significant cost of weaker strategic advising and greater managerial myopia. Firms with boards that monitor intensely exhibit worse acquisition performance and diminished corporate innovation. Firm value results suggest that the negative advising effects outweigh the benefits of improved monitoring, especially when acquisitions or corporate innovation are significant value drivers or the firm's operations are complex. © 2011 Elsevier B.V.","author":[{"dropping-particle":"","family":"Faleye","given":"Olubunmi","non-dropping-particle":"","parse-names":false,"suffix":""},{"dropping-particle":"","family":"Hoitash","given":"Rani","non-dropping-particle":"","parse-names":false,"suffix":""},{"dropping-particle":"","family":"Hoitash","given":"Udi","non-dropping-particle":"","parse-names":false,"suffix":""}],"container-title":"Journal of Financial Economics","id":"ITEM-1","issue":"1","issued":{"date-parts":[["2011","7","1"]]},"page":"160-181","publisher":"North-Holland","title":"The costs of intense board monitoring","type":"article-journal","volume":"101"},"uris":["http://www.mendeley.com/documents/?uuid=50138dbe-9269-3fef-9ab5-aa28e71b3637"]},{"id":"ITEM-2","itemData":{"DOI":"10.1016/S0304-405X(98)00058-0","ISSN":"0304405X","abstract":"We find that measures of board and ownership structure explain a significant amount of cross-sectional variation in CEO compensation, after controlling for standard economic determinants of pay. Moreover, the signs of the coefficients on the board and ownership structure variables suggest that CEOs earn greater compensation when governance structures are less effective. We also find that the predicted component of compensation arising from these characteristics of board and ownership structure has a statistically significant negative relation with subsequent firm operating and stock return performance. Overall, our results suggest that firms with weaker governance structures have greater agency problems; that CEOs at firms with greater agency problems receive greater compensation; and that firms with greater agency problems perform worse.","author":[{"dropping-particle":"","family":"Core","given":"John E.","non-dropping-particle":"","parse-names":false,"suffix":""},{"dropping-particle":"","family":"Holthausen","given":"Robert W.","non-dropping-particle":"","parse-names":false,"suffix":""},{"dropping-particle":"","family":"Larcker","given":"David F.","non-dropping-particle":"","parse-names":false,"suffix":""}],"container-title":"Journal of Financial Economics","id":"ITEM-2","issue":"3","issued":{"date-parts":[["1999","3","1"]]},"page":"371-406","publisher":"North-Holland","title":"Corporate governance, chief executive officer compensation, and firm performance","type":"article-journal","volume":"51"},"uris":["http://www.mendeley.com/documents/?uuid=661f9bce-a0e3-4b69-aaec-1f3a798f8631"]},{"id":"ITEM-3","itemData":{"abstract":"I present evidence consistent with theories that small boards of directors are more effective, Using Tobin's Q as an approximation of market valuation, I find an inverse association between board size and firm value in a sample of 452 large U.S. industrial corporations between 1984 and 1991. The result is robust to numerous controls for company size, industry membership, inside stock ownership, growth opportunities, and alternative corporate governance structures. Companies with small boards also exhibit more favorable values for financial ratios, and provide stronger CEO performance incentives from compensation and the threat of dismissal.","author":[{"dropping-particle":"","family":"Yermack","given":"David","non-dropping-particle":"","parse-names":false,"suffix":""}],"container-title":"EISEVIER Journal of Financial Economics","id":"ITEM-3","issued":{"date-parts":[["1996"]]},"number-of-pages":"185-211","title":"Higher market valuation of companies with a small board of directors","type":"report","volume":"40"},"uris":["http://www.mendeley.com/documents/?uuid=b7fcb0a0-a620-39fb-970f-b173bcd696da"]}],"mendeley":{"formattedCitation":"(Core et al., 1999; Faleye et al., 2011; Yermack, 1996)","plainTextFormattedCitation":"(Core et al., 1999; Faleye et al., 2011; Yermack, 1996)","previouslyFormattedCitation":"(Core et al., 1999; Faleye et al., 2011; Yermack, 1996)"},"properties":{"noteIndex":0},"schema":"https://github.com/citation-style-language/schema/raw/master/csl-citation.json"}</w:instrText>
      </w:r>
      <w:r w:rsidRPr="004F0561">
        <w:fldChar w:fldCharType="separate"/>
      </w:r>
      <w:r w:rsidR="009D2930" w:rsidRPr="009D2930">
        <w:rPr>
          <w:noProof/>
        </w:rPr>
        <w:t>(Core et al., 1999; Faleye et al., 2011; Yermack, 1996)</w:t>
      </w:r>
      <w:r w:rsidRPr="004F0561">
        <w:fldChar w:fldCharType="end"/>
      </w:r>
      <w:r w:rsidRPr="004F0561">
        <w:t xml:space="preserve"> because they are more entrenched, more experienced or more talented </w:t>
      </w:r>
      <w:r w:rsidRPr="004F0561">
        <w:fldChar w:fldCharType="begin" w:fldLock="1"/>
      </w:r>
      <w:r w:rsidR="002E5440">
        <w:instrText>ADDIN CSL_CITATION {"citationItems":[{"id":"ITEM-1","itemData":{"DOI":"10.1016/j.jbankfin.2013.03.003","ISSN":"03784266","abstract":"We study the determinants and effects of the relative compensation of top executives and lower-level employees. First, we show that CEO-employee pay ratios depend on the balance of power between the CEO (relative to the board) and ordinary employees (relative to management). Second, our results suggest that employees do not perceive higher pay ratios as an inequitable outcome to be redressed via costly behaviors that lower productivity. We do not find a negative relation between relative pay and employee productivity, either in our full sample or in subsamples where employees are well-informed about executive pay and are protected against career retributions. Rather, we find that productivity increases with relative pay when the firm has fewer employees who are well-informed, and when promotion decisions are predominantly merit-based. We also find that firm value and operating performance both increase with relative pay. We conclude that ordinary employees appear to perceive an opportunity in higher pay ratios but the extent to which such perception incentivizes them depends on the likelihood of success in a series of sequential promotion tournaments. © 2013 Elsevier B.V.","author":[{"dropping-particle":"","family":"Faleye","given":"Olubunmi","non-dropping-particle":"","parse-names":false,"suffix":""},{"dropping-particle":"","family":"Reis","given":"Ebru","non-dropping-particle":"","parse-names":false,"suffix":""},{"dropping-particle":"","family":"Venkateswaran","given":"Anand","non-dropping-particle":"","parse-names":false,"suffix":""}],"container-title":"Journal of Banking and Finance","id":"ITEM-1","issue":"8","issued":{"date-parts":[["2013","8","1"]]},"page":"3258-3272","publisher":"North-Holland","title":"The determinants and effects of CEO-employee pay ratios","type":"article-journal","volume":"37"},"uris":["http://www.mendeley.com/documents/?uuid=e5f3f9b6-68e5-4bc4-9537-454d7779e4e7"]}],"mendeley":{"formattedCitation":"(Faleye et al., 2013)","plainTextFormattedCitation":"(Faleye et al., 2013)","previouslyFormattedCitation":"(Faleye et al., 2013)"},"properties":{"noteIndex":0},"schema":"https://github.com/citation-style-language/schema/raw/master/csl-citation.json"}</w:instrText>
      </w:r>
      <w:r w:rsidRPr="004F0561">
        <w:fldChar w:fldCharType="separate"/>
      </w:r>
      <w:r w:rsidR="009D2930" w:rsidRPr="009D2930">
        <w:rPr>
          <w:noProof/>
        </w:rPr>
        <w:t>(Faleye et al., 2013)</w:t>
      </w:r>
      <w:r w:rsidRPr="004F0561">
        <w:fldChar w:fldCharType="end"/>
      </w:r>
      <w:r w:rsidRPr="004F0561">
        <w:t xml:space="preserve">. </w:t>
      </w:r>
      <w:r>
        <w:t>B</w:t>
      </w:r>
      <w:r w:rsidRPr="004F0561">
        <w:t>oard tenure (</w:t>
      </w:r>
      <w:proofErr w:type="spellStart"/>
      <w:r w:rsidRPr="00D71EA9">
        <w:rPr>
          <w:i/>
          <w:iCs/>
        </w:rPr>
        <w:t>BoardTenure</w:t>
      </w:r>
      <w:proofErr w:type="spellEnd"/>
      <w:r w:rsidRPr="004F0561">
        <w:t>) and the percentage of independent board members on the compensation committee (</w:t>
      </w:r>
      <w:proofErr w:type="spellStart"/>
      <w:r w:rsidRPr="00D71EA9">
        <w:rPr>
          <w:i/>
          <w:iCs/>
        </w:rPr>
        <w:t>IndCommittee</w:t>
      </w:r>
      <w:proofErr w:type="spellEnd"/>
      <w:r w:rsidRPr="004F0561">
        <w:t xml:space="preserve">) </w:t>
      </w:r>
      <w:r>
        <w:t xml:space="preserve">are also included </w:t>
      </w:r>
      <w:r w:rsidRPr="004F0561">
        <w:t xml:space="preserve">in the model. </w:t>
      </w:r>
      <w:r w:rsidRPr="00240496">
        <w:t>We expect a positive relation</w:t>
      </w:r>
      <w:r>
        <w:t>ship</w:t>
      </w:r>
      <w:r w:rsidRPr="00240496">
        <w:t xml:space="preserve"> between these variables and corporate governance effectiveness.</w:t>
      </w:r>
      <w:r>
        <w:t xml:space="preserve"> </w:t>
      </w:r>
    </w:p>
    <w:p w14:paraId="4A1E92C1" w14:textId="44AF022F" w:rsidR="00D71EA9" w:rsidRDefault="00D71EA9" w:rsidP="00657953">
      <w:r>
        <w:t xml:space="preserve"> Employees’ skill is measured by three ratios including,</w:t>
      </w:r>
      <w:r w:rsidRPr="00014A0D">
        <w:t xml:space="preserve"> </w:t>
      </w:r>
      <w:r>
        <w:t>R&amp;D intensity (</w:t>
      </w:r>
      <w:proofErr w:type="spellStart"/>
      <w:r w:rsidRPr="00D71EA9">
        <w:rPr>
          <w:i/>
          <w:iCs/>
        </w:rPr>
        <w:t>RDIntensity</w:t>
      </w:r>
      <w:proofErr w:type="spellEnd"/>
      <w:r>
        <w:t>), physical capital intensity (</w:t>
      </w:r>
      <w:proofErr w:type="spellStart"/>
      <w:r w:rsidRPr="00D71EA9">
        <w:rPr>
          <w:i/>
          <w:iCs/>
        </w:rPr>
        <w:t>PPTIntensity</w:t>
      </w:r>
      <w:proofErr w:type="spellEnd"/>
      <w:r>
        <w:t>)  and workforce education (</w:t>
      </w:r>
      <w:r w:rsidRPr="00D71EA9">
        <w:rPr>
          <w:i/>
          <w:iCs/>
        </w:rPr>
        <w:t>Education</w:t>
      </w:r>
      <w:r>
        <w:t xml:space="preserve">)  </w:t>
      </w:r>
      <w:r>
        <w:fldChar w:fldCharType="begin" w:fldLock="1"/>
      </w:r>
      <w:r w:rsidR="002E5440">
        <w:instrText>ADDIN CSL_CITATION {"citationItems":[{"id":"ITEM-1","itemData":{"DOI":"10.1016/j.jbankfin.2013.03.003","ISSN":"03784266","abstract":"We study the determinants and effects of the relative compensation of top executives and lower-level employees. First, we show that CEO-employee pay ratios depend on the balance of power between the CEO (relative to the board) and ordinary employees (relative to management). Second, our results suggest that employees do not perceive higher pay ratios as an inequitable outcome to be redressed via costly behaviors that lower productivity. We do not find a negative relation between relative pay and employee productivity, either in our full sample or in subsamples where employees are well-informed about executive pay and are protected against career retributions. Rather, we find that productivity increases with relative pay when the firm has fewer employees who are well-informed, and when promotion decisions are predominantly merit-based. We also find that firm value and operating performance both increase with relative pay. We conclude that ordinary employees appear to perceive an opportunity in higher pay ratios but the extent to which such perception incentivizes them depends on the likelihood of success in a series of sequential promotion tournaments. © 2013 Elsevier B.V.","author":[{"dropping-particle":"","family":"Faleye","given":"Olubunmi","non-dropping-particle":"","parse-names":false,"suffix":""},{"dropping-particle":"","family":"Reis","given":"Ebru","non-dropping-particle":"","parse-names":false,"suffix":""},{"dropping-particle":"","family":"Venkateswaran","given":"Anand","non-dropping-particle":"","parse-names":false,"suffix":""}],"container-title":"Journal of Banking and Finance","id":"ITEM-1","issue":"8","issued":{"date-parts":[["2013","8","1"]]},"page":"3258-3272","publisher":"North-Holland","title":"The determinants and effects of CEO-employee pay ratios","type":"article-journal","volume":"37"},"uris":["http://www.mendeley.com/documents/?uuid=e5f3f9b6-68e5-4bc4-9537-454d7779e4e7"]}],"mendeley":{"formattedCitation":"(Faleye et al., 2013)","plainTextFormattedCitation":"(Faleye et al., 2013)","previouslyFormattedCitation":"(Faleye et al., 2013)"},"properties":{"noteIndex":0},"schema":"https://github.com/citation-style-language/schema/raw/master/csl-citation.json"}</w:instrText>
      </w:r>
      <w:r>
        <w:fldChar w:fldCharType="separate"/>
      </w:r>
      <w:r w:rsidR="009D2930" w:rsidRPr="009D2930">
        <w:rPr>
          <w:noProof/>
        </w:rPr>
        <w:t>(Faleye et al., 2013)</w:t>
      </w:r>
      <w:r>
        <w:fldChar w:fldCharType="end"/>
      </w:r>
      <w:r>
        <w:t xml:space="preserve">. </w:t>
      </w:r>
      <w:r w:rsidRPr="005814D2">
        <w:t xml:space="preserve">These three ratios </w:t>
      </w:r>
      <w:r>
        <w:t>consider</w:t>
      </w:r>
      <w:r w:rsidRPr="005814D2">
        <w:t xml:space="preserve"> two different </w:t>
      </w:r>
      <w:r>
        <w:t>factors</w:t>
      </w:r>
      <w:r w:rsidRPr="005814D2">
        <w:t xml:space="preserve"> for </w:t>
      </w:r>
      <w:r>
        <w:t xml:space="preserve">the presence of </w:t>
      </w:r>
      <w:r w:rsidRPr="005814D2">
        <w:t>highly skilled employees in the firm</w:t>
      </w:r>
      <w:r>
        <w:t>:</w:t>
      </w:r>
      <w:r w:rsidRPr="005814D2">
        <w:t xml:space="preserve"> task</w:t>
      </w:r>
      <w:r>
        <w:t>-</w:t>
      </w:r>
      <w:r w:rsidRPr="005814D2">
        <w:t>based re</w:t>
      </w:r>
      <w:r>
        <w:t>as</w:t>
      </w:r>
      <w:r w:rsidRPr="005814D2">
        <w:t>on</w:t>
      </w:r>
      <w:r>
        <w:t>s</w:t>
      </w:r>
      <w:r w:rsidRPr="005814D2">
        <w:t xml:space="preserve"> such as executing R&amp;D projects and operating high capital</w:t>
      </w:r>
      <w:r>
        <w:t>;</w:t>
      </w:r>
      <w:r w:rsidRPr="005814D2">
        <w:t xml:space="preserve"> </w:t>
      </w:r>
      <w:r>
        <w:t>and</w:t>
      </w:r>
      <w:r w:rsidRPr="005814D2">
        <w:t xml:space="preserve"> individual</w:t>
      </w:r>
      <w:r>
        <w:t>-based</w:t>
      </w:r>
      <w:r w:rsidRPr="005814D2">
        <w:t xml:space="preserve"> reason</w:t>
      </w:r>
      <w:r>
        <w:t>s, including knowledge levels</w:t>
      </w:r>
      <w:r w:rsidRPr="005814D2">
        <w:t xml:space="preserve">. </w:t>
      </w:r>
      <w:r>
        <w:t xml:space="preserve">To put it differently, Firms with high R&amp;D projects require highly skilled employees to execute those projects </w:t>
      </w:r>
      <w:r>
        <w:fldChar w:fldCharType="begin" w:fldLock="1"/>
      </w:r>
      <w:r w:rsidR="002E5440">
        <w:instrText>ADDIN CSL_CITATION {"citationItems":[{"id":"ITEM-1","itemData":{"DOI":"10.1787/5kgkdgdkc8tl-en","author":[{"dropping-particle":"","family":"Toner","given":"Phillip","non-dropping-particle":"","parse-names":false,"suffix":""}],"id":"ITEM-1","issued":{"date-parts":[["2011"]]},"page":"1","title":"Workforce Skills and Innovation: An Overview of Major Themes in the Literature","type":"article-journal"},"uris":["http://www.mendeley.com/documents/?uuid=e9da5961-800b-3161-bccb-4b663e24ed1a"]},{"id":"ITEM-2","itemData":{"DOI":"10.1016/j.jbankfin.2013.03.003","ISSN":"03784266","abstract":"We study the determinants and effects of the relative compensation of top executives and lower-level employees. First, we show that CEO-employee pay ratios depend on the balance of power between the CEO (relative to the board) and ordinary employees (relative to management). Second, our results suggest that employees do not perceive higher pay ratios as an inequitable outcome to be redressed via costly behaviors that lower productivity. We do not find a negative relation between relative pay and employee productivity, either in our full sample or in subsamples where employees are well-informed about executive pay and are protected against career retributions. Rather, we find that productivity increases with relative pay when the firm has fewer employees who are well-informed, and when promotion decisions are predominantly merit-based. We also find that firm value and operating performance both increase with relative pay. We conclude that ordinary employees appear to perceive an opportunity in higher pay ratios but the extent to which such perception incentivizes them depends on the likelihood of success in a series of sequential promotion tournaments. © 2013 Elsevier B.V.","author":[{"dropping-particle":"","family":"Faleye","given":"Olubunmi","non-dropping-particle":"","parse-names":false,"suffix":""},{"dropping-particle":"","family":"Reis","given":"Ebru","non-dropping-particle":"","parse-names":false,"suffix":""},{"dropping-particle":"","family":"Venkateswaran","given":"Anand","non-dropping-particle":"","parse-names":false,"suffix":""}],"container-title":"Journal of Banking and Finance","id":"ITEM-2","issue":"8","issued":{"date-parts":[["2013","8","1"]]},"page":"3258-3272","publisher":"North-Holland","title":"The determinants and effects of CEO-employee pay ratios","type":"article-journal","volume":"37"},"uris":["http://www.mendeley.com/documents/?uuid=e5f3f9b6-68e5-4bc4-9537-454d7779e4e7"]}],"mendeley":{"formattedCitation":"(Faleye et al., 2013; Toner, 2011)","plainTextFormattedCitation":"(Faleye et al., 2013; Toner, 2011)","previouslyFormattedCitation":"(Faleye et al., 2013; Toner, 2011)"},"properties":{"noteIndex":0},"schema":"https://github.com/citation-style-language/schema/raw/master/csl-citation.json"}</w:instrText>
      </w:r>
      <w:r>
        <w:fldChar w:fldCharType="separate"/>
      </w:r>
      <w:r w:rsidR="009D2930" w:rsidRPr="009D2930">
        <w:rPr>
          <w:noProof/>
        </w:rPr>
        <w:t>(Faleye et al., 2013; Toner, 2011)</w:t>
      </w:r>
      <w:r>
        <w:fldChar w:fldCharType="end"/>
      </w:r>
      <w:r>
        <w:t xml:space="preserve">. Additionally, capital-intensive firms with high net property, plant and equipment per employee need highly skilled employees to operate them. We use workforce education to measure the level of human capital </w:t>
      </w:r>
      <w:r>
        <w:fldChar w:fldCharType="begin" w:fldLock="1"/>
      </w:r>
      <w:r w:rsidR="002E5440">
        <w:instrText>ADDIN CSL_CITATION {"citationItems":[{"id":"ITEM-1","itemData":{"abstract":"Since the late 1980's, much of the attention of macroeconomists has focused on the determinants of long-term economic growth. This paper emphasizes the role of education. The analysis distinguishes the quantity of education, measured by years of school attainment, from the quality, as gauged by scores on internationally comparable examinations.","author":[{"dropping-particle":"","family":"Barro","given":"Robert J","non-dropping-particle":"","parse-names":false,"suffix":""}],"id":"ITEM-1","issued":{"date-parts":[["2001"]]},"title":"Human Capital and Growth","type":"report"},"uris":["http://www.mendeley.com/documents/?uuid=26e67d5a-3ed9-30c1-a9d7-2f8d3015ce57"]}],"mendeley":{"formattedCitation":"(Barro, 2001)","plainTextFormattedCitation":"(Barro, 2001)","previouslyFormattedCitation":"(Barro, 2001)"},"properties":{"noteIndex":0},"schema":"https://github.com/citation-style-language/schema/raw/master/csl-citation.json"}</w:instrText>
      </w:r>
      <w:r>
        <w:fldChar w:fldCharType="separate"/>
      </w:r>
      <w:r w:rsidR="009D2930" w:rsidRPr="009D2930">
        <w:rPr>
          <w:noProof/>
        </w:rPr>
        <w:t>(Barro, 2001)</w:t>
      </w:r>
      <w:r>
        <w:fldChar w:fldCharType="end"/>
      </w:r>
      <w:r>
        <w:rPr>
          <w:rStyle w:val="FootnoteReference"/>
        </w:rPr>
        <w:footnoteReference w:id="7"/>
      </w:r>
      <w:r>
        <w:t xml:space="preserve">. </w:t>
      </w:r>
    </w:p>
    <w:p w14:paraId="11F0D354" w14:textId="6489E258" w:rsidR="00D71EA9" w:rsidRDefault="00D71EA9" w:rsidP="00657953">
      <w:r>
        <w:t>In addition</w:t>
      </w:r>
      <w:r w:rsidRPr="00D23DAC">
        <w:t xml:space="preserve">, </w:t>
      </w:r>
      <w:r w:rsidR="001F4F49">
        <w:t>labour market</w:t>
      </w:r>
      <w:r>
        <w:t xml:space="preserve"> variables, which influence </w:t>
      </w:r>
      <w:r w:rsidRPr="00D23DAC">
        <w:t xml:space="preserve">employees’ bargaining power </w:t>
      </w:r>
      <w:r>
        <w:t>over</w:t>
      </w:r>
      <w:r w:rsidRPr="00D23DAC">
        <w:t xml:space="preserve"> executives</w:t>
      </w:r>
      <w:r>
        <w:t xml:space="preserve">, are included. </w:t>
      </w:r>
      <w:r w:rsidR="00D259EA" w:rsidRPr="00D23DAC">
        <w:t>Industry</w:t>
      </w:r>
      <w:r w:rsidR="00D259EA">
        <w:t xml:space="preserve"> concentration (</w:t>
      </w:r>
      <w:proofErr w:type="spellStart"/>
      <w:r w:rsidR="00D259EA" w:rsidRPr="00D71EA9">
        <w:rPr>
          <w:i/>
          <w:iCs/>
        </w:rPr>
        <w:t>IndConcentration</w:t>
      </w:r>
      <w:proofErr w:type="spellEnd"/>
      <w:r w:rsidR="00D259EA">
        <w:t>)</w:t>
      </w:r>
      <w:r>
        <w:t xml:space="preserve"> measured using the revenue-</w:t>
      </w:r>
      <w:r>
        <w:lastRenderedPageBreak/>
        <w:t xml:space="preserve">based Hirschman–Herfindahl index over </w:t>
      </w:r>
      <w:proofErr w:type="spellStart"/>
      <w:r>
        <w:t>Datastream</w:t>
      </w:r>
      <w:proofErr w:type="spellEnd"/>
      <w:r>
        <w:t xml:space="preserve"> firms in the two-digit GCSI industry</w:t>
      </w:r>
      <w:r>
        <w:rPr>
          <w:rStyle w:val="FootnoteReference"/>
        </w:rPr>
        <w:footnoteReference w:id="8"/>
      </w:r>
      <w:r>
        <w:t xml:space="preserve">, determines market competitiveness. A highly concentrated industry shows a monopoly, which decreases </w:t>
      </w:r>
      <w:r w:rsidR="00D259EA">
        <w:t>employees</w:t>
      </w:r>
      <w:r>
        <w:t xml:space="preserve"> outside opportunities and bargaining power. In addition, employee unionisation (</w:t>
      </w:r>
      <w:r w:rsidRPr="00D71EA9">
        <w:rPr>
          <w:i/>
          <w:iCs/>
        </w:rPr>
        <w:t>Union</w:t>
      </w:r>
      <w:r>
        <w:t>), the percentage of employees who are members of a trade union in each region</w:t>
      </w:r>
      <w:r>
        <w:rPr>
          <w:rStyle w:val="FootnoteReference"/>
        </w:rPr>
        <w:footnoteReference w:id="9"/>
      </w:r>
      <w:r>
        <w:t>, unemployment rate (</w:t>
      </w:r>
      <w:proofErr w:type="spellStart"/>
      <w:r w:rsidRPr="00D71EA9">
        <w:rPr>
          <w:i/>
          <w:iCs/>
        </w:rPr>
        <w:t>UnemploymentRate</w:t>
      </w:r>
      <w:proofErr w:type="spellEnd"/>
      <w:r>
        <w:t>), and vacant job ratio (</w:t>
      </w:r>
      <w:proofErr w:type="spellStart"/>
      <w:r w:rsidRPr="00D71EA9">
        <w:rPr>
          <w:i/>
          <w:iCs/>
        </w:rPr>
        <w:t>VacantJob</w:t>
      </w:r>
      <w:proofErr w:type="spellEnd"/>
      <w:r w:rsidRPr="00D71EA9">
        <w:rPr>
          <w:i/>
          <w:iCs/>
        </w:rPr>
        <w:t>)</w:t>
      </w:r>
      <w:r w:rsidRPr="0047501C">
        <w:rPr>
          <w:rStyle w:val="FootnoteReference"/>
        </w:rPr>
        <w:t xml:space="preserve"> </w:t>
      </w:r>
      <w:r w:rsidRPr="00D23DAC">
        <w:rPr>
          <w:rStyle w:val="FootnoteReference"/>
        </w:rPr>
        <w:footnoteReference w:id="10"/>
      </w:r>
      <w:r>
        <w:t xml:space="preserve"> are included. </w:t>
      </w:r>
      <w:r w:rsidRPr="00240496">
        <w:t>We expect that bargaining power increase</w:t>
      </w:r>
      <w:r>
        <w:t>s</w:t>
      </w:r>
      <w:r w:rsidRPr="00240496">
        <w:t xml:space="preserve"> with employee unionisation and decrease</w:t>
      </w:r>
      <w:r>
        <w:t>s</w:t>
      </w:r>
      <w:r w:rsidRPr="00240496">
        <w:t xml:space="preserve"> with industry concentration, unemployment rate and vacant job ratio.</w:t>
      </w:r>
      <w:r>
        <w:t xml:space="preserve"> </w:t>
      </w:r>
    </w:p>
    <w:p w14:paraId="5EE7EF7E" w14:textId="22060407" w:rsidR="00D71EA9" w:rsidRPr="00EE5C8E" w:rsidRDefault="00D71EA9" w:rsidP="00853595">
      <w:pPr>
        <w:pStyle w:val="Heading2"/>
        <w:numPr>
          <w:ilvl w:val="1"/>
          <w:numId w:val="1"/>
        </w:numPr>
        <w:ind w:left="426"/>
      </w:pPr>
      <w:r w:rsidRPr="00EE5C8E">
        <w:t>The impact of pay ratios on employee</w:t>
      </w:r>
      <w:r>
        <w:t xml:space="preserve"> performance</w:t>
      </w:r>
    </w:p>
    <w:p w14:paraId="26E47FB5" w14:textId="2704060B" w:rsidR="00217E45" w:rsidRPr="00217E45" w:rsidRDefault="00D71EA9" w:rsidP="00217E45">
      <w:pPr>
        <w:ind w:firstLine="0"/>
      </w:pPr>
      <w:r>
        <w:t xml:space="preserve">By </w:t>
      </w:r>
      <w:r>
        <w:rPr>
          <w:noProof/>
        </w:rPr>
        <w:t>following Faleye et al.’s (</w:t>
      </w:r>
      <w:r w:rsidRPr="0011018A">
        <w:rPr>
          <w:noProof/>
        </w:rPr>
        <w:t>2013</w:t>
      </w:r>
      <w:r>
        <w:rPr>
          <w:noProof/>
        </w:rPr>
        <w:t xml:space="preserve">) equation, we </w:t>
      </w:r>
      <w:r w:rsidRPr="00666846">
        <w:t xml:space="preserve">examine the </w:t>
      </w:r>
      <w:r>
        <w:t>impact of</w:t>
      </w:r>
      <w:r w:rsidRPr="00666846">
        <w:t xml:space="preserve"> </w:t>
      </w:r>
      <w:r>
        <w:t xml:space="preserve">key </w:t>
      </w:r>
      <w:r w:rsidRPr="00666846">
        <w:t>pay ratios (</w:t>
      </w:r>
      <w:r w:rsidRPr="00246524">
        <w:t>pay</w:t>
      </w:r>
      <w:r>
        <w:t xml:space="preserve"> </w:t>
      </w:r>
      <w:r w:rsidRPr="00246524">
        <w:t>inequality, pay</w:t>
      </w:r>
      <w:r>
        <w:t xml:space="preserve"> </w:t>
      </w:r>
      <w:r w:rsidRPr="00246524">
        <w:t>equity and pay</w:t>
      </w:r>
      <w:r>
        <w:t xml:space="preserve"> </w:t>
      </w:r>
      <w:r w:rsidRPr="00246524">
        <w:t>inequity</w:t>
      </w:r>
      <w:r w:rsidRPr="00666846">
        <w:t xml:space="preserve">) </w:t>
      </w:r>
      <w:r>
        <w:t>on</w:t>
      </w:r>
      <w:r w:rsidRPr="00666846">
        <w:t xml:space="preserve"> employee performance using the </w:t>
      </w:r>
      <w:r>
        <w:t>following</w:t>
      </w:r>
      <w:r w:rsidRPr="00666846">
        <w:t xml:space="preserve"> multivariate regression</w:t>
      </w:r>
      <w:r w:rsidRPr="00B42064">
        <w:t>.</w:t>
      </w:r>
      <w:r w:rsidRPr="00144F81">
        <w:t xml:space="preserve"> </w:t>
      </w:r>
    </w:p>
    <w:p w14:paraId="3CDE047E" w14:textId="1923B75E" w:rsidR="00D71EA9" w:rsidRPr="005906FB" w:rsidRDefault="006725FE" w:rsidP="005906FB">
      <w:pPr>
        <w:ind w:left="567"/>
      </w:pPr>
      <m:oMathPara>
        <m:oMath>
          <m:sSub>
            <m:sSubPr>
              <m:ctrlPr>
                <w:rPr>
                  <w:rFonts w:ascii="Cambria Math" w:hAnsi="Cambria Math"/>
                </w:rPr>
              </m:ctrlPr>
            </m:sSubPr>
            <m:e>
              <m:sSub>
                <m:sSubPr>
                  <m:ctrlPr>
                    <w:rPr>
                      <w:rFonts w:ascii="Cambria Math" w:hAnsi="Cambria Math"/>
                    </w:rPr>
                  </m:ctrlPr>
                </m:sSubPr>
                <m:e>
                  <m:r>
                    <w:rPr>
                      <w:rFonts w:ascii="Cambria Math" w:hAnsi="Cambria Math"/>
                    </w:rPr>
                    <m:t>Employee</m:t>
                  </m:r>
                  <m:r>
                    <m:rPr>
                      <m:sty m:val="p"/>
                    </m:rPr>
                    <w:rPr>
                      <w:rFonts w:ascii="Cambria Math" w:hAnsi="Cambria Math"/>
                    </w:rPr>
                    <m:t xml:space="preserve"> </m:t>
                  </m:r>
                  <m:r>
                    <w:rPr>
                      <w:rFonts w:ascii="Cambria Math" w:hAnsi="Cambria Math"/>
                    </w:rPr>
                    <m:t>Performance</m:t>
                  </m:r>
                </m:e>
                <m:sub>
                  <m:r>
                    <w:rPr>
                      <w:rFonts w:ascii="Cambria Math" w:hAnsi="Cambria Math"/>
                    </w:rPr>
                    <m:t>i</m:t>
                  </m:r>
                  <m:r>
                    <m:rPr>
                      <m:sty m:val="p"/>
                    </m:rPr>
                    <w:rPr>
                      <w:rFonts w:ascii="Cambria Math" w:hAnsi="Cambria Math"/>
                    </w:rPr>
                    <m:t xml:space="preserve">, </m:t>
                  </m:r>
                  <m:r>
                    <w:rPr>
                      <w:rFonts w:ascii="Cambria Math" w:hAnsi="Cambria Math"/>
                    </w:rPr>
                    <m:t>t</m:t>
                  </m:r>
                </m:sub>
              </m:sSub>
              <m:r>
                <m:rPr>
                  <m:sty m:val="p"/>
                </m:rPr>
                <w:rPr>
                  <w:rFonts w:ascii="Cambria Math" w:hAnsi="Cambria Math"/>
                </w:rPr>
                <m:t xml:space="preserve">= </m:t>
              </m:r>
              <m:r>
                <w:rPr>
                  <w:rFonts w:ascii="Cambria Math" w:hAnsi="Cambria Math"/>
                </w:rPr>
                <m:t>α</m:t>
              </m:r>
              <m:r>
                <m:rPr>
                  <m:sty m:val="p"/>
                </m:rPr>
                <w:rPr>
                  <w:rFonts w:ascii="Cambria Math" w:hAnsi="Cambria Math"/>
                </w:rPr>
                <m:t>+</m:t>
              </m:r>
              <m:r>
                <w:rPr>
                  <w:rFonts w:ascii="Cambria Math" w:hAnsi="Cambria Math"/>
                </w:rPr>
                <m:t>β</m:t>
              </m:r>
            </m:e>
            <m:sub>
              <m:r>
                <m:rPr>
                  <m:sty m:val="p"/>
                </m:rPr>
                <w:rPr>
                  <w:rFonts w:ascii="Cambria Math" w:hAnsi="Cambria Math"/>
                </w:rPr>
                <m:t>1</m:t>
              </m:r>
            </m:sub>
          </m:sSub>
          <m:sSub>
            <m:sSubPr>
              <m:ctrlPr>
                <w:rPr>
                  <w:rFonts w:ascii="Cambria Math" w:hAnsi="Cambria Math"/>
                </w:rPr>
              </m:ctrlPr>
            </m:sSubPr>
            <m:e>
              <m:sSub>
                <m:sSubPr>
                  <m:ctrlPr>
                    <w:rPr>
                      <w:rFonts w:ascii="Cambria Math" w:hAnsi="Cambria Math"/>
                    </w:rPr>
                  </m:ctrlPr>
                </m:sSubPr>
                <m:e>
                  <m:r>
                    <w:rPr>
                      <w:rFonts w:ascii="Cambria Math" w:hAnsi="Cambria Math"/>
                    </w:rPr>
                    <m:t>PayRatio</m:t>
                  </m:r>
                  <m:ctrlPr>
                    <w:rPr>
                      <w:rFonts w:ascii="Cambria Math" w:eastAsia="Cambria Math" w:hAnsi="Cambria Math" w:cs="Cambria Math"/>
                    </w:rPr>
                  </m:ctrlPr>
                </m:e>
                <m:sub>
                  <m:r>
                    <w:rPr>
                      <w:rFonts w:ascii="Cambria Math" w:hAnsi="Cambria Math"/>
                    </w:rPr>
                    <m:t>i</m:t>
                  </m:r>
                  <m:r>
                    <m:rPr>
                      <m:sty m:val="p"/>
                    </m:rPr>
                    <w:rPr>
                      <w:rFonts w:ascii="Cambria Math" w:hAnsi="Cambria Math"/>
                    </w:rPr>
                    <m:t xml:space="preserve">,  </m:t>
                  </m:r>
                  <m:r>
                    <w:rPr>
                      <w:rFonts w:ascii="Cambria Math" w:hAnsi="Cambria Math"/>
                    </w:rPr>
                    <m:t>t</m:t>
                  </m:r>
                </m:sub>
              </m:sSub>
              <m:r>
                <m:rPr>
                  <m:sty m:val="p"/>
                </m:rPr>
                <w:rPr>
                  <w:rFonts w:ascii="Cambria Math" w:hAnsi="Cambria Math"/>
                </w:rPr>
                <m:t xml:space="preserve"> +</m:t>
              </m:r>
              <m:r>
                <w:rPr>
                  <w:rFonts w:ascii="Cambria Math" w:hAnsi="Cambria Math"/>
                </w:rPr>
                <m:t>β</m:t>
              </m:r>
              <m:ctrlPr>
                <w:rPr>
                  <w:rFonts w:ascii="Cambria Math" w:eastAsia="Cambria Math" w:hAnsi="Cambria Math" w:cs="Cambria Math"/>
                </w:rPr>
              </m:ctrlPr>
            </m:e>
            <m:sub>
              <m:r>
                <m:rPr>
                  <m:sty m:val="p"/>
                </m:rPr>
                <w:rPr>
                  <w:rFonts w:ascii="Cambria Math" w:hAnsi="Cambria Math"/>
                </w:rPr>
                <m:t xml:space="preserve">2 </m:t>
              </m:r>
            </m:sub>
          </m:sSub>
          <m:sSub>
            <m:sSubPr>
              <m:ctrlPr>
                <w:rPr>
                  <w:rFonts w:ascii="Cambria Math" w:hAnsi="Cambria Math"/>
                </w:rPr>
              </m:ctrlPr>
            </m:sSubPr>
            <m:e>
              <m:sSub>
                <m:sSubPr>
                  <m:ctrlPr>
                    <w:rPr>
                      <w:rFonts w:ascii="Cambria Math" w:hAnsi="Cambria Math"/>
                    </w:rPr>
                  </m:ctrlPr>
                </m:sSubPr>
                <m:e>
                  <m:r>
                    <w:rPr>
                      <w:rFonts w:ascii="Cambria Math" w:hAnsi="Cambria Math"/>
                    </w:rPr>
                    <m:t>LnAveEmployeePay</m:t>
                  </m:r>
                  <m:ctrlPr>
                    <w:rPr>
                      <w:rFonts w:ascii="Cambria Math" w:eastAsia="Cambria Math" w:hAnsi="Cambria Math" w:cs="Cambria Math"/>
                    </w:rPr>
                  </m:ctrlPr>
                </m:e>
                <m:sub>
                  <m:r>
                    <w:rPr>
                      <w:rFonts w:ascii="Cambria Math" w:hAnsi="Cambria Math"/>
                    </w:rPr>
                    <m:t>i</m:t>
                  </m:r>
                  <m:r>
                    <m:rPr>
                      <m:sty m:val="p"/>
                    </m:rPr>
                    <w:rPr>
                      <w:rFonts w:ascii="Cambria Math" w:hAnsi="Cambria Math"/>
                    </w:rPr>
                    <m:t xml:space="preserve">,  </m:t>
                  </m:r>
                  <m:r>
                    <w:rPr>
                      <w:rFonts w:ascii="Cambria Math" w:hAnsi="Cambria Math"/>
                    </w:rPr>
                    <m:t>t</m:t>
                  </m:r>
                </m:sub>
              </m:sSub>
              <m:r>
                <m:rPr>
                  <m:sty m:val="p"/>
                </m:rPr>
                <w:rPr>
                  <w:rFonts w:ascii="Cambria Math" w:hAnsi="Cambria Math"/>
                </w:rPr>
                <m:t>+</m:t>
              </m:r>
              <m:r>
                <w:rPr>
                  <w:rFonts w:ascii="Cambria Math" w:hAnsi="Cambria Math"/>
                </w:rPr>
                <m:t>β</m:t>
              </m:r>
              <m:ctrlPr>
                <w:rPr>
                  <w:rFonts w:ascii="Cambria Math" w:eastAsia="Cambria Math" w:hAnsi="Cambria Math" w:cs="Cambria Math"/>
                </w:rPr>
              </m:ctrlPr>
            </m:e>
            <m:sub>
              <m:r>
                <m:rPr>
                  <m:sty m:val="p"/>
                </m:rPr>
                <w:rPr>
                  <w:rFonts w:ascii="Cambria Math" w:hAnsi="Cambria Math"/>
                </w:rPr>
                <m:t xml:space="preserve">3 </m:t>
              </m:r>
            </m:sub>
          </m:sSub>
          <m:sSub>
            <m:sSubPr>
              <m:ctrlPr>
                <w:rPr>
                  <w:rFonts w:ascii="Cambria Math" w:hAnsi="Cambria Math"/>
                </w:rPr>
              </m:ctrlPr>
            </m:sSubPr>
            <m:e>
              <m:sSub>
                <m:sSubPr>
                  <m:ctrlPr>
                    <w:rPr>
                      <w:rFonts w:ascii="Cambria Math" w:hAnsi="Cambria Math"/>
                    </w:rPr>
                  </m:ctrlPr>
                </m:sSubPr>
                <m:e>
                  <m:r>
                    <w:rPr>
                      <w:rFonts w:ascii="Cambria Math" w:hAnsi="Cambria Math"/>
                    </w:rPr>
                    <m:t>Education</m:t>
                  </m:r>
                  <m:ctrlPr>
                    <w:rPr>
                      <w:rFonts w:ascii="Cambria Math" w:eastAsia="Cambria Math" w:hAnsi="Cambria Math" w:cs="Cambria Math"/>
                    </w:rPr>
                  </m:ctrlPr>
                </m:e>
                <m:sub>
                  <m:r>
                    <w:rPr>
                      <w:rFonts w:ascii="Cambria Math" w:hAnsi="Cambria Math"/>
                    </w:rPr>
                    <m:t>k</m:t>
                  </m:r>
                  <m:r>
                    <m:rPr>
                      <m:sty m:val="p"/>
                    </m:rPr>
                    <w:rPr>
                      <w:rFonts w:ascii="Cambria Math" w:hAnsi="Cambria Math"/>
                    </w:rPr>
                    <m:t xml:space="preserve">,  </m:t>
                  </m:r>
                  <m:r>
                    <w:rPr>
                      <w:rFonts w:ascii="Cambria Math" w:hAnsi="Cambria Math"/>
                    </w:rPr>
                    <m:t>t</m:t>
                  </m:r>
                </m:sub>
              </m:sSub>
              <m:r>
                <m:rPr>
                  <m:sty m:val="p"/>
                </m:rPr>
                <w:rPr>
                  <w:rFonts w:ascii="Cambria Math" w:hAnsi="Cambria Math"/>
                </w:rPr>
                <m:t>+</m:t>
              </m:r>
              <m:r>
                <w:rPr>
                  <w:rFonts w:ascii="Cambria Math" w:hAnsi="Cambria Math"/>
                </w:rPr>
                <m:t>β</m:t>
              </m:r>
              <m:ctrlPr>
                <w:rPr>
                  <w:rFonts w:ascii="Cambria Math" w:eastAsia="Cambria Math" w:hAnsi="Cambria Math" w:cs="Cambria Math"/>
                </w:rPr>
              </m:ctrlPr>
            </m:e>
            <m:sub>
              <m:r>
                <m:rPr>
                  <m:sty m:val="p"/>
                </m:rPr>
                <w:rPr>
                  <w:rFonts w:ascii="Cambria Math" w:hAnsi="Cambria Math"/>
                </w:rPr>
                <m:t xml:space="preserve">4  </m:t>
              </m:r>
            </m:sub>
          </m:sSub>
          <m:sSub>
            <m:sSubPr>
              <m:ctrlPr>
                <w:rPr>
                  <w:rFonts w:ascii="Cambria Math" w:hAnsi="Cambria Math"/>
                </w:rPr>
              </m:ctrlPr>
            </m:sSubPr>
            <m:e>
              <m:sSub>
                <m:sSubPr>
                  <m:ctrlPr>
                    <w:rPr>
                      <w:rFonts w:ascii="Cambria Math" w:hAnsi="Cambria Math"/>
                    </w:rPr>
                  </m:ctrlPr>
                </m:sSubPr>
                <m:e>
                  <m:r>
                    <w:rPr>
                      <w:rFonts w:ascii="Cambria Math" w:hAnsi="Cambria Math"/>
                    </w:rPr>
                    <m:t>PPEIntensity</m:t>
                  </m:r>
                  <m:ctrlPr>
                    <w:rPr>
                      <w:rFonts w:ascii="Cambria Math" w:eastAsia="Cambria Math" w:hAnsi="Cambria Math" w:cs="Cambria Math"/>
                    </w:rPr>
                  </m:ctrlPr>
                </m:e>
                <m:sub>
                  <m:r>
                    <w:rPr>
                      <w:rFonts w:ascii="Cambria Math" w:hAnsi="Cambria Math"/>
                    </w:rPr>
                    <m:t>i</m:t>
                  </m:r>
                  <m:r>
                    <m:rPr>
                      <m:sty m:val="p"/>
                    </m:rPr>
                    <w:rPr>
                      <w:rFonts w:ascii="Cambria Math" w:hAnsi="Cambria Math"/>
                    </w:rPr>
                    <m:t xml:space="preserve">,  </m:t>
                  </m:r>
                  <m:r>
                    <w:rPr>
                      <w:rFonts w:ascii="Cambria Math" w:hAnsi="Cambria Math"/>
                    </w:rPr>
                    <m:t>t</m:t>
                  </m:r>
                </m:sub>
              </m:sSub>
              <m:r>
                <m:rPr>
                  <m:sty m:val="p"/>
                </m:rPr>
                <w:rPr>
                  <w:rFonts w:ascii="Cambria Math" w:hAnsi="Cambria Math"/>
                </w:rPr>
                <m:t>+</m:t>
              </m:r>
              <m:r>
                <w:rPr>
                  <w:rFonts w:ascii="Cambria Math" w:hAnsi="Cambria Math"/>
                </w:rPr>
                <m:t>β</m:t>
              </m:r>
              <m:ctrlPr>
                <w:rPr>
                  <w:rFonts w:ascii="Cambria Math" w:eastAsia="Cambria Math" w:hAnsi="Cambria Math" w:cs="Cambria Math"/>
                </w:rPr>
              </m:ctrlPr>
            </m:e>
            <m:sub>
              <m:r>
                <m:rPr>
                  <m:sty m:val="p"/>
                </m:rPr>
                <w:rPr>
                  <w:rFonts w:ascii="Cambria Math" w:hAnsi="Cambria Math"/>
                </w:rPr>
                <m:t xml:space="preserve">5 </m:t>
              </m:r>
            </m:sub>
          </m:sSub>
          <m:sSub>
            <m:sSubPr>
              <m:ctrlPr>
                <w:rPr>
                  <w:rFonts w:ascii="Cambria Math" w:hAnsi="Cambria Math"/>
                </w:rPr>
              </m:ctrlPr>
            </m:sSubPr>
            <m:e>
              <m:sSub>
                <m:sSubPr>
                  <m:ctrlPr>
                    <w:rPr>
                      <w:rFonts w:ascii="Cambria Math" w:hAnsi="Cambria Math"/>
                    </w:rPr>
                  </m:ctrlPr>
                </m:sSubPr>
                <m:e>
                  <m:r>
                    <w:rPr>
                      <w:rFonts w:ascii="Cambria Math" w:hAnsi="Cambria Math"/>
                    </w:rPr>
                    <m:t>IndConcentration</m:t>
                  </m:r>
                  <m:ctrlPr>
                    <w:rPr>
                      <w:rFonts w:ascii="Cambria Math" w:eastAsia="Cambria Math" w:hAnsi="Cambria Math" w:cs="Cambria Math"/>
                    </w:rPr>
                  </m:ctrlPr>
                </m:e>
                <m:sub>
                  <m:r>
                    <m:rPr>
                      <m:sty m:val="p"/>
                    </m:rPr>
                    <w:rPr>
                      <w:rFonts w:ascii="Cambria Math" w:hAnsi="Cambria Math"/>
                    </w:rPr>
                    <m:t xml:space="preserve"> </m:t>
                  </m:r>
                  <m:r>
                    <w:rPr>
                      <w:rFonts w:ascii="Cambria Math" w:hAnsi="Cambria Math"/>
                    </w:rPr>
                    <m:t>j</m:t>
                  </m:r>
                  <m:r>
                    <m:rPr>
                      <m:sty m:val="p"/>
                    </m:rPr>
                    <w:rPr>
                      <w:rFonts w:ascii="Cambria Math" w:hAnsi="Cambria Math"/>
                    </w:rPr>
                    <m:t xml:space="preserve">,  </m:t>
                  </m:r>
                  <m:r>
                    <w:rPr>
                      <w:rFonts w:ascii="Cambria Math" w:hAnsi="Cambria Math"/>
                    </w:rPr>
                    <m:t>t</m:t>
                  </m:r>
                </m:sub>
              </m:sSub>
              <m:r>
                <m:rPr>
                  <m:sty m:val="p"/>
                </m:rPr>
                <w:rPr>
                  <w:rFonts w:ascii="Cambria Math" w:hAnsi="Cambria Math"/>
                </w:rPr>
                <m:t xml:space="preserve"> +</m:t>
              </m:r>
              <m:r>
                <w:rPr>
                  <w:rFonts w:ascii="Cambria Math" w:hAnsi="Cambria Math"/>
                </w:rPr>
                <m:t>β</m:t>
              </m:r>
              <m:ctrlPr>
                <w:rPr>
                  <w:rFonts w:ascii="Cambria Math" w:eastAsia="Cambria Math" w:hAnsi="Cambria Math" w:cs="Cambria Math"/>
                </w:rPr>
              </m:ctrlPr>
            </m:e>
            <m:sub>
              <m:r>
                <m:rPr>
                  <m:sty m:val="p"/>
                </m:rPr>
                <w:rPr>
                  <w:rFonts w:ascii="Cambria Math" w:hAnsi="Cambria Math"/>
                </w:rPr>
                <m:t xml:space="preserve">6 </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Union</m:t>
                  </m:r>
                  <m:ctrlPr>
                    <w:rPr>
                      <w:rFonts w:ascii="Cambria Math" w:eastAsia="Cambria Math" w:hAnsi="Cambria Math" w:cs="Cambria Math"/>
                    </w:rPr>
                  </m:ctrlPr>
                </m:e>
                <m:sub>
                  <m:r>
                    <m:rPr>
                      <m:sty m:val="p"/>
                    </m:rPr>
                    <w:rPr>
                      <w:rFonts w:ascii="Cambria Math" w:hAnsi="Cambria Math"/>
                    </w:rPr>
                    <m:t xml:space="preserve"> </m:t>
                  </m:r>
                  <m:r>
                    <w:rPr>
                      <w:rFonts w:ascii="Cambria Math" w:hAnsi="Cambria Math"/>
                    </w:rPr>
                    <m:t>k</m:t>
                  </m:r>
                  <m:r>
                    <m:rPr>
                      <m:sty m:val="p"/>
                    </m:rPr>
                    <w:rPr>
                      <w:rFonts w:ascii="Cambria Math" w:hAnsi="Cambria Math"/>
                    </w:rPr>
                    <m:t xml:space="preserve">,  </m:t>
                  </m:r>
                  <m:r>
                    <w:rPr>
                      <w:rFonts w:ascii="Cambria Math" w:hAnsi="Cambria Math"/>
                    </w:rPr>
                    <m:t>t</m:t>
                  </m:r>
                  <m:r>
                    <m:rPr>
                      <m:sty m:val="p"/>
                    </m:rPr>
                    <w:rPr>
                      <w:rFonts w:ascii="Cambria Math" w:hAnsi="Cambria Math"/>
                    </w:rPr>
                    <m:t xml:space="preserve"> </m:t>
                  </m:r>
                </m:sub>
              </m:sSub>
              <m:r>
                <m:rPr>
                  <m:sty m:val="p"/>
                </m:rPr>
                <w:rPr>
                  <w:rFonts w:ascii="Cambria Math" w:hAnsi="Cambria Math"/>
                </w:rPr>
                <m:t>+</m:t>
              </m:r>
              <m:r>
                <w:rPr>
                  <w:rFonts w:ascii="Cambria Math" w:hAnsi="Cambria Math"/>
                </w:rPr>
                <m:t>β</m:t>
              </m:r>
              <m:ctrlPr>
                <w:rPr>
                  <w:rFonts w:ascii="Cambria Math" w:eastAsia="Cambria Math" w:hAnsi="Cambria Math" w:cs="Cambria Math"/>
                </w:rPr>
              </m:ctrlPr>
            </m:e>
            <m:sub>
              <m:r>
                <m:rPr>
                  <m:sty m:val="p"/>
                </m:rPr>
                <w:rPr>
                  <w:rFonts w:ascii="Cambria Math" w:hAnsi="Cambria Math"/>
                </w:rPr>
                <m:t xml:space="preserve">7 </m:t>
              </m:r>
            </m:sub>
          </m:sSub>
          <m:sSub>
            <m:sSubPr>
              <m:ctrlPr>
                <w:rPr>
                  <w:rFonts w:ascii="Cambria Math" w:hAnsi="Cambria Math"/>
                </w:rPr>
              </m:ctrlPr>
            </m:sSubPr>
            <m:e>
              <m:sSub>
                <m:sSubPr>
                  <m:ctrlPr>
                    <w:rPr>
                      <w:rFonts w:ascii="Cambria Math" w:hAnsi="Cambria Math"/>
                    </w:rPr>
                  </m:ctrlPr>
                </m:sSubPr>
                <m:e>
                  <m:r>
                    <w:rPr>
                      <w:rFonts w:ascii="Cambria Math" w:hAnsi="Cambria Math"/>
                    </w:rPr>
                    <m:t>CEOTenure</m:t>
                  </m:r>
                  <m:ctrlPr>
                    <w:rPr>
                      <w:rFonts w:ascii="Cambria Math" w:eastAsia="Cambria Math" w:hAnsi="Cambria Math" w:cs="Cambria Math"/>
                    </w:rPr>
                  </m:ctrlPr>
                </m:e>
                <m:sub>
                  <m:r>
                    <w:rPr>
                      <w:rFonts w:ascii="Cambria Math" w:hAnsi="Cambria Math"/>
                    </w:rPr>
                    <m:t>i</m:t>
                  </m:r>
                  <m:r>
                    <m:rPr>
                      <m:sty m:val="p"/>
                    </m:rPr>
                    <w:rPr>
                      <w:rFonts w:ascii="Cambria Math" w:hAnsi="Cambria Math"/>
                    </w:rPr>
                    <m:t xml:space="preserve">,  </m:t>
                  </m:r>
                  <m:r>
                    <w:rPr>
                      <w:rFonts w:ascii="Cambria Math" w:hAnsi="Cambria Math"/>
                    </w:rPr>
                    <m:t>t</m:t>
                  </m:r>
                </m:sub>
              </m:sSub>
              <m:r>
                <m:rPr>
                  <m:sty m:val="p"/>
                </m:rPr>
                <w:rPr>
                  <w:rFonts w:ascii="Cambria Math" w:hAnsi="Cambria Math"/>
                </w:rPr>
                <m:t xml:space="preserve"> +</m:t>
              </m:r>
              <m:r>
                <w:rPr>
                  <w:rFonts w:ascii="Cambria Math" w:hAnsi="Cambria Math"/>
                </w:rPr>
                <m:t>β</m:t>
              </m:r>
              <m:ctrlPr>
                <w:rPr>
                  <w:rFonts w:ascii="Cambria Math" w:eastAsia="Cambria Math" w:hAnsi="Cambria Math" w:cs="Cambria Math"/>
                </w:rPr>
              </m:ctrlPr>
            </m:e>
            <m:sub>
              <m:r>
                <m:rPr>
                  <m:sty m:val="p"/>
                </m:rPr>
                <w:rPr>
                  <w:rFonts w:ascii="Cambria Math" w:hAnsi="Cambria Math"/>
                </w:rPr>
                <m:t xml:space="preserve">8 </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LnRevenue</m:t>
                  </m:r>
                  <m:ctrlPr>
                    <w:rPr>
                      <w:rFonts w:ascii="Cambria Math" w:eastAsia="Cambria Math" w:hAnsi="Cambria Math" w:cs="Cambria Math"/>
                    </w:rPr>
                  </m:ctrlPr>
                </m:e>
                <m:sub>
                  <m:r>
                    <w:rPr>
                      <w:rFonts w:ascii="Cambria Math" w:hAnsi="Cambria Math"/>
                    </w:rPr>
                    <m:t>i</m:t>
                  </m:r>
                  <m:r>
                    <m:rPr>
                      <m:sty m:val="p"/>
                    </m:rPr>
                    <w:rPr>
                      <w:rFonts w:ascii="Cambria Math" w:hAnsi="Cambria Math"/>
                    </w:rPr>
                    <m:t xml:space="preserve">,  </m:t>
                  </m:r>
                  <m:r>
                    <w:rPr>
                      <w:rFonts w:ascii="Cambria Math" w:hAnsi="Cambria Math"/>
                    </w:rPr>
                    <m:t>t</m:t>
                  </m:r>
                </m:sub>
              </m:sSub>
              <m:r>
                <m:rPr>
                  <m:sty m:val="p"/>
                </m:rPr>
                <w:rPr>
                  <w:rFonts w:ascii="Cambria Math" w:hAnsi="Cambria Math"/>
                </w:rPr>
                <m:t xml:space="preserve"> +</m:t>
              </m:r>
              <m:r>
                <w:rPr>
                  <w:rFonts w:ascii="Cambria Math" w:hAnsi="Cambria Math"/>
                </w:rPr>
                <m:t>β</m:t>
              </m:r>
              <m:ctrlPr>
                <w:rPr>
                  <w:rFonts w:ascii="Cambria Math" w:eastAsia="Cambria Math" w:hAnsi="Cambria Math" w:cs="Cambria Math"/>
                </w:rPr>
              </m:ctrlPr>
            </m:e>
            <m:sub>
              <m:r>
                <m:rPr>
                  <m:sty m:val="p"/>
                </m:rPr>
                <w:rPr>
                  <w:rFonts w:ascii="Cambria Math" w:hAnsi="Cambria Math"/>
                </w:rPr>
                <m:t xml:space="preserve">9  </m:t>
              </m:r>
            </m:sub>
          </m:sSub>
          <m:sSub>
            <m:sSubPr>
              <m:ctrlPr>
                <w:rPr>
                  <w:rFonts w:ascii="Cambria Math" w:hAnsi="Cambria Math"/>
                </w:rPr>
              </m:ctrlPr>
            </m:sSubPr>
            <m:e>
              <m:sSub>
                <m:sSubPr>
                  <m:ctrlPr>
                    <w:rPr>
                      <w:rFonts w:ascii="Cambria Math" w:hAnsi="Cambria Math"/>
                    </w:rPr>
                  </m:ctrlPr>
                </m:sSubPr>
                <m:e>
                  <m:r>
                    <w:rPr>
                      <w:rFonts w:ascii="Cambria Math" w:hAnsi="Cambria Math"/>
                    </w:rPr>
                    <m:t>Leverage</m:t>
                  </m:r>
                  <m:ctrlPr>
                    <w:rPr>
                      <w:rFonts w:ascii="Cambria Math" w:eastAsia="Cambria Math" w:hAnsi="Cambria Math" w:cs="Cambria Math"/>
                    </w:rPr>
                  </m:ctrlPr>
                </m:e>
                <m:sub>
                  <m:r>
                    <w:rPr>
                      <w:rFonts w:ascii="Cambria Math" w:hAnsi="Cambria Math"/>
                    </w:rPr>
                    <m:t>i</m:t>
                  </m:r>
                  <m:r>
                    <m:rPr>
                      <m:sty m:val="p"/>
                    </m:rPr>
                    <w:rPr>
                      <w:rFonts w:ascii="Cambria Math" w:hAnsi="Cambria Math"/>
                    </w:rPr>
                    <m:t xml:space="preserve">,  </m:t>
                  </m:r>
                  <m:r>
                    <w:rPr>
                      <w:rFonts w:ascii="Cambria Math" w:hAnsi="Cambria Math"/>
                    </w:rPr>
                    <m:t>t</m:t>
                  </m:r>
                </m:sub>
              </m:sSub>
              <m:r>
                <m:rPr>
                  <m:sty m:val="p"/>
                </m:rPr>
                <w:rPr>
                  <w:rFonts w:ascii="Cambria Math" w:hAnsi="Cambria Math"/>
                </w:rPr>
                <m:t xml:space="preserve">  + </m:t>
              </m:r>
              <m:sSub>
                <m:sSubPr>
                  <m:ctrlPr>
                    <w:rPr>
                      <w:rFonts w:ascii="Cambria Math" w:hAnsi="Cambria Math"/>
                      <w:i/>
                      <w:szCs w:val="24"/>
                    </w:rPr>
                  </m:ctrlPr>
                </m:sSubPr>
                <m:e>
                  <m:r>
                    <w:rPr>
                      <w:rFonts w:ascii="Cambria Math" w:hAnsi="Cambria Math"/>
                      <w:szCs w:val="24"/>
                    </w:rPr>
                    <m:t>Region Fixed Effects</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Industry Fixed Effects</m:t>
                  </m:r>
                </m:e>
                <m:sub>
                  <m:r>
                    <w:rPr>
                      <w:rFonts w:ascii="Cambria Math" w:hAnsi="Cambria Math"/>
                      <w:szCs w:val="24"/>
                    </w:rPr>
                    <m:t>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Year Fixed Effects</m:t>
                  </m:r>
                </m:e>
                <m:sub>
                  <m:r>
                    <w:rPr>
                      <w:rFonts w:ascii="Cambria Math" w:hAnsi="Cambria Math"/>
                      <w:szCs w:val="24"/>
                    </w:rPr>
                    <m:t>t</m:t>
                  </m:r>
                </m:sub>
              </m:sSub>
              <m:r>
                <w:rPr>
                  <w:rFonts w:ascii="Cambria Math" w:hAnsi="Cambria Math"/>
                  <w:szCs w:val="24"/>
                </w:rPr>
                <m:t xml:space="preserve">+ </m:t>
              </m:r>
              <m:r>
                <w:rPr>
                  <w:rFonts w:ascii="Cambria Math" w:hAnsi="Cambria Math"/>
                </w:rPr>
                <m:t>ε</m:t>
              </m:r>
              <m:ctrlPr>
                <w:rPr>
                  <w:rFonts w:ascii="Cambria Math" w:eastAsia="Cambria Math" w:hAnsi="Cambria Math" w:cs="Cambria Math"/>
                </w:rPr>
              </m:ctrlPr>
            </m:e>
            <m:sub>
              <m:r>
                <w:rPr>
                  <w:rFonts w:ascii="Cambria Math" w:hAnsi="Cambria Math"/>
                </w:rPr>
                <m:t>i,t</m:t>
              </m:r>
            </m:sub>
          </m:sSub>
          <m:r>
            <m:rPr>
              <m:sty m:val="p"/>
            </m:rPr>
            <w:rPr>
              <w:rFonts w:ascii="Cambria Math" w:hAnsi="Cambria Math"/>
            </w:rPr>
            <m:t xml:space="preserve">   (2)</m:t>
          </m:r>
        </m:oMath>
      </m:oMathPara>
    </w:p>
    <w:p w14:paraId="2C5F1C82" w14:textId="77777777" w:rsidR="00D71EA9" w:rsidRDefault="00D71EA9" w:rsidP="005906FB">
      <w:bookmarkStart w:id="5" w:name="_Hlk86051173"/>
      <w:r>
        <w:t>where subscripts are defined as in the previous equation. Employee performance is measured as Total Factor Productivity (TFP) and the natural logarithm of revenue per employee (SLE</w:t>
      </w:r>
      <w:r w:rsidRPr="00857949">
        <w:t xml:space="preserve">).  The </w:t>
      </w:r>
      <w:r>
        <w:t>primary</w:t>
      </w:r>
      <w:r w:rsidRPr="00857949">
        <w:t xml:space="preserve"> variable of interest is </w:t>
      </w:r>
      <w:proofErr w:type="spellStart"/>
      <w:r w:rsidRPr="00D71EA9">
        <w:rPr>
          <w:i/>
          <w:iCs/>
        </w:rPr>
        <w:t>PayRatio</w:t>
      </w:r>
      <w:proofErr w:type="spellEnd"/>
      <w:r w:rsidRPr="00857949">
        <w:t xml:space="preserve">, which is either pay equity, pay inequity or pay inequality. The later discussion can then include pay inequality </w:t>
      </w:r>
      <w:r>
        <w:t>to make</w:t>
      </w:r>
      <w:r w:rsidRPr="00857949">
        <w:t xml:space="preserve"> comparisons</w:t>
      </w:r>
      <w:r>
        <w:t xml:space="preserve"> with previous studies</w:t>
      </w:r>
      <w:r w:rsidRPr="00857949">
        <w:t>. Similar to prior</w:t>
      </w:r>
      <w:r w:rsidRPr="00F06570">
        <w:t xml:space="preserve"> studies, we control other factors affecting employee performance, including employee</w:t>
      </w:r>
      <w:r>
        <w:t>s’</w:t>
      </w:r>
      <w:r w:rsidRPr="00F06570">
        <w:t xml:space="preserve"> skill</w:t>
      </w:r>
      <w:r>
        <w:t>s</w:t>
      </w:r>
      <w:r w:rsidRPr="00F06570">
        <w:t>, outside employees’ opportunit</w:t>
      </w:r>
      <w:r>
        <w:t>ies</w:t>
      </w:r>
      <w:r w:rsidRPr="00F06570">
        <w:t>, and firm characteristics.</w:t>
      </w:r>
      <w:r>
        <w:t xml:space="preserve"> We expect that employee performance increases with skill, measured by PPE intensity (</w:t>
      </w:r>
      <w:proofErr w:type="spellStart"/>
      <w:r w:rsidRPr="00D71EA9">
        <w:rPr>
          <w:i/>
          <w:iCs/>
        </w:rPr>
        <w:t>PPTIntensity</w:t>
      </w:r>
      <w:proofErr w:type="spellEnd"/>
      <w:r>
        <w:t>) and Employee Education (</w:t>
      </w:r>
      <w:r w:rsidRPr="00D71EA9">
        <w:rPr>
          <w:i/>
          <w:iCs/>
        </w:rPr>
        <w:t>Education</w:t>
      </w:r>
      <w:r>
        <w:t>), and outside opportunities,</w:t>
      </w:r>
      <w:r w:rsidRPr="001D0821">
        <w:t xml:space="preserve"> </w:t>
      </w:r>
      <w:r>
        <w:t>measured by Industry concentration (</w:t>
      </w:r>
      <w:proofErr w:type="spellStart"/>
      <w:r w:rsidRPr="00D71EA9">
        <w:rPr>
          <w:i/>
          <w:iCs/>
        </w:rPr>
        <w:t>IndConcentration</w:t>
      </w:r>
      <w:proofErr w:type="spellEnd"/>
      <w:r>
        <w:t>) and employee unionisation (</w:t>
      </w:r>
      <w:r w:rsidRPr="00D71EA9">
        <w:rPr>
          <w:i/>
          <w:iCs/>
        </w:rPr>
        <w:t>Union</w:t>
      </w:r>
      <w:r>
        <w:t>)</w:t>
      </w:r>
      <w:r w:rsidRPr="0048276F">
        <w:rPr>
          <w:vertAlign w:val="superscript"/>
        </w:rPr>
        <w:footnoteReference w:id="11"/>
      </w:r>
      <w:r>
        <w:t>.</w:t>
      </w:r>
      <w:r w:rsidRPr="00D71EA9">
        <w:rPr>
          <w:vertAlign w:val="superscript"/>
        </w:rPr>
        <w:t xml:space="preserve"> </w:t>
      </w:r>
      <w:r w:rsidRPr="00C11499">
        <w:t>W</w:t>
      </w:r>
      <w:r>
        <w:t>e also control for the impact of the average employee compensation (</w:t>
      </w:r>
      <w:proofErr w:type="spellStart"/>
      <w:r w:rsidRPr="00D71EA9">
        <w:rPr>
          <w:i/>
          <w:iCs/>
        </w:rPr>
        <w:t>LnAveEmployeePay</w:t>
      </w:r>
      <w:proofErr w:type="spellEnd"/>
      <w:r>
        <w:t>), CEO experience (</w:t>
      </w:r>
      <w:proofErr w:type="spellStart"/>
      <w:r w:rsidRPr="00D71EA9">
        <w:rPr>
          <w:i/>
          <w:iCs/>
        </w:rPr>
        <w:t>CEOTenure</w:t>
      </w:r>
      <w:proofErr w:type="spellEnd"/>
      <w:r>
        <w:t>), firm’s size (</w:t>
      </w:r>
      <w:proofErr w:type="spellStart"/>
      <w:r w:rsidRPr="00D71EA9">
        <w:rPr>
          <w:i/>
          <w:iCs/>
        </w:rPr>
        <w:t>LnRevenue</w:t>
      </w:r>
      <w:proofErr w:type="spellEnd"/>
      <w:r>
        <w:t>) and capital structure (</w:t>
      </w:r>
      <w:r w:rsidRPr="00D71EA9">
        <w:rPr>
          <w:i/>
          <w:iCs/>
        </w:rPr>
        <w:t>Leverage</w:t>
      </w:r>
      <w:r>
        <w:t xml:space="preserve">). Finally, the regression includes year, two-digit </w:t>
      </w:r>
      <w:r>
        <w:lastRenderedPageBreak/>
        <w:t xml:space="preserve">GICS </w:t>
      </w:r>
      <w:r w:rsidRPr="00C14A47">
        <w:t>industry</w:t>
      </w:r>
      <w:r>
        <w:t>, and</w:t>
      </w:r>
      <w:r w:rsidRPr="00C14A47">
        <w:t xml:space="preserve"> </w:t>
      </w:r>
      <w:r>
        <w:t xml:space="preserve">region fixed </w:t>
      </w:r>
      <w:r w:rsidRPr="00C14A47">
        <w:t>effects.</w:t>
      </w:r>
      <w:r>
        <w:t xml:space="preserve"> Appendix A defines all </w:t>
      </w:r>
      <w:r w:rsidRPr="00D9015C">
        <w:t>variables used in our empirical analysis</w:t>
      </w:r>
      <w:r>
        <w:t xml:space="preserve">. </w:t>
      </w:r>
    </w:p>
    <w:p w14:paraId="57D583B0" w14:textId="5A426A52" w:rsidR="00D71EA9" w:rsidRDefault="00D71EA9" w:rsidP="005906FB">
      <w:r w:rsidRPr="003E0B4F">
        <w:t>Total Factor Productivity (</w:t>
      </w:r>
      <w:r w:rsidRPr="00D71EA9">
        <w:rPr>
          <w:i/>
          <w:iCs/>
        </w:rPr>
        <w:t>TFP</w:t>
      </w:r>
      <w:r w:rsidRPr="003E0B4F">
        <w:t>)</w:t>
      </w:r>
      <w:r>
        <w:t xml:space="preserve"> is calculated following </w:t>
      </w:r>
      <w:r>
        <w:fldChar w:fldCharType="begin" w:fldLock="1"/>
      </w:r>
      <w:r w:rsidR="002E5440">
        <w:instrText>ADDIN CSL_CITATION {"citationItems":[{"id":"ITEM-1","itemData":{"DOI":"10.1017/S0022109000002519","ISSN":"00221090","abstract":"Equity ownership gives labor both a fractional stake in a firm's residual cash flows and a voice in corporate governance. Relative to other firms, labor-controlled publicly traded firms deviate more from value maximization, invest less in long-term assets, take fewer risks, grow more slowly, create fewer new jobs, and exhibit lower labor and total factor productivity. Therefore, we propose that labor uses its corporate governance voice to maximize the combined value of its contractual and residual claims, and that this often pushes corporate policies away from, rather than toward, shareholder value maximization. COPYRIGHT 2006, SCHOOL OF BUSINESS ADMINISTRATION, UNIVERSITY OF WASHINGTON.","author":[{"dropping-particle":"","family":"Faleye","given":"Olubunmi","non-dropping-particle":"","parse-names":false,"suffix":""},{"dropping-particle":"","family":"Mehrotra","given":"Vikas","non-dropping-particle":"","parse-names":false,"suffix":""},{"dropping-particle":"","family":"Morck","given":"Randall","non-dropping-particle":"","parse-names":false,"suffix":""}],"container-title":"Journal of Financial and Quantitative Analysis","id":"ITEM-1","issue":"3","issued":{"date-parts":[["2006","9"]]},"page":"489-510","publisher":"Cambridge University Press","title":"When labor has a voice in corporate governance","type":"article-journal","volume":"41"},"uris":["http://www.mendeley.com/documents/?uuid=756c1e56-2882-3ccd-a5fa-57ee1675433b"]}],"mendeley":{"formattedCitation":"(Faleye et al., 2006)","manualFormatting":"Faleye et al. (2006","plainTextFormattedCitation":"(Faleye et al., 2006)","previouslyFormattedCitation":"(Faleye et al., 2006)"},"properties":{"noteIndex":0},"schema":"https://github.com/citation-style-language/schema/raw/master/csl-citation.json"}</w:instrText>
      </w:r>
      <w:r>
        <w:fldChar w:fldCharType="separate"/>
      </w:r>
      <w:r w:rsidRPr="008A51DD">
        <w:rPr>
          <w:noProof/>
        </w:rPr>
        <w:t xml:space="preserve">Faleye et al. </w:t>
      </w:r>
      <w:r>
        <w:rPr>
          <w:noProof/>
        </w:rPr>
        <w:t>(</w:t>
      </w:r>
      <w:r w:rsidRPr="008A51DD">
        <w:rPr>
          <w:noProof/>
        </w:rPr>
        <w:t>2006</w:t>
      </w:r>
      <w:r>
        <w:fldChar w:fldCharType="end"/>
      </w:r>
      <w:r>
        <w:t>), where it is assumed that the firm’s production function follows the Cobb-Douglas formula:</w:t>
      </w:r>
    </w:p>
    <w:p w14:paraId="3529D652" w14:textId="722833A3" w:rsidR="00D71EA9" w:rsidRPr="005906FB" w:rsidRDefault="006725FE" w:rsidP="005906FB">
      <w:pPr>
        <w:rPr>
          <w:szCs w:val="24"/>
        </w:rPr>
      </w:pP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  t</m:t>
            </m:r>
          </m:sub>
        </m:sSub>
        <m:r>
          <w:rPr>
            <w:rFonts w:ascii="Cambria Math" w:hAnsi="Cambria Math"/>
            <w:szCs w:val="24"/>
          </w:rPr>
          <m:t xml:space="preserve">=   A </m:t>
        </m:r>
        <m:sSubSup>
          <m:sSubSupPr>
            <m:ctrlPr>
              <w:rPr>
                <w:rFonts w:ascii="Cambria Math" w:hAnsi="Cambria Math"/>
                <w:i/>
                <w:szCs w:val="24"/>
              </w:rPr>
            </m:ctrlPr>
          </m:sSubSupPr>
          <m:e>
            <m:r>
              <w:rPr>
                <w:rFonts w:ascii="Cambria Math" w:hAnsi="Cambria Math"/>
                <w:szCs w:val="24"/>
              </w:rPr>
              <m:t>L</m:t>
            </m:r>
          </m:e>
          <m:sub>
            <m:r>
              <w:rPr>
                <w:rFonts w:ascii="Cambria Math" w:hAnsi="Cambria Math"/>
                <w:szCs w:val="24"/>
              </w:rPr>
              <m:t>i,t</m:t>
            </m:r>
          </m:sub>
          <m:sup>
            <m:sSub>
              <m:sSubPr>
                <m:ctrlPr>
                  <w:rPr>
                    <w:rFonts w:ascii="Cambria Math" w:hAnsi="Cambria Math"/>
                    <w:i/>
                    <w:szCs w:val="24"/>
                  </w:rPr>
                </m:ctrlPr>
              </m:sSubPr>
              <m:e>
                <m:r>
                  <w:rPr>
                    <w:rFonts w:ascii="Cambria Math" w:hAnsi="Cambria Math"/>
                    <w:szCs w:val="24"/>
                  </w:rPr>
                  <m:t>β</m:t>
                </m:r>
              </m:e>
              <m:sub>
                <m:r>
                  <w:rPr>
                    <w:rFonts w:ascii="Cambria Math" w:hAnsi="Cambria Math"/>
                    <w:szCs w:val="24"/>
                  </w:rPr>
                  <m:t>j</m:t>
                </m:r>
              </m:sub>
            </m:sSub>
          </m:sup>
        </m:sSubSup>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rPr>
              <m:t>K</m:t>
            </m:r>
          </m:e>
          <m:sub>
            <m:r>
              <w:rPr>
                <w:rFonts w:ascii="Cambria Math" w:hAnsi="Cambria Math"/>
                <w:szCs w:val="24"/>
              </w:rPr>
              <m:t>i,t</m:t>
            </m:r>
          </m:sub>
          <m:sup>
            <m:sSub>
              <m:sSubPr>
                <m:ctrlPr>
                  <w:rPr>
                    <w:rFonts w:ascii="Cambria Math" w:hAnsi="Cambria Math"/>
                    <w:i/>
                    <w:szCs w:val="24"/>
                  </w:rPr>
                </m:ctrlPr>
              </m:sSubPr>
              <m:e>
                <m:r>
                  <w:rPr>
                    <w:rFonts w:ascii="Cambria Math" w:hAnsi="Cambria Math"/>
                    <w:szCs w:val="24"/>
                  </w:rPr>
                  <m:t>α</m:t>
                </m:r>
              </m:e>
              <m:sub>
                <m:r>
                  <w:rPr>
                    <w:rFonts w:ascii="Cambria Math" w:hAnsi="Cambria Math"/>
                    <w:szCs w:val="24"/>
                  </w:rPr>
                  <m:t>j</m:t>
                </m:r>
              </m:sub>
            </m:sSub>
          </m:sup>
        </m:sSubSup>
      </m:oMath>
      <w:r w:rsidR="00D71EA9" w:rsidRPr="005906FB">
        <w:rPr>
          <w:szCs w:val="24"/>
        </w:rPr>
        <w:t xml:space="preserve">   (3)</w:t>
      </w:r>
    </w:p>
    <w:p w14:paraId="210FEA66" w14:textId="77777777" w:rsidR="00D71EA9" w:rsidRDefault="00D71EA9" w:rsidP="005906FB">
      <w:proofErr w:type="spellStart"/>
      <w:proofErr w:type="gramStart"/>
      <w:r w:rsidRPr="00D71EA9">
        <w:rPr>
          <w:i/>
        </w:rPr>
        <w:t>Y</w:t>
      </w:r>
      <w:r w:rsidRPr="00D71EA9">
        <w:rPr>
          <w:i/>
          <w:vertAlign w:val="subscript"/>
        </w:rPr>
        <w:t>i,t</w:t>
      </w:r>
      <w:proofErr w:type="spellEnd"/>
      <w:proofErr w:type="gramEnd"/>
      <w:r>
        <w:t xml:space="preserve"> is the revenue, </w:t>
      </w:r>
      <w:proofErr w:type="spellStart"/>
      <w:r w:rsidRPr="00D71EA9">
        <w:rPr>
          <w:i/>
        </w:rPr>
        <w:t>L</w:t>
      </w:r>
      <w:r w:rsidRPr="00D71EA9">
        <w:rPr>
          <w:i/>
          <w:vertAlign w:val="subscript"/>
        </w:rPr>
        <w:t>i,t</w:t>
      </w:r>
      <w:proofErr w:type="spellEnd"/>
      <w:r>
        <w:t xml:space="preserve"> is the number of employees, and </w:t>
      </w:r>
      <w:proofErr w:type="spellStart"/>
      <w:r w:rsidRPr="00D71EA9">
        <w:rPr>
          <w:i/>
        </w:rPr>
        <w:t>K</w:t>
      </w:r>
      <w:r w:rsidRPr="00D71EA9">
        <w:rPr>
          <w:i/>
          <w:vertAlign w:val="subscript"/>
        </w:rPr>
        <w:t>i,t</w:t>
      </w:r>
      <w:proofErr w:type="spellEnd"/>
      <w:r>
        <w:t xml:space="preserve"> is the net property, plant, and equipment of firm </w:t>
      </w:r>
      <w:proofErr w:type="spellStart"/>
      <w:r w:rsidRPr="00D71EA9">
        <w:rPr>
          <w:i/>
        </w:rPr>
        <w:t>i</w:t>
      </w:r>
      <w:proofErr w:type="spellEnd"/>
      <w:r>
        <w:t xml:space="preserve"> in fiscal year </w:t>
      </w:r>
      <w:r w:rsidRPr="00D71EA9">
        <w:rPr>
          <w:i/>
        </w:rPr>
        <w:t>t</w:t>
      </w:r>
      <w:r>
        <w:t xml:space="preserve"> in industry </w:t>
      </w:r>
      <w:r w:rsidRPr="00D71EA9">
        <w:rPr>
          <w:i/>
        </w:rPr>
        <w:t>j</w:t>
      </w:r>
      <w:r>
        <w:t>.</w:t>
      </w:r>
      <w:r>
        <w:rPr>
          <w:rStyle w:val="FootnoteReference"/>
        </w:rPr>
        <w:footnoteReference w:id="12"/>
      </w:r>
      <w:r>
        <w:t xml:space="preserve"> We transformed the above equation by taking the natural logarithm of both sides. We estimate a separate regression for each two-digit GICS industry group for all </w:t>
      </w:r>
      <w:proofErr w:type="spellStart"/>
      <w:r>
        <w:t>Datastream</w:t>
      </w:r>
      <w:proofErr w:type="spellEnd"/>
      <w:r>
        <w:t xml:space="preserve"> firms to control industry heterogeneity. Each regression includes a year-fixed effect,</w:t>
      </w:r>
      <w:r w:rsidRPr="00D71EA9">
        <w:rPr>
          <w:color w:val="FF0000"/>
        </w:rPr>
        <w:t xml:space="preserve"> </w:t>
      </w:r>
      <w:r w:rsidRPr="00240496">
        <w:t>and the standard error is corrected by firm-level clustering. Finally</w:t>
      </w:r>
      <w:r>
        <w:t xml:space="preserve">, </w:t>
      </w:r>
      <w:r w:rsidRPr="00D71EA9">
        <w:rPr>
          <w:i/>
          <w:iCs/>
        </w:rPr>
        <w:t>TFP</w:t>
      </w:r>
      <w:r>
        <w:t xml:space="preserve"> is measured as the residual of the following equation. </w:t>
      </w:r>
    </w:p>
    <w:p w14:paraId="7AA00007" w14:textId="302961B6" w:rsidR="00D71EA9" w:rsidRPr="005906FB" w:rsidRDefault="006725FE" w:rsidP="005906FB">
      <w:pPr>
        <w:rPr>
          <w:szCs w:val="24"/>
        </w:rPr>
      </w:pP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  t</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i,j,t</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j</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l</m:t>
            </m:r>
          </m:e>
          <m:sub>
            <m:r>
              <w:rPr>
                <w:rFonts w:ascii="Cambria Math" w:hAnsi="Cambria Math"/>
                <w:szCs w:val="24"/>
              </w:rPr>
              <m:t>i,t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 xml:space="preserve"> α</m:t>
            </m:r>
          </m:e>
          <m:sub>
            <m:r>
              <w:rPr>
                <w:rFonts w:ascii="Cambria Math" w:hAnsi="Cambria Math"/>
                <w:szCs w:val="24"/>
              </w:rPr>
              <m:t>j</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i,t</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i,t</m:t>
            </m:r>
          </m:sub>
        </m:sSub>
      </m:oMath>
      <w:r w:rsidR="00D71EA9" w:rsidRPr="005906FB">
        <w:rPr>
          <w:szCs w:val="24"/>
        </w:rPr>
        <w:t xml:space="preserve">   (4)</w:t>
      </w:r>
    </w:p>
    <w:p w14:paraId="672DF67D" w14:textId="350B7962" w:rsidR="00D71EA9" w:rsidRPr="005C6C54" w:rsidRDefault="00D71EA9" w:rsidP="005906FB">
      <w:r w:rsidRPr="00D71EA9">
        <w:rPr>
          <w:i/>
          <w:iCs/>
        </w:rPr>
        <w:t>TFP</w:t>
      </w:r>
      <w:r>
        <w:t xml:space="preserve"> </w:t>
      </w:r>
      <w:r w:rsidRPr="00877E86">
        <w:t xml:space="preserve">defines employee </w:t>
      </w:r>
      <w:r>
        <w:t>performance</w:t>
      </w:r>
      <w:r w:rsidRPr="00877E86">
        <w:t xml:space="preserve"> as the portion of firm </w:t>
      </w:r>
      <w:r>
        <w:t xml:space="preserve">productivity </w:t>
      </w:r>
      <w:r w:rsidRPr="00877E86">
        <w:t xml:space="preserve">that is unaffected by </w:t>
      </w:r>
      <w:r>
        <w:t>capital</w:t>
      </w:r>
      <w:r w:rsidRPr="00877E86">
        <w:t>.</w:t>
      </w:r>
      <w:r>
        <w:t xml:space="preserve"> For robustness purpose, this study considers an additional employee performance proxy, measured as the natural logarithm of the revenue per employee (</w:t>
      </w:r>
      <w:r w:rsidRPr="00D71EA9">
        <w:rPr>
          <w:i/>
          <w:iCs/>
        </w:rPr>
        <w:t>SLE</w:t>
      </w:r>
      <w:r>
        <w:t xml:space="preserve">) </w:t>
      </w:r>
      <w:r>
        <w:fldChar w:fldCharType="begin" w:fldLock="1"/>
      </w:r>
      <w:r w:rsidR="002E5440">
        <w:instrText>ADDIN CSL_CITATION {"citationItems":[{"id":"ITEM-1","itemData":{"DOI":"10.1111/j.1540-6261.2008.01435.x","abstract":"Analyzing a panel that matches public firms with worker-level data, we find that managerial entrenchment affects workers' pay. CEOs with more control pay their workers more, but financial incentives through cash flow rights ownership mitigate such behavior. Entrenched CEOs pay more to employees closer to them in the corporate hierarchy, geographically closer to the headquarters, and associated with conflict-inclined unions. The evidence is consistent with entrenched CEOs paying more to enjoy private benefits such as lower effort wage bargaining and improved social relations with employees. Our results show that managerial ownership and corporate governance can play an important role for employee compensation. © 2009 The American Finance Association.","author":[{"dropping-particle":"","family":"Cronqvist","given":"Henrik","non-dropping-particle":"","parse-names":false,"suffix":""},{"dropping-particle":"","family":"Heyman","given":"Fredrik","non-dropping-particle":"","parse-names":false,"suffix":""},{"dropping-particle":"","family":"Nilsson","given":"Mattias","non-dropping-particle":"","parse-names":false,"suffix":""},{"dropping-particle":"","family":"Svaleryd","given":"Helena","non-dropping-particle":"","parse-names":false,"suffix":""},{"dropping-particle":"","family":"Vlachos","given":"Jonas","non-dropping-particle":"","parse-names":false,"suffix":""}],"container-title":"The Journal of Finance","id":"ITEM-1","issue":"1","issued":{"date-parts":[["2009","2","1"]]},"page":"309-339","publisher":"John Wiley &amp; Sons, Ltd","title":"Do Entrenched Managers Pay Their Workers More?","type":"article-journal","volume":"64"},"uris":["http://www.mendeley.com/documents/?uuid=415e1c81-1aa3-3f23-87ed-b7c84ec05a4e"]}],"mendeley":{"formattedCitation":"(Cronqvist et al., 2009)","plainTextFormattedCitation":"(Cronqvist et al., 2009)","previouslyFormattedCitation":"(Cronqvist et al., 2009)"},"properties":{"noteIndex":0},"schema":"https://github.com/citation-style-language/schema/raw/master/csl-citation.json"}</w:instrText>
      </w:r>
      <w:r>
        <w:fldChar w:fldCharType="separate"/>
      </w:r>
      <w:r w:rsidR="009D2930" w:rsidRPr="009D2930">
        <w:rPr>
          <w:noProof/>
        </w:rPr>
        <w:t>(Cronqvist et al., 2009)</w:t>
      </w:r>
      <w:r>
        <w:fldChar w:fldCharType="end"/>
      </w:r>
      <w:r>
        <w:t xml:space="preserve">. However, this measure captures productivity at the most basic </w:t>
      </w:r>
      <w:r w:rsidRPr="005C6C54">
        <w:t xml:space="preserve">level </w:t>
      </w:r>
      <w:r w:rsidRPr="005C6C54">
        <w:fldChar w:fldCharType="begin" w:fldLock="1"/>
      </w:r>
      <w:r w:rsidR="002E5440">
        <w:instrText>ADDIN CSL_CITATION {"citationItems":[{"id":"ITEM-1","itemData":{"DOI":"10.1016/j.jbankfin.2013.03.003","ISSN":"03784266","abstract":"We study the determinants and effects of the relative compensation of top executives and lower-level employees. First, we show that CEO-employee pay ratios depend on the balance of power between the CEO (relative to the board) and ordinary employees (relative to management). Second, our results suggest that employees do not perceive higher pay ratios as an inequitable outcome to be redressed via costly behaviors that lower productivity. We do not find a negative relation between relative pay and employee productivity, either in our full sample or in subsamples where employees are well-informed about executive pay and are protected against career retributions. Rather, we find that productivity increases with relative pay when the firm has fewer employees who are well-informed, and when promotion decisions are predominantly merit-based. We also find that firm value and operating performance both increase with relative pay. We conclude that ordinary employees appear to perceive an opportunity in higher pay ratios but the extent to which such perception incentivizes them depends on the likelihood of success in a series of sequential promotion tournaments. © 2013 Elsevier B.V.","author":[{"dropping-particle":"","family":"Faleye","given":"Olubunmi","non-dropping-particle":"","parse-names":false,"suffix":""},{"dropping-particle":"","family":"Reis","given":"Ebru","non-dropping-particle":"","parse-names":false,"suffix":""},{"dropping-particle":"","family":"Venkateswaran","given":"Anand","non-dropping-particle":"","parse-names":false,"suffix":""}],"container-title":"Journal of Banking and Finance","id":"ITEM-1","issue":"8","issued":{"date-parts":[["2013","8","1"]]},"page":"3258-3272","publisher":"North-Holland","title":"The determinants and effects of CEO-employee pay ratios","type":"article-journal","volume":"37"},"uris":["http://www.mendeley.com/documents/?uuid=e5f3f9b6-68e5-4bc4-9537-454d7779e4e7"]}],"mendeley":{"formattedCitation":"(Faleye et al., 2013)","plainTextFormattedCitation":"(Faleye et al., 2013)","previouslyFormattedCitation":"(Faleye et al., 2013)"},"properties":{"noteIndex":0},"schema":"https://github.com/citation-style-language/schema/raw/master/csl-citation.json"}</w:instrText>
      </w:r>
      <w:r w:rsidRPr="005C6C54">
        <w:fldChar w:fldCharType="separate"/>
      </w:r>
      <w:r w:rsidR="009D2930" w:rsidRPr="005C6C54">
        <w:rPr>
          <w:noProof/>
        </w:rPr>
        <w:t>(Faleye et al., 2013)</w:t>
      </w:r>
      <w:r w:rsidRPr="005C6C54">
        <w:fldChar w:fldCharType="end"/>
      </w:r>
      <w:r w:rsidRPr="005C6C54">
        <w:t xml:space="preserve">.  </w:t>
      </w:r>
    </w:p>
    <w:p w14:paraId="77895501" w14:textId="06723E7A" w:rsidR="00D71EA9" w:rsidRPr="00D71EA9" w:rsidRDefault="00D71EA9" w:rsidP="002C1198">
      <w:r w:rsidRPr="005C6C54">
        <w:t>Our model may face the challenge of potential endogeneity bias that drives the effect of pay ratios on employee performance.</w:t>
      </w:r>
      <w:r w:rsidRPr="005C6C54">
        <w:rPr>
          <w:color w:val="FF0000"/>
        </w:rPr>
        <w:t xml:space="preserve"> </w:t>
      </w:r>
      <w:r w:rsidRPr="005C6C54">
        <w:t>Noting the possibility of persistence in employees’ performance due to the current value being related to its previous value, we use a dynamic estimator such as the</w:t>
      </w:r>
      <w:r w:rsidR="002C1198" w:rsidRPr="005C6C54">
        <w:t xml:space="preserve"> two-step </w:t>
      </w:r>
      <w:r w:rsidRPr="005C6C54">
        <w:t xml:space="preserve">“system generalised method of moments (SGMM)” </w:t>
      </w:r>
      <w:r w:rsidRPr="005C6C54">
        <w:fldChar w:fldCharType="begin" w:fldLock="1"/>
      </w:r>
      <w:r w:rsidR="002E5440">
        <w:instrText>ADDIN CSL_CITATION {"citationItems":[{"id":"ITEM-1","itemData":{"DOI":"10.1016/0304-4076(94)01642-D","ISSN":"0304-4076","abstract":"This article develops a framework for efficient IV estimators of random effects models with information in levels which can accommodate predetermined variables. Our formulation clarifies the relationship between the existing estimators and the role of transformations in panel data models. We characterize the valid transformations for relevant models and show that optimal estimators are invariant to the transformation used to remove individual effects. We present an alternative transformation for models with predetermined instruments which preserves the orthogonality among the errors. Finally, we consider models with predetermined variables that have constant correlation with the effects and illustrate their importance with simulations. © 1995.","author":[{"dropping-particle":"","family":"Arellano","given":"Manuel","non-dropping-particle":"","parse-names":false,"suffix":""},{"dropping-particle":"","family":"Bover","given":"Olympia","non-dropping-particle":"","parse-names":false,"suffix":""}],"container-title":"Journal of Econometrics","id":"ITEM-1","issue":"1","issued":{"date-parts":[["1995","7","1"]]},"page":"29-51","publisher":"North-Holland","title":"Another look at the instrumental variable estimation of error-components models","type":"article-journal","volume":"68"},"uris":["http://www.mendeley.com/documents/?uuid=ef09aab2-b9c6-3464-9c8a-ef27eb0358eb"]},{"id":"ITEM-2","itemData":{"DOI":"10.2307/2297968","ISSN":"0034-6527","abstract":"This paper presents specification tests that are applicable after estimating a dynamic model from panel data by the generalized method of moments (GMM), and studies the practical performance of these procedures using both generated and real data. Our GMM estimator optimally exploits all the linear moment restrictions that follow from the assumption of no serial correlation in the errors, in an equation which contains individual effects, lagged dependent variables and no strictly exogenous variables. We propose a test of serial correlation based on the GMM residuals and compare this with Sargan tests of over-identifying restrictions and Hausman specification tests. © 1991 The Review of Economic Studies Limited.","author":[{"dropping-particle":"","family":"Arellano","given":"Manuel","non-dropping-particle":"","parse-names":false,"suffix":""},{"dropping-particle":"","family":"Bond","given":"Stephen","non-dropping-particle":"","parse-names":false,"suffix":""}],"container-title":"The Review of Economic Studies","id":"ITEM-2","issue":"2","issued":{"date-parts":[["1991","4","1"]]},"page":"277-297","publisher":"Oxford Academic","title":"Some Tests of Specification for Panel Data: Monte Carlo Evidence and an Application to Employment Equations","type":"article-journal","volume":"58"},"uris":["http://www.mendeley.com/documents/?uuid=a2e1da2f-bdb1-369c-8f95-30d5df46e677"]}],"mendeley":{"formattedCitation":"(Arellano &amp; Bond, 1991; Arellano &amp; Bover, 1995)","plainTextFormattedCitation":"(Arellano &amp; Bond, 1991; Arellano &amp; Bover, 1995)","previouslyFormattedCitation":"(Arellano &amp; Bond, 1991; Arellano &amp; Bover, 1995)"},"properties":{"noteIndex":0},"schema":"https://github.com/citation-style-language/schema/raw/master/csl-citation.json"}</w:instrText>
      </w:r>
      <w:r w:rsidRPr="005C6C54">
        <w:fldChar w:fldCharType="separate"/>
      </w:r>
      <w:r w:rsidR="009D2930" w:rsidRPr="005C6C54">
        <w:rPr>
          <w:noProof/>
        </w:rPr>
        <w:t>(Arellano &amp; Bond, 1991; Arellano &amp; Bover, 1995)</w:t>
      </w:r>
      <w:r w:rsidRPr="005C6C54">
        <w:fldChar w:fldCharType="end"/>
      </w:r>
      <w:r w:rsidR="002C1198" w:rsidRPr="005C6C54">
        <w:t xml:space="preserve"> with robust standard errors. </w:t>
      </w:r>
      <w:r w:rsidRPr="005C6C54">
        <w:t>to capture the dynamic behaviour. Furthermore, SGMM controls for unobserved heterogeneity, endogeneity problems arising from simultaneity, reverse causality, or mismeasurement of variables that may bias estimates</w:t>
      </w:r>
      <w:r w:rsidRPr="00AB2A9D">
        <w:t xml:space="preserve">. These </w:t>
      </w:r>
      <w:r w:rsidRPr="00E623A5">
        <w:t xml:space="preserve">strategies are further explained in the </w:t>
      </w:r>
      <w:r>
        <w:t>empirical analysis</w:t>
      </w:r>
      <w:r w:rsidRPr="00E623A5">
        <w:t xml:space="preserve"> section.</w:t>
      </w:r>
      <w:bookmarkEnd w:id="5"/>
    </w:p>
    <w:p w14:paraId="6A5251AA" w14:textId="09CAA709" w:rsidR="00A85F0D" w:rsidRDefault="00A85F0D" w:rsidP="00A85F0D">
      <w:pPr>
        <w:pStyle w:val="Heading1"/>
      </w:pPr>
      <w:r>
        <w:t>4. Sample and Data</w:t>
      </w:r>
    </w:p>
    <w:p w14:paraId="0609B2BD" w14:textId="102B68E6" w:rsidR="00AE6DC9" w:rsidRPr="00AE6DC9" w:rsidRDefault="00AE6DC9" w:rsidP="00AE6DC9">
      <w:pPr>
        <w:ind w:firstLine="0"/>
      </w:pPr>
      <w:r w:rsidRPr="00AE6DC9">
        <w:t xml:space="preserve">Our sample includes Australian Securities Exchange (ASX) firms and Australian regional </w:t>
      </w:r>
      <w:r w:rsidR="00287231">
        <w:t>labour market data</w:t>
      </w:r>
      <w:r w:rsidRPr="00AE6DC9">
        <w:t xml:space="preserve"> collected from three databases: Thomson Reuters </w:t>
      </w:r>
      <w:proofErr w:type="spellStart"/>
      <w:r w:rsidRPr="00AE6DC9">
        <w:t>Datastream</w:t>
      </w:r>
      <w:proofErr w:type="spellEnd"/>
      <w:r w:rsidRPr="00AE6DC9">
        <w:t xml:space="preserve"> (TRD), </w:t>
      </w:r>
      <w:proofErr w:type="spellStart"/>
      <w:r w:rsidRPr="00AE6DC9">
        <w:t>MorningStar</w:t>
      </w:r>
      <w:proofErr w:type="spellEnd"/>
      <w:r w:rsidRPr="00AE6DC9">
        <w:t xml:space="preserve"> (</w:t>
      </w:r>
      <w:proofErr w:type="spellStart"/>
      <w:r w:rsidRPr="00AE6DC9">
        <w:t>DatAnalysis</w:t>
      </w:r>
      <w:proofErr w:type="spellEnd"/>
      <w:r w:rsidRPr="00AE6DC9">
        <w:t xml:space="preserve">), and Australian Bureau of Statistics (ABS). TRD provides detailed annual reports and stock market data. Other detailed company information (such as an address, industry group) is available in </w:t>
      </w:r>
      <w:proofErr w:type="spellStart"/>
      <w:r w:rsidRPr="00AE6DC9">
        <w:t>DatAnalysis</w:t>
      </w:r>
      <w:proofErr w:type="spellEnd"/>
      <w:r w:rsidRPr="00AE6DC9">
        <w:t>. ABS covers a wide range of macroeconomic data by region and industry in Australia. All three databases are merged, as discussed below, to develop a final firm-year dimensional database used in this study.</w:t>
      </w:r>
    </w:p>
    <w:p w14:paraId="3D1AC38B" w14:textId="77777777" w:rsidR="00AE6DC9" w:rsidRPr="00AE6DC9" w:rsidRDefault="00AE6DC9" w:rsidP="00AE6DC9">
      <w:r w:rsidRPr="00AE6DC9">
        <w:lastRenderedPageBreak/>
        <w:t>Most of the variables are collected from TRD and ABS. TRD includes our variables of interest in this research: CEO compensation and employees’ average compensation. CEO’s compensation is defined in the TRD database as the highest remuneration in the firm</w:t>
      </w:r>
      <w:r w:rsidRPr="00AE6DC9">
        <w:rPr>
          <w:vertAlign w:val="superscript"/>
        </w:rPr>
        <w:footnoteReference w:id="13"/>
      </w:r>
      <w:r w:rsidRPr="00AE6DC9">
        <w:t xml:space="preserve">. Employees’ average compensation is calculated as the ratio of wage and salaries expenses minus the highest remuneration to the number of employees minus one </w:t>
      </w:r>
      <w:r w:rsidRPr="00AE6DC9">
        <w:rPr>
          <w:vertAlign w:val="superscript"/>
        </w:rPr>
        <w:footnoteReference w:id="14"/>
      </w:r>
      <w:r w:rsidRPr="00AE6DC9">
        <w:t>. Since these two variables are our key variables, the firms in our initial sample are restricted to those with at least one observation of the highest remuneration package or wage and salaries expenses from 2004 to 2019. This step yields a list of 2845 companies listed in ASX from 2004 to 2019.  Then, financial data are collected from 2004 to 2019 for all 2845 firms. In addition, regional and industry-level data on Australia’s economy, labour, population, and education are collected from ABS.</w:t>
      </w:r>
    </w:p>
    <w:p w14:paraId="46CC7EE4" w14:textId="77777777" w:rsidR="00AE6DC9" w:rsidRPr="00AE6DC9" w:rsidRDefault="00AE6DC9" w:rsidP="00AE6DC9">
      <w:pPr>
        <w:rPr>
          <w:b/>
          <w:bCs/>
          <w:lang w:val="af-ZA"/>
        </w:rPr>
      </w:pPr>
      <w:r w:rsidRPr="00AE6DC9">
        <w:t>In order to merge TRD and ABS databases, industry groups and the state of incorporation identifiers are required for all firms. However, there are two issues. First, the state of incorporation for all companies and the two-digit GICS codes</w:t>
      </w:r>
      <w:r w:rsidRPr="00AE6DC9">
        <w:rPr>
          <w:vertAlign w:val="superscript"/>
        </w:rPr>
        <w:footnoteReference w:id="15"/>
      </w:r>
      <w:r w:rsidRPr="00AE6DC9">
        <w:t xml:space="preserve"> is not available in TRD. To address this problem, </w:t>
      </w:r>
      <w:proofErr w:type="spellStart"/>
      <w:r w:rsidRPr="00AE6DC9">
        <w:t>DatAnalysis</w:t>
      </w:r>
      <w:proofErr w:type="spellEnd"/>
      <w:r w:rsidRPr="00AE6DC9">
        <w:t xml:space="preserve"> is employed.  The country of incorporation, registered office state and GICS for all companies are retrieved from </w:t>
      </w:r>
      <w:proofErr w:type="spellStart"/>
      <w:r w:rsidRPr="00AE6DC9">
        <w:t>DatAnalysis</w:t>
      </w:r>
      <w:proofErr w:type="spellEnd"/>
      <w:r w:rsidRPr="00AE6DC9">
        <w:t xml:space="preserve">. Then, the missing values of the country of incorporation and registered office state in TRD are completed using data from </w:t>
      </w:r>
      <w:proofErr w:type="spellStart"/>
      <w:r w:rsidRPr="00AE6DC9">
        <w:t>DatAnalysis</w:t>
      </w:r>
      <w:proofErr w:type="spellEnd"/>
      <w:r w:rsidRPr="00AE6DC9">
        <w:t>. This process leads to 2649 firms being incorporated in Australia. In addition, we merge a two-digit GICS industry code to our sample based on the company name. The two-digit GICS industry code was not reported for 26 companies. This process reduces the number of our companies to 2623</w:t>
      </w:r>
      <w:r w:rsidRPr="00AE6DC9">
        <w:rPr>
          <w:b/>
          <w:bCs/>
        </w:rPr>
        <w:t>.</w:t>
      </w:r>
      <w:r w:rsidRPr="00AE6DC9">
        <w:t xml:space="preserve"> </w:t>
      </w:r>
    </w:p>
    <w:p w14:paraId="2E2CD10A" w14:textId="77777777" w:rsidR="00AE6DC9" w:rsidRPr="00AE6DC9" w:rsidRDefault="00AE6DC9" w:rsidP="00AE6DC9">
      <w:r w:rsidRPr="00AE6DC9">
        <w:t xml:space="preserve">The second issue is that the industry identifiers differ in </w:t>
      </w:r>
      <w:proofErr w:type="spellStart"/>
      <w:r w:rsidRPr="00AE6DC9">
        <w:t>DatAnalysis</w:t>
      </w:r>
      <w:proofErr w:type="spellEnd"/>
      <w:r w:rsidRPr="00AE6DC9">
        <w:t xml:space="preserve"> and ABS. The former uses GICS and the latter ANZSIC. Thus, merging our sample and the ABS database creates another challenge. To solve this problem, we relate each two-digit GICS industry code to a two-digit ANZSIC code. If an exact match is not possible for the two-digit ANZSIC code, we use the broadest level of ANZSIC code that potentially maps to the GICS industry code. Appendix B illustrates the industry map. Given these steps, our initial sample leads to 2623 unique firms incorporated in Australia from 2004 to 2019.</w:t>
      </w:r>
    </w:p>
    <w:p w14:paraId="085C28CE" w14:textId="695438DE" w:rsidR="00AE6DC9" w:rsidRPr="00AE6DC9" w:rsidRDefault="00AE6DC9" w:rsidP="00AE6DC9">
      <w:r w:rsidRPr="00AE6DC9">
        <w:t>Unfortunately, TRD does not provide complete compensation data for CEOs. Therefore, our sample is limited to those observations in our initial sample that covered CEO Compensation, total senior executive compensation or board member compensation.</w:t>
      </w:r>
      <w:r w:rsidRPr="00AE6DC9">
        <w:rPr>
          <w:vertAlign w:val="superscript"/>
        </w:rPr>
        <w:footnoteReference w:id="16"/>
      </w:r>
      <w:r w:rsidRPr="00AE6DC9">
        <w:t xml:space="preserve"> Consequently, we lose a significant proportion of the observations obtained from </w:t>
      </w:r>
      <w:proofErr w:type="spellStart"/>
      <w:r w:rsidRPr="00AE6DC9">
        <w:t>Datastream</w:t>
      </w:r>
      <w:proofErr w:type="spellEnd"/>
      <w:r w:rsidRPr="00AE6DC9">
        <w:t xml:space="preserve">, resulting in a final sample of 547 unique firms over the period 2004-2019. Then, </w:t>
      </w:r>
      <w:r w:rsidR="00C55BD0">
        <w:t>a</w:t>
      </w:r>
      <w:r w:rsidR="00C55BD0" w:rsidRPr="00AE6DC9">
        <w:t xml:space="preserve">ll the continuous variables </w:t>
      </w:r>
      <w:r w:rsidR="00C55BD0">
        <w:t xml:space="preserve">in </w:t>
      </w:r>
      <w:r w:rsidRPr="00AE6DC9">
        <w:t>our sample data</w:t>
      </w:r>
      <w:r w:rsidR="00C55BD0">
        <w:t xml:space="preserve"> </w:t>
      </w:r>
      <w:r w:rsidR="00C55BD0">
        <w:lastRenderedPageBreak/>
        <w:t>are trimmed</w:t>
      </w:r>
      <w:r w:rsidRPr="00AE6DC9">
        <w:t xml:space="preserve"> at the 1 per cent and 99 per cent levels to minimise the effect of any outliers.</w:t>
      </w:r>
      <w:r w:rsidRPr="00AE6DC9">
        <w:rPr>
          <w:vertAlign w:val="superscript"/>
        </w:rPr>
        <w:footnoteReference w:id="17"/>
      </w:r>
      <w:r w:rsidRPr="00AE6DC9">
        <w:t xml:space="preserve"> Following all adjustments, the sample size reduces to 2132 firm-year observations (385 unique firms) in our first regression (see Table 4).</w:t>
      </w:r>
    </w:p>
    <w:p w14:paraId="52581D3D" w14:textId="16C5F658" w:rsidR="00147360" w:rsidRDefault="00147360" w:rsidP="00147360">
      <w:pPr>
        <w:pStyle w:val="Heading1"/>
      </w:pPr>
      <w:r>
        <w:t>5. Empirical analysis</w:t>
      </w:r>
    </w:p>
    <w:p w14:paraId="4ECA1E03" w14:textId="08E37C4D" w:rsidR="00147360" w:rsidRDefault="00147360" w:rsidP="00147360">
      <w:pPr>
        <w:ind w:firstLine="0"/>
      </w:pPr>
      <w:r w:rsidRPr="00147360">
        <w:t>This section begins with the summary statistics of all variables. It follows by estimating pay equity and pay inequity according to equation 1. We then discuss and test our hypotheses on the relationship between pay ratios and employee performance.</w:t>
      </w:r>
    </w:p>
    <w:p w14:paraId="4388493D" w14:textId="6E7BC712" w:rsidR="00147360" w:rsidRPr="00147360" w:rsidRDefault="003D21A9" w:rsidP="009A7B5F">
      <w:pPr>
        <w:pStyle w:val="Heading2"/>
      </w:pPr>
      <w:r>
        <w:t>5.</w:t>
      </w:r>
      <w:r w:rsidR="003064E0">
        <w:t>1</w:t>
      </w:r>
      <w:r>
        <w:t>. Descriptive statistics</w:t>
      </w:r>
    </w:p>
    <w:p w14:paraId="3220F4D0" w14:textId="30375376" w:rsidR="007277D6" w:rsidRDefault="009A7B5F" w:rsidP="00217E45">
      <w:pPr>
        <w:ind w:firstLine="0"/>
      </w:pPr>
      <w:bookmarkStart w:id="6" w:name="_Hlk86053399"/>
      <w:r>
        <w:t xml:space="preserve">Table 1 presents the mean and median for </w:t>
      </w:r>
      <w:r w:rsidRPr="00C56D59">
        <w:t>pay</w:t>
      </w:r>
      <w:r>
        <w:t xml:space="preserve"> </w:t>
      </w:r>
      <w:r w:rsidRPr="00C56D59">
        <w:t>inequality</w:t>
      </w:r>
      <w:r>
        <w:rPr>
          <w:i/>
          <w:iCs/>
        </w:rPr>
        <w:t xml:space="preserve"> </w:t>
      </w:r>
      <w:r>
        <w:t xml:space="preserve">over years, </w:t>
      </w:r>
      <w:r w:rsidR="00253D37">
        <w:t>industries,</w:t>
      </w:r>
      <w:r>
        <w:t xml:space="preserve"> and regions. As shown in panel A, the median (mean) of </w:t>
      </w:r>
      <w:r w:rsidRPr="00C56D59">
        <w:t>pay</w:t>
      </w:r>
      <w:r>
        <w:t xml:space="preserve"> </w:t>
      </w:r>
      <w:r w:rsidRPr="00C56D59">
        <w:t>inequality</w:t>
      </w:r>
      <w:r>
        <w:t xml:space="preserve"> increased from 34.9 (50.94) to 47.64 (88.47) from 2004 to 2007 (before the GFC). After the GFC, </w:t>
      </w:r>
      <w:r w:rsidRPr="00C56D59">
        <w:t>pay</w:t>
      </w:r>
      <w:r>
        <w:t xml:space="preserve"> </w:t>
      </w:r>
      <w:r w:rsidRPr="00C56D59">
        <w:t>inequality</w:t>
      </w:r>
      <w:r>
        <w:rPr>
          <w:i/>
          <w:iCs/>
        </w:rPr>
        <w:t xml:space="preserve"> </w:t>
      </w:r>
      <w:r>
        <w:t xml:space="preserve">gradually declined and reached 18.31(38.82) in 2010. Since 2011, </w:t>
      </w:r>
      <w:r w:rsidRPr="00C56D59">
        <w:t>pay</w:t>
      </w:r>
      <w:r>
        <w:t xml:space="preserve"> </w:t>
      </w:r>
      <w:r w:rsidRPr="00C56D59">
        <w:t>inequality</w:t>
      </w:r>
      <w:r>
        <w:rPr>
          <w:i/>
          <w:iCs/>
        </w:rPr>
        <w:t xml:space="preserve"> </w:t>
      </w:r>
      <w:r>
        <w:t xml:space="preserve">has been more stable. </w:t>
      </w:r>
      <w:r>
        <w:rPr>
          <w:rStyle w:val="FootnoteReference"/>
        </w:rPr>
        <w:footnoteReference w:id="18"/>
      </w:r>
      <w:r>
        <w:t xml:space="preserve"> In addition, the median of </w:t>
      </w:r>
      <w:r w:rsidRPr="00C56D59">
        <w:t>pay</w:t>
      </w:r>
      <w:r>
        <w:t xml:space="preserve"> </w:t>
      </w:r>
      <w:r w:rsidRPr="00C56D59">
        <w:t>inequality</w:t>
      </w:r>
      <w:r>
        <w:rPr>
          <w:i/>
          <w:iCs/>
        </w:rPr>
        <w:t xml:space="preserve"> </w:t>
      </w:r>
      <w:r>
        <w:t xml:space="preserve">is higher in banking, insurance, </w:t>
      </w:r>
      <w:r w:rsidR="00253D37">
        <w:t>transportation,</w:t>
      </w:r>
      <w:r>
        <w:t xml:space="preserve"> and retail industries, where the CEO earns about 49, 41, 36 and 35 times more than the average employee, respectively (Table 1, panel B). Comparing </w:t>
      </w:r>
      <w:r w:rsidRPr="00C56D59">
        <w:t>pay</w:t>
      </w:r>
      <w:r>
        <w:t xml:space="preserve"> </w:t>
      </w:r>
      <w:r w:rsidRPr="00C56D59">
        <w:t>inequality</w:t>
      </w:r>
      <w:r>
        <w:rPr>
          <w:i/>
          <w:iCs/>
        </w:rPr>
        <w:t xml:space="preserve"> </w:t>
      </w:r>
      <w:r>
        <w:t xml:space="preserve">over different regions in Australia shows that two states, New South Wales and Victoria, have the highest median </w:t>
      </w:r>
      <w:r w:rsidRPr="00C56D59">
        <w:t>pay</w:t>
      </w:r>
      <w:r>
        <w:t xml:space="preserve"> </w:t>
      </w:r>
      <w:r w:rsidRPr="00C56D59">
        <w:t>inequality</w:t>
      </w:r>
      <w:r>
        <w:t xml:space="preserve"> with respective values of</w:t>
      </w:r>
      <w:r>
        <w:rPr>
          <w:i/>
          <w:iCs/>
        </w:rPr>
        <w:t xml:space="preserve"> </w:t>
      </w:r>
      <w:r>
        <w:t xml:space="preserve">26.10 and 28.69 (Table 1, panel C). </w:t>
      </w:r>
      <w:r w:rsidRPr="00FC33AF">
        <w:t>O</w:t>
      </w:r>
      <w:r>
        <w:t xml:space="preserve">ur sample does not show the </w:t>
      </w:r>
      <w:r w:rsidRPr="00C56D59">
        <w:t>pay</w:t>
      </w:r>
      <w:r>
        <w:t xml:space="preserve"> </w:t>
      </w:r>
      <w:r w:rsidRPr="00C56D59">
        <w:t>inequality</w:t>
      </w:r>
      <w:r>
        <w:rPr>
          <w:i/>
          <w:iCs/>
        </w:rPr>
        <w:t xml:space="preserve"> </w:t>
      </w:r>
      <w:r w:rsidRPr="00FC33AF">
        <w:t xml:space="preserve">reported in the media. This discrepancy exists mainly as a consequence of our measure of </w:t>
      </w:r>
      <w:r w:rsidRPr="00C56D59">
        <w:t>pay</w:t>
      </w:r>
      <w:r>
        <w:t xml:space="preserve"> </w:t>
      </w:r>
      <w:r w:rsidRPr="00C56D59">
        <w:t>inequality</w:t>
      </w:r>
      <w:r w:rsidRPr="00FC33AF">
        <w:t xml:space="preserve">. Because of the lack of executives’ compensation data, our average employee pay includes executive salaries. This leads to </w:t>
      </w:r>
      <w:r>
        <w:t xml:space="preserve">a </w:t>
      </w:r>
      <w:r w:rsidRPr="00FC33AF">
        <w:t>higher average employee pay and lower pay inequality.</w:t>
      </w:r>
      <w:r>
        <w:t xml:space="preserve"> </w:t>
      </w:r>
    </w:p>
    <w:p w14:paraId="160764AD" w14:textId="34ADFBE4" w:rsidR="00217E45" w:rsidRDefault="00217E45" w:rsidP="00217E45">
      <w:pPr>
        <w:ind w:firstLine="0"/>
      </w:pPr>
    </w:p>
    <w:p w14:paraId="11A538C4" w14:textId="0A7F7001" w:rsidR="00217E45" w:rsidRDefault="00217E45" w:rsidP="00217E45">
      <w:pPr>
        <w:ind w:firstLine="0"/>
      </w:pPr>
    </w:p>
    <w:p w14:paraId="55F87DB3" w14:textId="38FB23BB" w:rsidR="00217E45" w:rsidRDefault="00217E45" w:rsidP="00217E45">
      <w:pPr>
        <w:ind w:firstLine="0"/>
      </w:pPr>
    </w:p>
    <w:p w14:paraId="15967F66" w14:textId="49A223F3" w:rsidR="00217E45" w:rsidRDefault="00217E45" w:rsidP="00217E45">
      <w:pPr>
        <w:ind w:firstLine="0"/>
      </w:pPr>
    </w:p>
    <w:p w14:paraId="6C4A0E72" w14:textId="70191E34" w:rsidR="00217E45" w:rsidRDefault="00217E45" w:rsidP="00217E45">
      <w:pPr>
        <w:ind w:firstLine="0"/>
      </w:pPr>
    </w:p>
    <w:p w14:paraId="0EA89539" w14:textId="74716792" w:rsidR="00217E45" w:rsidRDefault="00217E45" w:rsidP="00217E45">
      <w:pPr>
        <w:ind w:firstLine="0"/>
      </w:pPr>
    </w:p>
    <w:p w14:paraId="3D9F5143" w14:textId="23FD4FAF" w:rsidR="00217E45" w:rsidRDefault="00217E45" w:rsidP="00217E45">
      <w:pPr>
        <w:ind w:firstLine="0"/>
      </w:pPr>
    </w:p>
    <w:p w14:paraId="47E6A5F8" w14:textId="7679FA2D" w:rsidR="00217E45" w:rsidRDefault="00217E45" w:rsidP="00217E45">
      <w:pPr>
        <w:ind w:firstLine="0"/>
      </w:pPr>
    </w:p>
    <w:p w14:paraId="407F7D72" w14:textId="77777777" w:rsidR="00217E45" w:rsidRDefault="00217E45" w:rsidP="00217E45">
      <w:pPr>
        <w:ind w:firstLine="0"/>
      </w:pPr>
    </w:p>
    <w:p w14:paraId="0AEF3A44" w14:textId="7C73CD24" w:rsidR="009A7B5F" w:rsidRPr="009B472A" w:rsidRDefault="009A7B5F" w:rsidP="009B472A">
      <w:pPr>
        <w:tabs>
          <w:tab w:val="left" w:pos="567"/>
        </w:tabs>
        <w:spacing w:line="240" w:lineRule="auto"/>
        <w:ind w:firstLine="0"/>
        <w:jc w:val="center"/>
        <w:rPr>
          <w:rFonts w:ascii="Times New Roman" w:eastAsiaTheme="minorHAnsi" w:hAnsi="Times New Roman" w:cs="Times New Roman"/>
          <w:b/>
          <w:bCs/>
          <w:sz w:val="22"/>
          <w:lang w:eastAsia="en-US"/>
        </w:rPr>
      </w:pPr>
      <w:r w:rsidRPr="009B472A">
        <w:rPr>
          <w:rFonts w:ascii="Times New Roman" w:eastAsiaTheme="minorHAnsi" w:hAnsi="Times New Roman" w:cs="Times New Roman"/>
          <w:b/>
          <w:bCs/>
          <w:sz w:val="22"/>
          <w:lang w:eastAsia="en-US"/>
        </w:rPr>
        <w:lastRenderedPageBreak/>
        <w:t xml:space="preserve">Table </w:t>
      </w:r>
      <w:r w:rsidRPr="009B472A">
        <w:rPr>
          <w:rFonts w:ascii="Times New Roman" w:eastAsiaTheme="minorHAnsi" w:hAnsi="Times New Roman" w:cs="Times New Roman"/>
          <w:b/>
          <w:bCs/>
          <w:sz w:val="22"/>
          <w:lang w:eastAsia="en-US"/>
        </w:rPr>
        <w:fldChar w:fldCharType="begin"/>
      </w:r>
      <w:r w:rsidRPr="009B472A">
        <w:rPr>
          <w:rFonts w:ascii="Times New Roman" w:eastAsiaTheme="minorHAnsi" w:hAnsi="Times New Roman" w:cs="Times New Roman"/>
          <w:b/>
          <w:bCs/>
          <w:sz w:val="22"/>
          <w:lang w:eastAsia="en-US"/>
        </w:rPr>
        <w:instrText xml:space="preserve"> SEQ Table \* ARABIC </w:instrText>
      </w:r>
      <w:r w:rsidRPr="009B472A">
        <w:rPr>
          <w:rFonts w:ascii="Times New Roman" w:eastAsiaTheme="minorHAnsi" w:hAnsi="Times New Roman" w:cs="Times New Roman"/>
          <w:b/>
          <w:bCs/>
          <w:sz w:val="22"/>
          <w:lang w:eastAsia="en-US"/>
        </w:rPr>
        <w:fldChar w:fldCharType="separate"/>
      </w:r>
      <w:r w:rsidR="00F45684">
        <w:rPr>
          <w:rFonts w:ascii="Times New Roman" w:eastAsiaTheme="minorHAnsi" w:hAnsi="Times New Roman" w:cs="Times New Roman"/>
          <w:b/>
          <w:bCs/>
          <w:noProof/>
          <w:sz w:val="22"/>
          <w:lang w:eastAsia="en-US"/>
        </w:rPr>
        <w:t>1</w:t>
      </w:r>
      <w:r w:rsidRPr="009B472A">
        <w:rPr>
          <w:rFonts w:ascii="Times New Roman" w:eastAsiaTheme="minorHAnsi" w:hAnsi="Times New Roman" w:cs="Times New Roman"/>
          <w:b/>
          <w:bCs/>
          <w:sz w:val="22"/>
          <w:lang w:eastAsia="en-US"/>
        </w:rPr>
        <w:fldChar w:fldCharType="end"/>
      </w:r>
      <w:r w:rsidRPr="009B472A">
        <w:rPr>
          <w:rFonts w:ascii="Times New Roman" w:eastAsiaTheme="minorHAnsi" w:hAnsi="Times New Roman" w:cs="Times New Roman"/>
          <w:b/>
          <w:bCs/>
          <w:sz w:val="22"/>
          <w:lang w:eastAsia="en-US"/>
        </w:rPr>
        <w:t xml:space="preserve"> Pay Inequality over years, </w:t>
      </w:r>
      <w:r w:rsidR="009B472A" w:rsidRPr="009B472A">
        <w:rPr>
          <w:rFonts w:ascii="Times New Roman" w:eastAsiaTheme="minorHAnsi" w:hAnsi="Times New Roman" w:cs="Times New Roman"/>
          <w:b/>
          <w:bCs/>
          <w:sz w:val="22"/>
          <w:lang w:eastAsia="en-US"/>
        </w:rPr>
        <w:t>industries,</w:t>
      </w:r>
      <w:r w:rsidRPr="009B472A">
        <w:rPr>
          <w:rFonts w:ascii="Times New Roman" w:eastAsiaTheme="minorHAnsi" w:hAnsi="Times New Roman" w:cs="Times New Roman"/>
          <w:b/>
          <w:bCs/>
          <w:sz w:val="22"/>
          <w:lang w:eastAsia="en-US"/>
        </w:rPr>
        <w:t xml:space="preserve"> and regions</w:t>
      </w:r>
    </w:p>
    <w:p w14:paraId="169AF116" w14:textId="393881E6" w:rsidR="009A7B5F" w:rsidRPr="009B472A" w:rsidRDefault="009B472A" w:rsidP="009B472A">
      <w:pPr>
        <w:spacing w:line="240" w:lineRule="auto"/>
        <w:ind w:firstLine="0"/>
        <w:jc w:val="left"/>
        <w:rPr>
          <w:rFonts w:cstheme="majorBidi"/>
          <w:b/>
          <w:bCs/>
          <w:sz w:val="22"/>
          <w:lang w:val="en-US"/>
        </w:rPr>
      </w:pPr>
      <w:r>
        <w:rPr>
          <w:rFonts w:cstheme="majorBidi"/>
          <w:b/>
          <w:bCs/>
          <w:sz w:val="22"/>
          <w:lang w:val="en-US"/>
        </w:rPr>
        <w:t xml:space="preserve">  </w:t>
      </w:r>
      <w:r w:rsidR="009A7B5F" w:rsidRPr="009B472A">
        <w:rPr>
          <w:rFonts w:cstheme="majorBidi"/>
          <w:b/>
          <w:bCs/>
          <w:sz w:val="22"/>
          <w:lang w:val="en-US"/>
        </w:rPr>
        <w:t>Panel A: Pay inequality over years</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134"/>
        <w:gridCol w:w="993"/>
        <w:gridCol w:w="1224"/>
        <w:gridCol w:w="917"/>
        <w:gridCol w:w="1011"/>
      </w:tblGrid>
      <w:tr w:rsidR="009A7B5F" w:rsidRPr="00454BB5" w14:paraId="0B74A269" w14:textId="77777777" w:rsidTr="00E960A3">
        <w:trPr>
          <w:trHeight w:val="22"/>
        </w:trPr>
        <w:tc>
          <w:tcPr>
            <w:tcW w:w="4077" w:type="dxa"/>
            <w:tcBorders>
              <w:bottom w:val="single" w:sz="4" w:space="0" w:color="auto"/>
            </w:tcBorders>
            <w:noWrap/>
            <w:hideMark/>
          </w:tcPr>
          <w:p w14:paraId="511F9D2D"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Year</w:t>
            </w:r>
          </w:p>
        </w:tc>
        <w:tc>
          <w:tcPr>
            <w:tcW w:w="1134" w:type="dxa"/>
            <w:tcBorders>
              <w:bottom w:val="single" w:sz="4" w:space="0" w:color="auto"/>
            </w:tcBorders>
            <w:noWrap/>
            <w:hideMark/>
          </w:tcPr>
          <w:p w14:paraId="44DDAC6D" w14:textId="77777777" w:rsidR="009A7B5F" w:rsidRPr="00454BB5" w:rsidRDefault="009A7B5F" w:rsidP="009F5DF5">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Number of firms</w:t>
            </w:r>
          </w:p>
        </w:tc>
        <w:tc>
          <w:tcPr>
            <w:tcW w:w="993" w:type="dxa"/>
            <w:tcBorders>
              <w:bottom w:val="single" w:sz="4" w:space="0" w:color="auto"/>
            </w:tcBorders>
            <w:noWrap/>
            <w:hideMark/>
          </w:tcPr>
          <w:p w14:paraId="072CACB7"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Mean</w:t>
            </w:r>
          </w:p>
        </w:tc>
        <w:tc>
          <w:tcPr>
            <w:tcW w:w="1224" w:type="dxa"/>
            <w:tcBorders>
              <w:bottom w:val="single" w:sz="4" w:space="0" w:color="auto"/>
            </w:tcBorders>
            <w:noWrap/>
            <w:hideMark/>
          </w:tcPr>
          <w:p w14:paraId="49FB55A8" w14:textId="77777777" w:rsidR="00E960A3" w:rsidRDefault="009A7B5F" w:rsidP="009F5DF5">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1st</w:t>
            </w:r>
            <w:r w:rsidRPr="00456076">
              <w:rPr>
                <w:rFonts w:eastAsia="Times New Roman" w:cstheme="majorBidi"/>
                <w:color w:val="000000"/>
                <w:sz w:val="20"/>
                <w:szCs w:val="20"/>
              </w:rPr>
              <w:t xml:space="preserve"> </w:t>
            </w:r>
          </w:p>
          <w:p w14:paraId="57EA9729" w14:textId="512D17EA" w:rsidR="009A7B5F" w:rsidRPr="00454BB5" w:rsidRDefault="009A7B5F" w:rsidP="009F5DF5">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Quartile</w:t>
            </w:r>
          </w:p>
        </w:tc>
        <w:tc>
          <w:tcPr>
            <w:tcW w:w="917" w:type="dxa"/>
            <w:tcBorders>
              <w:bottom w:val="single" w:sz="4" w:space="0" w:color="auto"/>
            </w:tcBorders>
            <w:noWrap/>
            <w:hideMark/>
          </w:tcPr>
          <w:p w14:paraId="5DB5DFF3" w14:textId="77777777" w:rsidR="009A7B5F" w:rsidRPr="00454BB5" w:rsidRDefault="009A7B5F" w:rsidP="009F5DF5">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Median</w:t>
            </w:r>
          </w:p>
        </w:tc>
        <w:tc>
          <w:tcPr>
            <w:tcW w:w="1011" w:type="dxa"/>
            <w:tcBorders>
              <w:bottom w:val="single" w:sz="4" w:space="0" w:color="auto"/>
            </w:tcBorders>
            <w:noWrap/>
            <w:hideMark/>
          </w:tcPr>
          <w:p w14:paraId="255D683D" w14:textId="77777777" w:rsidR="009A7B5F" w:rsidRPr="00454BB5" w:rsidRDefault="009A7B5F" w:rsidP="009F5DF5">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3rd</w:t>
            </w:r>
            <w:r w:rsidRPr="00456076">
              <w:rPr>
                <w:rFonts w:eastAsia="Times New Roman" w:cstheme="majorBidi"/>
                <w:color w:val="000000"/>
                <w:sz w:val="20"/>
                <w:szCs w:val="20"/>
              </w:rPr>
              <w:t xml:space="preserve"> Quartile</w:t>
            </w:r>
          </w:p>
        </w:tc>
      </w:tr>
      <w:tr w:rsidR="009A7B5F" w:rsidRPr="00454BB5" w14:paraId="0D889116" w14:textId="77777777" w:rsidTr="00E960A3">
        <w:trPr>
          <w:trHeight w:val="22"/>
        </w:trPr>
        <w:tc>
          <w:tcPr>
            <w:tcW w:w="4077" w:type="dxa"/>
            <w:tcBorders>
              <w:top w:val="single" w:sz="4" w:space="0" w:color="auto"/>
            </w:tcBorders>
            <w:noWrap/>
            <w:hideMark/>
          </w:tcPr>
          <w:p w14:paraId="14875D1B"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2004</w:t>
            </w:r>
          </w:p>
        </w:tc>
        <w:tc>
          <w:tcPr>
            <w:tcW w:w="1134" w:type="dxa"/>
            <w:tcBorders>
              <w:top w:val="single" w:sz="4" w:space="0" w:color="auto"/>
            </w:tcBorders>
            <w:noWrap/>
            <w:hideMark/>
          </w:tcPr>
          <w:p w14:paraId="280B88D0"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30</w:t>
            </w:r>
          </w:p>
        </w:tc>
        <w:tc>
          <w:tcPr>
            <w:tcW w:w="993" w:type="dxa"/>
            <w:tcBorders>
              <w:top w:val="single" w:sz="4" w:space="0" w:color="auto"/>
            </w:tcBorders>
            <w:noWrap/>
            <w:hideMark/>
          </w:tcPr>
          <w:p w14:paraId="5D8C494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50.94</w:t>
            </w:r>
          </w:p>
        </w:tc>
        <w:tc>
          <w:tcPr>
            <w:tcW w:w="1224" w:type="dxa"/>
            <w:tcBorders>
              <w:top w:val="single" w:sz="4" w:space="0" w:color="auto"/>
            </w:tcBorders>
            <w:noWrap/>
            <w:hideMark/>
          </w:tcPr>
          <w:p w14:paraId="69E4586C"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16.34</w:t>
            </w:r>
          </w:p>
        </w:tc>
        <w:tc>
          <w:tcPr>
            <w:tcW w:w="917" w:type="dxa"/>
            <w:tcBorders>
              <w:top w:val="single" w:sz="4" w:space="0" w:color="auto"/>
            </w:tcBorders>
            <w:noWrap/>
            <w:hideMark/>
          </w:tcPr>
          <w:p w14:paraId="78211E71"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34.90</w:t>
            </w:r>
          </w:p>
        </w:tc>
        <w:tc>
          <w:tcPr>
            <w:tcW w:w="1011" w:type="dxa"/>
            <w:tcBorders>
              <w:top w:val="single" w:sz="4" w:space="0" w:color="auto"/>
            </w:tcBorders>
            <w:noWrap/>
            <w:hideMark/>
          </w:tcPr>
          <w:p w14:paraId="2999D4E1"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65.00</w:t>
            </w:r>
          </w:p>
        </w:tc>
      </w:tr>
      <w:tr w:rsidR="009A7B5F" w:rsidRPr="00454BB5" w14:paraId="02A656FB" w14:textId="77777777" w:rsidTr="00E960A3">
        <w:trPr>
          <w:trHeight w:val="22"/>
        </w:trPr>
        <w:tc>
          <w:tcPr>
            <w:tcW w:w="4077" w:type="dxa"/>
            <w:noWrap/>
            <w:hideMark/>
          </w:tcPr>
          <w:p w14:paraId="4B32A832"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2005</w:t>
            </w:r>
          </w:p>
        </w:tc>
        <w:tc>
          <w:tcPr>
            <w:tcW w:w="1134" w:type="dxa"/>
            <w:noWrap/>
            <w:hideMark/>
          </w:tcPr>
          <w:p w14:paraId="716B70A2"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36</w:t>
            </w:r>
          </w:p>
        </w:tc>
        <w:tc>
          <w:tcPr>
            <w:tcW w:w="993" w:type="dxa"/>
            <w:noWrap/>
            <w:hideMark/>
          </w:tcPr>
          <w:p w14:paraId="41CCFB53"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50.45</w:t>
            </w:r>
          </w:p>
        </w:tc>
        <w:tc>
          <w:tcPr>
            <w:tcW w:w="1224" w:type="dxa"/>
            <w:noWrap/>
            <w:hideMark/>
          </w:tcPr>
          <w:p w14:paraId="6FD27E62"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22.18</w:t>
            </w:r>
          </w:p>
        </w:tc>
        <w:tc>
          <w:tcPr>
            <w:tcW w:w="917" w:type="dxa"/>
            <w:noWrap/>
            <w:hideMark/>
          </w:tcPr>
          <w:p w14:paraId="794770A1"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43.33</w:t>
            </w:r>
          </w:p>
        </w:tc>
        <w:tc>
          <w:tcPr>
            <w:tcW w:w="1011" w:type="dxa"/>
            <w:noWrap/>
            <w:hideMark/>
          </w:tcPr>
          <w:p w14:paraId="44B8DA95"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65.35</w:t>
            </w:r>
          </w:p>
        </w:tc>
      </w:tr>
      <w:tr w:rsidR="009A7B5F" w:rsidRPr="00454BB5" w14:paraId="07C25615" w14:textId="77777777" w:rsidTr="00E960A3">
        <w:trPr>
          <w:trHeight w:val="22"/>
        </w:trPr>
        <w:tc>
          <w:tcPr>
            <w:tcW w:w="4077" w:type="dxa"/>
            <w:noWrap/>
            <w:hideMark/>
          </w:tcPr>
          <w:p w14:paraId="42638E4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2006</w:t>
            </w:r>
          </w:p>
        </w:tc>
        <w:tc>
          <w:tcPr>
            <w:tcW w:w="1134" w:type="dxa"/>
            <w:noWrap/>
            <w:hideMark/>
          </w:tcPr>
          <w:p w14:paraId="00565BB8"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51</w:t>
            </w:r>
          </w:p>
        </w:tc>
        <w:tc>
          <w:tcPr>
            <w:tcW w:w="993" w:type="dxa"/>
            <w:noWrap/>
            <w:hideMark/>
          </w:tcPr>
          <w:p w14:paraId="0C095A1E"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69.20</w:t>
            </w:r>
          </w:p>
        </w:tc>
        <w:tc>
          <w:tcPr>
            <w:tcW w:w="1224" w:type="dxa"/>
            <w:noWrap/>
            <w:hideMark/>
          </w:tcPr>
          <w:p w14:paraId="5DD2F42F"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29.42</w:t>
            </w:r>
          </w:p>
        </w:tc>
        <w:tc>
          <w:tcPr>
            <w:tcW w:w="917" w:type="dxa"/>
            <w:noWrap/>
            <w:hideMark/>
          </w:tcPr>
          <w:p w14:paraId="00EE9BA4"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50.54</w:t>
            </w:r>
          </w:p>
        </w:tc>
        <w:tc>
          <w:tcPr>
            <w:tcW w:w="1011" w:type="dxa"/>
            <w:noWrap/>
            <w:hideMark/>
          </w:tcPr>
          <w:p w14:paraId="5CD58E56"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78.19</w:t>
            </w:r>
          </w:p>
        </w:tc>
      </w:tr>
      <w:tr w:rsidR="009A7B5F" w:rsidRPr="00454BB5" w14:paraId="25DE55B0" w14:textId="77777777" w:rsidTr="00E960A3">
        <w:trPr>
          <w:trHeight w:val="22"/>
        </w:trPr>
        <w:tc>
          <w:tcPr>
            <w:tcW w:w="4077" w:type="dxa"/>
            <w:noWrap/>
            <w:hideMark/>
          </w:tcPr>
          <w:p w14:paraId="456D2497"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2007</w:t>
            </w:r>
          </w:p>
        </w:tc>
        <w:tc>
          <w:tcPr>
            <w:tcW w:w="1134" w:type="dxa"/>
            <w:noWrap/>
            <w:hideMark/>
          </w:tcPr>
          <w:p w14:paraId="0721A135"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56</w:t>
            </w:r>
          </w:p>
        </w:tc>
        <w:tc>
          <w:tcPr>
            <w:tcW w:w="993" w:type="dxa"/>
            <w:noWrap/>
            <w:hideMark/>
          </w:tcPr>
          <w:p w14:paraId="30321465"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88.47</w:t>
            </w:r>
          </w:p>
        </w:tc>
        <w:tc>
          <w:tcPr>
            <w:tcW w:w="1224" w:type="dxa"/>
            <w:noWrap/>
            <w:hideMark/>
          </w:tcPr>
          <w:p w14:paraId="0C452BA1"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31.16</w:t>
            </w:r>
          </w:p>
        </w:tc>
        <w:tc>
          <w:tcPr>
            <w:tcW w:w="917" w:type="dxa"/>
            <w:noWrap/>
            <w:hideMark/>
          </w:tcPr>
          <w:p w14:paraId="54A7772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47.64</w:t>
            </w:r>
          </w:p>
        </w:tc>
        <w:tc>
          <w:tcPr>
            <w:tcW w:w="1011" w:type="dxa"/>
            <w:noWrap/>
            <w:hideMark/>
          </w:tcPr>
          <w:p w14:paraId="3793382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79.34</w:t>
            </w:r>
          </w:p>
        </w:tc>
      </w:tr>
      <w:tr w:rsidR="009A7B5F" w:rsidRPr="00454BB5" w14:paraId="7115D9FA" w14:textId="77777777" w:rsidTr="00E960A3">
        <w:trPr>
          <w:trHeight w:val="22"/>
        </w:trPr>
        <w:tc>
          <w:tcPr>
            <w:tcW w:w="4077" w:type="dxa"/>
            <w:noWrap/>
            <w:hideMark/>
          </w:tcPr>
          <w:p w14:paraId="5D89FDC7"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2008</w:t>
            </w:r>
          </w:p>
        </w:tc>
        <w:tc>
          <w:tcPr>
            <w:tcW w:w="1134" w:type="dxa"/>
            <w:noWrap/>
            <w:hideMark/>
          </w:tcPr>
          <w:p w14:paraId="11D9A804"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67</w:t>
            </w:r>
          </w:p>
        </w:tc>
        <w:tc>
          <w:tcPr>
            <w:tcW w:w="993" w:type="dxa"/>
            <w:noWrap/>
            <w:hideMark/>
          </w:tcPr>
          <w:p w14:paraId="660F6A6E"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70.76</w:t>
            </w:r>
          </w:p>
        </w:tc>
        <w:tc>
          <w:tcPr>
            <w:tcW w:w="1224" w:type="dxa"/>
            <w:noWrap/>
            <w:hideMark/>
          </w:tcPr>
          <w:p w14:paraId="7872FB03"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28.36</w:t>
            </w:r>
          </w:p>
        </w:tc>
        <w:tc>
          <w:tcPr>
            <w:tcW w:w="917" w:type="dxa"/>
            <w:noWrap/>
            <w:hideMark/>
          </w:tcPr>
          <w:p w14:paraId="6E14A85C"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42.07</w:t>
            </w:r>
          </w:p>
        </w:tc>
        <w:tc>
          <w:tcPr>
            <w:tcW w:w="1011" w:type="dxa"/>
            <w:noWrap/>
            <w:hideMark/>
          </w:tcPr>
          <w:p w14:paraId="298BBE72"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82.47</w:t>
            </w:r>
          </w:p>
        </w:tc>
      </w:tr>
      <w:tr w:rsidR="009A7B5F" w:rsidRPr="00454BB5" w14:paraId="4E0FD7E9" w14:textId="77777777" w:rsidTr="00E960A3">
        <w:trPr>
          <w:trHeight w:val="22"/>
        </w:trPr>
        <w:tc>
          <w:tcPr>
            <w:tcW w:w="4077" w:type="dxa"/>
            <w:noWrap/>
            <w:hideMark/>
          </w:tcPr>
          <w:p w14:paraId="6E583F5B"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2009</w:t>
            </w:r>
          </w:p>
        </w:tc>
        <w:tc>
          <w:tcPr>
            <w:tcW w:w="1134" w:type="dxa"/>
            <w:noWrap/>
            <w:hideMark/>
          </w:tcPr>
          <w:p w14:paraId="4A8389DB"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137</w:t>
            </w:r>
          </w:p>
        </w:tc>
        <w:tc>
          <w:tcPr>
            <w:tcW w:w="993" w:type="dxa"/>
            <w:noWrap/>
            <w:hideMark/>
          </w:tcPr>
          <w:p w14:paraId="334C83E1"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45.62</w:t>
            </w:r>
          </w:p>
        </w:tc>
        <w:tc>
          <w:tcPr>
            <w:tcW w:w="1224" w:type="dxa"/>
            <w:noWrap/>
            <w:hideMark/>
          </w:tcPr>
          <w:p w14:paraId="196C291B"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10.59</w:t>
            </w:r>
          </w:p>
        </w:tc>
        <w:tc>
          <w:tcPr>
            <w:tcW w:w="917" w:type="dxa"/>
            <w:noWrap/>
            <w:hideMark/>
          </w:tcPr>
          <w:p w14:paraId="6571A688"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26.13</w:t>
            </w:r>
          </w:p>
        </w:tc>
        <w:tc>
          <w:tcPr>
            <w:tcW w:w="1011" w:type="dxa"/>
            <w:noWrap/>
            <w:hideMark/>
          </w:tcPr>
          <w:p w14:paraId="540E9250"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54.82</w:t>
            </w:r>
          </w:p>
        </w:tc>
      </w:tr>
      <w:tr w:rsidR="009A7B5F" w:rsidRPr="00454BB5" w14:paraId="59124479" w14:textId="77777777" w:rsidTr="00E960A3">
        <w:trPr>
          <w:trHeight w:val="22"/>
        </w:trPr>
        <w:tc>
          <w:tcPr>
            <w:tcW w:w="4077" w:type="dxa"/>
            <w:noWrap/>
            <w:hideMark/>
          </w:tcPr>
          <w:p w14:paraId="50DADF1C"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2010</w:t>
            </w:r>
          </w:p>
        </w:tc>
        <w:tc>
          <w:tcPr>
            <w:tcW w:w="1134" w:type="dxa"/>
            <w:noWrap/>
            <w:hideMark/>
          </w:tcPr>
          <w:p w14:paraId="77AE0A5D"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194</w:t>
            </w:r>
          </w:p>
        </w:tc>
        <w:tc>
          <w:tcPr>
            <w:tcW w:w="993" w:type="dxa"/>
            <w:noWrap/>
            <w:hideMark/>
          </w:tcPr>
          <w:p w14:paraId="6AD07FC7"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38.82</w:t>
            </w:r>
          </w:p>
        </w:tc>
        <w:tc>
          <w:tcPr>
            <w:tcW w:w="1224" w:type="dxa"/>
            <w:noWrap/>
            <w:hideMark/>
          </w:tcPr>
          <w:p w14:paraId="5BC2E802"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6.58</w:t>
            </w:r>
          </w:p>
        </w:tc>
        <w:tc>
          <w:tcPr>
            <w:tcW w:w="917" w:type="dxa"/>
            <w:noWrap/>
            <w:hideMark/>
          </w:tcPr>
          <w:p w14:paraId="5F4B722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18.31</w:t>
            </w:r>
          </w:p>
        </w:tc>
        <w:tc>
          <w:tcPr>
            <w:tcW w:w="1011" w:type="dxa"/>
            <w:noWrap/>
            <w:hideMark/>
          </w:tcPr>
          <w:p w14:paraId="6C677C23"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46.14</w:t>
            </w:r>
          </w:p>
        </w:tc>
      </w:tr>
      <w:tr w:rsidR="009A7B5F" w:rsidRPr="00454BB5" w14:paraId="066C543C" w14:textId="77777777" w:rsidTr="00E960A3">
        <w:trPr>
          <w:trHeight w:val="22"/>
        </w:trPr>
        <w:tc>
          <w:tcPr>
            <w:tcW w:w="4077" w:type="dxa"/>
            <w:noWrap/>
            <w:hideMark/>
          </w:tcPr>
          <w:p w14:paraId="2CD9B63E"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2011</w:t>
            </w:r>
          </w:p>
        </w:tc>
        <w:tc>
          <w:tcPr>
            <w:tcW w:w="1134" w:type="dxa"/>
            <w:noWrap/>
            <w:hideMark/>
          </w:tcPr>
          <w:p w14:paraId="37312BA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205</w:t>
            </w:r>
          </w:p>
        </w:tc>
        <w:tc>
          <w:tcPr>
            <w:tcW w:w="993" w:type="dxa"/>
            <w:noWrap/>
            <w:hideMark/>
          </w:tcPr>
          <w:p w14:paraId="7464C2A4"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50.73</w:t>
            </w:r>
          </w:p>
        </w:tc>
        <w:tc>
          <w:tcPr>
            <w:tcW w:w="1224" w:type="dxa"/>
            <w:noWrap/>
            <w:hideMark/>
          </w:tcPr>
          <w:p w14:paraId="588BFC05"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6.64</w:t>
            </w:r>
          </w:p>
        </w:tc>
        <w:tc>
          <w:tcPr>
            <w:tcW w:w="917" w:type="dxa"/>
            <w:noWrap/>
            <w:hideMark/>
          </w:tcPr>
          <w:p w14:paraId="0D504222"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21.54</w:t>
            </w:r>
          </w:p>
        </w:tc>
        <w:tc>
          <w:tcPr>
            <w:tcW w:w="1011" w:type="dxa"/>
            <w:noWrap/>
            <w:hideMark/>
          </w:tcPr>
          <w:p w14:paraId="5B05BE8F"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47.63</w:t>
            </w:r>
          </w:p>
        </w:tc>
      </w:tr>
      <w:tr w:rsidR="009A7B5F" w:rsidRPr="00454BB5" w14:paraId="4317FC5D" w14:textId="77777777" w:rsidTr="00E960A3">
        <w:trPr>
          <w:trHeight w:val="22"/>
        </w:trPr>
        <w:tc>
          <w:tcPr>
            <w:tcW w:w="4077" w:type="dxa"/>
            <w:noWrap/>
            <w:hideMark/>
          </w:tcPr>
          <w:p w14:paraId="04E844F0"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2012</w:t>
            </w:r>
          </w:p>
        </w:tc>
        <w:tc>
          <w:tcPr>
            <w:tcW w:w="1134" w:type="dxa"/>
            <w:noWrap/>
            <w:hideMark/>
          </w:tcPr>
          <w:p w14:paraId="5DA95512"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217</w:t>
            </w:r>
          </w:p>
        </w:tc>
        <w:tc>
          <w:tcPr>
            <w:tcW w:w="993" w:type="dxa"/>
            <w:noWrap/>
            <w:hideMark/>
          </w:tcPr>
          <w:p w14:paraId="443181FC"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42.14</w:t>
            </w:r>
          </w:p>
        </w:tc>
        <w:tc>
          <w:tcPr>
            <w:tcW w:w="1224" w:type="dxa"/>
            <w:noWrap/>
            <w:hideMark/>
          </w:tcPr>
          <w:p w14:paraId="3A54705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8.39</w:t>
            </w:r>
          </w:p>
        </w:tc>
        <w:tc>
          <w:tcPr>
            <w:tcW w:w="917" w:type="dxa"/>
            <w:noWrap/>
            <w:hideMark/>
          </w:tcPr>
          <w:p w14:paraId="5466CAF7"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22.72</w:t>
            </w:r>
          </w:p>
        </w:tc>
        <w:tc>
          <w:tcPr>
            <w:tcW w:w="1011" w:type="dxa"/>
            <w:noWrap/>
            <w:hideMark/>
          </w:tcPr>
          <w:p w14:paraId="06854E42"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48.22</w:t>
            </w:r>
          </w:p>
        </w:tc>
      </w:tr>
      <w:tr w:rsidR="009A7B5F" w:rsidRPr="00454BB5" w14:paraId="645FBF7D" w14:textId="77777777" w:rsidTr="00E960A3">
        <w:trPr>
          <w:trHeight w:val="22"/>
        </w:trPr>
        <w:tc>
          <w:tcPr>
            <w:tcW w:w="4077" w:type="dxa"/>
            <w:noWrap/>
            <w:hideMark/>
          </w:tcPr>
          <w:p w14:paraId="0A395315"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2013</w:t>
            </w:r>
          </w:p>
        </w:tc>
        <w:tc>
          <w:tcPr>
            <w:tcW w:w="1134" w:type="dxa"/>
            <w:noWrap/>
            <w:hideMark/>
          </w:tcPr>
          <w:p w14:paraId="5434F131"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236</w:t>
            </w:r>
          </w:p>
        </w:tc>
        <w:tc>
          <w:tcPr>
            <w:tcW w:w="993" w:type="dxa"/>
            <w:noWrap/>
            <w:hideMark/>
          </w:tcPr>
          <w:p w14:paraId="0E15D738"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33.97</w:t>
            </w:r>
          </w:p>
        </w:tc>
        <w:tc>
          <w:tcPr>
            <w:tcW w:w="1224" w:type="dxa"/>
            <w:noWrap/>
            <w:hideMark/>
          </w:tcPr>
          <w:p w14:paraId="76EE40D4"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7.47</w:t>
            </w:r>
          </w:p>
        </w:tc>
        <w:tc>
          <w:tcPr>
            <w:tcW w:w="917" w:type="dxa"/>
            <w:noWrap/>
            <w:hideMark/>
          </w:tcPr>
          <w:p w14:paraId="2D39FBC7"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19.52</w:t>
            </w:r>
          </w:p>
        </w:tc>
        <w:tc>
          <w:tcPr>
            <w:tcW w:w="1011" w:type="dxa"/>
            <w:noWrap/>
            <w:hideMark/>
          </w:tcPr>
          <w:p w14:paraId="247CD763"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36.96</w:t>
            </w:r>
          </w:p>
        </w:tc>
      </w:tr>
      <w:tr w:rsidR="009A7B5F" w:rsidRPr="00454BB5" w14:paraId="464A4A16" w14:textId="77777777" w:rsidTr="00E960A3">
        <w:trPr>
          <w:trHeight w:val="22"/>
        </w:trPr>
        <w:tc>
          <w:tcPr>
            <w:tcW w:w="4077" w:type="dxa"/>
            <w:noWrap/>
            <w:hideMark/>
          </w:tcPr>
          <w:p w14:paraId="4842060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2014</w:t>
            </w:r>
          </w:p>
        </w:tc>
        <w:tc>
          <w:tcPr>
            <w:tcW w:w="1134" w:type="dxa"/>
            <w:noWrap/>
            <w:hideMark/>
          </w:tcPr>
          <w:p w14:paraId="27EE6921"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237</w:t>
            </w:r>
          </w:p>
        </w:tc>
        <w:tc>
          <w:tcPr>
            <w:tcW w:w="993" w:type="dxa"/>
            <w:noWrap/>
            <w:hideMark/>
          </w:tcPr>
          <w:p w14:paraId="0043D303"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33.24</w:t>
            </w:r>
          </w:p>
        </w:tc>
        <w:tc>
          <w:tcPr>
            <w:tcW w:w="1224" w:type="dxa"/>
            <w:noWrap/>
            <w:hideMark/>
          </w:tcPr>
          <w:p w14:paraId="4502BA2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7.10</w:t>
            </w:r>
          </w:p>
        </w:tc>
        <w:tc>
          <w:tcPr>
            <w:tcW w:w="917" w:type="dxa"/>
            <w:noWrap/>
            <w:hideMark/>
          </w:tcPr>
          <w:p w14:paraId="14AC86D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16.64</w:t>
            </w:r>
          </w:p>
        </w:tc>
        <w:tc>
          <w:tcPr>
            <w:tcW w:w="1011" w:type="dxa"/>
            <w:noWrap/>
            <w:hideMark/>
          </w:tcPr>
          <w:p w14:paraId="39BDED6D"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40.80</w:t>
            </w:r>
          </w:p>
        </w:tc>
      </w:tr>
      <w:tr w:rsidR="009A7B5F" w:rsidRPr="00454BB5" w14:paraId="1401F4CC" w14:textId="77777777" w:rsidTr="00E960A3">
        <w:trPr>
          <w:trHeight w:val="22"/>
        </w:trPr>
        <w:tc>
          <w:tcPr>
            <w:tcW w:w="4077" w:type="dxa"/>
            <w:noWrap/>
            <w:hideMark/>
          </w:tcPr>
          <w:p w14:paraId="2B08FF84"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2015</w:t>
            </w:r>
          </w:p>
        </w:tc>
        <w:tc>
          <w:tcPr>
            <w:tcW w:w="1134" w:type="dxa"/>
            <w:noWrap/>
            <w:hideMark/>
          </w:tcPr>
          <w:p w14:paraId="133F366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256</w:t>
            </w:r>
          </w:p>
        </w:tc>
        <w:tc>
          <w:tcPr>
            <w:tcW w:w="993" w:type="dxa"/>
            <w:noWrap/>
            <w:hideMark/>
          </w:tcPr>
          <w:p w14:paraId="7B170A3F"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35.03</w:t>
            </w:r>
          </w:p>
        </w:tc>
        <w:tc>
          <w:tcPr>
            <w:tcW w:w="1224" w:type="dxa"/>
            <w:noWrap/>
            <w:hideMark/>
          </w:tcPr>
          <w:p w14:paraId="3DF10441"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7.68</w:t>
            </w:r>
          </w:p>
        </w:tc>
        <w:tc>
          <w:tcPr>
            <w:tcW w:w="917" w:type="dxa"/>
            <w:noWrap/>
            <w:hideMark/>
          </w:tcPr>
          <w:p w14:paraId="623D04B5"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18.77</w:t>
            </w:r>
          </w:p>
        </w:tc>
        <w:tc>
          <w:tcPr>
            <w:tcW w:w="1011" w:type="dxa"/>
            <w:noWrap/>
            <w:hideMark/>
          </w:tcPr>
          <w:p w14:paraId="59EA7E73"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41.74</w:t>
            </w:r>
          </w:p>
        </w:tc>
      </w:tr>
      <w:tr w:rsidR="009A7B5F" w:rsidRPr="00454BB5" w14:paraId="20B9334B" w14:textId="77777777" w:rsidTr="00E960A3">
        <w:trPr>
          <w:trHeight w:val="22"/>
        </w:trPr>
        <w:tc>
          <w:tcPr>
            <w:tcW w:w="4077" w:type="dxa"/>
            <w:noWrap/>
            <w:hideMark/>
          </w:tcPr>
          <w:p w14:paraId="2A18E29E"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2016</w:t>
            </w:r>
          </w:p>
        </w:tc>
        <w:tc>
          <w:tcPr>
            <w:tcW w:w="1134" w:type="dxa"/>
            <w:noWrap/>
            <w:hideMark/>
          </w:tcPr>
          <w:p w14:paraId="17BA9D32"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269</w:t>
            </w:r>
          </w:p>
        </w:tc>
        <w:tc>
          <w:tcPr>
            <w:tcW w:w="993" w:type="dxa"/>
            <w:noWrap/>
            <w:hideMark/>
          </w:tcPr>
          <w:p w14:paraId="6D2D39D0"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32.93</w:t>
            </w:r>
          </w:p>
        </w:tc>
        <w:tc>
          <w:tcPr>
            <w:tcW w:w="1224" w:type="dxa"/>
            <w:noWrap/>
            <w:hideMark/>
          </w:tcPr>
          <w:p w14:paraId="7B0FD8AB"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9.25</w:t>
            </w:r>
          </w:p>
        </w:tc>
        <w:tc>
          <w:tcPr>
            <w:tcW w:w="917" w:type="dxa"/>
            <w:noWrap/>
            <w:hideMark/>
          </w:tcPr>
          <w:p w14:paraId="29F81EEB"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18.81</w:t>
            </w:r>
          </w:p>
        </w:tc>
        <w:tc>
          <w:tcPr>
            <w:tcW w:w="1011" w:type="dxa"/>
            <w:noWrap/>
            <w:hideMark/>
          </w:tcPr>
          <w:p w14:paraId="2EC6EE85"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35.97</w:t>
            </w:r>
          </w:p>
        </w:tc>
      </w:tr>
      <w:tr w:rsidR="009A7B5F" w:rsidRPr="00454BB5" w14:paraId="1D0266EF" w14:textId="77777777" w:rsidTr="00E960A3">
        <w:trPr>
          <w:trHeight w:val="22"/>
        </w:trPr>
        <w:tc>
          <w:tcPr>
            <w:tcW w:w="4077" w:type="dxa"/>
            <w:noWrap/>
            <w:hideMark/>
          </w:tcPr>
          <w:p w14:paraId="7BF188F4"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2017</w:t>
            </w:r>
          </w:p>
        </w:tc>
        <w:tc>
          <w:tcPr>
            <w:tcW w:w="1134" w:type="dxa"/>
            <w:noWrap/>
            <w:hideMark/>
          </w:tcPr>
          <w:p w14:paraId="7C1FE821"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281</w:t>
            </w:r>
          </w:p>
        </w:tc>
        <w:tc>
          <w:tcPr>
            <w:tcW w:w="993" w:type="dxa"/>
            <w:noWrap/>
            <w:hideMark/>
          </w:tcPr>
          <w:p w14:paraId="6F1944FA"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35.02</w:t>
            </w:r>
          </w:p>
        </w:tc>
        <w:tc>
          <w:tcPr>
            <w:tcW w:w="1224" w:type="dxa"/>
            <w:noWrap/>
            <w:hideMark/>
          </w:tcPr>
          <w:p w14:paraId="377828ED"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10.17</w:t>
            </w:r>
          </w:p>
        </w:tc>
        <w:tc>
          <w:tcPr>
            <w:tcW w:w="917" w:type="dxa"/>
            <w:noWrap/>
            <w:hideMark/>
          </w:tcPr>
          <w:p w14:paraId="17C6DA8D"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19.31</w:t>
            </w:r>
          </w:p>
        </w:tc>
        <w:tc>
          <w:tcPr>
            <w:tcW w:w="1011" w:type="dxa"/>
            <w:noWrap/>
            <w:hideMark/>
          </w:tcPr>
          <w:p w14:paraId="42BB0D84"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41.00</w:t>
            </w:r>
          </w:p>
        </w:tc>
      </w:tr>
      <w:tr w:rsidR="009A7B5F" w:rsidRPr="00454BB5" w14:paraId="56CDD988" w14:textId="77777777" w:rsidTr="00E960A3">
        <w:trPr>
          <w:trHeight w:val="22"/>
        </w:trPr>
        <w:tc>
          <w:tcPr>
            <w:tcW w:w="4077" w:type="dxa"/>
            <w:noWrap/>
            <w:hideMark/>
          </w:tcPr>
          <w:p w14:paraId="00339A7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2018</w:t>
            </w:r>
          </w:p>
        </w:tc>
        <w:tc>
          <w:tcPr>
            <w:tcW w:w="1134" w:type="dxa"/>
            <w:noWrap/>
            <w:hideMark/>
          </w:tcPr>
          <w:p w14:paraId="56B9B78C"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284</w:t>
            </w:r>
          </w:p>
        </w:tc>
        <w:tc>
          <w:tcPr>
            <w:tcW w:w="993" w:type="dxa"/>
            <w:noWrap/>
            <w:hideMark/>
          </w:tcPr>
          <w:p w14:paraId="2DC35A6B"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33.71</w:t>
            </w:r>
          </w:p>
        </w:tc>
        <w:tc>
          <w:tcPr>
            <w:tcW w:w="1224" w:type="dxa"/>
            <w:noWrap/>
            <w:hideMark/>
          </w:tcPr>
          <w:p w14:paraId="3A707398"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9.86</w:t>
            </w:r>
          </w:p>
        </w:tc>
        <w:tc>
          <w:tcPr>
            <w:tcW w:w="917" w:type="dxa"/>
            <w:noWrap/>
            <w:hideMark/>
          </w:tcPr>
          <w:p w14:paraId="070F54F4"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20.14</w:t>
            </w:r>
          </w:p>
        </w:tc>
        <w:tc>
          <w:tcPr>
            <w:tcW w:w="1011" w:type="dxa"/>
            <w:noWrap/>
            <w:hideMark/>
          </w:tcPr>
          <w:p w14:paraId="723ADA19"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38.01</w:t>
            </w:r>
          </w:p>
        </w:tc>
      </w:tr>
      <w:tr w:rsidR="009A7B5F" w:rsidRPr="00454BB5" w14:paraId="511D992C" w14:textId="77777777" w:rsidTr="00E960A3">
        <w:trPr>
          <w:trHeight w:val="22"/>
        </w:trPr>
        <w:tc>
          <w:tcPr>
            <w:tcW w:w="4077" w:type="dxa"/>
            <w:noWrap/>
            <w:hideMark/>
          </w:tcPr>
          <w:p w14:paraId="321F1857"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2019</w:t>
            </w:r>
          </w:p>
        </w:tc>
        <w:tc>
          <w:tcPr>
            <w:tcW w:w="1134" w:type="dxa"/>
            <w:noWrap/>
            <w:hideMark/>
          </w:tcPr>
          <w:p w14:paraId="6DF58497"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274</w:t>
            </w:r>
          </w:p>
        </w:tc>
        <w:tc>
          <w:tcPr>
            <w:tcW w:w="993" w:type="dxa"/>
            <w:noWrap/>
            <w:hideMark/>
          </w:tcPr>
          <w:p w14:paraId="7EEC7D87"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37.21</w:t>
            </w:r>
          </w:p>
        </w:tc>
        <w:tc>
          <w:tcPr>
            <w:tcW w:w="1224" w:type="dxa"/>
            <w:noWrap/>
            <w:hideMark/>
          </w:tcPr>
          <w:p w14:paraId="51989ACE"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9.33</w:t>
            </w:r>
          </w:p>
        </w:tc>
        <w:tc>
          <w:tcPr>
            <w:tcW w:w="917" w:type="dxa"/>
            <w:noWrap/>
            <w:hideMark/>
          </w:tcPr>
          <w:p w14:paraId="6677A6ED"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19.50</w:t>
            </w:r>
          </w:p>
        </w:tc>
        <w:tc>
          <w:tcPr>
            <w:tcW w:w="1011" w:type="dxa"/>
            <w:noWrap/>
            <w:hideMark/>
          </w:tcPr>
          <w:p w14:paraId="174BC6FD" w14:textId="77777777" w:rsidR="009A7B5F" w:rsidRPr="00454BB5" w:rsidRDefault="009A7B5F" w:rsidP="009F5DF5">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35.93</w:t>
            </w:r>
          </w:p>
        </w:tc>
      </w:tr>
      <w:tr w:rsidR="009B472A" w:rsidRPr="00454BB5" w14:paraId="139D4BD9" w14:textId="77777777" w:rsidTr="00E960A3">
        <w:trPr>
          <w:trHeight w:val="22"/>
        </w:trPr>
        <w:tc>
          <w:tcPr>
            <w:tcW w:w="9356" w:type="dxa"/>
            <w:gridSpan w:val="6"/>
            <w:noWrap/>
          </w:tcPr>
          <w:p w14:paraId="14D6E85F" w14:textId="47DC37AF" w:rsidR="009B472A" w:rsidRPr="009B472A" w:rsidRDefault="009B472A" w:rsidP="009B472A">
            <w:pPr>
              <w:spacing w:before="160" w:after="160" w:line="240" w:lineRule="auto"/>
              <w:ind w:firstLine="0"/>
              <w:jc w:val="left"/>
              <w:rPr>
                <w:rFonts w:cstheme="majorBidi"/>
                <w:b/>
                <w:bCs/>
                <w:sz w:val="22"/>
                <w:lang w:val="en-US"/>
              </w:rPr>
            </w:pPr>
            <w:r w:rsidRPr="009B472A">
              <w:rPr>
                <w:rFonts w:cstheme="majorBidi"/>
                <w:b/>
                <w:bCs/>
                <w:sz w:val="22"/>
                <w:lang w:val="en-US"/>
              </w:rPr>
              <w:t>Panel B: Pay Inequality over different industries</w:t>
            </w:r>
          </w:p>
        </w:tc>
      </w:tr>
      <w:tr w:rsidR="009B472A" w:rsidRPr="00454BB5" w14:paraId="30D9B8A7" w14:textId="77777777" w:rsidTr="00E960A3">
        <w:trPr>
          <w:trHeight w:val="22"/>
        </w:trPr>
        <w:tc>
          <w:tcPr>
            <w:tcW w:w="4077" w:type="dxa"/>
            <w:tcBorders>
              <w:bottom w:val="single" w:sz="4" w:space="0" w:color="auto"/>
            </w:tcBorders>
            <w:noWrap/>
          </w:tcPr>
          <w:p w14:paraId="14737450" w14:textId="2CA503E7" w:rsidR="009B472A" w:rsidRPr="00454BB5" w:rsidRDefault="009B472A" w:rsidP="009B472A">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Industry</w:t>
            </w:r>
          </w:p>
        </w:tc>
        <w:tc>
          <w:tcPr>
            <w:tcW w:w="1134" w:type="dxa"/>
            <w:tcBorders>
              <w:bottom w:val="single" w:sz="4" w:space="0" w:color="auto"/>
            </w:tcBorders>
            <w:noWrap/>
          </w:tcPr>
          <w:p w14:paraId="2C41E88C" w14:textId="36536615" w:rsidR="009B472A" w:rsidRPr="00454BB5" w:rsidRDefault="009B472A" w:rsidP="009B472A">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Number of firms</w:t>
            </w:r>
          </w:p>
        </w:tc>
        <w:tc>
          <w:tcPr>
            <w:tcW w:w="993" w:type="dxa"/>
            <w:tcBorders>
              <w:bottom w:val="single" w:sz="4" w:space="0" w:color="auto"/>
            </w:tcBorders>
            <w:noWrap/>
          </w:tcPr>
          <w:p w14:paraId="77830146" w14:textId="38800933" w:rsidR="009B472A" w:rsidRPr="00454BB5" w:rsidRDefault="009B472A" w:rsidP="009B472A">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Mean</w:t>
            </w:r>
          </w:p>
        </w:tc>
        <w:tc>
          <w:tcPr>
            <w:tcW w:w="1224" w:type="dxa"/>
            <w:tcBorders>
              <w:bottom w:val="single" w:sz="4" w:space="0" w:color="auto"/>
            </w:tcBorders>
            <w:noWrap/>
          </w:tcPr>
          <w:p w14:paraId="4E91F9E8" w14:textId="77777777" w:rsidR="00E960A3" w:rsidRDefault="009B472A" w:rsidP="009B472A">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1st</w:t>
            </w:r>
            <w:r w:rsidRPr="00456076">
              <w:rPr>
                <w:rFonts w:eastAsia="Times New Roman" w:cstheme="majorBidi"/>
                <w:color w:val="000000"/>
                <w:sz w:val="20"/>
                <w:szCs w:val="20"/>
              </w:rPr>
              <w:t xml:space="preserve"> </w:t>
            </w:r>
          </w:p>
          <w:p w14:paraId="77D4C008" w14:textId="305F2EC5" w:rsidR="009B472A" w:rsidRPr="00454BB5" w:rsidRDefault="009B472A" w:rsidP="009B472A">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Quartile</w:t>
            </w:r>
          </w:p>
        </w:tc>
        <w:tc>
          <w:tcPr>
            <w:tcW w:w="917" w:type="dxa"/>
            <w:tcBorders>
              <w:bottom w:val="single" w:sz="4" w:space="0" w:color="auto"/>
            </w:tcBorders>
            <w:noWrap/>
          </w:tcPr>
          <w:p w14:paraId="37D7D86F" w14:textId="169D9CA0" w:rsidR="009B472A" w:rsidRPr="00454BB5" w:rsidRDefault="009B472A" w:rsidP="009B472A">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Median</w:t>
            </w:r>
          </w:p>
        </w:tc>
        <w:tc>
          <w:tcPr>
            <w:tcW w:w="1011" w:type="dxa"/>
            <w:tcBorders>
              <w:bottom w:val="single" w:sz="4" w:space="0" w:color="auto"/>
            </w:tcBorders>
            <w:noWrap/>
          </w:tcPr>
          <w:p w14:paraId="6E96F8F5" w14:textId="378E5FD2" w:rsidR="009B472A" w:rsidRPr="00454BB5" w:rsidRDefault="009B472A" w:rsidP="009B472A">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3rd</w:t>
            </w:r>
            <w:r w:rsidRPr="00456076">
              <w:rPr>
                <w:rFonts w:eastAsia="Times New Roman" w:cstheme="majorBidi"/>
                <w:color w:val="000000"/>
                <w:sz w:val="20"/>
                <w:szCs w:val="20"/>
              </w:rPr>
              <w:t xml:space="preserve"> Quartile</w:t>
            </w:r>
          </w:p>
        </w:tc>
      </w:tr>
      <w:tr w:rsidR="009B472A" w:rsidRPr="00454BB5" w14:paraId="62470669" w14:textId="77777777" w:rsidTr="00E960A3">
        <w:trPr>
          <w:trHeight w:val="22"/>
        </w:trPr>
        <w:tc>
          <w:tcPr>
            <w:tcW w:w="4077" w:type="dxa"/>
            <w:tcBorders>
              <w:top w:val="single" w:sz="4" w:space="0" w:color="auto"/>
            </w:tcBorders>
            <w:noWrap/>
            <w:vAlign w:val="center"/>
          </w:tcPr>
          <w:p w14:paraId="2B8DBD01" w14:textId="78D51D93"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 xml:space="preserve">Semiconductors &amp; Semiconductor Equipment </w:t>
            </w:r>
          </w:p>
        </w:tc>
        <w:tc>
          <w:tcPr>
            <w:tcW w:w="1134" w:type="dxa"/>
            <w:tcBorders>
              <w:top w:val="single" w:sz="4" w:space="0" w:color="auto"/>
            </w:tcBorders>
            <w:noWrap/>
            <w:vAlign w:val="center"/>
          </w:tcPr>
          <w:p w14:paraId="77989D23" w14:textId="22DC83DE"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14</w:t>
            </w:r>
          </w:p>
        </w:tc>
        <w:tc>
          <w:tcPr>
            <w:tcW w:w="993" w:type="dxa"/>
            <w:tcBorders>
              <w:top w:val="single" w:sz="4" w:space="0" w:color="auto"/>
            </w:tcBorders>
            <w:noWrap/>
            <w:vAlign w:val="center"/>
          </w:tcPr>
          <w:p w14:paraId="34D13663" w14:textId="00BBB20C"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5.64</w:t>
            </w:r>
          </w:p>
        </w:tc>
        <w:tc>
          <w:tcPr>
            <w:tcW w:w="1224" w:type="dxa"/>
            <w:tcBorders>
              <w:top w:val="single" w:sz="4" w:space="0" w:color="auto"/>
            </w:tcBorders>
            <w:noWrap/>
            <w:vAlign w:val="center"/>
          </w:tcPr>
          <w:p w14:paraId="59203261" w14:textId="3BAA1408"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3.25</w:t>
            </w:r>
          </w:p>
        </w:tc>
        <w:tc>
          <w:tcPr>
            <w:tcW w:w="917" w:type="dxa"/>
            <w:tcBorders>
              <w:top w:val="single" w:sz="4" w:space="0" w:color="auto"/>
            </w:tcBorders>
            <w:noWrap/>
            <w:vAlign w:val="center"/>
          </w:tcPr>
          <w:p w14:paraId="433998D7" w14:textId="06CF4E0E"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5.27</w:t>
            </w:r>
          </w:p>
        </w:tc>
        <w:tc>
          <w:tcPr>
            <w:tcW w:w="1011" w:type="dxa"/>
            <w:tcBorders>
              <w:top w:val="single" w:sz="4" w:space="0" w:color="auto"/>
            </w:tcBorders>
            <w:noWrap/>
            <w:vAlign w:val="center"/>
          </w:tcPr>
          <w:p w14:paraId="13A955A3" w14:textId="59F2112D"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6.71</w:t>
            </w:r>
          </w:p>
        </w:tc>
      </w:tr>
      <w:tr w:rsidR="009B472A" w:rsidRPr="00454BB5" w14:paraId="7DA47E14" w14:textId="77777777" w:rsidTr="00E960A3">
        <w:trPr>
          <w:trHeight w:val="22"/>
        </w:trPr>
        <w:tc>
          <w:tcPr>
            <w:tcW w:w="4077" w:type="dxa"/>
            <w:noWrap/>
            <w:vAlign w:val="center"/>
          </w:tcPr>
          <w:p w14:paraId="59CDCCD3" w14:textId="3689DDFD"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 xml:space="preserve">Technology Hardware &amp; Equipment </w:t>
            </w:r>
          </w:p>
        </w:tc>
        <w:tc>
          <w:tcPr>
            <w:tcW w:w="1134" w:type="dxa"/>
            <w:noWrap/>
            <w:vAlign w:val="center"/>
          </w:tcPr>
          <w:p w14:paraId="47379CF5" w14:textId="6216094D"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18</w:t>
            </w:r>
          </w:p>
        </w:tc>
        <w:tc>
          <w:tcPr>
            <w:tcW w:w="993" w:type="dxa"/>
            <w:noWrap/>
            <w:vAlign w:val="center"/>
          </w:tcPr>
          <w:p w14:paraId="3B8D48D5" w14:textId="026FB960"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10.89</w:t>
            </w:r>
          </w:p>
        </w:tc>
        <w:tc>
          <w:tcPr>
            <w:tcW w:w="1224" w:type="dxa"/>
            <w:noWrap/>
            <w:vAlign w:val="center"/>
          </w:tcPr>
          <w:p w14:paraId="362FE773" w14:textId="132748A8"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9.48</w:t>
            </w:r>
          </w:p>
        </w:tc>
        <w:tc>
          <w:tcPr>
            <w:tcW w:w="917" w:type="dxa"/>
            <w:noWrap/>
            <w:vAlign w:val="center"/>
          </w:tcPr>
          <w:p w14:paraId="66CEF8F9" w14:textId="651B1206"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10.72</w:t>
            </w:r>
          </w:p>
        </w:tc>
        <w:tc>
          <w:tcPr>
            <w:tcW w:w="1011" w:type="dxa"/>
            <w:noWrap/>
            <w:vAlign w:val="center"/>
          </w:tcPr>
          <w:p w14:paraId="2D324C43" w14:textId="5A8F5B7A"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12.11</w:t>
            </w:r>
          </w:p>
        </w:tc>
      </w:tr>
      <w:tr w:rsidR="009B472A" w:rsidRPr="00454BB5" w14:paraId="3C127F25" w14:textId="77777777" w:rsidTr="00E960A3">
        <w:trPr>
          <w:trHeight w:val="22"/>
        </w:trPr>
        <w:tc>
          <w:tcPr>
            <w:tcW w:w="4077" w:type="dxa"/>
            <w:noWrap/>
            <w:vAlign w:val="center"/>
          </w:tcPr>
          <w:p w14:paraId="2A85BA01" w14:textId="48B5355B"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 xml:space="preserve">Household &amp; Personal Products </w:t>
            </w:r>
          </w:p>
        </w:tc>
        <w:tc>
          <w:tcPr>
            <w:tcW w:w="1134" w:type="dxa"/>
            <w:noWrap/>
            <w:vAlign w:val="center"/>
          </w:tcPr>
          <w:p w14:paraId="673D9233" w14:textId="6ACCBC52"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17</w:t>
            </w:r>
          </w:p>
        </w:tc>
        <w:tc>
          <w:tcPr>
            <w:tcW w:w="993" w:type="dxa"/>
            <w:noWrap/>
            <w:vAlign w:val="center"/>
          </w:tcPr>
          <w:p w14:paraId="401EA690" w14:textId="4B6194F1"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15.79</w:t>
            </w:r>
          </w:p>
        </w:tc>
        <w:tc>
          <w:tcPr>
            <w:tcW w:w="1224" w:type="dxa"/>
            <w:noWrap/>
            <w:vAlign w:val="center"/>
          </w:tcPr>
          <w:p w14:paraId="72E8BBB3" w14:textId="799BC4D4"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10.04</w:t>
            </w:r>
          </w:p>
        </w:tc>
        <w:tc>
          <w:tcPr>
            <w:tcW w:w="917" w:type="dxa"/>
            <w:noWrap/>
            <w:vAlign w:val="center"/>
          </w:tcPr>
          <w:p w14:paraId="6575B69D" w14:textId="67DAECB4"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14.66</w:t>
            </w:r>
          </w:p>
        </w:tc>
        <w:tc>
          <w:tcPr>
            <w:tcW w:w="1011" w:type="dxa"/>
            <w:noWrap/>
            <w:vAlign w:val="center"/>
          </w:tcPr>
          <w:p w14:paraId="6FEB9726" w14:textId="54B7A09D"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17.03</w:t>
            </w:r>
          </w:p>
        </w:tc>
      </w:tr>
      <w:tr w:rsidR="009B472A" w:rsidRPr="00454BB5" w14:paraId="0BCEE61C" w14:textId="77777777" w:rsidTr="00E960A3">
        <w:trPr>
          <w:trHeight w:val="22"/>
        </w:trPr>
        <w:tc>
          <w:tcPr>
            <w:tcW w:w="4077" w:type="dxa"/>
            <w:noWrap/>
            <w:vAlign w:val="center"/>
          </w:tcPr>
          <w:p w14:paraId="2CA48F7A" w14:textId="23997E1B"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 xml:space="preserve">Software &amp; Services </w:t>
            </w:r>
          </w:p>
        </w:tc>
        <w:tc>
          <w:tcPr>
            <w:tcW w:w="1134" w:type="dxa"/>
            <w:noWrap/>
            <w:vAlign w:val="center"/>
          </w:tcPr>
          <w:p w14:paraId="4020F76A" w14:textId="528787D5"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116</w:t>
            </w:r>
          </w:p>
        </w:tc>
        <w:tc>
          <w:tcPr>
            <w:tcW w:w="993" w:type="dxa"/>
            <w:noWrap/>
            <w:vAlign w:val="center"/>
          </w:tcPr>
          <w:p w14:paraId="4BC06AE9" w14:textId="3472CECC"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16.07</w:t>
            </w:r>
          </w:p>
        </w:tc>
        <w:tc>
          <w:tcPr>
            <w:tcW w:w="1224" w:type="dxa"/>
            <w:noWrap/>
            <w:vAlign w:val="center"/>
          </w:tcPr>
          <w:p w14:paraId="2FD23879" w14:textId="33742879"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6.93</w:t>
            </w:r>
          </w:p>
        </w:tc>
        <w:tc>
          <w:tcPr>
            <w:tcW w:w="917" w:type="dxa"/>
            <w:noWrap/>
            <w:vAlign w:val="center"/>
          </w:tcPr>
          <w:p w14:paraId="2ECD4CE7" w14:textId="0A4184EC"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12.58</w:t>
            </w:r>
          </w:p>
        </w:tc>
        <w:tc>
          <w:tcPr>
            <w:tcW w:w="1011" w:type="dxa"/>
            <w:noWrap/>
            <w:vAlign w:val="center"/>
          </w:tcPr>
          <w:p w14:paraId="150C16AF" w14:textId="0E9518D8"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19.49</w:t>
            </w:r>
          </w:p>
        </w:tc>
      </w:tr>
      <w:tr w:rsidR="009B472A" w:rsidRPr="00454BB5" w14:paraId="6DE7E38C" w14:textId="77777777" w:rsidTr="00E960A3">
        <w:trPr>
          <w:trHeight w:val="22"/>
        </w:trPr>
        <w:tc>
          <w:tcPr>
            <w:tcW w:w="4077" w:type="dxa"/>
            <w:noWrap/>
            <w:vAlign w:val="center"/>
          </w:tcPr>
          <w:p w14:paraId="1B5E6BEF" w14:textId="08E6D869"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 xml:space="preserve">Consumer Durables &amp; Apparel </w:t>
            </w:r>
          </w:p>
        </w:tc>
        <w:tc>
          <w:tcPr>
            <w:tcW w:w="1134" w:type="dxa"/>
            <w:noWrap/>
            <w:vAlign w:val="center"/>
          </w:tcPr>
          <w:p w14:paraId="105F664D" w14:textId="1B08E1A1"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26</w:t>
            </w:r>
          </w:p>
        </w:tc>
        <w:tc>
          <w:tcPr>
            <w:tcW w:w="993" w:type="dxa"/>
            <w:noWrap/>
            <w:vAlign w:val="center"/>
          </w:tcPr>
          <w:p w14:paraId="36E44D79" w14:textId="3EC49AC8"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19.87</w:t>
            </w:r>
          </w:p>
        </w:tc>
        <w:tc>
          <w:tcPr>
            <w:tcW w:w="1224" w:type="dxa"/>
            <w:noWrap/>
            <w:vAlign w:val="center"/>
          </w:tcPr>
          <w:p w14:paraId="6F7CE8F4" w14:textId="1772B477"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10.11</w:t>
            </w:r>
          </w:p>
        </w:tc>
        <w:tc>
          <w:tcPr>
            <w:tcW w:w="917" w:type="dxa"/>
            <w:noWrap/>
            <w:vAlign w:val="center"/>
          </w:tcPr>
          <w:p w14:paraId="2601DC37" w14:textId="2681E97C"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12.18</w:t>
            </w:r>
          </w:p>
        </w:tc>
        <w:tc>
          <w:tcPr>
            <w:tcW w:w="1011" w:type="dxa"/>
            <w:noWrap/>
            <w:vAlign w:val="center"/>
          </w:tcPr>
          <w:p w14:paraId="306A0252" w14:textId="60E712FC"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14.27</w:t>
            </w:r>
          </w:p>
        </w:tc>
      </w:tr>
      <w:tr w:rsidR="009B472A" w:rsidRPr="00454BB5" w14:paraId="7DB781CF" w14:textId="77777777" w:rsidTr="00E960A3">
        <w:trPr>
          <w:trHeight w:val="22"/>
        </w:trPr>
        <w:tc>
          <w:tcPr>
            <w:tcW w:w="4077" w:type="dxa"/>
            <w:noWrap/>
            <w:vAlign w:val="center"/>
          </w:tcPr>
          <w:p w14:paraId="741150F1" w14:textId="1BD03EB1"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 xml:space="preserve">Utilities </w:t>
            </w:r>
          </w:p>
        </w:tc>
        <w:tc>
          <w:tcPr>
            <w:tcW w:w="1134" w:type="dxa"/>
            <w:noWrap/>
            <w:vAlign w:val="center"/>
          </w:tcPr>
          <w:p w14:paraId="575B1AB8" w14:textId="1F01CA6B"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63</w:t>
            </w:r>
          </w:p>
        </w:tc>
        <w:tc>
          <w:tcPr>
            <w:tcW w:w="993" w:type="dxa"/>
            <w:noWrap/>
            <w:vAlign w:val="center"/>
          </w:tcPr>
          <w:p w14:paraId="5D1CF7B5" w14:textId="22BF349A"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20.47</w:t>
            </w:r>
          </w:p>
        </w:tc>
        <w:tc>
          <w:tcPr>
            <w:tcW w:w="1224" w:type="dxa"/>
            <w:noWrap/>
            <w:vAlign w:val="center"/>
          </w:tcPr>
          <w:p w14:paraId="3B57C60D" w14:textId="1C51C799"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4.00</w:t>
            </w:r>
          </w:p>
        </w:tc>
        <w:tc>
          <w:tcPr>
            <w:tcW w:w="917" w:type="dxa"/>
            <w:noWrap/>
            <w:vAlign w:val="center"/>
          </w:tcPr>
          <w:p w14:paraId="3155BEC2" w14:textId="0862EF49"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12.01</w:t>
            </w:r>
          </w:p>
        </w:tc>
        <w:tc>
          <w:tcPr>
            <w:tcW w:w="1011" w:type="dxa"/>
            <w:noWrap/>
            <w:vAlign w:val="center"/>
          </w:tcPr>
          <w:p w14:paraId="4183F0BE" w14:textId="5682678F"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33.93</w:t>
            </w:r>
          </w:p>
        </w:tc>
      </w:tr>
      <w:tr w:rsidR="009B472A" w:rsidRPr="00454BB5" w14:paraId="0A9D4805" w14:textId="77777777" w:rsidTr="00E960A3">
        <w:trPr>
          <w:trHeight w:val="22"/>
        </w:trPr>
        <w:tc>
          <w:tcPr>
            <w:tcW w:w="4077" w:type="dxa"/>
            <w:noWrap/>
            <w:vAlign w:val="center"/>
          </w:tcPr>
          <w:p w14:paraId="03FBEBC6" w14:textId="63CBC0F3"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 xml:space="preserve">Pharmaceuticals, Biotechnology &amp; Life Sciences </w:t>
            </w:r>
          </w:p>
        </w:tc>
        <w:tc>
          <w:tcPr>
            <w:tcW w:w="1134" w:type="dxa"/>
            <w:noWrap/>
            <w:vAlign w:val="center"/>
          </w:tcPr>
          <w:p w14:paraId="7290AAEC" w14:textId="1AB6089D"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75</w:t>
            </w:r>
          </w:p>
        </w:tc>
        <w:tc>
          <w:tcPr>
            <w:tcW w:w="993" w:type="dxa"/>
            <w:noWrap/>
            <w:vAlign w:val="center"/>
          </w:tcPr>
          <w:p w14:paraId="32FA0F14" w14:textId="54753CCF"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21.67</w:t>
            </w:r>
          </w:p>
        </w:tc>
        <w:tc>
          <w:tcPr>
            <w:tcW w:w="1224" w:type="dxa"/>
            <w:noWrap/>
            <w:vAlign w:val="center"/>
          </w:tcPr>
          <w:p w14:paraId="3E21491C" w14:textId="30AABFDF"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4.09</w:t>
            </w:r>
          </w:p>
        </w:tc>
        <w:tc>
          <w:tcPr>
            <w:tcW w:w="917" w:type="dxa"/>
            <w:noWrap/>
            <w:vAlign w:val="center"/>
          </w:tcPr>
          <w:p w14:paraId="1DFE7EA8" w14:textId="218F8C5B"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7.33</w:t>
            </w:r>
          </w:p>
        </w:tc>
        <w:tc>
          <w:tcPr>
            <w:tcW w:w="1011" w:type="dxa"/>
            <w:noWrap/>
            <w:vAlign w:val="center"/>
          </w:tcPr>
          <w:p w14:paraId="474DB172" w14:textId="1B083755"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15.79</w:t>
            </w:r>
          </w:p>
        </w:tc>
      </w:tr>
      <w:tr w:rsidR="009B472A" w:rsidRPr="00454BB5" w14:paraId="508B3AAA" w14:textId="77777777" w:rsidTr="00E960A3">
        <w:trPr>
          <w:trHeight w:val="22"/>
        </w:trPr>
        <w:tc>
          <w:tcPr>
            <w:tcW w:w="4077" w:type="dxa"/>
            <w:noWrap/>
            <w:vAlign w:val="center"/>
          </w:tcPr>
          <w:p w14:paraId="4EE0A6FB" w14:textId="253F7B2B"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 xml:space="preserve">Diversified Financials </w:t>
            </w:r>
          </w:p>
        </w:tc>
        <w:tc>
          <w:tcPr>
            <w:tcW w:w="1134" w:type="dxa"/>
            <w:noWrap/>
            <w:vAlign w:val="center"/>
          </w:tcPr>
          <w:p w14:paraId="1B72C9BF" w14:textId="0F64D872"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168</w:t>
            </w:r>
          </w:p>
        </w:tc>
        <w:tc>
          <w:tcPr>
            <w:tcW w:w="993" w:type="dxa"/>
            <w:noWrap/>
            <w:vAlign w:val="center"/>
          </w:tcPr>
          <w:p w14:paraId="1DB260B5" w14:textId="2AD04D41"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21.88</w:t>
            </w:r>
          </w:p>
        </w:tc>
        <w:tc>
          <w:tcPr>
            <w:tcW w:w="1224" w:type="dxa"/>
            <w:noWrap/>
            <w:vAlign w:val="center"/>
          </w:tcPr>
          <w:p w14:paraId="5F34BBB2" w14:textId="1430872A"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8.83</w:t>
            </w:r>
          </w:p>
        </w:tc>
        <w:tc>
          <w:tcPr>
            <w:tcW w:w="917" w:type="dxa"/>
            <w:noWrap/>
            <w:vAlign w:val="center"/>
          </w:tcPr>
          <w:p w14:paraId="0511817F" w14:textId="24BE13DA"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18.85</w:t>
            </w:r>
          </w:p>
        </w:tc>
        <w:tc>
          <w:tcPr>
            <w:tcW w:w="1011" w:type="dxa"/>
            <w:noWrap/>
            <w:vAlign w:val="center"/>
          </w:tcPr>
          <w:p w14:paraId="0BA192D9" w14:textId="2B0C5183"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26.52</w:t>
            </w:r>
          </w:p>
        </w:tc>
      </w:tr>
      <w:tr w:rsidR="009B472A" w:rsidRPr="00454BB5" w14:paraId="5BACB935" w14:textId="77777777" w:rsidTr="00E960A3">
        <w:trPr>
          <w:trHeight w:val="22"/>
        </w:trPr>
        <w:tc>
          <w:tcPr>
            <w:tcW w:w="4077" w:type="dxa"/>
            <w:noWrap/>
            <w:vAlign w:val="center"/>
          </w:tcPr>
          <w:p w14:paraId="08566F91" w14:textId="129FD4BA"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 xml:space="preserve">Energy </w:t>
            </w:r>
          </w:p>
        </w:tc>
        <w:tc>
          <w:tcPr>
            <w:tcW w:w="1134" w:type="dxa"/>
            <w:noWrap/>
            <w:vAlign w:val="center"/>
          </w:tcPr>
          <w:p w14:paraId="7702BF0D" w14:textId="18B097A6"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250</w:t>
            </w:r>
          </w:p>
        </w:tc>
        <w:tc>
          <w:tcPr>
            <w:tcW w:w="993" w:type="dxa"/>
            <w:noWrap/>
            <w:vAlign w:val="center"/>
          </w:tcPr>
          <w:p w14:paraId="3F684A76" w14:textId="49B677FF"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23.14</w:t>
            </w:r>
          </w:p>
        </w:tc>
        <w:tc>
          <w:tcPr>
            <w:tcW w:w="1224" w:type="dxa"/>
            <w:noWrap/>
            <w:vAlign w:val="center"/>
          </w:tcPr>
          <w:p w14:paraId="1EFD6AB5" w14:textId="7826506B"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4.15</w:t>
            </w:r>
          </w:p>
        </w:tc>
        <w:tc>
          <w:tcPr>
            <w:tcW w:w="917" w:type="dxa"/>
            <w:noWrap/>
            <w:vAlign w:val="center"/>
          </w:tcPr>
          <w:p w14:paraId="7AF3736C" w14:textId="70E81074"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10.68</w:t>
            </w:r>
          </w:p>
        </w:tc>
        <w:tc>
          <w:tcPr>
            <w:tcW w:w="1011" w:type="dxa"/>
            <w:noWrap/>
            <w:vAlign w:val="center"/>
          </w:tcPr>
          <w:p w14:paraId="689FF5FC" w14:textId="11CC2E73"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27.10</w:t>
            </w:r>
          </w:p>
        </w:tc>
      </w:tr>
      <w:tr w:rsidR="009B472A" w:rsidRPr="00454BB5" w14:paraId="28658B00" w14:textId="77777777" w:rsidTr="00E960A3">
        <w:trPr>
          <w:trHeight w:val="22"/>
        </w:trPr>
        <w:tc>
          <w:tcPr>
            <w:tcW w:w="4077" w:type="dxa"/>
            <w:noWrap/>
            <w:vAlign w:val="center"/>
          </w:tcPr>
          <w:p w14:paraId="0C4A1F57" w14:textId="611EB270"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 xml:space="preserve">Media &amp; Entertainment </w:t>
            </w:r>
          </w:p>
        </w:tc>
        <w:tc>
          <w:tcPr>
            <w:tcW w:w="1134" w:type="dxa"/>
            <w:noWrap/>
            <w:vAlign w:val="center"/>
          </w:tcPr>
          <w:p w14:paraId="12A11477" w14:textId="71B06985"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107</w:t>
            </w:r>
          </w:p>
        </w:tc>
        <w:tc>
          <w:tcPr>
            <w:tcW w:w="993" w:type="dxa"/>
            <w:noWrap/>
            <w:vAlign w:val="center"/>
          </w:tcPr>
          <w:p w14:paraId="489AD420" w14:textId="17CD16AB"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28.03</w:t>
            </w:r>
          </w:p>
        </w:tc>
        <w:tc>
          <w:tcPr>
            <w:tcW w:w="1224" w:type="dxa"/>
            <w:noWrap/>
            <w:vAlign w:val="center"/>
          </w:tcPr>
          <w:p w14:paraId="76C8A09F" w14:textId="31EB61A2"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12.38</w:t>
            </w:r>
          </w:p>
        </w:tc>
        <w:tc>
          <w:tcPr>
            <w:tcW w:w="917" w:type="dxa"/>
            <w:noWrap/>
            <w:vAlign w:val="center"/>
          </w:tcPr>
          <w:p w14:paraId="09C6DB2B" w14:textId="2E0D5094"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20.21</w:t>
            </w:r>
          </w:p>
        </w:tc>
        <w:tc>
          <w:tcPr>
            <w:tcW w:w="1011" w:type="dxa"/>
            <w:noWrap/>
            <w:vAlign w:val="center"/>
          </w:tcPr>
          <w:p w14:paraId="2CD2A736" w14:textId="4FD9179B" w:rsidR="009B472A" w:rsidRPr="00454BB5" w:rsidRDefault="009B472A" w:rsidP="009B472A">
            <w:pPr>
              <w:spacing w:line="240" w:lineRule="auto"/>
              <w:ind w:firstLine="0"/>
              <w:jc w:val="left"/>
              <w:rPr>
                <w:rFonts w:eastAsia="Times New Roman" w:cstheme="majorBidi"/>
                <w:color w:val="000000"/>
                <w:sz w:val="20"/>
                <w:szCs w:val="20"/>
              </w:rPr>
            </w:pPr>
            <w:r w:rsidRPr="008500E7">
              <w:rPr>
                <w:rFonts w:eastAsia="Times New Roman" w:cstheme="majorBidi"/>
                <w:color w:val="000000"/>
                <w:sz w:val="20"/>
                <w:szCs w:val="20"/>
              </w:rPr>
              <w:t>35.22</w:t>
            </w:r>
          </w:p>
        </w:tc>
      </w:tr>
      <w:tr w:rsidR="009B472A" w:rsidRPr="00454BB5" w14:paraId="08568EB5" w14:textId="77777777" w:rsidTr="00E960A3">
        <w:trPr>
          <w:trHeight w:val="22"/>
        </w:trPr>
        <w:tc>
          <w:tcPr>
            <w:tcW w:w="4077" w:type="dxa"/>
            <w:noWrap/>
            <w:vAlign w:val="center"/>
          </w:tcPr>
          <w:p w14:paraId="5A92444F" w14:textId="566B66FB"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Commercial &amp; Professional Services </w:t>
            </w:r>
          </w:p>
        </w:tc>
        <w:tc>
          <w:tcPr>
            <w:tcW w:w="1134" w:type="dxa"/>
            <w:noWrap/>
            <w:vAlign w:val="center"/>
          </w:tcPr>
          <w:p w14:paraId="38536537" w14:textId="715A8492"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150</w:t>
            </w:r>
          </w:p>
        </w:tc>
        <w:tc>
          <w:tcPr>
            <w:tcW w:w="993" w:type="dxa"/>
            <w:noWrap/>
            <w:vAlign w:val="center"/>
          </w:tcPr>
          <w:p w14:paraId="725EB2A3" w14:textId="389CC9A1"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30.64</w:t>
            </w:r>
          </w:p>
        </w:tc>
        <w:tc>
          <w:tcPr>
            <w:tcW w:w="1224" w:type="dxa"/>
            <w:noWrap/>
            <w:vAlign w:val="center"/>
          </w:tcPr>
          <w:p w14:paraId="35F8183E" w14:textId="71EFF13D"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9.18</w:t>
            </w:r>
          </w:p>
        </w:tc>
        <w:tc>
          <w:tcPr>
            <w:tcW w:w="917" w:type="dxa"/>
            <w:noWrap/>
            <w:vAlign w:val="center"/>
          </w:tcPr>
          <w:p w14:paraId="09C6D446" w14:textId="1D06A381"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17.35</w:t>
            </w:r>
          </w:p>
        </w:tc>
        <w:tc>
          <w:tcPr>
            <w:tcW w:w="1011" w:type="dxa"/>
            <w:noWrap/>
            <w:vAlign w:val="center"/>
          </w:tcPr>
          <w:p w14:paraId="2BCA3B6D" w14:textId="22BB4689"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46.57</w:t>
            </w:r>
          </w:p>
        </w:tc>
      </w:tr>
      <w:tr w:rsidR="009B472A" w:rsidRPr="00454BB5" w14:paraId="5FB4BA1C" w14:textId="77777777" w:rsidTr="00E960A3">
        <w:trPr>
          <w:trHeight w:val="22"/>
        </w:trPr>
        <w:tc>
          <w:tcPr>
            <w:tcW w:w="4077" w:type="dxa"/>
            <w:noWrap/>
            <w:vAlign w:val="center"/>
          </w:tcPr>
          <w:p w14:paraId="7BAD5B84" w14:textId="058DB1DE"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Real Estate </w:t>
            </w:r>
          </w:p>
        </w:tc>
        <w:tc>
          <w:tcPr>
            <w:tcW w:w="1134" w:type="dxa"/>
            <w:noWrap/>
            <w:vAlign w:val="center"/>
          </w:tcPr>
          <w:p w14:paraId="449CC5C6" w14:textId="27ED38B0"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148</w:t>
            </w:r>
          </w:p>
        </w:tc>
        <w:tc>
          <w:tcPr>
            <w:tcW w:w="993" w:type="dxa"/>
            <w:noWrap/>
            <w:vAlign w:val="center"/>
          </w:tcPr>
          <w:p w14:paraId="4D5C0948" w14:textId="52A483C4"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35.93</w:t>
            </w:r>
          </w:p>
        </w:tc>
        <w:tc>
          <w:tcPr>
            <w:tcW w:w="1224" w:type="dxa"/>
            <w:noWrap/>
            <w:vAlign w:val="center"/>
          </w:tcPr>
          <w:p w14:paraId="5EDCEC84" w14:textId="0C5FC927"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12.47</w:t>
            </w:r>
          </w:p>
        </w:tc>
        <w:tc>
          <w:tcPr>
            <w:tcW w:w="917" w:type="dxa"/>
            <w:noWrap/>
            <w:vAlign w:val="center"/>
          </w:tcPr>
          <w:p w14:paraId="5C6A6A3B" w14:textId="51B49391"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24.66</w:t>
            </w:r>
          </w:p>
        </w:tc>
        <w:tc>
          <w:tcPr>
            <w:tcW w:w="1011" w:type="dxa"/>
            <w:noWrap/>
            <w:vAlign w:val="center"/>
          </w:tcPr>
          <w:p w14:paraId="797A30F2" w14:textId="178DF693"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51.11</w:t>
            </w:r>
          </w:p>
        </w:tc>
      </w:tr>
      <w:tr w:rsidR="009B472A" w:rsidRPr="00454BB5" w14:paraId="637DF2EF" w14:textId="77777777" w:rsidTr="00E960A3">
        <w:trPr>
          <w:trHeight w:val="22"/>
        </w:trPr>
        <w:tc>
          <w:tcPr>
            <w:tcW w:w="4077" w:type="dxa"/>
            <w:noWrap/>
            <w:vAlign w:val="center"/>
          </w:tcPr>
          <w:p w14:paraId="6C68E927" w14:textId="30B9EA5D"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Consumer Services </w:t>
            </w:r>
          </w:p>
        </w:tc>
        <w:tc>
          <w:tcPr>
            <w:tcW w:w="1134" w:type="dxa"/>
            <w:noWrap/>
            <w:vAlign w:val="center"/>
          </w:tcPr>
          <w:p w14:paraId="0FC578E1" w14:textId="6760CBFF"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171</w:t>
            </w:r>
          </w:p>
        </w:tc>
        <w:tc>
          <w:tcPr>
            <w:tcW w:w="993" w:type="dxa"/>
            <w:noWrap/>
            <w:vAlign w:val="center"/>
          </w:tcPr>
          <w:p w14:paraId="25BAFF05" w14:textId="077EEA27"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36.02</w:t>
            </w:r>
          </w:p>
        </w:tc>
        <w:tc>
          <w:tcPr>
            <w:tcW w:w="1224" w:type="dxa"/>
            <w:noWrap/>
            <w:vAlign w:val="center"/>
          </w:tcPr>
          <w:p w14:paraId="11D62DE6" w14:textId="2AE99EF4"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12.38</w:t>
            </w:r>
          </w:p>
        </w:tc>
        <w:tc>
          <w:tcPr>
            <w:tcW w:w="917" w:type="dxa"/>
            <w:noWrap/>
            <w:vAlign w:val="center"/>
          </w:tcPr>
          <w:p w14:paraId="60AB842E" w14:textId="5F83C6BD"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23.41</w:t>
            </w:r>
          </w:p>
        </w:tc>
        <w:tc>
          <w:tcPr>
            <w:tcW w:w="1011" w:type="dxa"/>
            <w:noWrap/>
            <w:vAlign w:val="center"/>
          </w:tcPr>
          <w:p w14:paraId="2EFAB852" w14:textId="5D6C212B"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50.09</w:t>
            </w:r>
          </w:p>
        </w:tc>
      </w:tr>
      <w:tr w:rsidR="009B472A" w:rsidRPr="00454BB5" w14:paraId="00F2FCE8" w14:textId="77777777" w:rsidTr="00E960A3">
        <w:trPr>
          <w:trHeight w:val="22"/>
        </w:trPr>
        <w:tc>
          <w:tcPr>
            <w:tcW w:w="4077" w:type="dxa"/>
            <w:noWrap/>
            <w:vAlign w:val="center"/>
          </w:tcPr>
          <w:p w14:paraId="71DDB029" w14:textId="184146AA"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Automobiles &amp; Components </w:t>
            </w:r>
          </w:p>
        </w:tc>
        <w:tc>
          <w:tcPr>
            <w:tcW w:w="1134" w:type="dxa"/>
            <w:noWrap/>
            <w:vAlign w:val="center"/>
          </w:tcPr>
          <w:p w14:paraId="60BBFFF7" w14:textId="1B40ABA5"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19</w:t>
            </w:r>
          </w:p>
        </w:tc>
        <w:tc>
          <w:tcPr>
            <w:tcW w:w="993" w:type="dxa"/>
            <w:noWrap/>
            <w:vAlign w:val="center"/>
          </w:tcPr>
          <w:p w14:paraId="2757964D" w14:textId="1B05A226"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36.67</w:t>
            </w:r>
          </w:p>
        </w:tc>
        <w:tc>
          <w:tcPr>
            <w:tcW w:w="1224" w:type="dxa"/>
            <w:noWrap/>
            <w:vAlign w:val="center"/>
          </w:tcPr>
          <w:p w14:paraId="662DCD34" w14:textId="422A510A"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4.84</w:t>
            </w:r>
          </w:p>
        </w:tc>
        <w:tc>
          <w:tcPr>
            <w:tcW w:w="917" w:type="dxa"/>
            <w:noWrap/>
            <w:vAlign w:val="center"/>
          </w:tcPr>
          <w:p w14:paraId="06263DCE" w14:textId="6C73C02D"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8.74</w:t>
            </w:r>
          </w:p>
        </w:tc>
        <w:tc>
          <w:tcPr>
            <w:tcW w:w="1011" w:type="dxa"/>
            <w:noWrap/>
            <w:vAlign w:val="center"/>
          </w:tcPr>
          <w:p w14:paraId="041DA942" w14:textId="2FA06C7E"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27.09</w:t>
            </w:r>
          </w:p>
        </w:tc>
      </w:tr>
      <w:tr w:rsidR="009B472A" w:rsidRPr="00454BB5" w14:paraId="41B0B80C" w14:textId="77777777" w:rsidTr="00E960A3">
        <w:trPr>
          <w:trHeight w:val="22"/>
        </w:trPr>
        <w:tc>
          <w:tcPr>
            <w:tcW w:w="4077" w:type="dxa"/>
            <w:noWrap/>
            <w:vAlign w:val="center"/>
          </w:tcPr>
          <w:p w14:paraId="04DCFF0A" w14:textId="386EF836"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Telecommunication Services </w:t>
            </w:r>
          </w:p>
        </w:tc>
        <w:tc>
          <w:tcPr>
            <w:tcW w:w="1134" w:type="dxa"/>
            <w:noWrap/>
            <w:vAlign w:val="center"/>
          </w:tcPr>
          <w:p w14:paraId="2D30E34C" w14:textId="143512AD"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45</w:t>
            </w:r>
          </w:p>
        </w:tc>
        <w:tc>
          <w:tcPr>
            <w:tcW w:w="993" w:type="dxa"/>
            <w:noWrap/>
            <w:vAlign w:val="center"/>
          </w:tcPr>
          <w:p w14:paraId="478CB694" w14:textId="531A2F45"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39.62</w:t>
            </w:r>
          </w:p>
        </w:tc>
        <w:tc>
          <w:tcPr>
            <w:tcW w:w="1224" w:type="dxa"/>
            <w:noWrap/>
            <w:vAlign w:val="center"/>
          </w:tcPr>
          <w:p w14:paraId="7C452FC1" w14:textId="2E943B4A"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17.45</w:t>
            </w:r>
          </w:p>
        </w:tc>
        <w:tc>
          <w:tcPr>
            <w:tcW w:w="917" w:type="dxa"/>
            <w:noWrap/>
            <w:vAlign w:val="center"/>
          </w:tcPr>
          <w:p w14:paraId="0545FB80" w14:textId="07B35BD4"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32.90</w:t>
            </w:r>
          </w:p>
        </w:tc>
        <w:tc>
          <w:tcPr>
            <w:tcW w:w="1011" w:type="dxa"/>
            <w:noWrap/>
            <w:vAlign w:val="center"/>
          </w:tcPr>
          <w:p w14:paraId="68CDFEB1" w14:textId="06D6949C"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58.62</w:t>
            </w:r>
          </w:p>
        </w:tc>
      </w:tr>
      <w:tr w:rsidR="009B472A" w:rsidRPr="00454BB5" w14:paraId="2DA1AB2F" w14:textId="77777777" w:rsidTr="00E960A3">
        <w:trPr>
          <w:trHeight w:val="22"/>
        </w:trPr>
        <w:tc>
          <w:tcPr>
            <w:tcW w:w="4077" w:type="dxa"/>
            <w:noWrap/>
            <w:vAlign w:val="center"/>
          </w:tcPr>
          <w:p w14:paraId="339185D8" w14:textId="710FC7D0"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Capital Goods </w:t>
            </w:r>
          </w:p>
        </w:tc>
        <w:tc>
          <w:tcPr>
            <w:tcW w:w="1134" w:type="dxa"/>
            <w:noWrap/>
            <w:vAlign w:val="center"/>
          </w:tcPr>
          <w:p w14:paraId="70C86F01" w14:textId="057157AC"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168</w:t>
            </w:r>
          </w:p>
        </w:tc>
        <w:tc>
          <w:tcPr>
            <w:tcW w:w="993" w:type="dxa"/>
            <w:noWrap/>
            <w:vAlign w:val="center"/>
          </w:tcPr>
          <w:p w14:paraId="54577AC3" w14:textId="683D248B"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45.67</w:t>
            </w:r>
          </w:p>
        </w:tc>
        <w:tc>
          <w:tcPr>
            <w:tcW w:w="1224" w:type="dxa"/>
            <w:noWrap/>
            <w:vAlign w:val="center"/>
          </w:tcPr>
          <w:p w14:paraId="3B0D7F5B" w14:textId="0CAFD825"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8.65</w:t>
            </w:r>
          </w:p>
        </w:tc>
        <w:tc>
          <w:tcPr>
            <w:tcW w:w="917" w:type="dxa"/>
            <w:noWrap/>
            <w:vAlign w:val="center"/>
          </w:tcPr>
          <w:p w14:paraId="0FDB8AD9" w14:textId="5103A948"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19.44</w:t>
            </w:r>
          </w:p>
        </w:tc>
        <w:tc>
          <w:tcPr>
            <w:tcW w:w="1011" w:type="dxa"/>
            <w:noWrap/>
            <w:vAlign w:val="center"/>
          </w:tcPr>
          <w:p w14:paraId="746A5090" w14:textId="1481FE95"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41.03</w:t>
            </w:r>
          </w:p>
        </w:tc>
      </w:tr>
      <w:tr w:rsidR="009B472A" w:rsidRPr="00454BB5" w14:paraId="786D6642" w14:textId="77777777" w:rsidTr="00E960A3">
        <w:trPr>
          <w:trHeight w:val="22"/>
        </w:trPr>
        <w:tc>
          <w:tcPr>
            <w:tcW w:w="4077" w:type="dxa"/>
            <w:noWrap/>
            <w:vAlign w:val="center"/>
          </w:tcPr>
          <w:p w14:paraId="2E31021E" w14:textId="5A106249"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Insurance </w:t>
            </w:r>
          </w:p>
        </w:tc>
        <w:tc>
          <w:tcPr>
            <w:tcW w:w="1134" w:type="dxa"/>
            <w:noWrap/>
            <w:vAlign w:val="center"/>
          </w:tcPr>
          <w:p w14:paraId="292AFCC9" w14:textId="41976149"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49</w:t>
            </w:r>
          </w:p>
        </w:tc>
        <w:tc>
          <w:tcPr>
            <w:tcW w:w="993" w:type="dxa"/>
            <w:noWrap/>
            <w:vAlign w:val="center"/>
          </w:tcPr>
          <w:p w14:paraId="71307439" w14:textId="677C1465"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47.59</w:t>
            </w:r>
          </w:p>
        </w:tc>
        <w:tc>
          <w:tcPr>
            <w:tcW w:w="1224" w:type="dxa"/>
            <w:noWrap/>
            <w:vAlign w:val="center"/>
          </w:tcPr>
          <w:p w14:paraId="6AE79A4D" w14:textId="1E274F98"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35.79</w:t>
            </w:r>
          </w:p>
        </w:tc>
        <w:tc>
          <w:tcPr>
            <w:tcW w:w="917" w:type="dxa"/>
            <w:noWrap/>
            <w:vAlign w:val="center"/>
          </w:tcPr>
          <w:p w14:paraId="521775E1" w14:textId="65253915"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41.00</w:t>
            </w:r>
          </w:p>
        </w:tc>
        <w:tc>
          <w:tcPr>
            <w:tcW w:w="1011" w:type="dxa"/>
            <w:noWrap/>
            <w:vAlign w:val="center"/>
          </w:tcPr>
          <w:p w14:paraId="691226F5" w14:textId="600BC3AD"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64.43</w:t>
            </w:r>
          </w:p>
        </w:tc>
      </w:tr>
      <w:tr w:rsidR="009B472A" w:rsidRPr="00454BB5" w14:paraId="4EA97F3C" w14:textId="77777777" w:rsidTr="00E960A3">
        <w:trPr>
          <w:trHeight w:val="22"/>
        </w:trPr>
        <w:tc>
          <w:tcPr>
            <w:tcW w:w="4077" w:type="dxa"/>
            <w:noWrap/>
            <w:vAlign w:val="center"/>
          </w:tcPr>
          <w:p w14:paraId="17F8E957" w14:textId="3E5EB703"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Transportation </w:t>
            </w:r>
          </w:p>
        </w:tc>
        <w:tc>
          <w:tcPr>
            <w:tcW w:w="1134" w:type="dxa"/>
            <w:noWrap/>
            <w:vAlign w:val="center"/>
          </w:tcPr>
          <w:p w14:paraId="431C6FB8" w14:textId="529FCEE5"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90</w:t>
            </w:r>
          </w:p>
        </w:tc>
        <w:tc>
          <w:tcPr>
            <w:tcW w:w="993" w:type="dxa"/>
            <w:noWrap/>
            <w:vAlign w:val="center"/>
          </w:tcPr>
          <w:p w14:paraId="34F6B9C4" w14:textId="57D11B1B"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49.67</w:t>
            </w:r>
          </w:p>
        </w:tc>
        <w:tc>
          <w:tcPr>
            <w:tcW w:w="1224" w:type="dxa"/>
            <w:noWrap/>
            <w:vAlign w:val="center"/>
          </w:tcPr>
          <w:p w14:paraId="78415876" w14:textId="0C09B494"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25.17</w:t>
            </w:r>
          </w:p>
        </w:tc>
        <w:tc>
          <w:tcPr>
            <w:tcW w:w="917" w:type="dxa"/>
            <w:noWrap/>
            <w:vAlign w:val="center"/>
          </w:tcPr>
          <w:p w14:paraId="7DEB92E9" w14:textId="6B61361B"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36.16</w:t>
            </w:r>
          </w:p>
        </w:tc>
        <w:tc>
          <w:tcPr>
            <w:tcW w:w="1011" w:type="dxa"/>
            <w:noWrap/>
            <w:vAlign w:val="center"/>
          </w:tcPr>
          <w:p w14:paraId="516FF226" w14:textId="0B658753"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66.51</w:t>
            </w:r>
          </w:p>
        </w:tc>
      </w:tr>
      <w:tr w:rsidR="009B472A" w:rsidRPr="00454BB5" w14:paraId="607B3519" w14:textId="77777777" w:rsidTr="00E960A3">
        <w:trPr>
          <w:trHeight w:val="22"/>
        </w:trPr>
        <w:tc>
          <w:tcPr>
            <w:tcW w:w="4077" w:type="dxa"/>
            <w:noWrap/>
            <w:vAlign w:val="center"/>
          </w:tcPr>
          <w:p w14:paraId="5782FC0F" w14:textId="510522A4"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Health Care Equipment &amp; Services </w:t>
            </w:r>
          </w:p>
        </w:tc>
        <w:tc>
          <w:tcPr>
            <w:tcW w:w="1134" w:type="dxa"/>
            <w:noWrap/>
            <w:vAlign w:val="center"/>
          </w:tcPr>
          <w:p w14:paraId="570CAE6E" w14:textId="4D0EBCDA"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126</w:t>
            </w:r>
          </w:p>
        </w:tc>
        <w:tc>
          <w:tcPr>
            <w:tcW w:w="993" w:type="dxa"/>
            <w:noWrap/>
            <w:vAlign w:val="center"/>
          </w:tcPr>
          <w:p w14:paraId="1C8C89C8" w14:textId="496FD7C7"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50.03</w:t>
            </w:r>
          </w:p>
        </w:tc>
        <w:tc>
          <w:tcPr>
            <w:tcW w:w="1224" w:type="dxa"/>
            <w:noWrap/>
            <w:vAlign w:val="center"/>
          </w:tcPr>
          <w:p w14:paraId="568E6CA3" w14:textId="62B5CC4D"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15.52</w:t>
            </w:r>
          </w:p>
        </w:tc>
        <w:tc>
          <w:tcPr>
            <w:tcW w:w="917" w:type="dxa"/>
            <w:noWrap/>
            <w:vAlign w:val="center"/>
          </w:tcPr>
          <w:p w14:paraId="30EA7EC9" w14:textId="736B8C19"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25.51</w:t>
            </w:r>
          </w:p>
        </w:tc>
        <w:tc>
          <w:tcPr>
            <w:tcW w:w="1011" w:type="dxa"/>
            <w:noWrap/>
            <w:vAlign w:val="center"/>
          </w:tcPr>
          <w:p w14:paraId="2F0EA921" w14:textId="7FEA8B05"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58.50</w:t>
            </w:r>
          </w:p>
        </w:tc>
      </w:tr>
      <w:tr w:rsidR="009B472A" w:rsidRPr="00454BB5" w14:paraId="4455DFBD" w14:textId="77777777" w:rsidTr="00E960A3">
        <w:trPr>
          <w:trHeight w:val="22"/>
        </w:trPr>
        <w:tc>
          <w:tcPr>
            <w:tcW w:w="4077" w:type="dxa"/>
            <w:noWrap/>
            <w:vAlign w:val="center"/>
          </w:tcPr>
          <w:p w14:paraId="3354AA4D" w14:textId="63E44D67"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Materials </w:t>
            </w:r>
          </w:p>
        </w:tc>
        <w:tc>
          <w:tcPr>
            <w:tcW w:w="1134" w:type="dxa"/>
            <w:noWrap/>
            <w:vAlign w:val="center"/>
          </w:tcPr>
          <w:p w14:paraId="5216158D" w14:textId="487A5BBB"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651</w:t>
            </w:r>
          </w:p>
        </w:tc>
        <w:tc>
          <w:tcPr>
            <w:tcW w:w="993" w:type="dxa"/>
            <w:noWrap/>
            <w:vAlign w:val="center"/>
          </w:tcPr>
          <w:p w14:paraId="3445AA4D" w14:textId="191E03AE"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50.39</w:t>
            </w:r>
          </w:p>
        </w:tc>
        <w:tc>
          <w:tcPr>
            <w:tcW w:w="1224" w:type="dxa"/>
            <w:noWrap/>
            <w:vAlign w:val="center"/>
          </w:tcPr>
          <w:p w14:paraId="6FA30AE9" w14:textId="2F7FEF85"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7.78</w:t>
            </w:r>
          </w:p>
        </w:tc>
        <w:tc>
          <w:tcPr>
            <w:tcW w:w="917" w:type="dxa"/>
            <w:noWrap/>
            <w:vAlign w:val="center"/>
          </w:tcPr>
          <w:p w14:paraId="5CE67CA9" w14:textId="5A149BD4"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23.28</w:t>
            </w:r>
          </w:p>
        </w:tc>
        <w:tc>
          <w:tcPr>
            <w:tcW w:w="1011" w:type="dxa"/>
            <w:noWrap/>
            <w:vAlign w:val="center"/>
          </w:tcPr>
          <w:p w14:paraId="11494E84" w14:textId="63AAFE0A"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54.06</w:t>
            </w:r>
          </w:p>
        </w:tc>
      </w:tr>
      <w:tr w:rsidR="009B472A" w:rsidRPr="00454BB5" w14:paraId="32E59ED9" w14:textId="77777777" w:rsidTr="00E960A3">
        <w:trPr>
          <w:trHeight w:val="22"/>
        </w:trPr>
        <w:tc>
          <w:tcPr>
            <w:tcW w:w="4077" w:type="dxa"/>
            <w:noWrap/>
            <w:vAlign w:val="center"/>
          </w:tcPr>
          <w:p w14:paraId="697A6842" w14:textId="05DDD152"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Banks </w:t>
            </w:r>
          </w:p>
        </w:tc>
        <w:tc>
          <w:tcPr>
            <w:tcW w:w="1134" w:type="dxa"/>
            <w:noWrap/>
            <w:vAlign w:val="center"/>
          </w:tcPr>
          <w:p w14:paraId="17FE8A3D" w14:textId="29B3FC06"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100</w:t>
            </w:r>
          </w:p>
        </w:tc>
        <w:tc>
          <w:tcPr>
            <w:tcW w:w="993" w:type="dxa"/>
            <w:noWrap/>
            <w:vAlign w:val="center"/>
          </w:tcPr>
          <w:p w14:paraId="1B0A0CF8" w14:textId="78D845B9"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59.00</w:t>
            </w:r>
          </w:p>
        </w:tc>
        <w:tc>
          <w:tcPr>
            <w:tcW w:w="1224" w:type="dxa"/>
            <w:noWrap/>
            <w:vAlign w:val="center"/>
          </w:tcPr>
          <w:p w14:paraId="6BA05285" w14:textId="1BF7B85B"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28.03</w:t>
            </w:r>
          </w:p>
        </w:tc>
        <w:tc>
          <w:tcPr>
            <w:tcW w:w="917" w:type="dxa"/>
            <w:noWrap/>
            <w:vAlign w:val="center"/>
          </w:tcPr>
          <w:p w14:paraId="008A9CA6" w14:textId="09682F23"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49.94</w:t>
            </w:r>
          </w:p>
        </w:tc>
        <w:tc>
          <w:tcPr>
            <w:tcW w:w="1011" w:type="dxa"/>
            <w:noWrap/>
            <w:vAlign w:val="center"/>
          </w:tcPr>
          <w:p w14:paraId="60A8482C" w14:textId="7CE50E67"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82.15</w:t>
            </w:r>
          </w:p>
        </w:tc>
      </w:tr>
      <w:tr w:rsidR="009B472A" w:rsidRPr="00454BB5" w14:paraId="4A3F0232" w14:textId="77777777" w:rsidTr="00E960A3">
        <w:trPr>
          <w:trHeight w:val="22"/>
        </w:trPr>
        <w:tc>
          <w:tcPr>
            <w:tcW w:w="4077" w:type="dxa"/>
            <w:noWrap/>
            <w:vAlign w:val="center"/>
          </w:tcPr>
          <w:p w14:paraId="2E0BA820" w14:textId="7A668A90"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Retailing </w:t>
            </w:r>
          </w:p>
        </w:tc>
        <w:tc>
          <w:tcPr>
            <w:tcW w:w="1134" w:type="dxa"/>
            <w:noWrap/>
            <w:vAlign w:val="center"/>
          </w:tcPr>
          <w:p w14:paraId="103D9D6F" w14:textId="4ADEADF9"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147</w:t>
            </w:r>
          </w:p>
        </w:tc>
        <w:tc>
          <w:tcPr>
            <w:tcW w:w="993" w:type="dxa"/>
            <w:noWrap/>
            <w:vAlign w:val="center"/>
          </w:tcPr>
          <w:p w14:paraId="26CD5B94" w14:textId="5BC50671"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60.81</w:t>
            </w:r>
          </w:p>
        </w:tc>
        <w:tc>
          <w:tcPr>
            <w:tcW w:w="1224" w:type="dxa"/>
            <w:noWrap/>
            <w:vAlign w:val="center"/>
          </w:tcPr>
          <w:p w14:paraId="2F3F15B5" w14:textId="309506DA"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21.23</w:t>
            </w:r>
          </w:p>
        </w:tc>
        <w:tc>
          <w:tcPr>
            <w:tcW w:w="917" w:type="dxa"/>
            <w:noWrap/>
            <w:vAlign w:val="center"/>
          </w:tcPr>
          <w:p w14:paraId="22308B89" w14:textId="60349EF4"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35.03</w:t>
            </w:r>
          </w:p>
        </w:tc>
        <w:tc>
          <w:tcPr>
            <w:tcW w:w="1011" w:type="dxa"/>
            <w:noWrap/>
            <w:vAlign w:val="center"/>
          </w:tcPr>
          <w:p w14:paraId="3B65C4E3" w14:textId="5DC2D499"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59.29</w:t>
            </w:r>
          </w:p>
        </w:tc>
      </w:tr>
      <w:tr w:rsidR="009B472A" w:rsidRPr="00454BB5" w14:paraId="0FDA3414" w14:textId="77777777" w:rsidTr="00E960A3">
        <w:trPr>
          <w:trHeight w:val="22"/>
        </w:trPr>
        <w:tc>
          <w:tcPr>
            <w:tcW w:w="4077" w:type="dxa"/>
            <w:noWrap/>
            <w:vAlign w:val="center"/>
          </w:tcPr>
          <w:p w14:paraId="6E4407CF" w14:textId="1662E93F"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Food, Beverage &amp; Tobacco </w:t>
            </w:r>
          </w:p>
        </w:tc>
        <w:tc>
          <w:tcPr>
            <w:tcW w:w="1134" w:type="dxa"/>
            <w:noWrap/>
            <w:vAlign w:val="center"/>
          </w:tcPr>
          <w:p w14:paraId="42EC93A0" w14:textId="6B9ACC6F"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76</w:t>
            </w:r>
          </w:p>
        </w:tc>
        <w:tc>
          <w:tcPr>
            <w:tcW w:w="993" w:type="dxa"/>
            <w:noWrap/>
            <w:vAlign w:val="center"/>
          </w:tcPr>
          <w:p w14:paraId="08E82BAF" w14:textId="2CA1A128"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68.23</w:t>
            </w:r>
          </w:p>
        </w:tc>
        <w:tc>
          <w:tcPr>
            <w:tcW w:w="1224" w:type="dxa"/>
            <w:noWrap/>
            <w:vAlign w:val="center"/>
          </w:tcPr>
          <w:p w14:paraId="4DE081C9" w14:textId="4FB0457C"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10.36</w:t>
            </w:r>
          </w:p>
        </w:tc>
        <w:tc>
          <w:tcPr>
            <w:tcW w:w="917" w:type="dxa"/>
            <w:noWrap/>
            <w:vAlign w:val="center"/>
          </w:tcPr>
          <w:p w14:paraId="38DFD21D" w14:textId="38668A9A"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16.46</w:t>
            </w:r>
          </w:p>
        </w:tc>
        <w:tc>
          <w:tcPr>
            <w:tcW w:w="1011" w:type="dxa"/>
            <w:noWrap/>
            <w:vAlign w:val="center"/>
          </w:tcPr>
          <w:p w14:paraId="7D8C710E" w14:textId="50E006A4"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30.89</w:t>
            </w:r>
          </w:p>
        </w:tc>
      </w:tr>
      <w:tr w:rsidR="009B472A" w:rsidRPr="00454BB5" w14:paraId="6602115A" w14:textId="77777777" w:rsidTr="00E960A3">
        <w:trPr>
          <w:trHeight w:val="22"/>
        </w:trPr>
        <w:tc>
          <w:tcPr>
            <w:tcW w:w="4077" w:type="dxa"/>
            <w:noWrap/>
            <w:vAlign w:val="center"/>
          </w:tcPr>
          <w:p w14:paraId="410C9ED5" w14:textId="3D6BB378"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Food &amp; Staples Retailing</w:t>
            </w:r>
          </w:p>
        </w:tc>
        <w:tc>
          <w:tcPr>
            <w:tcW w:w="1134" w:type="dxa"/>
            <w:noWrap/>
            <w:vAlign w:val="center"/>
          </w:tcPr>
          <w:p w14:paraId="1C363ABB" w14:textId="67D0E007"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36</w:t>
            </w:r>
          </w:p>
        </w:tc>
        <w:tc>
          <w:tcPr>
            <w:tcW w:w="993" w:type="dxa"/>
            <w:noWrap/>
            <w:vAlign w:val="center"/>
          </w:tcPr>
          <w:p w14:paraId="6777DA3E" w14:textId="532F59CA"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76.83</w:t>
            </w:r>
          </w:p>
        </w:tc>
        <w:tc>
          <w:tcPr>
            <w:tcW w:w="1224" w:type="dxa"/>
            <w:noWrap/>
            <w:vAlign w:val="center"/>
          </w:tcPr>
          <w:p w14:paraId="7BFC7335" w14:textId="5A946DC7"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20.62</w:t>
            </w:r>
          </w:p>
        </w:tc>
        <w:tc>
          <w:tcPr>
            <w:tcW w:w="917" w:type="dxa"/>
            <w:noWrap/>
            <w:vAlign w:val="center"/>
          </w:tcPr>
          <w:p w14:paraId="1EDCADAB" w14:textId="0B444B81"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34.91</w:t>
            </w:r>
          </w:p>
        </w:tc>
        <w:tc>
          <w:tcPr>
            <w:tcW w:w="1011" w:type="dxa"/>
            <w:noWrap/>
            <w:vAlign w:val="center"/>
          </w:tcPr>
          <w:p w14:paraId="12FF44E0" w14:textId="56115008" w:rsidR="009B472A" w:rsidRPr="00704C76"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138.48</w:t>
            </w:r>
          </w:p>
        </w:tc>
      </w:tr>
      <w:tr w:rsidR="009B472A" w:rsidRPr="00454BB5" w14:paraId="22DA25AD" w14:textId="77777777" w:rsidTr="00E960A3">
        <w:trPr>
          <w:trHeight w:val="22"/>
        </w:trPr>
        <w:tc>
          <w:tcPr>
            <w:tcW w:w="4077" w:type="dxa"/>
            <w:noWrap/>
            <w:vAlign w:val="center"/>
          </w:tcPr>
          <w:p w14:paraId="2D7541EF" w14:textId="71381746"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 xml:space="preserve">Banks </w:t>
            </w:r>
          </w:p>
        </w:tc>
        <w:tc>
          <w:tcPr>
            <w:tcW w:w="1134" w:type="dxa"/>
            <w:noWrap/>
            <w:vAlign w:val="center"/>
          </w:tcPr>
          <w:p w14:paraId="066F335D" w14:textId="0FE1C681"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100</w:t>
            </w:r>
          </w:p>
        </w:tc>
        <w:tc>
          <w:tcPr>
            <w:tcW w:w="993" w:type="dxa"/>
            <w:noWrap/>
            <w:vAlign w:val="center"/>
          </w:tcPr>
          <w:p w14:paraId="73121979" w14:textId="6388EFE5"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59.00</w:t>
            </w:r>
          </w:p>
        </w:tc>
        <w:tc>
          <w:tcPr>
            <w:tcW w:w="1224" w:type="dxa"/>
            <w:noWrap/>
            <w:vAlign w:val="center"/>
          </w:tcPr>
          <w:p w14:paraId="18683AFC" w14:textId="17680467"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28.03</w:t>
            </w:r>
          </w:p>
        </w:tc>
        <w:tc>
          <w:tcPr>
            <w:tcW w:w="917" w:type="dxa"/>
            <w:noWrap/>
            <w:vAlign w:val="center"/>
          </w:tcPr>
          <w:p w14:paraId="71AB8B1E" w14:textId="0C7D9F97"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49.94</w:t>
            </w:r>
          </w:p>
        </w:tc>
        <w:tc>
          <w:tcPr>
            <w:tcW w:w="1011" w:type="dxa"/>
            <w:noWrap/>
            <w:vAlign w:val="center"/>
          </w:tcPr>
          <w:p w14:paraId="5D04F93B" w14:textId="4A6011DC" w:rsidR="009B472A" w:rsidRPr="00454BB5" w:rsidRDefault="009B472A" w:rsidP="009B472A">
            <w:pPr>
              <w:spacing w:line="240" w:lineRule="auto"/>
              <w:ind w:firstLine="0"/>
              <w:jc w:val="left"/>
              <w:rPr>
                <w:rFonts w:eastAsia="Times New Roman" w:cstheme="majorBidi"/>
                <w:color w:val="000000"/>
                <w:sz w:val="20"/>
                <w:szCs w:val="20"/>
              </w:rPr>
            </w:pPr>
            <w:r w:rsidRPr="00704C76">
              <w:rPr>
                <w:rFonts w:eastAsia="Times New Roman" w:cstheme="majorBidi"/>
                <w:color w:val="000000"/>
                <w:sz w:val="20"/>
                <w:szCs w:val="20"/>
              </w:rPr>
              <w:t>82.15</w:t>
            </w:r>
          </w:p>
        </w:tc>
      </w:tr>
      <w:tr w:rsidR="009B472A" w:rsidRPr="00454BB5" w14:paraId="441A3EAE" w14:textId="77777777" w:rsidTr="00E960A3">
        <w:trPr>
          <w:trHeight w:val="22"/>
        </w:trPr>
        <w:tc>
          <w:tcPr>
            <w:tcW w:w="4077" w:type="dxa"/>
            <w:noWrap/>
            <w:vAlign w:val="center"/>
          </w:tcPr>
          <w:p w14:paraId="7B0D02FD"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134" w:type="dxa"/>
            <w:noWrap/>
            <w:vAlign w:val="center"/>
          </w:tcPr>
          <w:p w14:paraId="3D38A1A4"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993" w:type="dxa"/>
            <w:noWrap/>
            <w:vAlign w:val="center"/>
          </w:tcPr>
          <w:p w14:paraId="409DE2A0"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224" w:type="dxa"/>
            <w:noWrap/>
            <w:vAlign w:val="center"/>
          </w:tcPr>
          <w:p w14:paraId="040BE9FF"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917" w:type="dxa"/>
            <w:noWrap/>
            <w:vAlign w:val="center"/>
          </w:tcPr>
          <w:p w14:paraId="581C9541"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011" w:type="dxa"/>
            <w:noWrap/>
            <w:vAlign w:val="center"/>
          </w:tcPr>
          <w:p w14:paraId="5B96D29A" w14:textId="77777777" w:rsidR="009B472A" w:rsidRPr="00704C76" w:rsidRDefault="009B472A" w:rsidP="009B472A">
            <w:pPr>
              <w:spacing w:line="240" w:lineRule="auto"/>
              <w:ind w:firstLine="0"/>
              <w:jc w:val="left"/>
              <w:rPr>
                <w:rFonts w:eastAsia="Times New Roman" w:cstheme="majorBidi"/>
                <w:color w:val="000000"/>
                <w:sz w:val="20"/>
                <w:szCs w:val="20"/>
              </w:rPr>
            </w:pPr>
          </w:p>
        </w:tc>
      </w:tr>
      <w:tr w:rsidR="009B472A" w:rsidRPr="00454BB5" w14:paraId="166FECD3" w14:textId="77777777" w:rsidTr="00E960A3">
        <w:trPr>
          <w:trHeight w:val="22"/>
        </w:trPr>
        <w:tc>
          <w:tcPr>
            <w:tcW w:w="4077" w:type="dxa"/>
            <w:noWrap/>
            <w:vAlign w:val="center"/>
          </w:tcPr>
          <w:p w14:paraId="3DE35FCB"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134" w:type="dxa"/>
            <w:noWrap/>
            <w:vAlign w:val="center"/>
          </w:tcPr>
          <w:p w14:paraId="56DECCA1"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993" w:type="dxa"/>
            <w:noWrap/>
            <w:vAlign w:val="center"/>
          </w:tcPr>
          <w:p w14:paraId="3C5D2D2E"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224" w:type="dxa"/>
            <w:noWrap/>
            <w:vAlign w:val="center"/>
          </w:tcPr>
          <w:p w14:paraId="5D9B1EBE"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917" w:type="dxa"/>
            <w:noWrap/>
            <w:vAlign w:val="center"/>
          </w:tcPr>
          <w:p w14:paraId="22F7417B"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011" w:type="dxa"/>
            <w:noWrap/>
            <w:vAlign w:val="center"/>
          </w:tcPr>
          <w:p w14:paraId="0297D917" w14:textId="77777777" w:rsidR="009B472A" w:rsidRPr="00704C76" w:rsidRDefault="009B472A" w:rsidP="009B472A">
            <w:pPr>
              <w:spacing w:line="240" w:lineRule="auto"/>
              <w:ind w:firstLine="0"/>
              <w:jc w:val="left"/>
              <w:rPr>
                <w:rFonts w:eastAsia="Times New Roman" w:cstheme="majorBidi"/>
                <w:color w:val="000000"/>
                <w:sz w:val="20"/>
                <w:szCs w:val="20"/>
              </w:rPr>
            </w:pPr>
          </w:p>
        </w:tc>
      </w:tr>
      <w:tr w:rsidR="009B472A" w:rsidRPr="00454BB5" w14:paraId="4536678A" w14:textId="77777777" w:rsidTr="00E960A3">
        <w:trPr>
          <w:trHeight w:val="22"/>
        </w:trPr>
        <w:tc>
          <w:tcPr>
            <w:tcW w:w="4077" w:type="dxa"/>
            <w:noWrap/>
            <w:vAlign w:val="center"/>
          </w:tcPr>
          <w:p w14:paraId="5EDD073C"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134" w:type="dxa"/>
            <w:noWrap/>
            <w:vAlign w:val="center"/>
          </w:tcPr>
          <w:p w14:paraId="606B7C8F"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993" w:type="dxa"/>
            <w:noWrap/>
            <w:vAlign w:val="center"/>
          </w:tcPr>
          <w:p w14:paraId="16966C25"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224" w:type="dxa"/>
            <w:noWrap/>
            <w:vAlign w:val="center"/>
          </w:tcPr>
          <w:p w14:paraId="23BF7407"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917" w:type="dxa"/>
            <w:noWrap/>
            <w:vAlign w:val="center"/>
          </w:tcPr>
          <w:p w14:paraId="02D2E6F2"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011" w:type="dxa"/>
            <w:noWrap/>
            <w:vAlign w:val="center"/>
          </w:tcPr>
          <w:p w14:paraId="6FF28071" w14:textId="77777777" w:rsidR="009B472A" w:rsidRPr="00704C76" w:rsidRDefault="009B472A" w:rsidP="009B472A">
            <w:pPr>
              <w:spacing w:line="240" w:lineRule="auto"/>
              <w:ind w:firstLine="0"/>
              <w:jc w:val="left"/>
              <w:rPr>
                <w:rFonts w:eastAsia="Times New Roman" w:cstheme="majorBidi"/>
                <w:color w:val="000000"/>
                <w:sz w:val="20"/>
                <w:szCs w:val="20"/>
              </w:rPr>
            </w:pPr>
          </w:p>
        </w:tc>
      </w:tr>
      <w:tr w:rsidR="009B472A" w:rsidRPr="00454BB5" w14:paraId="3EE7D91A" w14:textId="77777777" w:rsidTr="00E960A3">
        <w:trPr>
          <w:trHeight w:val="22"/>
        </w:trPr>
        <w:tc>
          <w:tcPr>
            <w:tcW w:w="4077" w:type="dxa"/>
            <w:noWrap/>
            <w:vAlign w:val="center"/>
          </w:tcPr>
          <w:p w14:paraId="532EE6AF"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134" w:type="dxa"/>
            <w:noWrap/>
            <w:vAlign w:val="center"/>
          </w:tcPr>
          <w:p w14:paraId="4954A157"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993" w:type="dxa"/>
            <w:noWrap/>
            <w:vAlign w:val="center"/>
          </w:tcPr>
          <w:p w14:paraId="4EBE514F"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224" w:type="dxa"/>
            <w:noWrap/>
            <w:vAlign w:val="center"/>
          </w:tcPr>
          <w:p w14:paraId="76422135"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917" w:type="dxa"/>
            <w:noWrap/>
            <w:vAlign w:val="center"/>
          </w:tcPr>
          <w:p w14:paraId="6200E277"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011" w:type="dxa"/>
            <w:noWrap/>
            <w:vAlign w:val="center"/>
          </w:tcPr>
          <w:p w14:paraId="56FCE4F1" w14:textId="77777777" w:rsidR="009B472A" w:rsidRPr="00704C76" w:rsidRDefault="009B472A" w:rsidP="009B472A">
            <w:pPr>
              <w:spacing w:line="240" w:lineRule="auto"/>
              <w:ind w:firstLine="0"/>
              <w:jc w:val="left"/>
              <w:rPr>
                <w:rFonts w:eastAsia="Times New Roman" w:cstheme="majorBidi"/>
                <w:color w:val="000000"/>
                <w:sz w:val="20"/>
                <w:szCs w:val="20"/>
              </w:rPr>
            </w:pPr>
          </w:p>
        </w:tc>
      </w:tr>
      <w:tr w:rsidR="009B472A" w:rsidRPr="00454BB5" w14:paraId="68EF3568" w14:textId="77777777" w:rsidTr="00E960A3">
        <w:trPr>
          <w:trHeight w:val="22"/>
        </w:trPr>
        <w:tc>
          <w:tcPr>
            <w:tcW w:w="4077" w:type="dxa"/>
            <w:noWrap/>
            <w:vAlign w:val="center"/>
          </w:tcPr>
          <w:p w14:paraId="5F809555"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134" w:type="dxa"/>
            <w:noWrap/>
            <w:vAlign w:val="center"/>
          </w:tcPr>
          <w:p w14:paraId="62EDC461"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993" w:type="dxa"/>
            <w:noWrap/>
            <w:vAlign w:val="center"/>
          </w:tcPr>
          <w:p w14:paraId="5693A9A9"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224" w:type="dxa"/>
            <w:noWrap/>
            <w:vAlign w:val="center"/>
          </w:tcPr>
          <w:p w14:paraId="79E08BDD"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917" w:type="dxa"/>
            <w:noWrap/>
            <w:vAlign w:val="center"/>
          </w:tcPr>
          <w:p w14:paraId="36628476" w14:textId="77777777" w:rsidR="009B472A" w:rsidRPr="00704C76" w:rsidRDefault="009B472A" w:rsidP="009B472A">
            <w:pPr>
              <w:spacing w:line="240" w:lineRule="auto"/>
              <w:ind w:firstLine="0"/>
              <w:jc w:val="left"/>
              <w:rPr>
                <w:rFonts w:eastAsia="Times New Roman" w:cstheme="majorBidi"/>
                <w:color w:val="000000"/>
                <w:sz w:val="20"/>
                <w:szCs w:val="20"/>
              </w:rPr>
            </w:pPr>
          </w:p>
        </w:tc>
        <w:tc>
          <w:tcPr>
            <w:tcW w:w="1011" w:type="dxa"/>
            <w:noWrap/>
            <w:vAlign w:val="center"/>
          </w:tcPr>
          <w:p w14:paraId="7C808159" w14:textId="77777777" w:rsidR="009B472A" w:rsidRPr="00704C76" w:rsidRDefault="009B472A" w:rsidP="009B472A">
            <w:pPr>
              <w:spacing w:line="240" w:lineRule="auto"/>
              <w:ind w:firstLine="0"/>
              <w:jc w:val="left"/>
              <w:rPr>
                <w:rFonts w:eastAsia="Times New Roman" w:cstheme="majorBidi"/>
                <w:color w:val="000000"/>
                <w:sz w:val="20"/>
                <w:szCs w:val="20"/>
              </w:rPr>
            </w:pPr>
          </w:p>
        </w:tc>
      </w:tr>
      <w:tr w:rsidR="009B472A" w:rsidRPr="00454BB5" w14:paraId="507E91B9" w14:textId="77777777" w:rsidTr="00E960A3">
        <w:trPr>
          <w:trHeight w:val="22"/>
        </w:trPr>
        <w:tc>
          <w:tcPr>
            <w:tcW w:w="9356" w:type="dxa"/>
            <w:gridSpan w:val="6"/>
            <w:noWrap/>
            <w:vAlign w:val="center"/>
          </w:tcPr>
          <w:p w14:paraId="3C42247D" w14:textId="3792610F" w:rsidR="009B472A" w:rsidRPr="009B472A" w:rsidRDefault="009B472A" w:rsidP="009B472A">
            <w:pPr>
              <w:spacing w:before="160" w:after="160" w:line="240" w:lineRule="auto"/>
              <w:ind w:firstLine="0"/>
              <w:jc w:val="left"/>
              <w:rPr>
                <w:rFonts w:cstheme="majorBidi"/>
                <w:b/>
                <w:bCs/>
                <w:sz w:val="22"/>
                <w:lang w:val="en-US"/>
              </w:rPr>
            </w:pPr>
            <w:r w:rsidRPr="009B472A">
              <w:rPr>
                <w:rFonts w:cstheme="majorBidi"/>
                <w:b/>
                <w:bCs/>
                <w:sz w:val="22"/>
                <w:lang w:val="en-US"/>
              </w:rPr>
              <w:lastRenderedPageBreak/>
              <w:t>Panel C: Pay Inequality over regions</w:t>
            </w:r>
          </w:p>
        </w:tc>
      </w:tr>
      <w:tr w:rsidR="009B472A" w:rsidRPr="00454BB5" w14:paraId="5954B5CD" w14:textId="77777777" w:rsidTr="00E960A3">
        <w:trPr>
          <w:trHeight w:val="22"/>
        </w:trPr>
        <w:tc>
          <w:tcPr>
            <w:tcW w:w="4077" w:type="dxa"/>
            <w:tcBorders>
              <w:bottom w:val="single" w:sz="4" w:space="0" w:color="auto"/>
            </w:tcBorders>
            <w:noWrap/>
          </w:tcPr>
          <w:p w14:paraId="22A93688" w14:textId="031994B7" w:rsidR="009B472A" w:rsidRPr="00704C76" w:rsidRDefault="009B472A" w:rsidP="009B472A">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Region</w:t>
            </w:r>
          </w:p>
        </w:tc>
        <w:tc>
          <w:tcPr>
            <w:tcW w:w="1134" w:type="dxa"/>
            <w:tcBorders>
              <w:bottom w:val="single" w:sz="4" w:space="0" w:color="auto"/>
            </w:tcBorders>
            <w:noWrap/>
          </w:tcPr>
          <w:p w14:paraId="509DCE74" w14:textId="0A91D722" w:rsidR="009B472A" w:rsidRPr="00704C76" w:rsidRDefault="009B472A" w:rsidP="009B472A">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Number of firms</w:t>
            </w:r>
          </w:p>
        </w:tc>
        <w:tc>
          <w:tcPr>
            <w:tcW w:w="993" w:type="dxa"/>
            <w:tcBorders>
              <w:bottom w:val="single" w:sz="4" w:space="0" w:color="auto"/>
            </w:tcBorders>
            <w:noWrap/>
          </w:tcPr>
          <w:p w14:paraId="51062A2E" w14:textId="17F6FA9C" w:rsidR="009B472A" w:rsidRPr="00704C76" w:rsidRDefault="009B472A" w:rsidP="009B472A">
            <w:pPr>
              <w:spacing w:line="240" w:lineRule="auto"/>
              <w:ind w:firstLine="0"/>
              <w:jc w:val="left"/>
              <w:rPr>
                <w:rFonts w:eastAsia="Times New Roman" w:cstheme="majorBidi"/>
                <w:color w:val="000000"/>
                <w:sz w:val="20"/>
                <w:szCs w:val="20"/>
              </w:rPr>
            </w:pPr>
            <w:r w:rsidRPr="00454BB5">
              <w:rPr>
                <w:rFonts w:eastAsia="Times New Roman" w:cstheme="majorBidi"/>
                <w:color w:val="000000"/>
                <w:sz w:val="20"/>
                <w:szCs w:val="20"/>
              </w:rPr>
              <w:t>Mean</w:t>
            </w:r>
          </w:p>
        </w:tc>
        <w:tc>
          <w:tcPr>
            <w:tcW w:w="1224" w:type="dxa"/>
            <w:tcBorders>
              <w:bottom w:val="single" w:sz="4" w:space="0" w:color="auto"/>
            </w:tcBorders>
            <w:noWrap/>
          </w:tcPr>
          <w:p w14:paraId="5A05ECED" w14:textId="77777777" w:rsidR="00E960A3" w:rsidRDefault="009B472A" w:rsidP="009B472A">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1st</w:t>
            </w:r>
            <w:r w:rsidRPr="00456076">
              <w:rPr>
                <w:rFonts w:eastAsia="Times New Roman" w:cstheme="majorBidi"/>
                <w:color w:val="000000"/>
                <w:sz w:val="20"/>
                <w:szCs w:val="20"/>
              </w:rPr>
              <w:t xml:space="preserve"> </w:t>
            </w:r>
          </w:p>
          <w:p w14:paraId="748D1215" w14:textId="5A967B52" w:rsidR="009B472A" w:rsidRPr="00704C76" w:rsidRDefault="009B472A" w:rsidP="009B472A">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Quartile</w:t>
            </w:r>
          </w:p>
        </w:tc>
        <w:tc>
          <w:tcPr>
            <w:tcW w:w="917" w:type="dxa"/>
            <w:tcBorders>
              <w:bottom w:val="single" w:sz="4" w:space="0" w:color="auto"/>
            </w:tcBorders>
            <w:noWrap/>
          </w:tcPr>
          <w:p w14:paraId="62FB94A1" w14:textId="03E38077" w:rsidR="009B472A" w:rsidRPr="00704C76" w:rsidRDefault="009B472A" w:rsidP="009B472A">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Median</w:t>
            </w:r>
          </w:p>
        </w:tc>
        <w:tc>
          <w:tcPr>
            <w:tcW w:w="1011" w:type="dxa"/>
            <w:tcBorders>
              <w:bottom w:val="single" w:sz="4" w:space="0" w:color="auto"/>
            </w:tcBorders>
            <w:noWrap/>
          </w:tcPr>
          <w:p w14:paraId="6881DEFE" w14:textId="49C41359" w:rsidR="009B472A" w:rsidRPr="00704C76" w:rsidRDefault="009B472A" w:rsidP="009B472A">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3rd</w:t>
            </w:r>
            <w:r w:rsidRPr="00456076">
              <w:rPr>
                <w:rFonts w:eastAsia="Times New Roman" w:cstheme="majorBidi"/>
                <w:color w:val="000000"/>
                <w:sz w:val="20"/>
                <w:szCs w:val="20"/>
              </w:rPr>
              <w:t xml:space="preserve"> Quartile</w:t>
            </w:r>
          </w:p>
        </w:tc>
      </w:tr>
      <w:tr w:rsidR="009B472A" w:rsidRPr="00454BB5" w14:paraId="75A5B71A" w14:textId="77777777" w:rsidTr="00E960A3">
        <w:trPr>
          <w:trHeight w:val="22"/>
        </w:trPr>
        <w:tc>
          <w:tcPr>
            <w:tcW w:w="4077" w:type="dxa"/>
            <w:tcBorders>
              <w:top w:val="single" w:sz="4" w:space="0" w:color="auto"/>
            </w:tcBorders>
            <w:noWrap/>
            <w:vAlign w:val="center"/>
          </w:tcPr>
          <w:p w14:paraId="21CF5929" w14:textId="113DBA3F"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NSW</w:t>
            </w:r>
          </w:p>
        </w:tc>
        <w:tc>
          <w:tcPr>
            <w:tcW w:w="1134" w:type="dxa"/>
            <w:tcBorders>
              <w:top w:val="single" w:sz="4" w:space="0" w:color="auto"/>
            </w:tcBorders>
            <w:noWrap/>
            <w:vAlign w:val="center"/>
          </w:tcPr>
          <w:p w14:paraId="2A9C2BA6" w14:textId="081EB757"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1006</w:t>
            </w:r>
          </w:p>
        </w:tc>
        <w:tc>
          <w:tcPr>
            <w:tcW w:w="993" w:type="dxa"/>
            <w:tcBorders>
              <w:top w:val="single" w:sz="4" w:space="0" w:color="auto"/>
            </w:tcBorders>
            <w:noWrap/>
            <w:vAlign w:val="center"/>
          </w:tcPr>
          <w:p w14:paraId="44434A28" w14:textId="1D6C3DC7"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43.79</w:t>
            </w:r>
          </w:p>
        </w:tc>
        <w:tc>
          <w:tcPr>
            <w:tcW w:w="1224" w:type="dxa"/>
            <w:tcBorders>
              <w:top w:val="single" w:sz="4" w:space="0" w:color="auto"/>
            </w:tcBorders>
            <w:noWrap/>
            <w:vAlign w:val="center"/>
          </w:tcPr>
          <w:p w14:paraId="6480CBFA" w14:textId="5C8AC578"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13.72</w:t>
            </w:r>
          </w:p>
        </w:tc>
        <w:tc>
          <w:tcPr>
            <w:tcW w:w="917" w:type="dxa"/>
            <w:tcBorders>
              <w:top w:val="single" w:sz="4" w:space="0" w:color="auto"/>
            </w:tcBorders>
            <w:noWrap/>
            <w:vAlign w:val="center"/>
          </w:tcPr>
          <w:p w14:paraId="3C1E21CB" w14:textId="52C6860D"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26.10</w:t>
            </w:r>
          </w:p>
        </w:tc>
        <w:tc>
          <w:tcPr>
            <w:tcW w:w="1011" w:type="dxa"/>
            <w:tcBorders>
              <w:top w:val="single" w:sz="4" w:space="0" w:color="auto"/>
            </w:tcBorders>
            <w:noWrap/>
            <w:vAlign w:val="center"/>
          </w:tcPr>
          <w:p w14:paraId="6B0338C4" w14:textId="25118B6C"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51.42</w:t>
            </w:r>
          </w:p>
        </w:tc>
      </w:tr>
      <w:tr w:rsidR="009B472A" w:rsidRPr="00454BB5" w14:paraId="5EE804C2" w14:textId="77777777" w:rsidTr="00E960A3">
        <w:trPr>
          <w:trHeight w:val="22"/>
        </w:trPr>
        <w:tc>
          <w:tcPr>
            <w:tcW w:w="4077" w:type="dxa"/>
            <w:noWrap/>
            <w:vAlign w:val="center"/>
          </w:tcPr>
          <w:p w14:paraId="70AC3DD2" w14:textId="2D1E7AE3"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VIC</w:t>
            </w:r>
          </w:p>
        </w:tc>
        <w:tc>
          <w:tcPr>
            <w:tcW w:w="1134" w:type="dxa"/>
            <w:noWrap/>
            <w:vAlign w:val="center"/>
          </w:tcPr>
          <w:p w14:paraId="1ACC9C19" w14:textId="055D2957"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729</w:t>
            </w:r>
          </w:p>
        </w:tc>
        <w:tc>
          <w:tcPr>
            <w:tcW w:w="993" w:type="dxa"/>
            <w:noWrap/>
            <w:vAlign w:val="center"/>
          </w:tcPr>
          <w:p w14:paraId="368D39D5" w14:textId="62079E09"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44.88</w:t>
            </w:r>
          </w:p>
        </w:tc>
        <w:tc>
          <w:tcPr>
            <w:tcW w:w="1224" w:type="dxa"/>
            <w:noWrap/>
            <w:vAlign w:val="center"/>
          </w:tcPr>
          <w:p w14:paraId="62F0768B" w14:textId="59469848"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12.70</w:t>
            </w:r>
          </w:p>
        </w:tc>
        <w:tc>
          <w:tcPr>
            <w:tcW w:w="917" w:type="dxa"/>
            <w:noWrap/>
            <w:vAlign w:val="center"/>
          </w:tcPr>
          <w:p w14:paraId="3E00AE5A" w14:textId="044CFA45"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28.69</w:t>
            </w:r>
          </w:p>
        </w:tc>
        <w:tc>
          <w:tcPr>
            <w:tcW w:w="1011" w:type="dxa"/>
            <w:noWrap/>
            <w:vAlign w:val="center"/>
          </w:tcPr>
          <w:p w14:paraId="3B2D9633" w14:textId="1829E310"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58.60</w:t>
            </w:r>
          </w:p>
        </w:tc>
      </w:tr>
      <w:tr w:rsidR="009B472A" w:rsidRPr="00454BB5" w14:paraId="4DB48A81" w14:textId="77777777" w:rsidTr="00E960A3">
        <w:trPr>
          <w:trHeight w:val="22"/>
        </w:trPr>
        <w:tc>
          <w:tcPr>
            <w:tcW w:w="4077" w:type="dxa"/>
            <w:noWrap/>
            <w:vAlign w:val="center"/>
          </w:tcPr>
          <w:p w14:paraId="060B6557" w14:textId="19F8A6EB"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QLD</w:t>
            </w:r>
          </w:p>
        </w:tc>
        <w:tc>
          <w:tcPr>
            <w:tcW w:w="1134" w:type="dxa"/>
            <w:noWrap/>
            <w:vAlign w:val="center"/>
          </w:tcPr>
          <w:p w14:paraId="7E3B6C6E" w14:textId="7328517F"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351</w:t>
            </w:r>
          </w:p>
        </w:tc>
        <w:tc>
          <w:tcPr>
            <w:tcW w:w="993" w:type="dxa"/>
            <w:noWrap/>
            <w:vAlign w:val="center"/>
          </w:tcPr>
          <w:p w14:paraId="48BBB025" w14:textId="6CCB63F4"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24.55</w:t>
            </w:r>
          </w:p>
        </w:tc>
        <w:tc>
          <w:tcPr>
            <w:tcW w:w="1224" w:type="dxa"/>
            <w:noWrap/>
            <w:vAlign w:val="center"/>
          </w:tcPr>
          <w:p w14:paraId="636162C4" w14:textId="51C67A5B"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7.69</w:t>
            </w:r>
          </w:p>
        </w:tc>
        <w:tc>
          <w:tcPr>
            <w:tcW w:w="917" w:type="dxa"/>
            <w:noWrap/>
            <w:vAlign w:val="center"/>
          </w:tcPr>
          <w:p w14:paraId="2A16E58D" w14:textId="4650D27E"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16.74</w:t>
            </w:r>
          </w:p>
        </w:tc>
        <w:tc>
          <w:tcPr>
            <w:tcW w:w="1011" w:type="dxa"/>
            <w:noWrap/>
            <w:vAlign w:val="center"/>
          </w:tcPr>
          <w:p w14:paraId="4B711EB9" w14:textId="25A81905"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27.66</w:t>
            </w:r>
          </w:p>
        </w:tc>
      </w:tr>
      <w:tr w:rsidR="009B472A" w:rsidRPr="00454BB5" w14:paraId="31A982AD" w14:textId="77777777" w:rsidTr="00E960A3">
        <w:trPr>
          <w:trHeight w:val="22"/>
        </w:trPr>
        <w:tc>
          <w:tcPr>
            <w:tcW w:w="4077" w:type="dxa"/>
            <w:noWrap/>
            <w:vAlign w:val="center"/>
          </w:tcPr>
          <w:p w14:paraId="223254E7" w14:textId="3CD4A836"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SA</w:t>
            </w:r>
          </w:p>
        </w:tc>
        <w:tc>
          <w:tcPr>
            <w:tcW w:w="1134" w:type="dxa"/>
            <w:noWrap/>
            <w:vAlign w:val="center"/>
          </w:tcPr>
          <w:p w14:paraId="7FEFD3D1" w14:textId="4545FFD3"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100</w:t>
            </w:r>
          </w:p>
        </w:tc>
        <w:tc>
          <w:tcPr>
            <w:tcW w:w="993" w:type="dxa"/>
            <w:noWrap/>
            <w:vAlign w:val="center"/>
          </w:tcPr>
          <w:p w14:paraId="2E9DF815" w14:textId="2974242F"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19.91</w:t>
            </w:r>
          </w:p>
        </w:tc>
        <w:tc>
          <w:tcPr>
            <w:tcW w:w="1224" w:type="dxa"/>
            <w:noWrap/>
            <w:vAlign w:val="center"/>
          </w:tcPr>
          <w:p w14:paraId="7D42FA8B" w14:textId="679CF371"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10.13</w:t>
            </w:r>
          </w:p>
        </w:tc>
        <w:tc>
          <w:tcPr>
            <w:tcW w:w="917" w:type="dxa"/>
            <w:noWrap/>
            <w:vAlign w:val="center"/>
          </w:tcPr>
          <w:p w14:paraId="0D929A30" w14:textId="0B342420"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14.24</w:t>
            </w:r>
          </w:p>
        </w:tc>
        <w:tc>
          <w:tcPr>
            <w:tcW w:w="1011" w:type="dxa"/>
            <w:noWrap/>
            <w:vAlign w:val="center"/>
          </w:tcPr>
          <w:p w14:paraId="4C31E84C" w14:textId="6A5A8C94"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23.60</w:t>
            </w:r>
          </w:p>
        </w:tc>
      </w:tr>
      <w:tr w:rsidR="009B472A" w:rsidRPr="00454BB5" w14:paraId="2F0B5432" w14:textId="77777777" w:rsidTr="00E960A3">
        <w:trPr>
          <w:trHeight w:val="22"/>
        </w:trPr>
        <w:tc>
          <w:tcPr>
            <w:tcW w:w="4077" w:type="dxa"/>
            <w:noWrap/>
            <w:vAlign w:val="center"/>
          </w:tcPr>
          <w:p w14:paraId="08429EB0" w14:textId="2ED0095F"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WA</w:t>
            </w:r>
          </w:p>
        </w:tc>
        <w:tc>
          <w:tcPr>
            <w:tcW w:w="1134" w:type="dxa"/>
            <w:noWrap/>
            <w:vAlign w:val="center"/>
          </w:tcPr>
          <w:p w14:paraId="7ECE834D" w14:textId="7E0441CC"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615</w:t>
            </w:r>
          </w:p>
        </w:tc>
        <w:tc>
          <w:tcPr>
            <w:tcW w:w="993" w:type="dxa"/>
            <w:noWrap/>
            <w:vAlign w:val="center"/>
          </w:tcPr>
          <w:p w14:paraId="5390181C" w14:textId="045D2979"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40.44</w:t>
            </w:r>
          </w:p>
        </w:tc>
        <w:tc>
          <w:tcPr>
            <w:tcW w:w="1224" w:type="dxa"/>
            <w:noWrap/>
            <w:vAlign w:val="center"/>
          </w:tcPr>
          <w:p w14:paraId="59F9BCD1" w14:textId="050CABE7"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5.68</w:t>
            </w:r>
          </w:p>
        </w:tc>
        <w:tc>
          <w:tcPr>
            <w:tcW w:w="917" w:type="dxa"/>
            <w:noWrap/>
            <w:vAlign w:val="center"/>
          </w:tcPr>
          <w:p w14:paraId="5CCD852D" w14:textId="522B5F16"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10.69</w:t>
            </w:r>
          </w:p>
        </w:tc>
        <w:tc>
          <w:tcPr>
            <w:tcW w:w="1011" w:type="dxa"/>
            <w:noWrap/>
            <w:vAlign w:val="center"/>
          </w:tcPr>
          <w:p w14:paraId="537AF4BA" w14:textId="64EBA23C"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28.50</w:t>
            </w:r>
          </w:p>
        </w:tc>
      </w:tr>
      <w:tr w:rsidR="009B472A" w:rsidRPr="00454BB5" w14:paraId="1E3CE293" w14:textId="77777777" w:rsidTr="00E960A3">
        <w:trPr>
          <w:trHeight w:val="22"/>
        </w:trPr>
        <w:tc>
          <w:tcPr>
            <w:tcW w:w="4077" w:type="dxa"/>
            <w:noWrap/>
            <w:vAlign w:val="center"/>
          </w:tcPr>
          <w:p w14:paraId="60A9C6B9" w14:textId="3EBBD06F"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TAS</w:t>
            </w:r>
          </w:p>
        </w:tc>
        <w:tc>
          <w:tcPr>
            <w:tcW w:w="1134" w:type="dxa"/>
            <w:noWrap/>
            <w:vAlign w:val="center"/>
          </w:tcPr>
          <w:p w14:paraId="6C3988C3" w14:textId="4637F6BC"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17</w:t>
            </w:r>
          </w:p>
        </w:tc>
        <w:tc>
          <w:tcPr>
            <w:tcW w:w="993" w:type="dxa"/>
            <w:noWrap/>
            <w:vAlign w:val="center"/>
          </w:tcPr>
          <w:p w14:paraId="76408DB5" w14:textId="6C015DEA"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55.67</w:t>
            </w:r>
          </w:p>
        </w:tc>
        <w:tc>
          <w:tcPr>
            <w:tcW w:w="1224" w:type="dxa"/>
            <w:noWrap/>
            <w:vAlign w:val="center"/>
          </w:tcPr>
          <w:p w14:paraId="2589561C" w14:textId="0B7CCF20"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11.90</w:t>
            </w:r>
          </w:p>
        </w:tc>
        <w:tc>
          <w:tcPr>
            <w:tcW w:w="917" w:type="dxa"/>
            <w:noWrap/>
            <w:vAlign w:val="center"/>
          </w:tcPr>
          <w:p w14:paraId="20B945AB" w14:textId="4E22AE81"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14.90</w:t>
            </w:r>
          </w:p>
        </w:tc>
        <w:tc>
          <w:tcPr>
            <w:tcW w:w="1011" w:type="dxa"/>
            <w:noWrap/>
            <w:vAlign w:val="center"/>
          </w:tcPr>
          <w:p w14:paraId="7EB26E42" w14:textId="238D6754"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27.87</w:t>
            </w:r>
          </w:p>
        </w:tc>
      </w:tr>
      <w:tr w:rsidR="009B472A" w:rsidRPr="00454BB5" w14:paraId="667EFCEC" w14:textId="77777777" w:rsidTr="00E960A3">
        <w:trPr>
          <w:trHeight w:val="22"/>
        </w:trPr>
        <w:tc>
          <w:tcPr>
            <w:tcW w:w="4077" w:type="dxa"/>
            <w:tcBorders>
              <w:bottom w:val="single" w:sz="4" w:space="0" w:color="auto"/>
            </w:tcBorders>
            <w:noWrap/>
            <w:vAlign w:val="center"/>
          </w:tcPr>
          <w:p w14:paraId="20CCD9FA" w14:textId="4AFB7CF8"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NT</w:t>
            </w:r>
          </w:p>
        </w:tc>
        <w:tc>
          <w:tcPr>
            <w:tcW w:w="1134" w:type="dxa"/>
            <w:noWrap/>
            <w:vAlign w:val="center"/>
          </w:tcPr>
          <w:p w14:paraId="6DD3049D" w14:textId="2CF61208"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12</w:t>
            </w:r>
          </w:p>
        </w:tc>
        <w:tc>
          <w:tcPr>
            <w:tcW w:w="993" w:type="dxa"/>
            <w:noWrap/>
            <w:vAlign w:val="center"/>
          </w:tcPr>
          <w:p w14:paraId="5364EF19" w14:textId="771E91DF"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2.44</w:t>
            </w:r>
          </w:p>
        </w:tc>
        <w:tc>
          <w:tcPr>
            <w:tcW w:w="1224" w:type="dxa"/>
            <w:noWrap/>
            <w:vAlign w:val="center"/>
          </w:tcPr>
          <w:p w14:paraId="623579DB" w14:textId="6ACF1776"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2.12</w:t>
            </w:r>
          </w:p>
        </w:tc>
        <w:tc>
          <w:tcPr>
            <w:tcW w:w="917" w:type="dxa"/>
            <w:noWrap/>
            <w:vAlign w:val="center"/>
          </w:tcPr>
          <w:p w14:paraId="3890B65A" w14:textId="25C40906"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2.25</w:t>
            </w:r>
          </w:p>
        </w:tc>
        <w:tc>
          <w:tcPr>
            <w:tcW w:w="1011" w:type="dxa"/>
            <w:noWrap/>
            <w:vAlign w:val="center"/>
          </w:tcPr>
          <w:p w14:paraId="22B074D6" w14:textId="6C9AE818" w:rsidR="009B472A" w:rsidRPr="00704C76" w:rsidRDefault="009B472A" w:rsidP="009B472A">
            <w:pPr>
              <w:spacing w:line="240" w:lineRule="auto"/>
              <w:ind w:firstLine="0"/>
              <w:jc w:val="left"/>
              <w:rPr>
                <w:rFonts w:eastAsia="Times New Roman" w:cstheme="majorBidi"/>
                <w:color w:val="000000"/>
                <w:sz w:val="20"/>
                <w:szCs w:val="20"/>
              </w:rPr>
            </w:pPr>
            <w:r w:rsidRPr="00584044">
              <w:rPr>
                <w:rFonts w:eastAsia="Times New Roman" w:cstheme="majorBidi"/>
                <w:color w:val="000000"/>
                <w:sz w:val="20"/>
                <w:szCs w:val="20"/>
              </w:rPr>
              <w:t>2.91</w:t>
            </w:r>
          </w:p>
        </w:tc>
      </w:tr>
      <w:tr w:rsidR="009B472A" w:rsidRPr="00454BB5" w14:paraId="339E4F79" w14:textId="77777777" w:rsidTr="00E960A3">
        <w:trPr>
          <w:trHeight w:val="22"/>
        </w:trPr>
        <w:tc>
          <w:tcPr>
            <w:tcW w:w="9356" w:type="dxa"/>
            <w:gridSpan w:val="6"/>
            <w:tcBorders>
              <w:bottom w:val="single" w:sz="4" w:space="0" w:color="auto"/>
            </w:tcBorders>
            <w:noWrap/>
            <w:vAlign w:val="center"/>
          </w:tcPr>
          <w:p w14:paraId="72654F40" w14:textId="71D18F67" w:rsidR="009B472A" w:rsidRPr="008A16C9" w:rsidRDefault="009B472A" w:rsidP="00D938A2">
            <w:pPr>
              <w:spacing w:before="160" w:line="240" w:lineRule="auto"/>
              <w:ind w:firstLine="0"/>
              <w:rPr>
                <w:rFonts w:eastAsia="Times New Roman" w:cstheme="majorBidi"/>
                <w:color w:val="000000"/>
                <w:sz w:val="22"/>
              </w:rPr>
            </w:pPr>
            <w:r w:rsidRPr="008A16C9">
              <w:rPr>
                <w:rFonts w:cstheme="majorBidi"/>
                <w:sz w:val="22"/>
              </w:rPr>
              <w:t xml:space="preserve">Table 1 presents the summary statistics of pay inequality over year, industries, and regions. Pay Inequality is calculated as CEO compensation to average employee compensation. Panel A reports summary statistics of pay inequality over 2004-2019. Panel B reports summary statistics of pay inequality in different industries. Panel C reports summary statistics of pay inequality in different regions. Pay inequality is </w:t>
            </w:r>
            <w:r w:rsidR="00C55BD0">
              <w:rPr>
                <w:rFonts w:cstheme="majorBidi"/>
                <w:sz w:val="22"/>
              </w:rPr>
              <w:t>trimmed</w:t>
            </w:r>
            <w:r w:rsidRPr="008A16C9">
              <w:rPr>
                <w:rFonts w:cstheme="majorBidi"/>
                <w:sz w:val="22"/>
              </w:rPr>
              <w:t xml:space="preserve"> at 1 per cent and 99 per cent.</w:t>
            </w:r>
          </w:p>
        </w:tc>
      </w:tr>
    </w:tbl>
    <w:p w14:paraId="628C87B6" w14:textId="77777777" w:rsidR="008A16C9" w:rsidRDefault="008A16C9" w:rsidP="008A16C9"/>
    <w:p w14:paraId="229FA134" w14:textId="42C033B5" w:rsidR="009A7B5F" w:rsidRPr="003F4982" w:rsidRDefault="009A7B5F" w:rsidP="008A16C9">
      <w:r w:rsidRPr="000A6F19">
        <w:t xml:space="preserve">Table </w:t>
      </w:r>
      <w:r>
        <w:t>2</w:t>
      </w:r>
      <w:r w:rsidRPr="000A6F19">
        <w:t xml:space="preserve"> provides descriptive statistics for all variables in this study. The mean and the median of </w:t>
      </w:r>
      <w:r w:rsidRPr="00C56D59">
        <w:t>pay</w:t>
      </w:r>
      <w:r>
        <w:t xml:space="preserve"> </w:t>
      </w:r>
      <w:r w:rsidRPr="00C56D59">
        <w:t>inequality</w:t>
      </w:r>
      <w:r w:rsidRPr="000A6F19">
        <w:t xml:space="preserve"> are about </w:t>
      </w:r>
      <w:r>
        <w:t>3.018</w:t>
      </w:r>
      <w:r w:rsidRPr="000A6F19">
        <w:t xml:space="preserve"> and </w:t>
      </w:r>
      <w:r>
        <w:t>3.054.</w:t>
      </w:r>
      <w:r>
        <w:rPr>
          <w:rStyle w:val="FootnoteReference"/>
        </w:rPr>
        <w:footnoteReference w:id="19"/>
      </w:r>
      <w:r w:rsidRPr="000A6F19">
        <w:t xml:space="preserve"> Turning to employee performance, the mean (median) of total factor productivity (</w:t>
      </w:r>
      <w:r w:rsidRPr="00C850C1">
        <w:rPr>
          <w:i/>
          <w:iCs/>
        </w:rPr>
        <w:t>TFP</w:t>
      </w:r>
      <w:r w:rsidRPr="000A6F19">
        <w:t>) and revenue per employee (</w:t>
      </w:r>
      <w:r w:rsidRPr="00C850C1">
        <w:rPr>
          <w:i/>
          <w:iCs/>
        </w:rPr>
        <w:t>SLE</w:t>
      </w:r>
      <w:r w:rsidRPr="000A6F19">
        <w:t xml:space="preserve">) is 0.372 (0.229) and 6.175 (6.205). </w:t>
      </w:r>
      <w:r>
        <w:t>With regard to</w:t>
      </w:r>
      <w:r w:rsidRPr="000A6F19">
        <w:t xml:space="preserve"> corporate governance, we find that about 10% of our sample firms have dual CEO Chairman position</w:t>
      </w:r>
      <w:r>
        <w:t>s</w:t>
      </w:r>
      <w:r w:rsidRPr="000A6F19">
        <w:t xml:space="preserve">. </w:t>
      </w:r>
      <w:r>
        <w:t>O</w:t>
      </w:r>
      <w:r w:rsidRPr="000A6F19">
        <w:t>n average, 82% of the compensation committee members are independent board members.</w:t>
      </w:r>
      <w:r>
        <w:t xml:space="preserve"> </w:t>
      </w:r>
    </w:p>
    <w:p w14:paraId="469F07D5" w14:textId="77777777" w:rsidR="008A16C9" w:rsidRDefault="008A16C9" w:rsidP="009A7B5F">
      <w:pPr>
        <w:pStyle w:val="Caption"/>
        <w:jc w:val="center"/>
        <w:rPr>
          <w:rFonts w:cstheme="majorBidi"/>
          <w:b/>
          <w:bCs/>
          <w:i w:val="0"/>
          <w:iCs w:val="0"/>
          <w:color w:val="auto"/>
          <w:sz w:val="20"/>
          <w:szCs w:val="20"/>
        </w:rPr>
      </w:pPr>
    </w:p>
    <w:p w14:paraId="31765ED9" w14:textId="77777777" w:rsidR="008A16C9" w:rsidRDefault="008A16C9" w:rsidP="009A7B5F">
      <w:pPr>
        <w:pStyle w:val="Caption"/>
        <w:jc w:val="center"/>
        <w:rPr>
          <w:rFonts w:cstheme="majorBidi"/>
          <w:b/>
          <w:bCs/>
          <w:i w:val="0"/>
          <w:iCs w:val="0"/>
          <w:color w:val="auto"/>
          <w:sz w:val="20"/>
          <w:szCs w:val="20"/>
        </w:rPr>
      </w:pPr>
    </w:p>
    <w:p w14:paraId="0FB265C4" w14:textId="77777777" w:rsidR="008A16C9" w:rsidRDefault="008A16C9" w:rsidP="009A7B5F">
      <w:pPr>
        <w:pStyle w:val="Caption"/>
        <w:jc w:val="center"/>
        <w:rPr>
          <w:rFonts w:cstheme="majorBidi"/>
          <w:b/>
          <w:bCs/>
          <w:i w:val="0"/>
          <w:iCs w:val="0"/>
          <w:color w:val="auto"/>
          <w:sz w:val="20"/>
          <w:szCs w:val="20"/>
        </w:rPr>
      </w:pPr>
    </w:p>
    <w:p w14:paraId="1C392AD0" w14:textId="77777777" w:rsidR="008A16C9" w:rsidRDefault="008A16C9" w:rsidP="009A7B5F">
      <w:pPr>
        <w:pStyle w:val="Caption"/>
        <w:jc w:val="center"/>
        <w:rPr>
          <w:rFonts w:cstheme="majorBidi"/>
          <w:b/>
          <w:bCs/>
          <w:i w:val="0"/>
          <w:iCs w:val="0"/>
          <w:color w:val="auto"/>
          <w:sz w:val="20"/>
          <w:szCs w:val="20"/>
        </w:rPr>
      </w:pPr>
    </w:p>
    <w:p w14:paraId="34A258C4" w14:textId="77777777" w:rsidR="008A16C9" w:rsidRDefault="008A16C9" w:rsidP="009A7B5F">
      <w:pPr>
        <w:pStyle w:val="Caption"/>
        <w:jc w:val="center"/>
        <w:rPr>
          <w:rFonts w:cstheme="majorBidi"/>
          <w:b/>
          <w:bCs/>
          <w:i w:val="0"/>
          <w:iCs w:val="0"/>
          <w:color w:val="auto"/>
          <w:sz w:val="20"/>
          <w:szCs w:val="20"/>
        </w:rPr>
      </w:pPr>
    </w:p>
    <w:p w14:paraId="118164BE" w14:textId="77777777" w:rsidR="008A16C9" w:rsidRDefault="008A16C9" w:rsidP="009A7B5F">
      <w:pPr>
        <w:pStyle w:val="Caption"/>
        <w:jc w:val="center"/>
        <w:rPr>
          <w:rFonts w:cstheme="majorBidi"/>
          <w:b/>
          <w:bCs/>
          <w:i w:val="0"/>
          <w:iCs w:val="0"/>
          <w:color w:val="auto"/>
          <w:sz w:val="20"/>
          <w:szCs w:val="20"/>
        </w:rPr>
      </w:pPr>
    </w:p>
    <w:p w14:paraId="7AA61687" w14:textId="77777777" w:rsidR="008A16C9" w:rsidRDefault="008A16C9" w:rsidP="009A7B5F">
      <w:pPr>
        <w:pStyle w:val="Caption"/>
        <w:jc w:val="center"/>
        <w:rPr>
          <w:rFonts w:cstheme="majorBidi"/>
          <w:b/>
          <w:bCs/>
          <w:i w:val="0"/>
          <w:iCs w:val="0"/>
          <w:color w:val="auto"/>
          <w:sz w:val="20"/>
          <w:szCs w:val="20"/>
        </w:rPr>
      </w:pPr>
    </w:p>
    <w:p w14:paraId="361A9F77" w14:textId="77777777" w:rsidR="008A16C9" w:rsidRDefault="008A16C9" w:rsidP="009A7B5F">
      <w:pPr>
        <w:pStyle w:val="Caption"/>
        <w:jc w:val="center"/>
        <w:rPr>
          <w:rFonts w:cstheme="majorBidi"/>
          <w:b/>
          <w:bCs/>
          <w:i w:val="0"/>
          <w:iCs w:val="0"/>
          <w:color w:val="auto"/>
          <w:sz w:val="20"/>
          <w:szCs w:val="20"/>
        </w:rPr>
      </w:pPr>
    </w:p>
    <w:p w14:paraId="47F17D45" w14:textId="77777777" w:rsidR="008A16C9" w:rsidRDefault="008A16C9" w:rsidP="009A7B5F">
      <w:pPr>
        <w:pStyle w:val="Caption"/>
        <w:jc w:val="center"/>
        <w:rPr>
          <w:rFonts w:cstheme="majorBidi"/>
          <w:b/>
          <w:bCs/>
          <w:i w:val="0"/>
          <w:iCs w:val="0"/>
          <w:color w:val="auto"/>
          <w:sz w:val="20"/>
          <w:szCs w:val="20"/>
        </w:rPr>
      </w:pPr>
    </w:p>
    <w:p w14:paraId="3DE6087B" w14:textId="77777777" w:rsidR="008A16C9" w:rsidRDefault="008A16C9" w:rsidP="009A7B5F">
      <w:pPr>
        <w:pStyle w:val="Caption"/>
        <w:jc w:val="center"/>
        <w:rPr>
          <w:rFonts w:cstheme="majorBidi"/>
          <w:b/>
          <w:bCs/>
          <w:i w:val="0"/>
          <w:iCs w:val="0"/>
          <w:color w:val="auto"/>
          <w:sz w:val="20"/>
          <w:szCs w:val="20"/>
        </w:rPr>
      </w:pPr>
    </w:p>
    <w:p w14:paraId="60F816B7" w14:textId="3CEBF3F0" w:rsidR="009A7B5F" w:rsidRPr="008A16C9" w:rsidRDefault="009A7B5F" w:rsidP="008A16C9">
      <w:pPr>
        <w:tabs>
          <w:tab w:val="left" w:pos="567"/>
        </w:tabs>
        <w:spacing w:line="240" w:lineRule="auto"/>
        <w:ind w:firstLine="0"/>
        <w:jc w:val="center"/>
        <w:rPr>
          <w:rFonts w:ascii="Times New Roman" w:eastAsiaTheme="minorHAnsi" w:hAnsi="Times New Roman" w:cs="Times New Roman"/>
          <w:b/>
          <w:bCs/>
          <w:sz w:val="22"/>
          <w:lang w:eastAsia="en-US"/>
        </w:rPr>
      </w:pPr>
      <w:r w:rsidRPr="008A16C9">
        <w:rPr>
          <w:rFonts w:ascii="Times New Roman" w:eastAsiaTheme="minorHAnsi" w:hAnsi="Times New Roman" w:cs="Times New Roman"/>
          <w:b/>
          <w:bCs/>
          <w:sz w:val="22"/>
          <w:lang w:eastAsia="en-US"/>
        </w:rPr>
        <w:lastRenderedPageBreak/>
        <w:t xml:space="preserve">Table </w:t>
      </w:r>
      <w:r w:rsidRPr="008A16C9">
        <w:rPr>
          <w:rFonts w:ascii="Times New Roman" w:eastAsiaTheme="minorHAnsi" w:hAnsi="Times New Roman" w:cs="Times New Roman"/>
          <w:b/>
          <w:bCs/>
          <w:sz w:val="22"/>
          <w:lang w:eastAsia="en-US"/>
        </w:rPr>
        <w:fldChar w:fldCharType="begin"/>
      </w:r>
      <w:r w:rsidRPr="008A16C9">
        <w:rPr>
          <w:rFonts w:ascii="Times New Roman" w:eastAsiaTheme="minorHAnsi" w:hAnsi="Times New Roman" w:cs="Times New Roman"/>
          <w:b/>
          <w:bCs/>
          <w:sz w:val="22"/>
          <w:lang w:eastAsia="en-US"/>
        </w:rPr>
        <w:instrText xml:space="preserve"> SEQ Table \* ARABIC </w:instrText>
      </w:r>
      <w:r w:rsidRPr="008A16C9">
        <w:rPr>
          <w:rFonts w:ascii="Times New Roman" w:eastAsiaTheme="minorHAnsi" w:hAnsi="Times New Roman" w:cs="Times New Roman"/>
          <w:b/>
          <w:bCs/>
          <w:sz w:val="22"/>
          <w:lang w:eastAsia="en-US"/>
        </w:rPr>
        <w:fldChar w:fldCharType="separate"/>
      </w:r>
      <w:r w:rsidR="00F45684">
        <w:rPr>
          <w:rFonts w:ascii="Times New Roman" w:eastAsiaTheme="minorHAnsi" w:hAnsi="Times New Roman" w:cs="Times New Roman"/>
          <w:b/>
          <w:bCs/>
          <w:noProof/>
          <w:sz w:val="22"/>
          <w:lang w:eastAsia="en-US"/>
        </w:rPr>
        <w:t>2</w:t>
      </w:r>
      <w:r w:rsidRPr="008A16C9">
        <w:rPr>
          <w:rFonts w:ascii="Times New Roman" w:eastAsiaTheme="minorHAnsi" w:hAnsi="Times New Roman" w:cs="Times New Roman"/>
          <w:b/>
          <w:bCs/>
          <w:sz w:val="22"/>
          <w:lang w:eastAsia="en-US"/>
        </w:rPr>
        <w:fldChar w:fldCharType="end"/>
      </w:r>
      <w:r w:rsidRPr="008A16C9">
        <w:rPr>
          <w:rFonts w:ascii="Times New Roman" w:eastAsiaTheme="minorHAnsi" w:hAnsi="Times New Roman" w:cs="Times New Roman"/>
          <w:b/>
          <w:bCs/>
          <w:sz w:val="22"/>
          <w:lang w:eastAsia="en-US"/>
        </w:rPr>
        <w:t xml:space="preserve"> Summary statistic of all variables</w:t>
      </w:r>
    </w:p>
    <w:tbl>
      <w:tblPr>
        <w:tblStyle w:val="TableGrid1"/>
        <w:tblW w:w="946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632"/>
        <w:gridCol w:w="786"/>
        <w:gridCol w:w="786"/>
        <w:gridCol w:w="910"/>
        <w:gridCol w:w="1163"/>
        <w:gridCol w:w="888"/>
        <w:gridCol w:w="1439"/>
        <w:gridCol w:w="888"/>
      </w:tblGrid>
      <w:tr w:rsidR="009A7B5F" w:rsidRPr="00456076" w14:paraId="629A5D00" w14:textId="77777777" w:rsidTr="009F5DF5">
        <w:trPr>
          <w:trHeight w:val="260"/>
        </w:trPr>
        <w:tc>
          <w:tcPr>
            <w:tcW w:w="1977" w:type="dxa"/>
            <w:tcBorders>
              <w:bottom w:val="single" w:sz="4" w:space="0" w:color="auto"/>
            </w:tcBorders>
            <w:noWrap/>
            <w:hideMark/>
          </w:tcPr>
          <w:p w14:paraId="288C479E" w14:textId="76CC6743" w:rsidR="009A7B5F" w:rsidRPr="00456076" w:rsidRDefault="008A16C9" w:rsidP="009F5DF5">
            <w:pPr>
              <w:spacing w:line="240" w:lineRule="auto"/>
              <w:ind w:firstLine="0"/>
              <w:jc w:val="left"/>
              <w:rPr>
                <w:rFonts w:eastAsia="Times New Roman" w:cstheme="majorBidi"/>
                <w:sz w:val="20"/>
                <w:szCs w:val="20"/>
              </w:rPr>
            </w:pPr>
            <w:r>
              <w:rPr>
                <w:rFonts w:eastAsia="Times New Roman" w:cstheme="majorBidi"/>
                <w:sz w:val="20"/>
                <w:szCs w:val="20"/>
              </w:rPr>
              <w:t>Variable</w:t>
            </w:r>
          </w:p>
        </w:tc>
        <w:tc>
          <w:tcPr>
            <w:tcW w:w="632" w:type="dxa"/>
            <w:tcBorders>
              <w:bottom w:val="single" w:sz="4" w:space="0" w:color="auto"/>
            </w:tcBorders>
            <w:noWrap/>
            <w:hideMark/>
          </w:tcPr>
          <w:p w14:paraId="28A449C6" w14:textId="77777777" w:rsidR="009A7B5F" w:rsidRPr="00456076" w:rsidRDefault="009A7B5F" w:rsidP="009F5DF5">
            <w:pPr>
              <w:spacing w:line="240" w:lineRule="auto"/>
              <w:ind w:firstLine="0"/>
              <w:jc w:val="center"/>
              <w:rPr>
                <w:rFonts w:eastAsia="Times New Roman" w:cstheme="majorBidi"/>
                <w:color w:val="000000"/>
                <w:sz w:val="20"/>
                <w:szCs w:val="20"/>
              </w:rPr>
            </w:pPr>
            <w:proofErr w:type="spellStart"/>
            <w:r>
              <w:rPr>
                <w:rFonts w:eastAsia="Times New Roman" w:cstheme="majorBidi"/>
                <w:color w:val="000000"/>
                <w:sz w:val="20"/>
                <w:szCs w:val="20"/>
              </w:rPr>
              <w:t>Obs</w:t>
            </w:r>
            <w:proofErr w:type="spellEnd"/>
          </w:p>
        </w:tc>
        <w:tc>
          <w:tcPr>
            <w:tcW w:w="786" w:type="dxa"/>
            <w:tcBorders>
              <w:bottom w:val="single" w:sz="4" w:space="0" w:color="auto"/>
            </w:tcBorders>
            <w:noWrap/>
            <w:hideMark/>
          </w:tcPr>
          <w:p w14:paraId="41AEEE7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Mean</w:t>
            </w:r>
          </w:p>
        </w:tc>
        <w:tc>
          <w:tcPr>
            <w:tcW w:w="786" w:type="dxa"/>
            <w:tcBorders>
              <w:bottom w:val="single" w:sz="4" w:space="0" w:color="auto"/>
            </w:tcBorders>
            <w:noWrap/>
            <w:hideMark/>
          </w:tcPr>
          <w:p w14:paraId="6EFE6A1F" w14:textId="77777777" w:rsidR="009A7B5F" w:rsidRPr="00456076" w:rsidRDefault="009A7B5F" w:rsidP="009F5DF5">
            <w:pPr>
              <w:spacing w:line="240" w:lineRule="auto"/>
              <w:ind w:firstLine="0"/>
              <w:jc w:val="center"/>
              <w:rPr>
                <w:rFonts w:eastAsia="Times New Roman" w:cstheme="majorBidi"/>
                <w:color w:val="000000"/>
                <w:sz w:val="20"/>
                <w:szCs w:val="20"/>
              </w:rPr>
            </w:pPr>
            <w:r>
              <w:rPr>
                <w:rFonts w:eastAsia="Times New Roman" w:cstheme="majorBidi"/>
                <w:color w:val="000000"/>
                <w:sz w:val="20"/>
                <w:szCs w:val="20"/>
              </w:rPr>
              <w:t>S.D.</w:t>
            </w:r>
          </w:p>
        </w:tc>
        <w:tc>
          <w:tcPr>
            <w:tcW w:w="910" w:type="dxa"/>
            <w:tcBorders>
              <w:bottom w:val="single" w:sz="4" w:space="0" w:color="auto"/>
            </w:tcBorders>
            <w:noWrap/>
            <w:hideMark/>
          </w:tcPr>
          <w:p w14:paraId="313A17E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Min</w:t>
            </w:r>
          </w:p>
        </w:tc>
        <w:tc>
          <w:tcPr>
            <w:tcW w:w="1163" w:type="dxa"/>
            <w:tcBorders>
              <w:bottom w:val="single" w:sz="4" w:space="0" w:color="auto"/>
            </w:tcBorders>
            <w:noWrap/>
            <w:hideMark/>
          </w:tcPr>
          <w:p w14:paraId="1CB2ECE1" w14:textId="77777777" w:rsidR="009A7B5F" w:rsidRPr="00456076" w:rsidRDefault="009A7B5F" w:rsidP="009F5DF5">
            <w:pPr>
              <w:spacing w:line="240" w:lineRule="auto"/>
              <w:ind w:firstLine="0"/>
              <w:jc w:val="center"/>
              <w:rPr>
                <w:rFonts w:eastAsia="Times New Roman" w:cstheme="majorBidi"/>
                <w:color w:val="000000"/>
                <w:sz w:val="20"/>
                <w:szCs w:val="20"/>
              </w:rPr>
            </w:pPr>
            <w:r>
              <w:rPr>
                <w:rFonts w:eastAsia="Times New Roman" w:cstheme="majorBidi"/>
                <w:color w:val="000000"/>
                <w:sz w:val="20"/>
                <w:szCs w:val="20"/>
              </w:rPr>
              <w:t>1st</w:t>
            </w:r>
            <w:r w:rsidRPr="00456076">
              <w:rPr>
                <w:rFonts w:eastAsia="Times New Roman" w:cstheme="majorBidi"/>
                <w:color w:val="000000"/>
                <w:sz w:val="20"/>
                <w:szCs w:val="20"/>
              </w:rPr>
              <w:t xml:space="preserve"> Quartile</w:t>
            </w:r>
          </w:p>
        </w:tc>
        <w:tc>
          <w:tcPr>
            <w:tcW w:w="888" w:type="dxa"/>
            <w:tcBorders>
              <w:bottom w:val="single" w:sz="4" w:space="0" w:color="auto"/>
            </w:tcBorders>
            <w:noWrap/>
            <w:hideMark/>
          </w:tcPr>
          <w:p w14:paraId="17363AE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Median</w:t>
            </w:r>
          </w:p>
        </w:tc>
        <w:tc>
          <w:tcPr>
            <w:tcW w:w="1439" w:type="dxa"/>
            <w:tcBorders>
              <w:bottom w:val="single" w:sz="4" w:space="0" w:color="auto"/>
            </w:tcBorders>
            <w:noWrap/>
            <w:hideMark/>
          </w:tcPr>
          <w:p w14:paraId="167F38A4" w14:textId="77777777" w:rsidR="009A7B5F" w:rsidRPr="00456076" w:rsidRDefault="009A7B5F" w:rsidP="009F5DF5">
            <w:pPr>
              <w:spacing w:line="240" w:lineRule="auto"/>
              <w:ind w:firstLine="0"/>
              <w:jc w:val="center"/>
              <w:rPr>
                <w:rFonts w:eastAsia="Times New Roman" w:cstheme="majorBidi"/>
                <w:color w:val="000000"/>
                <w:sz w:val="20"/>
                <w:szCs w:val="20"/>
              </w:rPr>
            </w:pPr>
            <w:r>
              <w:rPr>
                <w:rFonts w:eastAsia="Times New Roman" w:cstheme="majorBidi"/>
                <w:color w:val="000000"/>
                <w:sz w:val="20"/>
                <w:szCs w:val="20"/>
              </w:rPr>
              <w:t>3rd</w:t>
            </w:r>
            <w:r w:rsidRPr="00456076">
              <w:rPr>
                <w:rFonts w:eastAsia="Times New Roman" w:cstheme="majorBidi"/>
                <w:color w:val="000000"/>
                <w:sz w:val="20"/>
                <w:szCs w:val="20"/>
              </w:rPr>
              <w:t xml:space="preserve"> Quartile</w:t>
            </w:r>
          </w:p>
        </w:tc>
        <w:tc>
          <w:tcPr>
            <w:tcW w:w="888" w:type="dxa"/>
            <w:tcBorders>
              <w:bottom w:val="single" w:sz="4" w:space="0" w:color="auto"/>
            </w:tcBorders>
            <w:noWrap/>
            <w:hideMark/>
          </w:tcPr>
          <w:p w14:paraId="29ACBB4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Max</w:t>
            </w:r>
          </w:p>
        </w:tc>
      </w:tr>
      <w:tr w:rsidR="009A7B5F" w:rsidRPr="00456076" w14:paraId="0693A9BA" w14:textId="77777777" w:rsidTr="009F5DF5">
        <w:trPr>
          <w:trHeight w:val="260"/>
        </w:trPr>
        <w:tc>
          <w:tcPr>
            <w:tcW w:w="1977" w:type="dxa"/>
            <w:tcBorders>
              <w:top w:val="single" w:sz="4" w:space="0" w:color="auto"/>
            </w:tcBorders>
            <w:noWrap/>
            <w:hideMark/>
          </w:tcPr>
          <w:p w14:paraId="56EEB5A5" w14:textId="77777777" w:rsidR="009A7B5F" w:rsidRPr="00456076" w:rsidRDefault="009A7B5F" w:rsidP="009F5DF5">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P</w:t>
            </w:r>
            <w:r w:rsidRPr="00C56D59">
              <w:rPr>
                <w:rFonts w:eastAsia="Times New Roman" w:cstheme="majorBidi"/>
                <w:color w:val="000000"/>
                <w:sz w:val="20"/>
                <w:szCs w:val="20"/>
              </w:rPr>
              <w:t>ay inequality</w:t>
            </w:r>
          </w:p>
        </w:tc>
        <w:tc>
          <w:tcPr>
            <w:tcW w:w="632" w:type="dxa"/>
            <w:tcBorders>
              <w:top w:val="single" w:sz="4" w:space="0" w:color="auto"/>
            </w:tcBorders>
            <w:noWrap/>
            <w:hideMark/>
          </w:tcPr>
          <w:p w14:paraId="1EBB635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2830</w:t>
            </w:r>
          </w:p>
        </w:tc>
        <w:tc>
          <w:tcPr>
            <w:tcW w:w="786" w:type="dxa"/>
            <w:tcBorders>
              <w:top w:val="single" w:sz="4" w:space="0" w:color="auto"/>
            </w:tcBorders>
            <w:noWrap/>
            <w:hideMark/>
          </w:tcPr>
          <w:p w14:paraId="15DDF53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3.018</w:t>
            </w:r>
          </w:p>
        </w:tc>
        <w:tc>
          <w:tcPr>
            <w:tcW w:w="786" w:type="dxa"/>
            <w:tcBorders>
              <w:top w:val="single" w:sz="4" w:space="0" w:color="auto"/>
            </w:tcBorders>
            <w:noWrap/>
            <w:hideMark/>
          </w:tcPr>
          <w:p w14:paraId="7F1604B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1.143</w:t>
            </w:r>
          </w:p>
        </w:tc>
        <w:tc>
          <w:tcPr>
            <w:tcW w:w="910" w:type="dxa"/>
            <w:tcBorders>
              <w:top w:val="single" w:sz="4" w:space="0" w:color="auto"/>
            </w:tcBorders>
            <w:noWrap/>
            <w:hideMark/>
          </w:tcPr>
          <w:p w14:paraId="0ABEEAD9"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0.307</w:t>
            </w:r>
          </w:p>
        </w:tc>
        <w:tc>
          <w:tcPr>
            <w:tcW w:w="1163" w:type="dxa"/>
            <w:tcBorders>
              <w:top w:val="single" w:sz="4" w:space="0" w:color="auto"/>
            </w:tcBorders>
            <w:noWrap/>
            <w:hideMark/>
          </w:tcPr>
          <w:p w14:paraId="594433B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2.222</w:t>
            </w:r>
          </w:p>
        </w:tc>
        <w:tc>
          <w:tcPr>
            <w:tcW w:w="888" w:type="dxa"/>
            <w:tcBorders>
              <w:top w:val="single" w:sz="4" w:space="0" w:color="auto"/>
            </w:tcBorders>
            <w:noWrap/>
            <w:hideMark/>
          </w:tcPr>
          <w:p w14:paraId="2880C5C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3.054</w:t>
            </w:r>
          </w:p>
        </w:tc>
        <w:tc>
          <w:tcPr>
            <w:tcW w:w="1439" w:type="dxa"/>
            <w:tcBorders>
              <w:top w:val="single" w:sz="4" w:space="0" w:color="auto"/>
            </w:tcBorders>
            <w:noWrap/>
            <w:hideMark/>
          </w:tcPr>
          <w:p w14:paraId="6F2F418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3.804</w:t>
            </w:r>
          </w:p>
        </w:tc>
        <w:tc>
          <w:tcPr>
            <w:tcW w:w="888" w:type="dxa"/>
            <w:tcBorders>
              <w:top w:val="single" w:sz="4" w:space="0" w:color="auto"/>
            </w:tcBorders>
            <w:noWrap/>
            <w:hideMark/>
          </w:tcPr>
          <w:p w14:paraId="02F1854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6.790</w:t>
            </w:r>
          </w:p>
        </w:tc>
      </w:tr>
      <w:tr w:rsidR="009A7B5F" w:rsidRPr="00456076" w14:paraId="3C26EFA5" w14:textId="77777777" w:rsidTr="009F5DF5">
        <w:trPr>
          <w:trHeight w:val="260"/>
        </w:trPr>
        <w:tc>
          <w:tcPr>
            <w:tcW w:w="1977" w:type="dxa"/>
            <w:noWrap/>
            <w:hideMark/>
          </w:tcPr>
          <w:p w14:paraId="69E2F460" w14:textId="77777777" w:rsidR="009A7B5F" w:rsidRPr="00456076" w:rsidRDefault="009A7B5F" w:rsidP="009F5DF5">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Pay equity</w:t>
            </w:r>
          </w:p>
        </w:tc>
        <w:tc>
          <w:tcPr>
            <w:tcW w:w="632" w:type="dxa"/>
            <w:noWrap/>
            <w:hideMark/>
          </w:tcPr>
          <w:p w14:paraId="42C5F35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2132</w:t>
            </w:r>
          </w:p>
        </w:tc>
        <w:tc>
          <w:tcPr>
            <w:tcW w:w="786" w:type="dxa"/>
            <w:noWrap/>
            <w:hideMark/>
          </w:tcPr>
          <w:p w14:paraId="3F1601F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3.000</w:t>
            </w:r>
          </w:p>
        </w:tc>
        <w:tc>
          <w:tcPr>
            <w:tcW w:w="786" w:type="dxa"/>
            <w:noWrap/>
            <w:hideMark/>
          </w:tcPr>
          <w:p w14:paraId="4A55352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0.707</w:t>
            </w:r>
          </w:p>
        </w:tc>
        <w:tc>
          <w:tcPr>
            <w:tcW w:w="910" w:type="dxa"/>
            <w:noWrap/>
            <w:hideMark/>
          </w:tcPr>
          <w:p w14:paraId="41E4A7E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-0.007</w:t>
            </w:r>
          </w:p>
        </w:tc>
        <w:tc>
          <w:tcPr>
            <w:tcW w:w="1163" w:type="dxa"/>
            <w:noWrap/>
            <w:hideMark/>
          </w:tcPr>
          <w:p w14:paraId="7C0B26FB"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2.552</w:t>
            </w:r>
          </w:p>
        </w:tc>
        <w:tc>
          <w:tcPr>
            <w:tcW w:w="888" w:type="dxa"/>
            <w:noWrap/>
            <w:hideMark/>
          </w:tcPr>
          <w:p w14:paraId="52E35D0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3.024</w:t>
            </w:r>
          </w:p>
        </w:tc>
        <w:tc>
          <w:tcPr>
            <w:tcW w:w="1439" w:type="dxa"/>
            <w:noWrap/>
            <w:hideMark/>
          </w:tcPr>
          <w:p w14:paraId="77739F8A"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3.513</w:t>
            </w:r>
          </w:p>
        </w:tc>
        <w:tc>
          <w:tcPr>
            <w:tcW w:w="888" w:type="dxa"/>
            <w:noWrap/>
            <w:hideMark/>
          </w:tcPr>
          <w:p w14:paraId="29BC6978"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5.280</w:t>
            </w:r>
          </w:p>
        </w:tc>
      </w:tr>
      <w:tr w:rsidR="009A7B5F" w:rsidRPr="00456076" w14:paraId="065D4EA2" w14:textId="77777777" w:rsidTr="009F5DF5">
        <w:trPr>
          <w:trHeight w:val="260"/>
        </w:trPr>
        <w:tc>
          <w:tcPr>
            <w:tcW w:w="1977" w:type="dxa"/>
            <w:noWrap/>
            <w:hideMark/>
          </w:tcPr>
          <w:p w14:paraId="3CC4589F" w14:textId="77777777" w:rsidR="009A7B5F" w:rsidRPr="00456076" w:rsidRDefault="009A7B5F" w:rsidP="009F5DF5">
            <w:pPr>
              <w:spacing w:line="240" w:lineRule="auto"/>
              <w:ind w:firstLine="0"/>
              <w:jc w:val="left"/>
              <w:rPr>
                <w:rFonts w:eastAsia="Times New Roman" w:cstheme="majorBidi"/>
                <w:color w:val="000000"/>
                <w:sz w:val="20"/>
                <w:szCs w:val="20"/>
              </w:rPr>
            </w:pPr>
            <w:r>
              <w:rPr>
                <w:rFonts w:eastAsia="Times New Roman" w:cstheme="majorBidi"/>
                <w:color w:val="000000"/>
                <w:sz w:val="20"/>
                <w:szCs w:val="20"/>
              </w:rPr>
              <w:t xml:space="preserve">Pay </w:t>
            </w:r>
            <w:proofErr w:type="spellStart"/>
            <w:r>
              <w:rPr>
                <w:rFonts w:eastAsia="Times New Roman" w:cstheme="majorBidi"/>
                <w:color w:val="000000"/>
                <w:sz w:val="20"/>
                <w:szCs w:val="20"/>
              </w:rPr>
              <w:t>Inequaity</w:t>
            </w:r>
            <w:proofErr w:type="spellEnd"/>
          </w:p>
        </w:tc>
        <w:tc>
          <w:tcPr>
            <w:tcW w:w="632" w:type="dxa"/>
            <w:noWrap/>
            <w:hideMark/>
          </w:tcPr>
          <w:p w14:paraId="538890C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2132</w:t>
            </w:r>
          </w:p>
        </w:tc>
        <w:tc>
          <w:tcPr>
            <w:tcW w:w="786" w:type="dxa"/>
            <w:noWrap/>
            <w:hideMark/>
          </w:tcPr>
          <w:p w14:paraId="3926BA9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786" w:type="dxa"/>
            <w:noWrap/>
            <w:hideMark/>
          </w:tcPr>
          <w:p w14:paraId="1DD0473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0.877</w:t>
            </w:r>
          </w:p>
        </w:tc>
        <w:tc>
          <w:tcPr>
            <w:tcW w:w="910" w:type="dxa"/>
            <w:noWrap/>
            <w:hideMark/>
          </w:tcPr>
          <w:p w14:paraId="5A47AF3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-2.875</w:t>
            </w:r>
          </w:p>
        </w:tc>
        <w:tc>
          <w:tcPr>
            <w:tcW w:w="1163" w:type="dxa"/>
            <w:noWrap/>
            <w:hideMark/>
          </w:tcPr>
          <w:p w14:paraId="0B1A96D9"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-0.553</w:t>
            </w:r>
          </w:p>
        </w:tc>
        <w:tc>
          <w:tcPr>
            <w:tcW w:w="888" w:type="dxa"/>
            <w:noWrap/>
            <w:hideMark/>
          </w:tcPr>
          <w:p w14:paraId="1619B49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-0.037</w:t>
            </w:r>
          </w:p>
        </w:tc>
        <w:tc>
          <w:tcPr>
            <w:tcW w:w="1439" w:type="dxa"/>
            <w:noWrap/>
            <w:hideMark/>
          </w:tcPr>
          <w:p w14:paraId="7331A958"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0.472</w:t>
            </w:r>
          </w:p>
        </w:tc>
        <w:tc>
          <w:tcPr>
            <w:tcW w:w="888" w:type="dxa"/>
            <w:noWrap/>
            <w:hideMark/>
          </w:tcPr>
          <w:p w14:paraId="533A806A"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3.891</w:t>
            </w:r>
          </w:p>
        </w:tc>
      </w:tr>
      <w:tr w:rsidR="009A7B5F" w:rsidRPr="00456076" w14:paraId="49F25BD7" w14:textId="77777777" w:rsidTr="009F5DF5">
        <w:trPr>
          <w:trHeight w:val="260"/>
        </w:trPr>
        <w:tc>
          <w:tcPr>
            <w:tcW w:w="1977" w:type="dxa"/>
            <w:noWrap/>
            <w:hideMark/>
          </w:tcPr>
          <w:p w14:paraId="449E5473" w14:textId="77777777" w:rsidR="009A7B5F" w:rsidRPr="00456076" w:rsidRDefault="009A7B5F" w:rsidP="009F5DF5">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TFP</w:t>
            </w:r>
          </w:p>
        </w:tc>
        <w:tc>
          <w:tcPr>
            <w:tcW w:w="632" w:type="dxa"/>
            <w:noWrap/>
            <w:hideMark/>
          </w:tcPr>
          <w:p w14:paraId="091A9114"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3454</w:t>
            </w:r>
          </w:p>
        </w:tc>
        <w:tc>
          <w:tcPr>
            <w:tcW w:w="786" w:type="dxa"/>
            <w:noWrap/>
            <w:hideMark/>
          </w:tcPr>
          <w:p w14:paraId="5B3C62D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0.372</w:t>
            </w:r>
          </w:p>
        </w:tc>
        <w:tc>
          <w:tcPr>
            <w:tcW w:w="786" w:type="dxa"/>
            <w:noWrap/>
            <w:hideMark/>
          </w:tcPr>
          <w:p w14:paraId="36A7A86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1.175</w:t>
            </w:r>
          </w:p>
        </w:tc>
        <w:tc>
          <w:tcPr>
            <w:tcW w:w="910" w:type="dxa"/>
            <w:noWrap/>
            <w:hideMark/>
          </w:tcPr>
          <w:p w14:paraId="58F3F49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-3.515</w:t>
            </w:r>
          </w:p>
        </w:tc>
        <w:tc>
          <w:tcPr>
            <w:tcW w:w="1163" w:type="dxa"/>
            <w:noWrap/>
            <w:hideMark/>
          </w:tcPr>
          <w:p w14:paraId="21FA62A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-0.360</w:t>
            </w:r>
          </w:p>
        </w:tc>
        <w:tc>
          <w:tcPr>
            <w:tcW w:w="888" w:type="dxa"/>
            <w:noWrap/>
            <w:hideMark/>
          </w:tcPr>
          <w:p w14:paraId="1DA668F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0.229</w:t>
            </w:r>
          </w:p>
        </w:tc>
        <w:tc>
          <w:tcPr>
            <w:tcW w:w="1439" w:type="dxa"/>
            <w:noWrap/>
            <w:hideMark/>
          </w:tcPr>
          <w:p w14:paraId="1414D71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1.084</w:t>
            </w:r>
          </w:p>
        </w:tc>
        <w:tc>
          <w:tcPr>
            <w:tcW w:w="888" w:type="dxa"/>
            <w:noWrap/>
            <w:hideMark/>
          </w:tcPr>
          <w:p w14:paraId="7E8B882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4.349</w:t>
            </w:r>
          </w:p>
        </w:tc>
      </w:tr>
      <w:tr w:rsidR="009A7B5F" w:rsidRPr="00456076" w14:paraId="63D0C45B" w14:textId="77777777" w:rsidTr="009F5DF5">
        <w:trPr>
          <w:trHeight w:val="260"/>
        </w:trPr>
        <w:tc>
          <w:tcPr>
            <w:tcW w:w="1977" w:type="dxa"/>
            <w:noWrap/>
            <w:hideMark/>
          </w:tcPr>
          <w:p w14:paraId="71BA18B3" w14:textId="77777777" w:rsidR="009A7B5F" w:rsidRPr="00456076" w:rsidRDefault="009A7B5F" w:rsidP="009F5DF5">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SLE</w:t>
            </w:r>
          </w:p>
        </w:tc>
        <w:tc>
          <w:tcPr>
            <w:tcW w:w="632" w:type="dxa"/>
            <w:noWrap/>
            <w:hideMark/>
          </w:tcPr>
          <w:p w14:paraId="0B5283D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3472</w:t>
            </w:r>
          </w:p>
        </w:tc>
        <w:tc>
          <w:tcPr>
            <w:tcW w:w="786" w:type="dxa"/>
            <w:noWrap/>
            <w:hideMark/>
          </w:tcPr>
          <w:p w14:paraId="779794E8"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6.175</w:t>
            </w:r>
          </w:p>
        </w:tc>
        <w:tc>
          <w:tcPr>
            <w:tcW w:w="786" w:type="dxa"/>
            <w:noWrap/>
            <w:hideMark/>
          </w:tcPr>
          <w:p w14:paraId="0D387A07"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1.387</w:t>
            </w:r>
          </w:p>
        </w:tc>
        <w:tc>
          <w:tcPr>
            <w:tcW w:w="910" w:type="dxa"/>
            <w:noWrap/>
            <w:hideMark/>
          </w:tcPr>
          <w:p w14:paraId="4AAE07D4"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-0.324</w:t>
            </w:r>
          </w:p>
        </w:tc>
        <w:tc>
          <w:tcPr>
            <w:tcW w:w="1163" w:type="dxa"/>
            <w:noWrap/>
            <w:hideMark/>
          </w:tcPr>
          <w:p w14:paraId="116F2D14"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5.456</w:t>
            </w:r>
          </w:p>
        </w:tc>
        <w:tc>
          <w:tcPr>
            <w:tcW w:w="888" w:type="dxa"/>
            <w:noWrap/>
            <w:hideMark/>
          </w:tcPr>
          <w:p w14:paraId="712122AB"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6.205</w:t>
            </w:r>
          </w:p>
        </w:tc>
        <w:tc>
          <w:tcPr>
            <w:tcW w:w="1439" w:type="dxa"/>
            <w:noWrap/>
            <w:hideMark/>
          </w:tcPr>
          <w:p w14:paraId="1F3BE22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6.969</w:t>
            </w:r>
          </w:p>
        </w:tc>
        <w:tc>
          <w:tcPr>
            <w:tcW w:w="888" w:type="dxa"/>
            <w:noWrap/>
            <w:hideMark/>
          </w:tcPr>
          <w:p w14:paraId="575E9D98"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10.217</w:t>
            </w:r>
          </w:p>
        </w:tc>
      </w:tr>
      <w:tr w:rsidR="009A7B5F" w:rsidRPr="00456076" w14:paraId="4FF45125" w14:textId="77777777" w:rsidTr="009F5DF5">
        <w:trPr>
          <w:trHeight w:val="260"/>
        </w:trPr>
        <w:tc>
          <w:tcPr>
            <w:tcW w:w="1977" w:type="dxa"/>
            <w:noWrap/>
            <w:hideMark/>
          </w:tcPr>
          <w:p w14:paraId="5B09C5BA"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Pr>
                <w:rFonts w:eastAsia="Times New Roman" w:cstheme="majorBidi"/>
                <w:color w:val="000000"/>
                <w:sz w:val="20"/>
                <w:szCs w:val="20"/>
              </w:rPr>
              <w:t>LnAve</w:t>
            </w:r>
            <w:r w:rsidRPr="00456076">
              <w:rPr>
                <w:rFonts w:eastAsia="Times New Roman" w:cstheme="majorBidi"/>
                <w:color w:val="000000"/>
                <w:sz w:val="20"/>
                <w:szCs w:val="20"/>
              </w:rPr>
              <w:t>Employee</w:t>
            </w:r>
            <w:r>
              <w:rPr>
                <w:rFonts w:eastAsia="Times New Roman" w:cstheme="majorBidi"/>
                <w:color w:val="000000"/>
                <w:sz w:val="20"/>
                <w:szCs w:val="20"/>
              </w:rPr>
              <w:t>Pay</w:t>
            </w:r>
            <w:proofErr w:type="spellEnd"/>
          </w:p>
        </w:tc>
        <w:tc>
          <w:tcPr>
            <w:tcW w:w="632" w:type="dxa"/>
            <w:noWrap/>
            <w:hideMark/>
          </w:tcPr>
          <w:p w14:paraId="20F35547"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2937</w:t>
            </w:r>
          </w:p>
        </w:tc>
        <w:tc>
          <w:tcPr>
            <w:tcW w:w="786" w:type="dxa"/>
            <w:noWrap/>
            <w:hideMark/>
          </w:tcPr>
          <w:p w14:paraId="321B3D1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11.511</w:t>
            </w:r>
          </w:p>
        </w:tc>
        <w:tc>
          <w:tcPr>
            <w:tcW w:w="786" w:type="dxa"/>
            <w:noWrap/>
            <w:hideMark/>
          </w:tcPr>
          <w:p w14:paraId="5A02787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0.987</w:t>
            </w:r>
          </w:p>
        </w:tc>
        <w:tc>
          <w:tcPr>
            <w:tcW w:w="910" w:type="dxa"/>
            <w:noWrap/>
            <w:hideMark/>
          </w:tcPr>
          <w:p w14:paraId="2BD4250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7.494</w:t>
            </w:r>
          </w:p>
        </w:tc>
        <w:tc>
          <w:tcPr>
            <w:tcW w:w="1163" w:type="dxa"/>
            <w:noWrap/>
            <w:hideMark/>
          </w:tcPr>
          <w:p w14:paraId="049E49E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11.075</w:t>
            </w:r>
          </w:p>
        </w:tc>
        <w:tc>
          <w:tcPr>
            <w:tcW w:w="888" w:type="dxa"/>
            <w:noWrap/>
            <w:hideMark/>
          </w:tcPr>
          <w:p w14:paraId="4786D9A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11.524</w:t>
            </w:r>
          </w:p>
        </w:tc>
        <w:tc>
          <w:tcPr>
            <w:tcW w:w="1439" w:type="dxa"/>
            <w:noWrap/>
            <w:hideMark/>
          </w:tcPr>
          <w:p w14:paraId="1B5872E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11.927</w:t>
            </w:r>
          </w:p>
        </w:tc>
        <w:tc>
          <w:tcPr>
            <w:tcW w:w="888" w:type="dxa"/>
            <w:noWrap/>
            <w:hideMark/>
          </w:tcPr>
          <w:p w14:paraId="2B3CA0D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15.143</w:t>
            </w:r>
          </w:p>
        </w:tc>
      </w:tr>
      <w:tr w:rsidR="009A7B5F" w:rsidRPr="00456076" w14:paraId="2B6A7F8F" w14:textId="77777777" w:rsidTr="009F5DF5">
        <w:trPr>
          <w:trHeight w:val="260"/>
        </w:trPr>
        <w:tc>
          <w:tcPr>
            <w:tcW w:w="1977" w:type="dxa"/>
            <w:noWrap/>
            <w:hideMark/>
          </w:tcPr>
          <w:p w14:paraId="6AD9D2E1"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sidRPr="00456076">
              <w:rPr>
                <w:rFonts w:eastAsia="Times New Roman" w:cstheme="majorBidi"/>
                <w:color w:val="000000"/>
                <w:sz w:val="20"/>
                <w:szCs w:val="20"/>
              </w:rPr>
              <w:t>LnRevenue</w:t>
            </w:r>
            <w:proofErr w:type="spellEnd"/>
          </w:p>
        </w:tc>
        <w:tc>
          <w:tcPr>
            <w:tcW w:w="632" w:type="dxa"/>
            <w:noWrap/>
            <w:hideMark/>
          </w:tcPr>
          <w:p w14:paraId="417BE4CB"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3864</w:t>
            </w:r>
          </w:p>
        </w:tc>
        <w:tc>
          <w:tcPr>
            <w:tcW w:w="786" w:type="dxa"/>
            <w:noWrap/>
            <w:hideMark/>
          </w:tcPr>
          <w:p w14:paraId="49051EA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5.893</w:t>
            </w:r>
          </w:p>
        </w:tc>
        <w:tc>
          <w:tcPr>
            <w:tcW w:w="786" w:type="dxa"/>
            <w:noWrap/>
            <w:hideMark/>
          </w:tcPr>
          <w:p w14:paraId="6476D85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2.542</w:t>
            </w:r>
          </w:p>
        </w:tc>
        <w:tc>
          <w:tcPr>
            <w:tcW w:w="910" w:type="dxa"/>
            <w:noWrap/>
            <w:hideMark/>
          </w:tcPr>
          <w:p w14:paraId="3E57823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-2.364</w:t>
            </w:r>
          </w:p>
        </w:tc>
        <w:tc>
          <w:tcPr>
            <w:tcW w:w="1163" w:type="dxa"/>
            <w:noWrap/>
            <w:hideMark/>
          </w:tcPr>
          <w:p w14:paraId="3E2B395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4.950</w:t>
            </w:r>
          </w:p>
        </w:tc>
        <w:tc>
          <w:tcPr>
            <w:tcW w:w="888" w:type="dxa"/>
            <w:noWrap/>
            <w:hideMark/>
          </w:tcPr>
          <w:p w14:paraId="1B42C14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6.203</w:t>
            </w:r>
          </w:p>
        </w:tc>
        <w:tc>
          <w:tcPr>
            <w:tcW w:w="1439" w:type="dxa"/>
            <w:noWrap/>
            <w:hideMark/>
          </w:tcPr>
          <w:p w14:paraId="6AFC928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7.554</w:t>
            </w:r>
          </w:p>
        </w:tc>
        <w:tc>
          <w:tcPr>
            <w:tcW w:w="888" w:type="dxa"/>
            <w:noWrap/>
            <w:hideMark/>
          </w:tcPr>
          <w:p w14:paraId="768D726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10.833</w:t>
            </w:r>
          </w:p>
        </w:tc>
      </w:tr>
      <w:tr w:rsidR="009A7B5F" w:rsidRPr="00456076" w14:paraId="19B89CBD" w14:textId="77777777" w:rsidTr="009F5DF5">
        <w:trPr>
          <w:trHeight w:val="260"/>
        </w:trPr>
        <w:tc>
          <w:tcPr>
            <w:tcW w:w="1977" w:type="dxa"/>
            <w:noWrap/>
            <w:hideMark/>
          </w:tcPr>
          <w:p w14:paraId="2FAC55F6" w14:textId="77777777" w:rsidR="009A7B5F" w:rsidRPr="00456076" w:rsidRDefault="009A7B5F" w:rsidP="009F5DF5">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BTM</w:t>
            </w:r>
          </w:p>
        </w:tc>
        <w:tc>
          <w:tcPr>
            <w:tcW w:w="632" w:type="dxa"/>
            <w:noWrap/>
            <w:hideMark/>
          </w:tcPr>
          <w:p w14:paraId="016A7D03"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3892</w:t>
            </w:r>
          </w:p>
        </w:tc>
        <w:tc>
          <w:tcPr>
            <w:tcW w:w="786" w:type="dxa"/>
            <w:noWrap/>
            <w:hideMark/>
          </w:tcPr>
          <w:p w14:paraId="6D4A89D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0.760</w:t>
            </w:r>
          </w:p>
        </w:tc>
        <w:tc>
          <w:tcPr>
            <w:tcW w:w="786" w:type="dxa"/>
            <w:noWrap/>
            <w:hideMark/>
          </w:tcPr>
          <w:p w14:paraId="5F98092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0.658</w:t>
            </w:r>
          </w:p>
        </w:tc>
        <w:tc>
          <w:tcPr>
            <w:tcW w:w="910" w:type="dxa"/>
            <w:noWrap/>
            <w:hideMark/>
          </w:tcPr>
          <w:p w14:paraId="66A4EE9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-0.102</w:t>
            </w:r>
          </w:p>
        </w:tc>
        <w:tc>
          <w:tcPr>
            <w:tcW w:w="1163" w:type="dxa"/>
            <w:noWrap/>
            <w:hideMark/>
          </w:tcPr>
          <w:p w14:paraId="60612E1B"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0.326</w:t>
            </w:r>
          </w:p>
        </w:tc>
        <w:tc>
          <w:tcPr>
            <w:tcW w:w="888" w:type="dxa"/>
            <w:noWrap/>
            <w:hideMark/>
          </w:tcPr>
          <w:p w14:paraId="0B329E33"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0.585</w:t>
            </w:r>
          </w:p>
        </w:tc>
        <w:tc>
          <w:tcPr>
            <w:tcW w:w="1439" w:type="dxa"/>
            <w:noWrap/>
            <w:hideMark/>
          </w:tcPr>
          <w:p w14:paraId="2FEBBC9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0.980</w:t>
            </w:r>
          </w:p>
        </w:tc>
        <w:tc>
          <w:tcPr>
            <w:tcW w:w="888" w:type="dxa"/>
            <w:noWrap/>
            <w:hideMark/>
          </w:tcPr>
          <w:p w14:paraId="01AE607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4.348</w:t>
            </w:r>
          </w:p>
        </w:tc>
      </w:tr>
      <w:tr w:rsidR="009A7B5F" w:rsidRPr="00456076" w14:paraId="33609ED1" w14:textId="77777777" w:rsidTr="009F5DF5">
        <w:trPr>
          <w:trHeight w:val="260"/>
        </w:trPr>
        <w:tc>
          <w:tcPr>
            <w:tcW w:w="1977" w:type="dxa"/>
            <w:noWrap/>
            <w:hideMark/>
          </w:tcPr>
          <w:p w14:paraId="5A61C5C5"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sidRPr="00456076">
              <w:rPr>
                <w:rFonts w:eastAsia="Times New Roman" w:cstheme="majorBidi"/>
                <w:color w:val="000000"/>
                <w:sz w:val="20"/>
                <w:szCs w:val="20"/>
              </w:rPr>
              <w:t>LnAge</w:t>
            </w:r>
            <w:proofErr w:type="spellEnd"/>
          </w:p>
        </w:tc>
        <w:tc>
          <w:tcPr>
            <w:tcW w:w="632" w:type="dxa"/>
            <w:noWrap/>
            <w:hideMark/>
          </w:tcPr>
          <w:p w14:paraId="73ECEF8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3924</w:t>
            </w:r>
          </w:p>
        </w:tc>
        <w:tc>
          <w:tcPr>
            <w:tcW w:w="786" w:type="dxa"/>
            <w:noWrap/>
            <w:hideMark/>
          </w:tcPr>
          <w:p w14:paraId="63AD190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2.543</w:t>
            </w:r>
          </w:p>
        </w:tc>
        <w:tc>
          <w:tcPr>
            <w:tcW w:w="786" w:type="dxa"/>
            <w:noWrap/>
            <w:hideMark/>
          </w:tcPr>
          <w:p w14:paraId="02A51FF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0.878</w:t>
            </w:r>
          </w:p>
        </w:tc>
        <w:tc>
          <w:tcPr>
            <w:tcW w:w="910" w:type="dxa"/>
            <w:noWrap/>
            <w:hideMark/>
          </w:tcPr>
          <w:p w14:paraId="13C92AF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-0.587</w:t>
            </w:r>
          </w:p>
        </w:tc>
        <w:tc>
          <w:tcPr>
            <w:tcW w:w="1163" w:type="dxa"/>
            <w:noWrap/>
            <w:hideMark/>
          </w:tcPr>
          <w:p w14:paraId="278126F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2.103</w:t>
            </w:r>
          </w:p>
        </w:tc>
        <w:tc>
          <w:tcPr>
            <w:tcW w:w="888" w:type="dxa"/>
            <w:noWrap/>
            <w:hideMark/>
          </w:tcPr>
          <w:p w14:paraId="20C079D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2.613</w:t>
            </w:r>
          </w:p>
        </w:tc>
        <w:tc>
          <w:tcPr>
            <w:tcW w:w="1439" w:type="dxa"/>
            <w:noWrap/>
            <w:hideMark/>
          </w:tcPr>
          <w:p w14:paraId="130E279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3.141</w:t>
            </w:r>
          </w:p>
        </w:tc>
        <w:tc>
          <w:tcPr>
            <w:tcW w:w="888" w:type="dxa"/>
            <w:noWrap/>
            <w:hideMark/>
          </w:tcPr>
          <w:p w14:paraId="2111651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4.208</w:t>
            </w:r>
          </w:p>
        </w:tc>
      </w:tr>
      <w:tr w:rsidR="009A7B5F" w:rsidRPr="00456076" w14:paraId="724E63F5" w14:textId="77777777" w:rsidTr="009F5DF5">
        <w:trPr>
          <w:trHeight w:val="260"/>
        </w:trPr>
        <w:tc>
          <w:tcPr>
            <w:tcW w:w="1977" w:type="dxa"/>
            <w:noWrap/>
            <w:hideMark/>
          </w:tcPr>
          <w:p w14:paraId="1CB981E2" w14:textId="77777777" w:rsidR="009A7B5F" w:rsidRPr="00456076" w:rsidRDefault="009A7B5F" w:rsidP="009F5DF5">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ROA</w:t>
            </w:r>
          </w:p>
        </w:tc>
        <w:tc>
          <w:tcPr>
            <w:tcW w:w="632" w:type="dxa"/>
            <w:noWrap/>
            <w:hideMark/>
          </w:tcPr>
          <w:p w14:paraId="13B8794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3879</w:t>
            </w:r>
          </w:p>
        </w:tc>
        <w:tc>
          <w:tcPr>
            <w:tcW w:w="786" w:type="dxa"/>
            <w:noWrap/>
            <w:hideMark/>
          </w:tcPr>
          <w:p w14:paraId="271202F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2.234</w:t>
            </w:r>
          </w:p>
        </w:tc>
        <w:tc>
          <w:tcPr>
            <w:tcW w:w="786" w:type="dxa"/>
            <w:noWrap/>
            <w:hideMark/>
          </w:tcPr>
          <w:p w14:paraId="7907C97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15.931</w:t>
            </w:r>
          </w:p>
        </w:tc>
        <w:tc>
          <w:tcPr>
            <w:tcW w:w="910" w:type="dxa"/>
            <w:noWrap/>
            <w:hideMark/>
          </w:tcPr>
          <w:p w14:paraId="3AC7D17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-87.400</w:t>
            </w:r>
          </w:p>
        </w:tc>
        <w:tc>
          <w:tcPr>
            <w:tcW w:w="1163" w:type="dxa"/>
            <w:noWrap/>
            <w:hideMark/>
          </w:tcPr>
          <w:p w14:paraId="1EBC6F5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-0.510</w:t>
            </w:r>
          </w:p>
        </w:tc>
        <w:tc>
          <w:tcPr>
            <w:tcW w:w="888" w:type="dxa"/>
            <w:noWrap/>
            <w:hideMark/>
          </w:tcPr>
          <w:p w14:paraId="3E094383"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5.230</w:t>
            </w:r>
          </w:p>
        </w:tc>
        <w:tc>
          <w:tcPr>
            <w:tcW w:w="1439" w:type="dxa"/>
            <w:noWrap/>
            <w:hideMark/>
          </w:tcPr>
          <w:p w14:paraId="046FD4A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9.870</w:t>
            </w:r>
          </w:p>
        </w:tc>
        <w:tc>
          <w:tcPr>
            <w:tcW w:w="888" w:type="dxa"/>
            <w:noWrap/>
            <w:hideMark/>
          </w:tcPr>
          <w:p w14:paraId="513ED3C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46.880</w:t>
            </w:r>
          </w:p>
        </w:tc>
      </w:tr>
      <w:tr w:rsidR="009A7B5F" w:rsidRPr="00456076" w14:paraId="7A4E7DB4" w14:textId="77777777" w:rsidTr="009F5DF5">
        <w:trPr>
          <w:trHeight w:val="260"/>
        </w:trPr>
        <w:tc>
          <w:tcPr>
            <w:tcW w:w="1977" w:type="dxa"/>
            <w:noWrap/>
            <w:hideMark/>
          </w:tcPr>
          <w:p w14:paraId="445DADD5" w14:textId="77777777" w:rsidR="009A7B5F" w:rsidRPr="00456076" w:rsidRDefault="009A7B5F" w:rsidP="009F5DF5">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Ret</w:t>
            </w:r>
          </w:p>
        </w:tc>
        <w:tc>
          <w:tcPr>
            <w:tcW w:w="632" w:type="dxa"/>
            <w:noWrap/>
            <w:hideMark/>
          </w:tcPr>
          <w:p w14:paraId="58E299B9"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3780</w:t>
            </w:r>
          </w:p>
        </w:tc>
        <w:tc>
          <w:tcPr>
            <w:tcW w:w="786" w:type="dxa"/>
            <w:noWrap/>
            <w:hideMark/>
          </w:tcPr>
          <w:p w14:paraId="083023C7"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0.010</w:t>
            </w:r>
          </w:p>
        </w:tc>
        <w:tc>
          <w:tcPr>
            <w:tcW w:w="786" w:type="dxa"/>
            <w:noWrap/>
            <w:hideMark/>
          </w:tcPr>
          <w:p w14:paraId="39D94D67"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0.479</w:t>
            </w:r>
          </w:p>
        </w:tc>
        <w:tc>
          <w:tcPr>
            <w:tcW w:w="910" w:type="dxa"/>
            <w:noWrap/>
            <w:hideMark/>
          </w:tcPr>
          <w:p w14:paraId="607B4687"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-1.696</w:t>
            </w:r>
          </w:p>
        </w:tc>
        <w:tc>
          <w:tcPr>
            <w:tcW w:w="1163" w:type="dxa"/>
            <w:noWrap/>
            <w:hideMark/>
          </w:tcPr>
          <w:p w14:paraId="744D884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-0.215</w:t>
            </w:r>
          </w:p>
        </w:tc>
        <w:tc>
          <w:tcPr>
            <w:tcW w:w="888" w:type="dxa"/>
            <w:noWrap/>
            <w:hideMark/>
          </w:tcPr>
          <w:p w14:paraId="5D71E07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0.068</w:t>
            </w:r>
          </w:p>
        </w:tc>
        <w:tc>
          <w:tcPr>
            <w:tcW w:w="1439" w:type="dxa"/>
            <w:noWrap/>
            <w:hideMark/>
          </w:tcPr>
          <w:p w14:paraId="74BCF298"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0.285</w:t>
            </w:r>
          </w:p>
        </w:tc>
        <w:tc>
          <w:tcPr>
            <w:tcW w:w="888" w:type="dxa"/>
            <w:noWrap/>
            <w:hideMark/>
          </w:tcPr>
          <w:p w14:paraId="0FB3A85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1.342</w:t>
            </w:r>
          </w:p>
        </w:tc>
      </w:tr>
      <w:tr w:rsidR="009A7B5F" w:rsidRPr="00456076" w14:paraId="5F068A2D" w14:textId="77777777" w:rsidTr="009F5DF5">
        <w:trPr>
          <w:trHeight w:val="260"/>
        </w:trPr>
        <w:tc>
          <w:tcPr>
            <w:tcW w:w="1977" w:type="dxa"/>
            <w:noWrap/>
            <w:hideMark/>
          </w:tcPr>
          <w:p w14:paraId="303949A5"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sidRPr="00456076">
              <w:rPr>
                <w:rFonts w:eastAsia="Times New Roman" w:cstheme="majorBidi"/>
                <w:color w:val="000000"/>
                <w:sz w:val="20"/>
                <w:szCs w:val="20"/>
              </w:rPr>
              <w:t>STDRet</w:t>
            </w:r>
            <w:proofErr w:type="spellEnd"/>
          </w:p>
        </w:tc>
        <w:tc>
          <w:tcPr>
            <w:tcW w:w="632" w:type="dxa"/>
            <w:noWrap/>
            <w:hideMark/>
          </w:tcPr>
          <w:p w14:paraId="20CAFE1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3445</w:t>
            </w:r>
          </w:p>
        </w:tc>
        <w:tc>
          <w:tcPr>
            <w:tcW w:w="786" w:type="dxa"/>
            <w:noWrap/>
            <w:hideMark/>
          </w:tcPr>
          <w:p w14:paraId="2683305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0.134</w:t>
            </w:r>
          </w:p>
        </w:tc>
        <w:tc>
          <w:tcPr>
            <w:tcW w:w="786" w:type="dxa"/>
            <w:noWrap/>
            <w:hideMark/>
          </w:tcPr>
          <w:p w14:paraId="11E368D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0.072</w:t>
            </w:r>
          </w:p>
        </w:tc>
        <w:tc>
          <w:tcPr>
            <w:tcW w:w="910" w:type="dxa"/>
            <w:noWrap/>
            <w:hideMark/>
          </w:tcPr>
          <w:p w14:paraId="5C396F5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0.038</w:t>
            </w:r>
          </w:p>
        </w:tc>
        <w:tc>
          <w:tcPr>
            <w:tcW w:w="1163" w:type="dxa"/>
            <w:noWrap/>
            <w:hideMark/>
          </w:tcPr>
          <w:p w14:paraId="2270829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0.080</w:t>
            </w:r>
          </w:p>
        </w:tc>
        <w:tc>
          <w:tcPr>
            <w:tcW w:w="888" w:type="dxa"/>
            <w:noWrap/>
            <w:hideMark/>
          </w:tcPr>
          <w:p w14:paraId="514FBB78"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0.115</w:t>
            </w:r>
          </w:p>
        </w:tc>
        <w:tc>
          <w:tcPr>
            <w:tcW w:w="1439" w:type="dxa"/>
            <w:noWrap/>
            <w:hideMark/>
          </w:tcPr>
          <w:p w14:paraId="7AD7BCC9"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0.176</w:t>
            </w:r>
          </w:p>
        </w:tc>
        <w:tc>
          <w:tcPr>
            <w:tcW w:w="888" w:type="dxa"/>
            <w:noWrap/>
            <w:hideMark/>
          </w:tcPr>
          <w:p w14:paraId="4172753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0.435</w:t>
            </w:r>
          </w:p>
        </w:tc>
      </w:tr>
      <w:tr w:rsidR="009A7B5F" w:rsidRPr="00456076" w14:paraId="5C490B65" w14:textId="77777777" w:rsidTr="009F5DF5">
        <w:trPr>
          <w:trHeight w:val="260"/>
        </w:trPr>
        <w:tc>
          <w:tcPr>
            <w:tcW w:w="1977" w:type="dxa"/>
            <w:noWrap/>
            <w:hideMark/>
          </w:tcPr>
          <w:p w14:paraId="18EFD517" w14:textId="77777777" w:rsidR="009A7B5F" w:rsidRPr="00456076" w:rsidRDefault="009A7B5F" w:rsidP="009F5DF5">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Leverage</w:t>
            </w:r>
          </w:p>
        </w:tc>
        <w:tc>
          <w:tcPr>
            <w:tcW w:w="632" w:type="dxa"/>
            <w:noWrap/>
            <w:hideMark/>
          </w:tcPr>
          <w:p w14:paraId="43CE86A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3947</w:t>
            </w:r>
          </w:p>
        </w:tc>
        <w:tc>
          <w:tcPr>
            <w:tcW w:w="786" w:type="dxa"/>
            <w:noWrap/>
            <w:hideMark/>
          </w:tcPr>
          <w:p w14:paraId="6511AB4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15.866</w:t>
            </w:r>
          </w:p>
        </w:tc>
        <w:tc>
          <w:tcPr>
            <w:tcW w:w="786" w:type="dxa"/>
            <w:noWrap/>
            <w:hideMark/>
          </w:tcPr>
          <w:p w14:paraId="71E5D754"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15.148</w:t>
            </w:r>
          </w:p>
        </w:tc>
        <w:tc>
          <w:tcPr>
            <w:tcW w:w="910" w:type="dxa"/>
            <w:noWrap/>
            <w:hideMark/>
          </w:tcPr>
          <w:p w14:paraId="1982A55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1163" w:type="dxa"/>
            <w:noWrap/>
            <w:hideMark/>
          </w:tcPr>
          <w:p w14:paraId="440E670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0.294</w:t>
            </w:r>
          </w:p>
        </w:tc>
        <w:tc>
          <w:tcPr>
            <w:tcW w:w="888" w:type="dxa"/>
            <w:noWrap/>
            <w:hideMark/>
          </w:tcPr>
          <w:p w14:paraId="77926E1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13.526</w:t>
            </w:r>
          </w:p>
        </w:tc>
        <w:tc>
          <w:tcPr>
            <w:tcW w:w="1439" w:type="dxa"/>
            <w:noWrap/>
            <w:hideMark/>
          </w:tcPr>
          <w:p w14:paraId="4797968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26.066</w:t>
            </w:r>
          </w:p>
        </w:tc>
        <w:tc>
          <w:tcPr>
            <w:tcW w:w="888" w:type="dxa"/>
            <w:noWrap/>
            <w:hideMark/>
          </w:tcPr>
          <w:p w14:paraId="1D763E84"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71.935</w:t>
            </w:r>
          </w:p>
        </w:tc>
      </w:tr>
      <w:tr w:rsidR="009A7B5F" w:rsidRPr="00456076" w14:paraId="78ADB9FC" w14:textId="77777777" w:rsidTr="009F5DF5">
        <w:trPr>
          <w:trHeight w:val="260"/>
        </w:trPr>
        <w:tc>
          <w:tcPr>
            <w:tcW w:w="1977" w:type="dxa"/>
            <w:noWrap/>
            <w:hideMark/>
          </w:tcPr>
          <w:p w14:paraId="7946F96E"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sidRPr="00456076">
              <w:rPr>
                <w:rFonts w:eastAsia="Times New Roman" w:cstheme="majorBidi"/>
                <w:color w:val="000000"/>
                <w:sz w:val="20"/>
                <w:szCs w:val="20"/>
              </w:rPr>
              <w:t>IsCEOChair</w:t>
            </w:r>
            <w:proofErr w:type="spellEnd"/>
          </w:p>
        </w:tc>
        <w:tc>
          <w:tcPr>
            <w:tcW w:w="632" w:type="dxa"/>
            <w:noWrap/>
            <w:hideMark/>
          </w:tcPr>
          <w:p w14:paraId="32DBE5B3"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4032</w:t>
            </w:r>
          </w:p>
        </w:tc>
        <w:tc>
          <w:tcPr>
            <w:tcW w:w="786" w:type="dxa"/>
            <w:noWrap/>
            <w:hideMark/>
          </w:tcPr>
          <w:p w14:paraId="3907DDD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0.105</w:t>
            </w:r>
          </w:p>
        </w:tc>
        <w:tc>
          <w:tcPr>
            <w:tcW w:w="786" w:type="dxa"/>
            <w:noWrap/>
            <w:hideMark/>
          </w:tcPr>
          <w:p w14:paraId="7DD75F5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0.307</w:t>
            </w:r>
          </w:p>
        </w:tc>
        <w:tc>
          <w:tcPr>
            <w:tcW w:w="910" w:type="dxa"/>
            <w:noWrap/>
            <w:hideMark/>
          </w:tcPr>
          <w:p w14:paraId="4A70A62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1163" w:type="dxa"/>
            <w:noWrap/>
            <w:hideMark/>
          </w:tcPr>
          <w:p w14:paraId="5EA4010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888" w:type="dxa"/>
            <w:noWrap/>
            <w:hideMark/>
          </w:tcPr>
          <w:p w14:paraId="54C7A2C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1439" w:type="dxa"/>
            <w:noWrap/>
            <w:hideMark/>
          </w:tcPr>
          <w:p w14:paraId="09BDCD6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888" w:type="dxa"/>
            <w:noWrap/>
            <w:hideMark/>
          </w:tcPr>
          <w:p w14:paraId="517E632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1.000</w:t>
            </w:r>
          </w:p>
        </w:tc>
      </w:tr>
      <w:tr w:rsidR="009A7B5F" w:rsidRPr="00456076" w14:paraId="3C72ABF9" w14:textId="77777777" w:rsidTr="009F5DF5">
        <w:trPr>
          <w:trHeight w:val="260"/>
        </w:trPr>
        <w:tc>
          <w:tcPr>
            <w:tcW w:w="1977" w:type="dxa"/>
            <w:noWrap/>
            <w:hideMark/>
          </w:tcPr>
          <w:p w14:paraId="3BC4DFF3"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sidRPr="00456076">
              <w:rPr>
                <w:rFonts w:eastAsia="Times New Roman" w:cstheme="majorBidi"/>
                <w:color w:val="000000"/>
                <w:sz w:val="20"/>
                <w:szCs w:val="20"/>
              </w:rPr>
              <w:t>CEOTenure</w:t>
            </w:r>
            <w:proofErr w:type="spellEnd"/>
          </w:p>
        </w:tc>
        <w:tc>
          <w:tcPr>
            <w:tcW w:w="632" w:type="dxa"/>
            <w:noWrap/>
            <w:hideMark/>
          </w:tcPr>
          <w:p w14:paraId="0AD03A3B"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3460</w:t>
            </w:r>
          </w:p>
        </w:tc>
        <w:tc>
          <w:tcPr>
            <w:tcW w:w="786" w:type="dxa"/>
            <w:noWrap/>
            <w:hideMark/>
          </w:tcPr>
          <w:p w14:paraId="7156B1D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5.835</w:t>
            </w:r>
          </w:p>
        </w:tc>
        <w:tc>
          <w:tcPr>
            <w:tcW w:w="786" w:type="dxa"/>
            <w:noWrap/>
            <w:hideMark/>
          </w:tcPr>
          <w:p w14:paraId="25F0643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2.705</w:t>
            </w:r>
          </w:p>
        </w:tc>
        <w:tc>
          <w:tcPr>
            <w:tcW w:w="910" w:type="dxa"/>
            <w:noWrap/>
            <w:hideMark/>
          </w:tcPr>
          <w:p w14:paraId="12422C63"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0.880</w:t>
            </w:r>
          </w:p>
        </w:tc>
        <w:tc>
          <w:tcPr>
            <w:tcW w:w="1163" w:type="dxa"/>
            <w:noWrap/>
            <w:hideMark/>
          </w:tcPr>
          <w:p w14:paraId="0FAD9C99"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4.000</w:t>
            </w:r>
          </w:p>
        </w:tc>
        <w:tc>
          <w:tcPr>
            <w:tcW w:w="888" w:type="dxa"/>
            <w:noWrap/>
            <w:hideMark/>
          </w:tcPr>
          <w:p w14:paraId="125D49C4"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5.395</w:t>
            </w:r>
          </w:p>
        </w:tc>
        <w:tc>
          <w:tcPr>
            <w:tcW w:w="1439" w:type="dxa"/>
            <w:noWrap/>
            <w:hideMark/>
          </w:tcPr>
          <w:p w14:paraId="1FE38FD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7.150</w:t>
            </w:r>
          </w:p>
        </w:tc>
        <w:tc>
          <w:tcPr>
            <w:tcW w:w="888" w:type="dxa"/>
            <w:noWrap/>
            <w:hideMark/>
          </w:tcPr>
          <w:p w14:paraId="7810ED7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16.060</w:t>
            </w:r>
          </w:p>
        </w:tc>
      </w:tr>
      <w:tr w:rsidR="009A7B5F" w:rsidRPr="00456076" w14:paraId="58190EEA" w14:textId="77777777" w:rsidTr="009F5DF5">
        <w:trPr>
          <w:trHeight w:val="260"/>
        </w:trPr>
        <w:tc>
          <w:tcPr>
            <w:tcW w:w="1977" w:type="dxa"/>
            <w:noWrap/>
            <w:hideMark/>
          </w:tcPr>
          <w:p w14:paraId="163C3CB6"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sidRPr="00456076">
              <w:rPr>
                <w:rFonts w:eastAsia="Times New Roman" w:cstheme="majorBidi"/>
                <w:color w:val="000000"/>
                <w:sz w:val="20"/>
                <w:szCs w:val="20"/>
              </w:rPr>
              <w:t>BoardTenure</w:t>
            </w:r>
            <w:proofErr w:type="spellEnd"/>
          </w:p>
        </w:tc>
        <w:tc>
          <w:tcPr>
            <w:tcW w:w="632" w:type="dxa"/>
            <w:noWrap/>
            <w:hideMark/>
          </w:tcPr>
          <w:p w14:paraId="1FF1D003"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3886</w:t>
            </w:r>
          </w:p>
        </w:tc>
        <w:tc>
          <w:tcPr>
            <w:tcW w:w="786" w:type="dxa"/>
            <w:noWrap/>
            <w:hideMark/>
          </w:tcPr>
          <w:p w14:paraId="1AC5B7EB"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5.824</w:t>
            </w:r>
          </w:p>
        </w:tc>
        <w:tc>
          <w:tcPr>
            <w:tcW w:w="786" w:type="dxa"/>
            <w:noWrap/>
            <w:hideMark/>
          </w:tcPr>
          <w:p w14:paraId="2E2D680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2.752</w:t>
            </w:r>
          </w:p>
        </w:tc>
        <w:tc>
          <w:tcPr>
            <w:tcW w:w="910" w:type="dxa"/>
            <w:noWrap/>
            <w:hideMark/>
          </w:tcPr>
          <w:p w14:paraId="1EFC63C1"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0.880</w:t>
            </w:r>
          </w:p>
        </w:tc>
        <w:tc>
          <w:tcPr>
            <w:tcW w:w="1163" w:type="dxa"/>
            <w:noWrap/>
            <w:hideMark/>
          </w:tcPr>
          <w:p w14:paraId="538BB81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3.940</w:t>
            </w:r>
          </w:p>
        </w:tc>
        <w:tc>
          <w:tcPr>
            <w:tcW w:w="888" w:type="dxa"/>
            <w:noWrap/>
            <w:hideMark/>
          </w:tcPr>
          <w:p w14:paraId="3221D6B8"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5.380</w:t>
            </w:r>
          </w:p>
        </w:tc>
        <w:tc>
          <w:tcPr>
            <w:tcW w:w="1439" w:type="dxa"/>
            <w:noWrap/>
            <w:hideMark/>
          </w:tcPr>
          <w:p w14:paraId="5737298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7.160</w:t>
            </w:r>
          </w:p>
        </w:tc>
        <w:tc>
          <w:tcPr>
            <w:tcW w:w="888" w:type="dxa"/>
            <w:noWrap/>
            <w:hideMark/>
          </w:tcPr>
          <w:p w14:paraId="7A422F2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16.060</w:t>
            </w:r>
          </w:p>
        </w:tc>
      </w:tr>
      <w:tr w:rsidR="009A7B5F" w:rsidRPr="00456076" w14:paraId="589D18CC" w14:textId="77777777" w:rsidTr="009F5DF5">
        <w:trPr>
          <w:trHeight w:val="260"/>
        </w:trPr>
        <w:tc>
          <w:tcPr>
            <w:tcW w:w="1977" w:type="dxa"/>
            <w:noWrap/>
            <w:hideMark/>
          </w:tcPr>
          <w:p w14:paraId="545E1620"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sidRPr="00456076">
              <w:rPr>
                <w:rFonts w:eastAsia="Times New Roman" w:cstheme="majorBidi"/>
                <w:color w:val="000000"/>
                <w:sz w:val="20"/>
                <w:szCs w:val="20"/>
              </w:rPr>
              <w:t>IndCommittee</w:t>
            </w:r>
            <w:proofErr w:type="spellEnd"/>
          </w:p>
        </w:tc>
        <w:tc>
          <w:tcPr>
            <w:tcW w:w="632" w:type="dxa"/>
            <w:noWrap/>
            <w:hideMark/>
          </w:tcPr>
          <w:p w14:paraId="3883B1C7"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3848</w:t>
            </w:r>
          </w:p>
        </w:tc>
        <w:tc>
          <w:tcPr>
            <w:tcW w:w="786" w:type="dxa"/>
            <w:noWrap/>
            <w:hideMark/>
          </w:tcPr>
          <w:p w14:paraId="2F47E534"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82.662</w:t>
            </w:r>
          </w:p>
        </w:tc>
        <w:tc>
          <w:tcPr>
            <w:tcW w:w="786" w:type="dxa"/>
            <w:noWrap/>
            <w:hideMark/>
          </w:tcPr>
          <w:p w14:paraId="7430C16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23.797</w:t>
            </w:r>
          </w:p>
        </w:tc>
        <w:tc>
          <w:tcPr>
            <w:tcW w:w="910" w:type="dxa"/>
            <w:noWrap/>
            <w:hideMark/>
          </w:tcPr>
          <w:p w14:paraId="0D793BA8"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1163" w:type="dxa"/>
            <w:noWrap/>
            <w:hideMark/>
          </w:tcPr>
          <w:p w14:paraId="7EF2536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67.000</w:t>
            </w:r>
          </w:p>
        </w:tc>
        <w:tc>
          <w:tcPr>
            <w:tcW w:w="888" w:type="dxa"/>
            <w:noWrap/>
            <w:hideMark/>
          </w:tcPr>
          <w:p w14:paraId="3176792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100.000</w:t>
            </w:r>
          </w:p>
        </w:tc>
        <w:tc>
          <w:tcPr>
            <w:tcW w:w="1439" w:type="dxa"/>
            <w:noWrap/>
            <w:hideMark/>
          </w:tcPr>
          <w:p w14:paraId="29137669"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100.000</w:t>
            </w:r>
          </w:p>
        </w:tc>
        <w:tc>
          <w:tcPr>
            <w:tcW w:w="888" w:type="dxa"/>
            <w:noWrap/>
            <w:hideMark/>
          </w:tcPr>
          <w:p w14:paraId="6AB2636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100.000</w:t>
            </w:r>
          </w:p>
        </w:tc>
      </w:tr>
      <w:tr w:rsidR="009A7B5F" w:rsidRPr="00456076" w14:paraId="217D88D0" w14:textId="77777777" w:rsidTr="009F5DF5">
        <w:trPr>
          <w:trHeight w:val="260"/>
        </w:trPr>
        <w:tc>
          <w:tcPr>
            <w:tcW w:w="1977" w:type="dxa"/>
            <w:noWrap/>
            <w:hideMark/>
          </w:tcPr>
          <w:p w14:paraId="1DCD3FE6"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sidRPr="00456076">
              <w:rPr>
                <w:rFonts w:eastAsia="Times New Roman" w:cstheme="majorBidi"/>
                <w:color w:val="000000"/>
                <w:sz w:val="20"/>
                <w:szCs w:val="20"/>
              </w:rPr>
              <w:t>PPEIntensity</w:t>
            </w:r>
            <w:proofErr w:type="spellEnd"/>
          </w:p>
        </w:tc>
        <w:tc>
          <w:tcPr>
            <w:tcW w:w="632" w:type="dxa"/>
            <w:noWrap/>
            <w:hideMark/>
          </w:tcPr>
          <w:p w14:paraId="661922B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3491</w:t>
            </w:r>
          </w:p>
        </w:tc>
        <w:tc>
          <w:tcPr>
            <w:tcW w:w="786" w:type="dxa"/>
            <w:noWrap/>
            <w:hideMark/>
          </w:tcPr>
          <w:p w14:paraId="6D5576E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2.565</w:t>
            </w:r>
          </w:p>
        </w:tc>
        <w:tc>
          <w:tcPr>
            <w:tcW w:w="786" w:type="dxa"/>
            <w:noWrap/>
            <w:hideMark/>
          </w:tcPr>
          <w:p w14:paraId="02BEA2FB"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8.037</w:t>
            </w:r>
          </w:p>
        </w:tc>
        <w:tc>
          <w:tcPr>
            <w:tcW w:w="910" w:type="dxa"/>
            <w:noWrap/>
            <w:hideMark/>
          </w:tcPr>
          <w:p w14:paraId="667F39CB"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1163" w:type="dxa"/>
            <w:noWrap/>
            <w:hideMark/>
          </w:tcPr>
          <w:p w14:paraId="39D90CF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0.029</w:t>
            </w:r>
          </w:p>
        </w:tc>
        <w:tc>
          <w:tcPr>
            <w:tcW w:w="888" w:type="dxa"/>
            <w:noWrap/>
            <w:hideMark/>
          </w:tcPr>
          <w:p w14:paraId="56D2757B"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0.135</w:t>
            </w:r>
          </w:p>
        </w:tc>
        <w:tc>
          <w:tcPr>
            <w:tcW w:w="1439" w:type="dxa"/>
            <w:noWrap/>
            <w:hideMark/>
          </w:tcPr>
          <w:p w14:paraId="62F1DA28"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1.056</w:t>
            </w:r>
          </w:p>
        </w:tc>
        <w:tc>
          <w:tcPr>
            <w:tcW w:w="888" w:type="dxa"/>
            <w:noWrap/>
            <w:hideMark/>
          </w:tcPr>
          <w:p w14:paraId="734B0EA3"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83.402</w:t>
            </w:r>
          </w:p>
        </w:tc>
      </w:tr>
      <w:tr w:rsidR="009A7B5F" w:rsidRPr="00456076" w14:paraId="5B4A860B" w14:textId="77777777" w:rsidTr="009F5DF5">
        <w:trPr>
          <w:trHeight w:val="260"/>
        </w:trPr>
        <w:tc>
          <w:tcPr>
            <w:tcW w:w="1977" w:type="dxa"/>
            <w:noWrap/>
            <w:hideMark/>
          </w:tcPr>
          <w:p w14:paraId="67F6684E"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sidRPr="00456076">
              <w:rPr>
                <w:rFonts w:eastAsia="Times New Roman" w:cstheme="majorBidi"/>
                <w:color w:val="000000"/>
                <w:sz w:val="20"/>
                <w:szCs w:val="20"/>
              </w:rPr>
              <w:t>RDIntensity</w:t>
            </w:r>
            <w:proofErr w:type="spellEnd"/>
          </w:p>
        </w:tc>
        <w:tc>
          <w:tcPr>
            <w:tcW w:w="632" w:type="dxa"/>
            <w:noWrap/>
            <w:hideMark/>
          </w:tcPr>
          <w:p w14:paraId="730C62E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3964</w:t>
            </w:r>
          </w:p>
        </w:tc>
        <w:tc>
          <w:tcPr>
            <w:tcW w:w="786" w:type="dxa"/>
            <w:noWrap/>
            <w:hideMark/>
          </w:tcPr>
          <w:p w14:paraId="3D3A5D2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0.456</w:t>
            </w:r>
          </w:p>
        </w:tc>
        <w:tc>
          <w:tcPr>
            <w:tcW w:w="786" w:type="dxa"/>
            <w:noWrap/>
            <w:hideMark/>
          </w:tcPr>
          <w:p w14:paraId="031588E7"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2.095</w:t>
            </w:r>
          </w:p>
        </w:tc>
        <w:tc>
          <w:tcPr>
            <w:tcW w:w="910" w:type="dxa"/>
            <w:noWrap/>
            <w:hideMark/>
          </w:tcPr>
          <w:p w14:paraId="6C31BB9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1163" w:type="dxa"/>
            <w:noWrap/>
            <w:hideMark/>
          </w:tcPr>
          <w:p w14:paraId="4AF5859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888" w:type="dxa"/>
            <w:noWrap/>
            <w:hideMark/>
          </w:tcPr>
          <w:p w14:paraId="4813C40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1439" w:type="dxa"/>
            <w:noWrap/>
            <w:hideMark/>
          </w:tcPr>
          <w:p w14:paraId="395350C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0.000</w:t>
            </w:r>
          </w:p>
        </w:tc>
        <w:tc>
          <w:tcPr>
            <w:tcW w:w="888" w:type="dxa"/>
            <w:noWrap/>
            <w:hideMark/>
          </w:tcPr>
          <w:p w14:paraId="4C4DAF4A"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21.252</w:t>
            </w:r>
          </w:p>
        </w:tc>
      </w:tr>
      <w:tr w:rsidR="009A7B5F" w:rsidRPr="00456076" w14:paraId="4E1839B8" w14:textId="77777777" w:rsidTr="009F5DF5">
        <w:trPr>
          <w:trHeight w:val="260"/>
        </w:trPr>
        <w:tc>
          <w:tcPr>
            <w:tcW w:w="1977" w:type="dxa"/>
            <w:noWrap/>
            <w:hideMark/>
          </w:tcPr>
          <w:p w14:paraId="55053DDE"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sidRPr="00456076">
              <w:rPr>
                <w:rFonts w:eastAsia="Times New Roman" w:cstheme="majorBidi"/>
                <w:color w:val="000000"/>
                <w:sz w:val="20"/>
                <w:szCs w:val="20"/>
              </w:rPr>
              <w:t>IndConcentration</w:t>
            </w:r>
            <w:proofErr w:type="spellEnd"/>
          </w:p>
        </w:tc>
        <w:tc>
          <w:tcPr>
            <w:tcW w:w="632" w:type="dxa"/>
            <w:noWrap/>
            <w:hideMark/>
          </w:tcPr>
          <w:p w14:paraId="452360B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4001</w:t>
            </w:r>
          </w:p>
        </w:tc>
        <w:tc>
          <w:tcPr>
            <w:tcW w:w="786" w:type="dxa"/>
            <w:noWrap/>
            <w:hideMark/>
          </w:tcPr>
          <w:p w14:paraId="79430C7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0.094</w:t>
            </w:r>
          </w:p>
        </w:tc>
        <w:tc>
          <w:tcPr>
            <w:tcW w:w="786" w:type="dxa"/>
            <w:noWrap/>
            <w:hideMark/>
          </w:tcPr>
          <w:p w14:paraId="1C435C2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0.103</w:t>
            </w:r>
          </w:p>
        </w:tc>
        <w:tc>
          <w:tcPr>
            <w:tcW w:w="910" w:type="dxa"/>
            <w:noWrap/>
            <w:hideMark/>
          </w:tcPr>
          <w:p w14:paraId="5F33DD8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0.023</w:t>
            </w:r>
          </w:p>
        </w:tc>
        <w:tc>
          <w:tcPr>
            <w:tcW w:w="1163" w:type="dxa"/>
            <w:noWrap/>
            <w:hideMark/>
          </w:tcPr>
          <w:p w14:paraId="63C639D7"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0.036</w:t>
            </w:r>
          </w:p>
        </w:tc>
        <w:tc>
          <w:tcPr>
            <w:tcW w:w="888" w:type="dxa"/>
            <w:noWrap/>
            <w:hideMark/>
          </w:tcPr>
          <w:p w14:paraId="46A5D6FB"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0.065</w:t>
            </w:r>
          </w:p>
        </w:tc>
        <w:tc>
          <w:tcPr>
            <w:tcW w:w="1439" w:type="dxa"/>
            <w:noWrap/>
            <w:hideMark/>
          </w:tcPr>
          <w:p w14:paraId="633527E9"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0.108</w:t>
            </w:r>
          </w:p>
        </w:tc>
        <w:tc>
          <w:tcPr>
            <w:tcW w:w="888" w:type="dxa"/>
            <w:noWrap/>
            <w:hideMark/>
          </w:tcPr>
          <w:p w14:paraId="0948EF7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1.000</w:t>
            </w:r>
          </w:p>
        </w:tc>
      </w:tr>
      <w:tr w:rsidR="009A7B5F" w:rsidRPr="00456076" w14:paraId="1E0BE446" w14:textId="77777777" w:rsidTr="009F5DF5">
        <w:trPr>
          <w:trHeight w:val="260"/>
        </w:trPr>
        <w:tc>
          <w:tcPr>
            <w:tcW w:w="1977" w:type="dxa"/>
            <w:noWrap/>
            <w:hideMark/>
          </w:tcPr>
          <w:p w14:paraId="126B213C" w14:textId="77777777" w:rsidR="009A7B5F" w:rsidRPr="00456076" w:rsidRDefault="009A7B5F" w:rsidP="009F5DF5">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Education</w:t>
            </w:r>
          </w:p>
        </w:tc>
        <w:tc>
          <w:tcPr>
            <w:tcW w:w="632" w:type="dxa"/>
            <w:noWrap/>
            <w:hideMark/>
          </w:tcPr>
          <w:p w14:paraId="32E6C90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4032</w:t>
            </w:r>
          </w:p>
        </w:tc>
        <w:tc>
          <w:tcPr>
            <w:tcW w:w="786" w:type="dxa"/>
            <w:noWrap/>
            <w:hideMark/>
          </w:tcPr>
          <w:p w14:paraId="5ABAB6E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19.880</w:t>
            </w:r>
          </w:p>
        </w:tc>
        <w:tc>
          <w:tcPr>
            <w:tcW w:w="786" w:type="dxa"/>
            <w:noWrap/>
            <w:hideMark/>
          </w:tcPr>
          <w:p w14:paraId="4808BAC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3.014</w:t>
            </w:r>
          </w:p>
        </w:tc>
        <w:tc>
          <w:tcPr>
            <w:tcW w:w="910" w:type="dxa"/>
            <w:noWrap/>
            <w:hideMark/>
          </w:tcPr>
          <w:p w14:paraId="11F32B5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11.327</w:t>
            </w:r>
          </w:p>
        </w:tc>
        <w:tc>
          <w:tcPr>
            <w:tcW w:w="1163" w:type="dxa"/>
            <w:noWrap/>
            <w:hideMark/>
          </w:tcPr>
          <w:p w14:paraId="38D31694"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17.446</w:t>
            </w:r>
          </w:p>
        </w:tc>
        <w:tc>
          <w:tcPr>
            <w:tcW w:w="888" w:type="dxa"/>
            <w:noWrap/>
            <w:hideMark/>
          </w:tcPr>
          <w:p w14:paraId="15160169"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19.834</w:t>
            </w:r>
          </w:p>
        </w:tc>
        <w:tc>
          <w:tcPr>
            <w:tcW w:w="1439" w:type="dxa"/>
            <w:noWrap/>
            <w:hideMark/>
          </w:tcPr>
          <w:p w14:paraId="0840E43A"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22.228</w:t>
            </w:r>
          </w:p>
        </w:tc>
        <w:tc>
          <w:tcPr>
            <w:tcW w:w="888" w:type="dxa"/>
            <w:noWrap/>
            <w:hideMark/>
          </w:tcPr>
          <w:p w14:paraId="3C8038B2"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24.845</w:t>
            </w:r>
          </w:p>
        </w:tc>
      </w:tr>
      <w:tr w:rsidR="009A7B5F" w:rsidRPr="00456076" w14:paraId="11BFC639" w14:textId="77777777" w:rsidTr="009F5DF5">
        <w:trPr>
          <w:trHeight w:val="260"/>
        </w:trPr>
        <w:tc>
          <w:tcPr>
            <w:tcW w:w="1977" w:type="dxa"/>
            <w:noWrap/>
            <w:hideMark/>
          </w:tcPr>
          <w:p w14:paraId="49412294" w14:textId="77777777" w:rsidR="009A7B5F" w:rsidRPr="00456076" w:rsidRDefault="009A7B5F" w:rsidP="009F5DF5">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Union</w:t>
            </w:r>
          </w:p>
        </w:tc>
        <w:tc>
          <w:tcPr>
            <w:tcW w:w="632" w:type="dxa"/>
            <w:noWrap/>
            <w:hideMark/>
          </w:tcPr>
          <w:p w14:paraId="62D856B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4032</w:t>
            </w:r>
          </w:p>
        </w:tc>
        <w:tc>
          <w:tcPr>
            <w:tcW w:w="786" w:type="dxa"/>
            <w:noWrap/>
            <w:hideMark/>
          </w:tcPr>
          <w:p w14:paraId="20847BB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13.967</w:t>
            </w:r>
          </w:p>
        </w:tc>
        <w:tc>
          <w:tcPr>
            <w:tcW w:w="786" w:type="dxa"/>
            <w:noWrap/>
            <w:hideMark/>
          </w:tcPr>
          <w:p w14:paraId="158BA46E"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2.375</w:t>
            </w:r>
          </w:p>
        </w:tc>
        <w:tc>
          <w:tcPr>
            <w:tcW w:w="910" w:type="dxa"/>
            <w:noWrap/>
            <w:hideMark/>
          </w:tcPr>
          <w:p w14:paraId="292FCE3A"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10.419</w:t>
            </w:r>
          </w:p>
        </w:tc>
        <w:tc>
          <w:tcPr>
            <w:tcW w:w="1163" w:type="dxa"/>
            <w:noWrap/>
            <w:hideMark/>
          </w:tcPr>
          <w:p w14:paraId="2A075EB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12.157</w:t>
            </w:r>
          </w:p>
        </w:tc>
        <w:tc>
          <w:tcPr>
            <w:tcW w:w="888" w:type="dxa"/>
            <w:noWrap/>
            <w:hideMark/>
          </w:tcPr>
          <w:p w14:paraId="77CA4010"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13.710</w:t>
            </w:r>
          </w:p>
        </w:tc>
        <w:tc>
          <w:tcPr>
            <w:tcW w:w="1439" w:type="dxa"/>
            <w:noWrap/>
            <w:hideMark/>
          </w:tcPr>
          <w:p w14:paraId="2508A9F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15.860</w:t>
            </w:r>
          </w:p>
        </w:tc>
        <w:tc>
          <w:tcPr>
            <w:tcW w:w="888" w:type="dxa"/>
            <w:noWrap/>
            <w:hideMark/>
          </w:tcPr>
          <w:p w14:paraId="586E124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22.263</w:t>
            </w:r>
          </w:p>
        </w:tc>
      </w:tr>
      <w:tr w:rsidR="009A7B5F" w:rsidRPr="00456076" w14:paraId="13BAABEC" w14:textId="77777777" w:rsidTr="00E960A3">
        <w:trPr>
          <w:trHeight w:val="260"/>
        </w:trPr>
        <w:tc>
          <w:tcPr>
            <w:tcW w:w="1977" w:type="dxa"/>
            <w:noWrap/>
            <w:hideMark/>
          </w:tcPr>
          <w:p w14:paraId="0524346E" w14:textId="77777777" w:rsidR="009A7B5F" w:rsidRPr="00456076" w:rsidRDefault="009A7B5F" w:rsidP="009F5DF5">
            <w:pPr>
              <w:spacing w:line="240" w:lineRule="auto"/>
              <w:ind w:firstLine="0"/>
              <w:jc w:val="left"/>
              <w:rPr>
                <w:rFonts w:eastAsia="Times New Roman" w:cstheme="majorBidi"/>
                <w:color w:val="000000"/>
                <w:sz w:val="20"/>
                <w:szCs w:val="20"/>
              </w:rPr>
            </w:pPr>
            <w:r w:rsidRPr="00456076">
              <w:rPr>
                <w:rFonts w:eastAsia="Times New Roman" w:cstheme="majorBidi"/>
                <w:color w:val="000000"/>
                <w:sz w:val="20"/>
                <w:szCs w:val="20"/>
              </w:rPr>
              <w:t>Unemployment</w:t>
            </w:r>
          </w:p>
        </w:tc>
        <w:tc>
          <w:tcPr>
            <w:tcW w:w="632" w:type="dxa"/>
            <w:noWrap/>
            <w:hideMark/>
          </w:tcPr>
          <w:p w14:paraId="58FC0A85"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4032</w:t>
            </w:r>
          </w:p>
        </w:tc>
        <w:tc>
          <w:tcPr>
            <w:tcW w:w="786" w:type="dxa"/>
            <w:noWrap/>
            <w:hideMark/>
          </w:tcPr>
          <w:p w14:paraId="582C70B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5.390</w:t>
            </w:r>
          </w:p>
        </w:tc>
        <w:tc>
          <w:tcPr>
            <w:tcW w:w="786" w:type="dxa"/>
            <w:noWrap/>
            <w:hideMark/>
          </w:tcPr>
          <w:p w14:paraId="3BEE46D3"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0.666</w:t>
            </w:r>
          </w:p>
        </w:tc>
        <w:tc>
          <w:tcPr>
            <w:tcW w:w="910" w:type="dxa"/>
            <w:noWrap/>
            <w:hideMark/>
          </w:tcPr>
          <w:p w14:paraId="3F1FD4A9"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2.962</w:t>
            </w:r>
          </w:p>
        </w:tc>
        <w:tc>
          <w:tcPr>
            <w:tcW w:w="1163" w:type="dxa"/>
            <w:noWrap/>
            <w:hideMark/>
          </w:tcPr>
          <w:p w14:paraId="432E203A"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4.825</w:t>
            </w:r>
          </w:p>
        </w:tc>
        <w:tc>
          <w:tcPr>
            <w:tcW w:w="888" w:type="dxa"/>
            <w:noWrap/>
            <w:hideMark/>
          </w:tcPr>
          <w:p w14:paraId="5B9719D3"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5.376</w:t>
            </w:r>
          </w:p>
        </w:tc>
        <w:tc>
          <w:tcPr>
            <w:tcW w:w="1439" w:type="dxa"/>
            <w:noWrap/>
            <w:hideMark/>
          </w:tcPr>
          <w:p w14:paraId="4EC69BC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5.897</w:t>
            </w:r>
          </w:p>
        </w:tc>
        <w:tc>
          <w:tcPr>
            <w:tcW w:w="888" w:type="dxa"/>
            <w:noWrap/>
            <w:hideMark/>
          </w:tcPr>
          <w:p w14:paraId="3453F3B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7.697</w:t>
            </w:r>
          </w:p>
        </w:tc>
      </w:tr>
      <w:tr w:rsidR="009A7B5F" w:rsidRPr="00456076" w14:paraId="6E882953" w14:textId="77777777" w:rsidTr="00E960A3">
        <w:trPr>
          <w:trHeight w:val="260"/>
        </w:trPr>
        <w:tc>
          <w:tcPr>
            <w:tcW w:w="1977" w:type="dxa"/>
            <w:tcBorders>
              <w:bottom w:val="single" w:sz="4" w:space="0" w:color="auto"/>
            </w:tcBorders>
            <w:noWrap/>
            <w:hideMark/>
          </w:tcPr>
          <w:p w14:paraId="7B6245C9" w14:textId="77777777" w:rsidR="009A7B5F" w:rsidRPr="00456076" w:rsidRDefault="009A7B5F" w:rsidP="009F5DF5">
            <w:pPr>
              <w:spacing w:line="240" w:lineRule="auto"/>
              <w:ind w:firstLine="0"/>
              <w:jc w:val="left"/>
              <w:rPr>
                <w:rFonts w:eastAsia="Times New Roman" w:cstheme="majorBidi"/>
                <w:color w:val="000000"/>
                <w:sz w:val="20"/>
                <w:szCs w:val="20"/>
              </w:rPr>
            </w:pPr>
            <w:proofErr w:type="spellStart"/>
            <w:r w:rsidRPr="00456076">
              <w:rPr>
                <w:rFonts w:eastAsia="Times New Roman" w:cstheme="majorBidi"/>
                <w:color w:val="000000"/>
                <w:sz w:val="20"/>
                <w:szCs w:val="20"/>
              </w:rPr>
              <w:t>VacantJob</w:t>
            </w:r>
            <w:proofErr w:type="spellEnd"/>
          </w:p>
        </w:tc>
        <w:tc>
          <w:tcPr>
            <w:tcW w:w="632" w:type="dxa"/>
            <w:noWrap/>
            <w:hideMark/>
          </w:tcPr>
          <w:p w14:paraId="041C340C"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4032</w:t>
            </w:r>
          </w:p>
        </w:tc>
        <w:tc>
          <w:tcPr>
            <w:tcW w:w="786" w:type="dxa"/>
            <w:noWrap/>
            <w:hideMark/>
          </w:tcPr>
          <w:p w14:paraId="490565EF"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2.153</w:t>
            </w:r>
          </w:p>
        </w:tc>
        <w:tc>
          <w:tcPr>
            <w:tcW w:w="786" w:type="dxa"/>
            <w:noWrap/>
            <w:hideMark/>
          </w:tcPr>
          <w:p w14:paraId="6F2456CA"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1.160</w:t>
            </w:r>
          </w:p>
        </w:tc>
        <w:tc>
          <w:tcPr>
            <w:tcW w:w="910" w:type="dxa"/>
            <w:noWrap/>
            <w:hideMark/>
          </w:tcPr>
          <w:p w14:paraId="602282D6"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0.316</w:t>
            </w:r>
          </w:p>
        </w:tc>
        <w:tc>
          <w:tcPr>
            <w:tcW w:w="1163" w:type="dxa"/>
            <w:noWrap/>
            <w:hideMark/>
          </w:tcPr>
          <w:p w14:paraId="27022489"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1.305</w:t>
            </w:r>
          </w:p>
        </w:tc>
        <w:tc>
          <w:tcPr>
            <w:tcW w:w="888" w:type="dxa"/>
            <w:noWrap/>
            <w:hideMark/>
          </w:tcPr>
          <w:p w14:paraId="1840589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1.851</w:t>
            </w:r>
          </w:p>
        </w:tc>
        <w:tc>
          <w:tcPr>
            <w:tcW w:w="1439" w:type="dxa"/>
            <w:noWrap/>
            <w:hideMark/>
          </w:tcPr>
          <w:p w14:paraId="77944564"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2.653</w:t>
            </w:r>
          </w:p>
        </w:tc>
        <w:tc>
          <w:tcPr>
            <w:tcW w:w="888" w:type="dxa"/>
            <w:noWrap/>
            <w:hideMark/>
          </w:tcPr>
          <w:p w14:paraId="0E36FCAD" w14:textId="77777777" w:rsidR="009A7B5F" w:rsidRPr="00456076" w:rsidRDefault="009A7B5F" w:rsidP="009F5DF5">
            <w:pPr>
              <w:spacing w:line="240" w:lineRule="auto"/>
              <w:ind w:firstLine="0"/>
              <w:jc w:val="center"/>
              <w:rPr>
                <w:rFonts w:eastAsia="Times New Roman" w:cstheme="majorBidi"/>
                <w:color w:val="000000"/>
                <w:sz w:val="20"/>
                <w:szCs w:val="20"/>
              </w:rPr>
            </w:pPr>
            <w:r w:rsidRPr="00456076">
              <w:rPr>
                <w:rFonts w:eastAsia="Times New Roman" w:cstheme="majorBidi"/>
                <w:color w:val="000000"/>
                <w:sz w:val="20"/>
                <w:szCs w:val="20"/>
              </w:rPr>
              <w:t>5.231</w:t>
            </w:r>
          </w:p>
        </w:tc>
      </w:tr>
      <w:tr w:rsidR="009A7B5F" w:rsidRPr="00456076" w14:paraId="49F928ED" w14:textId="77777777" w:rsidTr="00E960A3">
        <w:trPr>
          <w:trHeight w:val="260"/>
        </w:trPr>
        <w:tc>
          <w:tcPr>
            <w:tcW w:w="9469" w:type="dxa"/>
            <w:gridSpan w:val="9"/>
            <w:tcBorders>
              <w:bottom w:val="single" w:sz="4" w:space="0" w:color="auto"/>
            </w:tcBorders>
            <w:noWrap/>
          </w:tcPr>
          <w:p w14:paraId="708636EC" w14:textId="067DA8CD" w:rsidR="008A16C9" w:rsidRPr="00D938A2" w:rsidRDefault="009A7B5F" w:rsidP="008A16C9">
            <w:pPr>
              <w:spacing w:before="160" w:line="240" w:lineRule="auto"/>
              <w:ind w:firstLine="0"/>
              <w:jc w:val="left"/>
              <w:rPr>
                <w:sz w:val="22"/>
              </w:rPr>
            </w:pPr>
            <w:r w:rsidRPr="00D938A2">
              <w:rPr>
                <w:rFonts w:cstheme="majorBidi"/>
                <w:sz w:val="22"/>
              </w:rPr>
              <w:t xml:space="preserve">Table 2 presents summary statistics for the main variables in our samples. Continuous variables are </w:t>
            </w:r>
            <w:r w:rsidR="00C55BD0">
              <w:rPr>
                <w:sz w:val="22"/>
              </w:rPr>
              <w:t>trimmed</w:t>
            </w:r>
            <w:r w:rsidRPr="00D938A2">
              <w:rPr>
                <w:sz w:val="22"/>
              </w:rPr>
              <w:t xml:space="preserve"> at 1 per cent and 99 per cent.</w:t>
            </w:r>
            <w:r w:rsidR="008A16C9" w:rsidRPr="00D938A2">
              <w:rPr>
                <w:sz w:val="22"/>
              </w:rPr>
              <w:t xml:space="preserve"> </w:t>
            </w:r>
          </w:p>
          <w:p w14:paraId="1D651591" w14:textId="7CB61666" w:rsidR="009A7B5F" w:rsidRPr="008A16C9" w:rsidRDefault="009A7B5F" w:rsidP="008A16C9">
            <w:pPr>
              <w:spacing w:line="240" w:lineRule="auto"/>
              <w:ind w:firstLine="0"/>
              <w:jc w:val="left"/>
              <w:rPr>
                <w:sz w:val="20"/>
                <w:szCs w:val="20"/>
              </w:rPr>
            </w:pPr>
            <w:r w:rsidRPr="00D938A2">
              <w:rPr>
                <w:rFonts w:cstheme="majorBidi"/>
                <w:sz w:val="22"/>
              </w:rPr>
              <w:t>All variables are defined in Appendix A.</w:t>
            </w:r>
          </w:p>
        </w:tc>
      </w:tr>
    </w:tbl>
    <w:p w14:paraId="3980D16C" w14:textId="77777777" w:rsidR="008A16C9" w:rsidRDefault="008A16C9" w:rsidP="003064E0"/>
    <w:p w14:paraId="76A3F059" w14:textId="2D18A201" w:rsidR="009A7B5F" w:rsidRDefault="009A7B5F" w:rsidP="003064E0">
      <w:r w:rsidRPr="00B77EE2">
        <w:t xml:space="preserve">Table </w:t>
      </w:r>
      <w:r w:rsidRPr="00A529A2">
        <w:t xml:space="preserve">3 presents </w:t>
      </w:r>
      <w:r>
        <w:t>the P</w:t>
      </w:r>
      <w:r w:rsidRPr="00A529A2">
        <w:t xml:space="preserve">earson correlation matrix for the firm-level and </w:t>
      </w:r>
      <w:r w:rsidR="00287231">
        <w:t>labour market</w:t>
      </w:r>
      <w:r w:rsidRPr="00A529A2">
        <w:t xml:space="preserve"> variables. </w:t>
      </w:r>
      <w:r>
        <w:t>With regard to the</w:t>
      </w:r>
      <w:r w:rsidRPr="00A529A2">
        <w:t xml:space="preserve"> pay ratios, there is a strong positive relation </w:t>
      </w:r>
      <w:r w:rsidRPr="00EB5970">
        <w:t>between pay inequality and pay equity</w:t>
      </w:r>
      <w:r w:rsidRPr="00A529A2">
        <w:t xml:space="preserve"> at 0.62. Similarly, the correlation </w:t>
      </w:r>
      <w:r w:rsidRPr="00EB5970">
        <w:t xml:space="preserve">between </w:t>
      </w:r>
      <w:r>
        <w:t>p</w:t>
      </w:r>
      <w:r w:rsidRPr="00EB5970">
        <w:t>ay</w:t>
      </w:r>
      <w:r>
        <w:t xml:space="preserve"> i</w:t>
      </w:r>
      <w:r w:rsidRPr="00EB5970">
        <w:t>nequal</w:t>
      </w:r>
      <w:r>
        <w:t>i</w:t>
      </w:r>
      <w:r w:rsidRPr="00EB5970">
        <w:t xml:space="preserve">ty and </w:t>
      </w:r>
      <w:r>
        <w:t>p</w:t>
      </w:r>
      <w:r w:rsidRPr="00EB5970">
        <w:t>ay</w:t>
      </w:r>
      <w:r>
        <w:t xml:space="preserve"> i</w:t>
      </w:r>
      <w:r w:rsidRPr="00EB5970">
        <w:t>nequity is significantly positive at 0.78. However, the correlation between pay</w:t>
      </w:r>
      <w:r>
        <w:t xml:space="preserve"> </w:t>
      </w:r>
      <w:r w:rsidRPr="00EB5970">
        <w:t xml:space="preserve">inequity and </w:t>
      </w:r>
      <w:r>
        <w:t>p</w:t>
      </w:r>
      <w:r w:rsidRPr="00EB5970">
        <w:t>ay equity is</w:t>
      </w:r>
      <w:r w:rsidRPr="00A529A2">
        <w:t xml:space="preserve"> slightly negative, consistent with prior research </w:t>
      </w:r>
      <w:r w:rsidRPr="00A529A2">
        <w:fldChar w:fldCharType="begin" w:fldLock="1"/>
      </w:r>
      <w:r w:rsidR="002E5440">
        <w:instrText>ADDIN CSL_CITATION {"citationItems":[{"id":"ITEM-1","itemData":{"DOI":"10.2308/accr-52440","ISSN":"00014826","abstract":"I develop measures of firm-level pay disparity and examine their relation to firm performance. Using comprehensive compensation data for a large sample of firms, I find no statistically significant relation between the ratio of CEO-to-mean employee compensatfile:///C:/Users/RT228/Desktop/PhD Thesis/Article/My area article/Martin/Rethinking Measurement of Pay Disparity and Its Relation to Firm Performance.pdfion and performance. I next create empirical models that allow me to separate the components of CEO and employee compensation explained by economic factors from those that are not, and use these models to estimate explained and unexplained pay disparity. After validating my estimate of unexplained pay disparity as a proxy for pay fairness, I find robust evidence of a negative (positive) relation between unexplained (explained) pay disparity and future firm performance.","author":[{"dropping-particle":"","family":"Rouen","given":"Ethan","non-dropping-particle":"","parse-names":false,"suffix":""}],"container-title":"Accounting Review","id":"ITEM-1","issue":"1","issued":{"date-parts":[["2020","1","1"]]},"page":"343-378","publisher":"American Accounting Association","title":"Rethinking measurement of pay disparity and its relation to firm performance.","type":"article-journal","volume":"95"},"uris":["http://www.mendeley.com/documents/?uuid=09de6d33-6c58-39a7-b23e-7551aef5db6f"]}],"mendeley":{"formattedCitation":"(Rouen, 2020)","plainTextFormattedCitation":"(Rouen, 2020)","previouslyFormattedCitation":"(Rouen, 2020)"},"properties":{"noteIndex":0},"schema":"https://github.com/citation-style-language/schema/raw/master/csl-citation.json"}</w:instrText>
      </w:r>
      <w:r w:rsidRPr="00A529A2">
        <w:fldChar w:fldCharType="separate"/>
      </w:r>
      <w:r w:rsidR="009D2930" w:rsidRPr="009D2930">
        <w:rPr>
          <w:noProof/>
        </w:rPr>
        <w:t>(Rouen, 2020)</w:t>
      </w:r>
      <w:r w:rsidRPr="00A529A2">
        <w:fldChar w:fldCharType="end"/>
      </w:r>
      <w:r w:rsidRPr="00A529A2">
        <w:t xml:space="preserve">. In addition, </w:t>
      </w:r>
      <w:r>
        <w:t>h</w:t>
      </w:r>
      <w:r w:rsidRPr="00A529A2">
        <w:t>igher mean employee pay is associated with lower pay ratios. As we expected, there is a positive correlation between firm size (</w:t>
      </w:r>
      <w:proofErr w:type="spellStart"/>
      <w:r w:rsidRPr="00A529A2">
        <w:rPr>
          <w:i/>
          <w:iCs/>
        </w:rPr>
        <w:t>LnRevenue</w:t>
      </w:r>
      <w:proofErr w:type="spellEnd"/>
      <w:r w:rsidRPr="00A529A2">
        <w:t>), firm performance (</w:t>
      </w:r>
      <w:r w:rsidRPr="00A529A2">
        <w:rPr>
          <w:i/>
          <w:iCs/>
        </w:rPr>
        <w:t>ROA</w:t>
      </w:r>
      <w:r w:rsidRPr="00A529A2">
        <w:t xml:space="preserve"> and </w:t>
      </w:r>
      <w:r w:rsidRPr="00A529A2">
        <w:rPr>
          <w:i/>
          <w:iCs/>
        </w:rPr>
        <w:t>Ret</w:t>
      </w:r>
      <w:r w:rsidRPr="00A529A2">
        <w:t xml:space="preserve">) and </w:t>
      </w:r>
      <w:r w:rsidRPr="00C56D59">
        <w:t>pay</w:t>
      </w:r>
      <w:r>
        <w:t xml:space="preserve"> </w:t>
      </w:r>
      <w:r w:rsidRPr="00C56D59">
        <w:t>inequality</w:t>
      </w:r>
      <w:r w:rsidRPr="00A529A2">
        <w:t xml:space="preserve">. Unsurprisingly, </w:t>
      </w:r>
      <w:r w:rsidRPr="00EB5970">
        <w:t>pay</w:t>
      </w:r>
      <w:r>
        <w:t xml:space="preserve"> </w:t>
      </w:r>
      <w:r w:rsidRPr="00EB5970">
        <w:t>inequity</w:t>
      </w:r>
      <w:r w:rsidRPr="00A529A2">
        <w:t xml:space="preserve"> is not highly correlated with our control variable. </w:t>
      </w:r>
      <w:r>
        <w:t>Consistent with</w:t>
      </w:r>
      <w:r w:rsidRPr="00A529A2">
        <w:t xml:space="preserve"> o</w:t>
      </w:r>
      <w:r>
        <w:t>ur hypotheses H1 and H2,</w:t>
      </w:r>
      <w:r w:rsidRPr="00A529A2">
        <w:t xml:space="preserve"> there is a positive correlation </w:t>
      </w:r>
      <w:r w:rsidRPr="001D59A9">
        <w:t>between pay equity and</w:t>
      </w:r>
      <w:r w:rsidRPr="00A529A2">
        <w:t xml:space="preserve"> </w:t>
      </w:r>
      <w:r w:rsidRPr="00A529A2">
        <w:rPr>
          <w:i/>
          <w:iCs/>
        </w:rPr>
        <w:t>TFP</w:t>
      </w:r>
      <w:r w:rsidRPr="00A529A2">
        <w:t xml:space="preserve"> (</w:t>
      </w:r>
      <w:r w:rsidRPr="00A529A2">
        <w:rPr>
          <w:i/>
          <w:iCs/>
        </w:rPr>
        <w:t>SLE</w:t>
      </w:r>
      <w:r w:rsidRPr="00A529A2">
        <w:t xml:space="preserve">) at 0.08 (0.22) and a negative correlation between </w:t>
      </w:r>
      <w:r w:rsidRPr="00EB5970">
        <w:t>pay</w:t>
      </w:r>
      <w:r>
        <w:t xml:space="preserve"> </w:t>
      </w:r>
      <w:r w:rsidRPr="00EB5970">
        <w:t>inequity</w:t>
      </w:r>
      <w:r w:rsidRPr="00A529A2">
        <w:t xml:space="preserve"> and </w:t>
      </w:r>
      <w:r w:rsidRPr="00A529A2">
        <w:rPr>
          <w:i/>
          <w:iCs/>
        </w:rPr>
        <w:t>TFP</w:t>
      </w:r>
      <w:r w:rsidRPr="00A529A2">
        <w:t xml:space="preserve"> (</w:t>
      </w:r>
      <w:r w:rsidRPr="00A529A2">
        <w:rPr>
          <w:i/>
          <w:iCs/>
        </w:rPr>
        <w:t>SLE</w:t>
      </w:r>
      <w:r w:rsidRPr="00A529A2">
        <w:t xml:space="preserve">) at -0.35 (-0.38). As is shown, none of the variables is highly correlated, and the most significant correlation coefficient is 0.58 between </w:t>
      </w:r>
      <w:r w:rsidRPr="00DE0A94">
        <w:rPr>
          <w:i/>
          <w:iCs/>
        </w:rPr>
        <w:t>Union</w:t>
      </w:r>
      <w:r w:rsidRPr="00A529A2">
        <w:t xml:space="preserve"> and </w:t>
      </w:r>
      <w:r>
        <w:rPr>
          <w:i/>
          <w:iCs/>
        </w:rPr>
        <w:t>E</w:t>
      </w:r>
      <w:r w:rsidRPr="00DE0A94">
        <w:rPr>
          <w:i/>
          <w:iCs/>
        </w:rPr>
        <w:t>ducation</w:t>
      </w:r>
      <w:r w:rsidRPr="00A529A2">
        <w:t>.</w:t>
      </w:r>
    </w:p>
    <w:p w14:paraId="054EF5A1" w14:textId="77777777" w:rsidR="009A7B5F" w:rsidRDefault="009A7B5F" w:rsidP="009A7B5F">
      <w:pPr>
        <w:ind w:firstLine="0"/>
        <w:sectPr w:rsidR="009A7B5F" w:rsidSect="000675A4">
          <w:headerReference w:type="default" r:id="rId8"/>
          <w:footerReference w:type="default" r:id="rId9"/>
          <w:pgSz w:w="12240" w:h="15840"/>
          <w:pgMar w:top="1440" w:right="1440" w:bottom="1080" w:left="1440" w:header="720" w:footer="435" w:gutter="0"/>
          <w:cols w:space="720"/>
          <w:docGrid w:linePitch="360"/>
        </w:sectPr>
      </w:pPr>
    </w:p>
    <w:p w14:paraId="4131E2E7" w14:textId="6E114F6C" w:rsidR="009A7B5F" w:rsidRPr="008A16C9" w:rsidRDefault="009A7B5F" w:rsidP="008A16C9">
      <w:pPr>
        <w:tabs>
          <w:tab w:val="left" w:pos="567"/>
        </w:tabs>
        <w:spacing w:line="240" w:lineRule="auto"/>
        <w:ind w:firstLine="0"/>
        <w:jc w:val="center"/>
        <w:rPr>
          <w:rFonts w:ascii="Times New Roman" w:eastAsiaTheme="minorHAnsi" w:hAnsi="Times New Roman" w:cs="Times New Roman"/>
          <w:b/>
          <w:bCs/>
          <w:sz w:val="22"/>
          <w:lang w:eastAsia="en-US"/>
        </w:rPr>
      </w:pPr>
      <w:r w:rsidRPr="008A16C9">
        <w:rPr>
          <w:rFonts w:ascii="Times New Roman" w:eastAsiaTheme="minorHAnsi" w:hAnsi="Times New Roman" w:cs="Times New Roman"/>
          <w:b/>
          <w:bCs/>
          <w:sz w:val="22"/>
          <w:lang w:eastAsia="en-US"/>
        </w:rPr>
        <w:lastRenderedPageBreak/>
        <w:t xml:space="preserve">Table </w:t>
      </w:r>
      <w:r w:rsidRPr="008A16C9">
        <w:rPr>
          <w:rFonts w:ascii="Times New Roman" w:eastAsiaTheme="minorHAnsi" w:hAnsi="Times New Roman" w:cs="Times New Roman"/>
          <w:b/>
          <w:bCs/>
          <w:sz w:val="22"/>
          <w:lang w:eastAsia="en-US"/>
        </w:rPr>
        <w:fldChar w:fldCharType="begin"/>
      </w:r>
      <w:r w:rsidRPr="008A16C9">
        <w:rPr>
          <w:rFonts w:ascii="Times New Roman" w:eastAsiaTheme="minorHAnsi" w:hAnsi="Times New Roman" w:cs="Times New Roman"/>
          <w:b/>
          <w:bCs/>
          <w:sz w:val="22"/>
          <w:lang w:eastAsia="en-US"/>
        </w:rPr>
        <w:instrText xml:space="preserve"> SEQ Table \* ARABIC </w:instrText>
      </w:r>
      <w:r w:rsidRPr="008A16C9">
        <w:rPr>
          <w:rFonts w:ascii="Times New Roman" w:eastAsiaTheme="minorHAnsi" w:hAnsi="Times New Roman" w:cs="Times New Roman"/>
          <w:b/>
          <w:bCs/>
          <w:sz w:val="22"/>
          <w:lang w:eastAsia="en-US"/>
        </w:rPr>
        <w:fldChar w:fldCharType="separate"/>
      </w:r>
      <w:r w:rsidR="00F45684">
        <w:rPr>
          <w:rFonts w:ascii="Times New Roman" w:eastAsiaTheme="minorHAnsi" w:hAnsi="Times New Roman" w:cs="Times New Roman"/>
          <w:b/>
          <w:bCs/>
          <w:noProof/>
          <w:sz w:val="22"/>
          <w:lang w:eastAsia="en-US"/>
        </w:rPr>
        <w:t>3</w:t>
      </w:r>
      <w:r w:rsidRPr="008A16C9">
        <w:rPr>
          <w:rFonts w:ascii="Times New Roman" w:eastAsiaTheme="minorHAnsi" w:hAnsi="Times New Roman" w:cs="Times New Roman"/>
          <w:b/>
          <w:bCs/>
          <w:sz w:val="22"/>
          <w:lang w:eastAsia="en-US"/>
        </w:rPr>
        <w:fldChar w:fldCharType="end"/>
      </w:r>
      <w:r w:rsidRPr="008A16C9">
        <w:rPr>
          <w:rFonts w:ascii="Times New Roman" w:eastAsiaTheme="minorHAnsi" w:hAnsi="Times New Roman" w:cs="Times New Roman"/>
          <w:b/>
          <w:bCs/>
          <w:sz w:val="22"/>
          <w:lang w:eastAsia="en-US"/>
        </w:rPr>
        <w:t xml:space="preserve"> Correlation Matrix</w:t>
      </w:r>
    </w:p>
    <w:p w14:paraId="31DA8159" w14:textId="77777777" w:rsidR="009A7B5F" w:rsidRPr="008A16C9" w:rsidRDefault="009A7B5F" w:rsidP="008A16C9">
      <w:pPr>
        <w:tabs>
          <w:tab w:val="left" w:pos="567"/>
        </w:tabs>
        <w:spacing w:line="240" w:lineRule="auto"/>
        <w:ind w:firstLine="0"/>
        <w:jc w:val="left"/>
        <w:rPr>
          <w:rFonts w:ascii="Times New Roman" w:eastAsiaTheme="minorHAnsi" w:hAnsi="Times New Roman" w:cs="Times New Roman"/>
          <w:b/>
          <w:bCs/>
          <w:sz w:val="22"/>
          <w:lang w:eastAsia="en-US"/>
        </w:rPr>
      </w:pPr>
      <w:r w:rsidRPr="008A16C9">
        <w:rPr>
          <w:rFonts w:ascii="Times New Roman" w:eastAsiaTheme="minorHAnsi" w:hAnsi="Times New Roman" w:cs="Times New Roman"/>
          <w:b/>
          <w:bCs/>
          <w:sz w:val="22"/>
          <w:lang w:eastAsia="en-US"/>
        </w:rPr>
        <w:t xml:space="preserve">Panel A: from variable Pay inequality to </w:t>
      </w:r>
      <w:proofErr w:type="spellStart"/>
      <w:r w:rsidRPr="008A16C9">
        <w:rPr>
          <w:rFonts w:ascii="Times New Roman" w:eastAsiaTheme="minorHAnsi" w:hAnsi="Times New Roman" w:cs="Times New Roman"/>
          <w:b/>
          <w:bCs/>
          <w:sz w:val="22"/>
          <w:lang w:eastAsia="en-US"/>
        </w:rPr>
        <w:t>STDRet</w:t>
      </w:r>
      <w:proofErr w:type="spellEnd"/>
    </w:p>
    <w:tbl>
      <w:tblPr>
        <w:tblW w:w="14049" w:type="dxa"/>
        <w:jc w:val="center"/>
        <w:tblLook w:val="04A0" w:firstRow="1" w:lastRow="0" w:firstColumn="1" w:lastColumn="0" w:noHBand="0" w:noVBand="1"/>
      </w:tblPr>
      <w:tblGrid>
        <w:gridCol w:w="2211"/>
        <w:gridCol w:w="960"/>
        <w:gridCol w:w="938"/>
        <w:gridCol w:w="1300"/>
        <w:gridCol w:w="960"/>
        <w:gridCol w:w="960"/>
        <w:gridCol w:w="960"/>
        <w:gridCol w:w="960"/>
        <w:gridCol w:w="960"/>
        <w:gridCol w:w="960"/>
        <w:gridCol w:w="960"/>
        <w:gridCol w:w="960"/>
        <w:gridCol w:w="960"/>
      </w:tblGrid>
      <w:tr w:rsidR="009A7B5F" w:rsidRPr="00AE4D53" w14:paraId="6A85A859" w14:textId="77777777" w:rsidTr="009F5DF5">
        <w:trPr>
          <w:trHeight w:val="298"/>
          <w:jc w:val="center"/>
        </w:trPr>
        <w:tc>
          <w:tcPr>
            <w:tcW w:w="2211" w:type="dxa"/>
            <w:tcBorders>
              <w:top w:val="nil"/>
              <w:left w:val="nil"/>
              <w:bottom w:val="single" w:sz="4" w:space="0" w:color="auto"/>
              <w:right w:val="nil"/>
            </w:tcBorders>
            <w:shd w:val="clear" w:color="auto" w:fill="auto"/>
            <w:noWrap/>
            <w:vAlign w:val="center"/>
            <w:hideMark/>
          </w:tcPr>
          <w:p w14:paraId="26A10D79" w14:textId="77777777" w:rsidR="009A7B5F" w:rsidRPr="00AE4D53" w:rsidRDefault="009A7B5F" w:rsidP="009F5DF5">
            <w:pPr>
              <w:spacing w:after="0" w:line="240" w:lineRule="auto"/>
              <w:ind w:firstLine="0"/>
              <w:jc w:val="left"/>
              <w:rPr>
                <w:rFonts w:eastAsia="Times New Roman" w:cstheme="majorBidi"/>
                <w:sz w:val="20"/>
                <w:szCs w:val="20"/>
              </w:rPr>
            </w:pPr>
          </w:p>
        </w:tc>
        <w:tc>
          <w:tcPr>
            <w:tcW w:w="960" w:type="dxa"/>
            <w:tcBorders>
              <w:top w:val="nil"/>
              <w:left w:val="nil"/>
              <w:bottom w:val="single" w:sz="4" w:space="0" w:color="auto"/>
              <w:right w:val="nil"/>
            </w:tcBorders>
            <w:shd w:val="clear" w:color="auto" w:fill="auto"/>
            <w:noWrap/>
            <w:vAlign w:val="center"/>
            <w:hideMark/>
          </w:tcPr>
          <w:p w14:paraId="0B8EA224"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w:t>
            </w:r>
          </w:p>
        </w:tc>
        <w:tc>
          <w:tcPr>
            <w:tcW w:w="938" w:type="dxa"/>
            <w:tcBorders>
              <w:top w:val="nil"/>
              <w:left w:val="nil"/>
              <w:bottom w:val="single" w:sz="4" w:space="0" w:color="auto"/>
              <w:right w:val="nil"/>
            </w:tcBorders>
            <w:shd w:val="clear" w:color="auto" w:fill="auto"/>
            <w:noWrap/>
            <w:vAlign w:val="center"/>
            <w:hideMark/>
          </w:tcPr>
          <w:p w14:paraId="79EF07FB"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2</w:t>
            </w:r>
          </w:p>
        </w:tc>
        <w:tc>
          <w:tcPr>
            <w:tcW w:w="1300" w:type="dxa"/>
            <w:tcBorders>
              <w:top w:val="nil"/>
              <w:left w:val="nil"/>
              <w:bottom w:val="single" w:sz="4" w:space="0" w:color="auto"/>
              <w:right w:val="nil"/>
            </w:tcBorders>
            <w:shd w:val="clear" w:color="auto" w:fill="auto"/>
            <w:noWrap/>
            <w:vAlign w:val="center"/>
            <w:hideMark/>
          </w:tcPr>
          <w:p w14:paraId="62121E45"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3</w:t>
            </w:r>
          </w:p>
        </w:tc>
        <w:tc>
          <w:tcPr>
            <w:tcW w:w="960" w:type="dxa"/>
            <w:tcBorders>
              <w:top w:val="nil"/>
              <w:left w:val="nil"/>
              <w:bottom w:val="single" w:sz="4" w:space="0" w:color="auto"/>
              <w:right w:val="nil"/>
            </w:tcBorders>
            <w:shd w:val="clear" w:color="auto" w:fill="auto"/>
            <w:noWrap/>
            <w:vAlign w:val="center"/>
            <w:hideMark/>
          </w:tcPr>
          <w:p w14:paraId="6C20211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4</w:t>
            </w:r>
          </w:p>
        </w:tc>
        <w:tc>
          <w:tcPr>
            <w:tcW w:w="960" w:type="dxa"/>
            <w:tcBorders>
              <w:top w:val="nil"/>
              <w:left w:val="nil"/>
              <w:bottom w:val="single" w:sz="4" w:space="0" w:color="auto"/>
              <w:right w:val="nil"/>
            </w:tcBorders>
            <w:shd w:val="clear" w:color="auto" w:fill="auto"/>
            <w:noWrap/>
            <w:vAlign w:val="center"/>
            <w:hideMark/>
          </w:tcPr>
          <w:p w14:paraId="27A2825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5</w:t>
            </w:r>
          </w:p>
        </w:tc>
        <w:tc>
          <w:tcPr>
            <w:tcW w:w="960" w:type="dxa"/>
            <w:tcBorders>
              <w:top w:val="nil"/>
              <w:left w:val="nil"/>
              <w:bottom w:val="single" w:sz="4" w:space="0" w:color="auto"/>
              <w:right w:val="nil"/>
            </w:tcBorders>
            <w:shd w:val="clear" w:color="auto" w:fill="auto"/>
            <w:noWrap/>
            <w:vAlign w:val="center"/>
            <w:hideMark/>
          </w:tcPr>
          <w:p w14:paraId="2070125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6</w:t>
            </w:r>
          </w:p>
        </w:tc>
        <w:tc>
          <w:tcPr>
            <w:tcW w:w="960" w:type="dxa"/>
            <w:tcBorders>
              <w:top w:val="nil"/>
              <w:left w:val="nil"/>
              <w:bottom w:val="single" w:sz="4" w:space="0" w:color="auto"/>
              <w:right w:val="nil"/>
            </w:tcBorders>
            <w:shd w:val="clear" w:color="auto" w:fill="auto"/>
            <w:noWrap/>
            <w:vAlign w:val="center"/>
            <w:hideMark/>
          </w:tcPr>
          <w:p w14:paraId="067B4974"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7</w:t>
            </w:r>
          </w:p>
        </w:tc>
        <w:tc>
          <w:tcPr>
            <w:tcW w:w="960" w:type="dxa"/>
            <w:tcBorders>
              <w:top w:val="nil"/>
              <w:left w:val="nil"/>
              <w:bottom w:val="single" w:sz="4" w:space="0" w:color="auto"/>
              <w:right w:val="nil"/>
            </w:tcBorders>
            <w:shd w:val="clear" w:color="auto" w:fill="auto"/>
            <w:noWrap/>
            <w:vAlign w:val="center"/>
            <w:hideMark/>
          </w:tcPr>
          <w:p w14:paraId="42BD9812"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8</w:t>
            </w:r>
          </w:p>
        </w:tc>
        <w:tc>
          <w:tcPr>
            <w:tcW w:w="960" w:type="dxa"/>
            <w:tcBorders>
              <w:top w:val="nil"/>
              <w:left w:val="nil"/>
              <w:bottom w:val="single" w:sz="4" w:space="0" w:color="auto"/>
              <w:right w:val="nil"/>
            </w:tcBorders>
            <w:shd w:val="clear" w:color="auto" w:fill="auto"/>
            <w:noWrap/>
            <w:vAlign w:val="center"/>
            <w:hideMark/>
          </w:tcPr>
          <w:p w14:paraId="7E7FB577"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9</w:t>
            </w:r>
          </w:p>
        </w:tc>
        <w:tc>
          <w:tcPr>
            <w:tcW w:w="960" w:type="dxa"/>
            <w:tcBorders>
              <w:top w:val="nil"/>
              <w:left w:val="nil"/>
              <w:bottom w:val="single" w:sz="4" w:space="0" w:color="auto"/>
              <w:right w:val="nil"/>
            </w:tcBorders>
            <w:shd w:val="clear" w:color="auto" w:fill="auto"/>
            <w:noWrap/>
            <w:vAlign w:val="center"/>
            <w:hideMark/>
          </w:tcPr>
          <w:p w14:paraId="046188A6"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w:t>
            </w:r>
          </w:p>
        </w:tc>
        <w:tc>
          <w:tcPr>
            <w:tcW w:w="960" w:type="dxa"/>
            <w:tcBorders>
              <w:top w:val="nil"/>
              <w:left w:val="nil"/>
              <w:bottom w:val="single" w:sz="4" w:space="0" w:color="auto"/>
              <w:right w:val="nil"/>
            </w:tcBorders>
            <w:shd w:val="clear" w:color="auto" w:fill="auto"/>
            <w:noWrap/>
            <w:vAlign w:val="center"/>
            <w:hideMark/>
          </w:tcPr>
          <w:p w14:paraId="2CC409D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11</w:t>
            </w:r>
          </w:p>
        </w:tc>
        <w:tc>
          <w:tcPr>
            <w:tcW w:w="960" w:type="dxa"/>
            <w:tcBorders>
              <w:top w:val="nil"/>
              <w:left w:val="nil"/>
              <w:bottom w:val="single" w:sz="4" w:space="0" w:color="auto"/>
              <w:right w:val="nil"/>
            </w:tcBorders>
            <w:shd w:val="clear" w:color="auto" w:fill="auto"/>
            <w:noWrap/>
            <w:vAlign w:val="center"/>
            <w:hideMark/>
          </w:tcPr>
          <w:p w14:paraId="77BB610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12</w:t>
            </w:r>
          </w:p>
        </w:tc>
      </w:tr>
      <w:tr w:rsidR="009A7B5F" w:rsidRPr="00AE4D53" w14:paraId="679E1AFA" w14:textId="77777777" w:rsidTr="009F5DF5">
        <w:trPr>
          <w:trHeight w:val="298"/>
          <w:jc w:val="center"/>
        </w:trPr>
        <w:tc>
          <w:tcPr>
            <w:tcW w:w="2211" w:type="dxa"/>
            <w:tcBorders>
              <w:top w:val="single" w:sz="4" w:space="0" w:color="auto"/>
              <w:left w:val="nil"/>
              <w:bottom w:val="nil"/>
              <w:right w:val="nil"/>
            </w:tcBorders>
            <w:shd w:val="clear" w:color="auto" w:fill="auto"/>
            <w:noWrap/>
            <w:vAlign w:val="center"/>
            <w:hideMark/>
          </w:tcPr>
          <w:p w14:paraId="24984CB4"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1-LnPayGap</w:t>
            </w:r>
          </w:p>
        </w:tc>
        <w:tc>
          <w:tcPr>
            <w:tcW w:w="960" w:type="dxa"/>
            <w:tcBorders>
              <w:top w:val="single" w:sz="4" w:space="0" w:color="auto"/>
              <w:left w:val="nil"/>
              <w:bottom w:val="nil"/>
              <w:right w:val="nil"/>
            </w:tcBorders>
            <w:shd w:val="clear" w:color="auto" w:fill="auto"/>
            <w:noWrap/>
            <w:vAlign w:val="center"/>
            <w:hideMark/>
          </w:tcPr>
          <w:p w14:paraId="01C35E3A"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1.00</w:t>
            </w:r>
          </w:p>
        </w:tc>
        <w:tc>
          <w:tcPr>
            <w:tcW w:w="938" w:type="dxa"/>
            <w:tcBorders>
              <w:top w:val="single" w:sz="4" w:space="0" w:color="auto"/>
              <w:left w:val="nil"/>
              <w:bottom w:val="nil"/>
              <w:right w:val="nil"/>
            </w:tcBorders>
            <w:shd w:val="clear" w:color="auto" w:fill="auto"/>
            <w:noWrap/>
            <w:vAlign w:val="center"/>
            <w:hideMark/>
          </w:tcPr>
          <w:p w14:paraId="3F027976" w14:textId="77777777" w:rsidR="009A7B5F" w:rsidRPr="00AE4D53" w:rsidRDefault="009A7B5F" w:rsidP="009F5DF5">
            <w:pPr>
              <w:spacing w:after="0" w:line="240" w:lineRule="auto"/>
              <w:ind w:firstLine="0"/>
              <w:jc w:val="center"/>
              <w:rPr>
                <w:rFonts w:eastAsia="Times New Roman" w:cstheme="majorBidi"/>
                <w:color w:val="000000"/>
                <w:sz w:val="20"/>
                <w:szCs w:val="20"/>
              </w:rPr>
            </w:pPr>
          </w:p>
        </w:tc>
        <w:tc>
          <w:tcPr>
            <w:tcW w:w="1300" w:type="dxa"/>
            <w:tcBorders>
              <w:top w:val="single" w:sz="4" w:space="0" w:color="auto"/>
              <w:left w:val="nil"/>
              <w:bottom w:val="nil"/>
              <w:right w:val="nil"/>
            </w:tcBorders>
            <w:shd w:val="clear" w:color="auto" w:fill="auto"/>
            <w:noWrap/>
            <w:vAlign w:val="center"/>
            <w:hideMark/>
          </w:tcPr>
          <w:p w14:paraId="5CFA8C05" w14:textId="77777777" w:rsidR="009A7B5F" w:rsidRPr="00EE4172" w:rsidRDefault="009A7B5F" w:rsidP="009F5DF5">
            <w:pPr>
              <w:spacing w:after="0" w:line="240" w:lineRule="auto"/>
              <w:ind w:firstLine="0"/>
              <w:jc w:val="center"/>
              <w:rPr>
                <w:rFonts w:eastAsia="Times New Roman" w:cstheme="majorBidi"/>
                <w:sz w:val="20"/>
                <w:szCs w:val="20"/>
                <w:highlight w:val="yellow"/>
              </w:rPr>
            </w:pPr>
          </w:p>
        </w:tc>
        <w:tc>
          <w:tcPr>
            <w:tcW w:w="960" w:type="dxa"/>
            <w:tcBorders>
              <w:top w:val="single" w:sz="4" w:space="0" w:color="auto"/>
              <w:left w:val="nil"/>
              <w:bottom w:val="nil"/>
              <w:right w:val="nil"/>
            </w:tcBorders>
            <w:shd w:val="clear" w:color="auto" w:fill="auto"/>
            <w:noWrap/>
            <w:vAlign w:val="center"/>
            <w:hideMark/>
          </w:tcPr>
          <w:p w14:paraId="12DA78BB"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single" w:sz="4" w:space="0" w:color="auto"/>
              <w:left w:val="nil"/>
              <w:bottom w:val="nil"/>
              <w:right w:val="nil"/>
            </w:tcBorders>
            <w:shd w:val="clear" w:color="auto" w:fill="auto"/>
            <w:noWrap/>
            <w:vAlign w:val="center"/>
            <w:hideMark/>
          </w:tcPr>
          <w:p w14:paraId="62565A66"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single" w:sz="4" w:space="0" w:color="auto"/>
              <w:left w:val="nil"/>
              <w:bottom w:val="nil"/>
              <w:right w:val="nil"/>
            </w:tcBorders>
            <w:shd w:val="clear" w:color="auto" w:fill="auto"/>
            <w:noWrap/>
            <w:vAlign w:val="center"/>
            <w:hideMark/>
          </w:tcPr>
          <w:p w14:paraId="25D6EB4D"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single" w:sz="4" w:space="0" w:color="auto"/>
              <w:left w:val="nil"/>
              <w:bottom w:val="nil"/>
              <w:right w:val="nil"/>
            </w:tcBorders>
            <w:shd w:val="clear" w:color="auto" w:fill="auto"/>
            <w:noWrap/>
            <w:vAlign w:val="center"/>
            <w:hideMark/>
          </w:tcPr>
          <w:p w14:paraId="410DA032"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single" w:sz="4" w:space="0" w:color="auto"/>
              <w:left w:val="nil"/>
              <w:bottom w:val="nil"/>
              <w:right w:val="nil"/>
            </w:tcBorders>
            <w:shd w:val="clear" w:color="auto" w:fill="auto"/>
            <w:noWrap/>
            <w:vAlign w:val="center"/>
            <w:hideMark/>
          </w:tcPr>
          <w:p w14:paraId="42C772FC"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single" w:sz="4" w:space="0" w:color="auto"/>
              <w:left w:val="nil"/>
              <w:bottom w:val="nil"/>
              <w:right w:val="nil"/>
            </w:tcBorders>
            <w:shd w:val="clear" w:color="auto" w:fill="auto"/>
            <w:noWrap/>
            <w:vAlign w:val="center"/>
            <w:hideMark/>
          </w:tcPr>
          <w:p w14:paraId="7892F8B2"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single" w:sz="4" w:space="0" w:color="auto"/>
              <w:left w:val="nil"/>
              <w:bottom w:val="nil"/>
              <w:right w:val="nil"/>
            </w:tcBorders>
            <w:shd w:val="clear" w:color="auto" w:fill="auto"/>
            <w:noWrap/>
            <w:vAlign w:val="center"/>
            <w:hideMark/>
          </w:tcPr>
          <w:p w14:paraId="395BCBFC"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single" w:sz="4" w:space="0" w:color="auto"/>
              <w:left w:val="nil"/>
              <w:bottom w:val="nil"/>
              <w:right w:val="nil"/>
            </w:tcBorders>
            <w:shd w:val="clear" w:color="auto" w:fill="auto"/>
            <w:noWrap/>
            <w:vAlign w:val="center"/>
            <w:hideMark/>
          </w:tcPr>
          <w:p w14:paraId="11AD5E30"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single" w:sz="4" w:space="0" w:color="auto"/>
              <w:left w:val="nil"/>
              <w:bottom w:val="nil"/>
              <w:right w:val="nil"/>
            </w:tcBorders>
            <w:shd w:val="clear" w:color="auto" w:fill="auto"/>
            <w:noWrap/>
            <w:vAlign w:val="center"/>
            <w:hideMark/>
          </w:tcPr>
          <w:p w14:paraId="43031088" w14:textId="77777777" w:rsidR="009A7B5F" w:rsidRPr="00AE4D53" w:rsidRDefault="009A7B5F" w:rsidP="009F5DF5">
            <w:pPr>
              <w:spacing w:after="0" w:line="240" w:lineRule="auto"/>
              <w:ind w:firstLine="0"/>
              <w:jc w:val="center"/>
              <w:rPr>
                <w:rFonts w:eastAsia="Times New Roman" w:cstheme="majorBidi"/>
                <w:sz w:val="20"/>
                <w:szCs w:val="20"/>
              </w:rPr>
            </w:pPr>
          </w:p>
        </w:tc>
      </w:tr>
      <w:tr w:rsidR="009A7B5F" w:rsidRPr="00AE4D53" w14:paraId="2A5B4D3C"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377DE667"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2-ExpGap</w:t>
            </w:r>
          </w:p>
        </w:tc>
        <w:tc>
          <w:tcPr>
            <w:tcW w:w="960" w:type="dxa"/>
            <w:tcBorders>
              <w:top w:val="nil"/>
              <w:left w:val="nil"/>
              <w:bottom w:val="nil"/>
              <w:right w:val="nil"/>
            </w:tcBorders>
            <w:shd w:val="clear" w:color="auto" w:fill="auto"/>
            <w:noWrap/>
            <w:vAlign w:val="center"/>
            <w:hideMark/>
          </w:tcPr>
          <w:p w14:paraId="73FCC16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0.6273*</w:t>
            </w:r>
          </w:p>
        </w:tc>
        <w:tc>
          <w:tcPr>
            <w:tcW w:w="938" w:type="dxa"/>
            <w:tcBorders>
              <w:top w:val="nil"/>
              <w:left w:val="nil"/>
              <w:bottom w:val="nil"/>
              <w:right w:val="nil"/>
            </w:tcBorders>
            <w:shd w:val="clear" w:color="auto" w:fill="auto"/>
            <w:noWrap/>
            <w:vAlign w:val="center"/>
            <w:hideMark/>
          </w:tcPr>
          <w:p w14:paraId="42937669"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1.00</w:t>
            </w:r>
          </w:p>
        </w:tc>
        <w:tc>
          <w:tcPr>
            <w:tcW w:w="1300" w:type="dxa"/>
            <w:tcBorders>
              <w:top w:val="nil"/>
              <w:left w:val="nil"/>
              <w:bottom w:val="nil"/>
              <w:right w:val="nil"/>
            </w:tcBorders>
            <w:shd w:val="clear" w:color="auto" w:fill="auto"/>
            <w:noWrap/>
            <w:vAlign w:val="center"/>
            <w:hideMark/>
          </w:tcPr>
          <w:p w14:paraId="2E3281C6" w14:textId="77777777" w:rsidR="009A7B5F" w:rsidRPr="00EE4172" w:rsidRDefault="009A7B5F" w:rsidP="009F5DF5">
            <w:pPr>
              <w:spacing w:after="0" w:line="240" w:lineRule="auto"/>
              <w:ind w:firstLine="0"/>
              <w:jc w:val="center"/>
              <w:rPr>
                <w:rFonts w:eastAsia="Times New Roman" w:cstheme="majorBidi"/>
                <w:color w:val="000000"/>
                <w:sz w:val="20"/>
                <w:szCs w:val="20"/>
                <w:highlight w:val="yellow"/>
              </w:rPr>
            </w:pPr>
          </w:p>
        </w:tc>
        <w:tc>
          <w:tcPr>
            <w:tcW w:w="960" w:type="dxa"/>
            <w:tcBorders>
              <w:top w:val="nil"/>
              <w:left w:val="nil"/>
              <w:bottom w:val="nil"/>
              <w:right w:val="nil"/>
            </w:tcBorders>
            <w:shd w:val="clear" w:color="auto" w:fill="auto"/>
            <w:noWrap/>
            <w:vAlign w:val="center"/>
            <w:hideMark/>
          </w:tcPr>
          <w:p w14:paraId="62A9446C"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12B2C59E"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6F5404D4"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054A2F55"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0A067C2A"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35D61826"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716928D1"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6A4FD0E9"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130E6592" w14:textId="77777777" w:rsidR="009A7B5F" w:rsidRPr="00AE4D53" w:rsidRDefault="009A7B5F" w:rsidP="009F5DF5">
            <w:pPr>
              <w:spacing w:after="0" w:line="240" w:lineRule="auto"/>
              <w:ind w:firstLine="0"/>
              <w:jc w:val="center"/>
              <w:rPr>
                <w:rFonts w:eastAsia="Times New Roman" w:cstheme="majorBidi"/>
                <w:sz w:val="20"/>
                <w:szCs w:val="20"/>
              </w:rPr>
            </w:pPr>
          </w:p>
        </w:tc>
      </w:tr>
      <w:tr w:rsidR="009A7B5F" w:rsidRPr="00AE4D53" w14:paraId="5E7EB52F"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0BAEBD4F"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3-UnexpGap</w:t>
            </w:r>
          </w:p>
        </w:tc>
        <w:tc>
          <w:tcPr>
            <w:tcW w:w="960" w:type="dxa"/>
            <w:tcBorders>
              <w:top w:val="nil"/>
              <w:left w:val="nil"/>
              <w:bottom w:val="nil"/>
              <w:right w:val="nil"/>
            </w:tcBorders>
            <w:shd w:val="clear" w:color="auto" w:fill="auto"/>
            <w:noWrap/>
            <w:vAlign w:val="center"/>
            <w:hideMark/>
          </w:tcPr>
          <w:p w14:paraId="49A13041"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0.7788*</w:t>
            </w:r>
          </w:p>
        </w:tc>
        <w:tc>
          <w:tcPr>
            <w:tcW w:w="938" w:type="dxa"/>
            <w:tcBorders>
              <w:top w:val="nil"/>
              <w:left w:val="nil"/>
              <w:bottom w:val="nil"/>
              <w:right w:val="nil"/>
            </w:tcBorders>
            <w:shd w:val="clear" w:color="auto" w:fill="auto"/>
            <w:noWrap/>
            <w:vAlign w:val="center"/>
            <w:hideMark/>
          </w:tcPr>
          <w:p w14:paraId="47C4FC10"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1300" w:type="dxa"/>
            <w:tcBorders>
              <w:top w:val="nil"/>
              <w:left w:val="nil"/>
              <w:bottom w:val="nil"/>
              <w:right w:val="nil"/>
            </w:tcBorders>
            <w:shd w:val="clear" w:color="auto" w:fill="auto"/>
            <w:noWrap/>
            <w:vAlign w:val="center"/>
            <w:hideMark/>
          </w:tcPr>
          <w:p w14:paraId="6B06D278"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1.00</w:t>
            </w:r>
          </w:p>
        </w:tc>
        <w:tc>
          <w:tcPr>
            <w:tcW w:w="960" w:type="dxa"/>
            <w:tcBorders>
              <w:top w:val="nil"/>
              <w:left w:val="nil"/>
              <w:bottom w:val="nil"/>
              <w:right w:val="nil"/>
            </w:tcBorders>
            <w:shd w:val="clear" w:color="auto" w:fill="auto"/>
            <w:noWrap/>
            <w:vAlign w:val="center"/>
            <w:hideMark/>
          </w:tcPr>
          <w:p w14:paraId="7FC52B91" w14:textId="77777777" w:rsidR="009A7B5F" w:rsidRPr="00AE4D53" w:rsidRDefault="009A7B5F" w:rsidP="009F5DF5">
            <w:pPr>
              <w:spacing w:after="0" w:line="240" w:lineRule="auto"/>
              <w:ind w:firstLine="0"/>
              <w:jc w:val="center"/>
              <w:rPr>
                <w:rFonts w:eastAsia="Times New Roman" w:cstheme="majorBidi"/>
                <w:color w:val="000000"/>
                <w:sz w:val="20"/>
                <w:szCs w:val="20"/>
              </w:rPr>
            </w:pPr>
          </w:p>
        </w:tc>
        <w:tc>
          <w:tcPr>
            <w:tcW w:w="960" w:type="dxa"/>
            <w:tcBorders>
              <w:top w:val="nil"/>
              <w:left w:val="nil"/>
              <w:bottom w:val="nil"/>
              <w:right w:val="nil"/>
            </w:tcBorders>
            <w:shd w:val="clear" w:color="auto" w:fill="auto"/>
            <w:noWrap/>
            <w:vAlign w:val="center"/>
            <w:hideMark/>
          </w:tcPr>
          <w:p w14:paraId="4A25621F"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17321043"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76A69B60"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70A3A530"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51051141"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4A73DD54"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59FEBCE0"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1CA0C3A8" w14:textId="77777777" w:rsidR="009A7B5F" w:rsidRPr="00AE4D53" w:rsidRDefault="009A7B5F" w:rsidP="009F5DF5">
            <w:pPr>
              <w:spacing w:after="0" w:line="240" w:lineRule="auto"/>
              <w:ind w:firstLine="0"/>
              <w:jc w:val="center"/>
              <w:rPr>
                <w:rFonts w:eastAsia="Times New Roman" w:cstheme="majorBidi"/>
                <w:sz w:val="20"/>
                <w:szCs w:val="20"/>
              </w:rPr>
            </w:pPr>
          </w:p>
        </w:tc>
      </w:tr>
      <w:tr w:rsidR="009A7B5F" w:rsidRPr="00AE4D53" w14:paraId="3F45271C"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3DF9ABE8"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4-TFP</w:t>
            </w:r>
          </w:p>
        </w:tc>
        <w:tc>
          <w:tcPr>
            <w:tcW w:w="960" w:type="dxa"/>
            <w:tcBorders>
              <w:top w:val="nil"/>
              <w:left w:val="nil"/>
              <w:bottom w:val="nil"/>
              <w:right w:val="nil"/>
            </w:tcBorders>
            <w:shd w:val="clear" w:color="auto" w:fill="auto"/>
            <w:noWrap/>
            <w:vAlign w:val="center"/>
            <w:hideMark/>
          </w:tcPr>
          <w:p w14:paraId="2E44C956"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-0.2112*</w:t>
            </w:r>
          </w:p>
        </w:tc>
        <w:tc>
          <w:tcPr>
            <w:tcW w:w="938" w:type="dxa"/>
            <w:tcBorders>
              <w:top w:val="nil"/>
              <w:left w:val="nil"/>
              <w:bottom w:val="nil"/>
              <w:right w:val="nil"/>
            </w:tcBorders>
            <w:shd w:val="clear" w:color="auto" w:fill="auto"/>
            <w:noWrap/>
            <w:vAlign w:val="center"/>
            <w:hideMark/>
          </w:tcPr>
          <w:p w14:paraId="1FECAADB"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0.0793*</w:t>
            </w:r>
          </w:p>
        </w:tc>
        <w:tc>
          <w:tcPr>
            <w:tcW w:w="1300" w:type="dxa"/>
            <w:tcBorders>
              <w:top w:val="nil"/>
              <w:left w:val="nil"/>
              <w:bottom w:val="nil"/>
              <w:right w:val="nil"/>
            </w:tcBorders>
            <w:shd w:val="clear" w:color="auto" w:fill="auto"/>
            <w:noWrap/>
            <w:vAlign w:val="center"/>
            <w:hideMark/>
          </w:tcPr>
          <w:p w14:paraId="55635964"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-0.3491*</w:t>
            </w:r>
          </w:p>
        </w:tc>
        <w:tc>
          <w:tcPr>
            <w:tcW w:w="960" w:type="dxa"/>
            <w:tcBorders>
              <w:top w:val="nil"/>
              <w:left w:val="nil"/>
              <w:bottom w:val="nil"/>
              <w:right w:val="nil"/>
            </w:tcBorders>
            <w:shd w:val="clear" w:color="auto" w:fill="auto"/>
            <w:noWrap/>
            <w:vAlign w:val="center"/>
            <w:hideMark/>
          </w:tcPr>
          <w:p w14:paraId="5F693641"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1.00</w:t>
            </w:r>
          </w:p>
        </w:tc>
        <w:tc>
          <w:tcPr>
            <w:tcW w:w="960" w:type="dxa"/>
            <w:tcBorders>
              <w:top w:val="nil"/>
              <w:left w:val="nil"/>
              <w:bottom w:val="nil"/>
              <w:right w:val="nil"/>
            </w:tcBorders>
            <w:shd w:val="clear" w:color="auto" w:fill="auto"/>
            <w:noWrap/>
            <w:vAlign w:val="center"/>
            <w:hideMark/>
          </w:tcPr>
          <w:p w14:paraId="62534F27" w14:textId="77777777" w:rsidR="009A7B5F" w:rsidRPr="00AE4D53" w:rsidRDefault="009A7B5F" w:rsidP="009F5DF5">
            <w:pPr>
              <w:spacing w:after="0" w:line="240" w:lineRule="auto"/>
              <w:ind w:firstLine="0"/>
              <w:jc w:val="center"/>
              <w:rPr>
                <w:rFonts w:eastAsia="Times New Roman" w:cstheme="majorBidi"/>
                <w:color w:val="000000"/>
                <w:sz w:val="20"/>
                <w:szCs w:val="20"/>
              </w:rPr>
            </w:pPr>
          </w:p>
        </w:tc>
        <w:tc>
          <w:tcPr>
            <w:tcW w:w="960" w:type="dxa"/>
            <w:tcBorders>
              <w:top w:val="nil"/>
              <w:left w:val="nil"/>
              <w:bottom w:val="nil"/>
              <w:right w:val="nil"/>
            </w:tcBorders>
            <w:shd w:val="clear" w:color="auto" w:fill="auto"/>
            <w:noWrap/>
            <w:vAlign w:val="center"/>
            <w:hideMark/>
          </w:tcPr>
          <w:p w14:paraId="31106874"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5D840973"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2D6B5C6B"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0AC52DF8"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4981464E"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7F72F58D"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78430C8B" w14:textId="77777777" w:rsidR="009A7B5F" w:rsidRPr="00AE4D53" w:rsidRDefault="009A7B5F" w:rsidP="009F5DF5">
            <w:pPr>
              <w:spacing w:after="0" w:line="240" w:lineRule="auto"/>
              <w:ind w:firstLine="0"/>
              <w:jc w:val="center"/>
              <w:rPr>
                <w:rFonts w:eastAsia="Times New Roman" w:cstheme="majorBidi"/>
                <w:sz w:val="20"/>
                <w:szCs w:val="20"/>
              </w:rPr>
            </w:pPr>
          </w:p>
        </w:tc>
      </w:tr>
      <w:tr w:rsidR="009A7B5F" w:rsidRPr="00AE4D53" w14:paraId="12AC476A"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5AFA2554"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5-SLE</w:t>
            </w:r>
          </w:p>
        </w:tc>
        <w:tc>
          <w:tcPr>
            <w:tcW w:w="960" w:type="dxa"/>
            <w:tcBorders>
              <w:top w:val="nil"/>
              <w:left w:val="nil"/>
              <w:bottom w:val="nil"/>
              <w:right w:val="nil"/>
            </w:tcBorders>
            <w:shd w:val="clear" w:color="auto" w:fill="auto"/>
            <w:noWrap/>
            <w:vAlign w:val="center"/>
            <w:hideMark/>
          </w:tcPr>
          <w:p w14:paraId="4976DE48"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-0.1109*</w:t>
            </w:r>
          </w:p>
        </w:tc>
        <w:tc>
          <w:tcPr>
            <w:tcW w:w="938" w:type="dxa"/>
            <w:tcBorders>
              <w:top w:val="nil"/>
              <w:left w:val="nil"/>
              <w:bottom w:val="nil"/>
              <w:right w:val="nil"/>
            </w:tcBorders>
            <w:shd w:val="clear" w:color="auto" w:fill="auto"/>
            <w:noWrap/>
            <w:vAlign w:val="center"/>
            <w:hideMark/>
          </w:tcPr>
          <w:p w14:paraId="703A5708"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0.2192*</w:t>
            </w:r>
          </w:p>
        </w:tc>
        <w:tc>
          <w:tcPr>
            <w:tcW w:w="1300" w:type="dxa"/>
            <w:tcBorders>
              <w:top w:val="nil"/>
              <w:left w:val="nil"/>
              <w:bottom w:val="nil"/>
              <w:right w:val="nil"/>
            </w:tcBorders>
            <w:shd w:val="clear" w:color="auto" w:fill="auto"/>
            <w:noWrap/>
            <w:vAlign w:val="center"/>
            <w:hideMark/>
          </w:tcPr>
          <w:p w14:paraId="0929B6CF"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-0.3830*</w:t>
            </w:r>
          </w:p>
        </w:tc>
        <w:tc>
          <w:tcPr>
            <w:tcW w:w="960" w:type="dxa"/>
            <w:tcBorders>
              <w:top w:val="nil"/>
              <w:left w:val="nil"/>
              <w:bottom w:val="nil"/>
              <w:right w:val="nil"/>
            </w:tcBorders>
            <w:shd w:val="clear" w:color="auto" w:fill="auto"/>
            <w:noWrap/>
            <w:vAlign w:val="center"/>
            <w:hideMark/>
          </w:tcPr>
          <w:p w14:paraId="2056E211"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0.6890*</w:t>
            </w:r>
          </w:p>
        </w:tc>
        <w:tc>
          <w:tcPr>
            <w:tcW w:w="960" w:type="dxa"/>
            <w:tcBorders>
              <w:top w:val="nil"/>
              <w:left w:val="nil"/>
              <w:bottom w:val="nil"/>
              <w:right w:val="nil"/>
            </w:tcBorders>
            <w:shd w:val="clear" w:color="auto" w:fill="auto"/>
            <w:noWrap/>
            <w:vAlign w:val="center"/>
            <w:hideMark/>
          </w:tcPr>
          <w:p w14:paraId="402B68DD"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1.00</w:t>
            </w:r>
          </w:p>
        </w:tc>
        <w:tc>
          <w:tcPr>
            <w:tcW w:w="960" w:type="dxa"/>
            <w:tcBorders>
              <w:top w:val="nil"/>
              <w:left w:val="nil"/>
              <w:bottom w:val="nil"/>
              <w:right w:val="nil"/>
            </w:tcBorders>
            <w:shd w:val="clear" w:color="auto" w:fill="auto"/>
            <w:noWrap/>
            <w:vAlign w:val="center"/>
            <w:hideMark/>
          </w:tcPr>
          <w:p w14:paraId="5C62B316" w14:textId="77777777" w:rsidR="009A7B5F" w:rsidRPr="00AE4D53" w:rsidRDefault="009A7B5F" w:rsidP="009F5DF5">
            <w:pPr>
              <w:spacing w:after="0" w:line="240" w:lineRule="auto"/>
              <w:ind w:firstLine="0"/>
              <w:jc w:val="center"/>
              <w:rPr>
                <w:rFonts w:eastAsia="Times New Roman" w:cstheme="majorBidi"/>
                <w:color w:val="000000"/>
                <w:sz w:val="20"/>
                <w:szCs w:val="20"/>
              </w:rPr>
            </w:pPr>
          </w:p>
        </w:tc>
        <w:tc>
          <w:tcPr>
            <w:tcW w:w="960" w:type="dxa"/>
            <w:tcBorders>
              <w:top w:val="nil"/>
              <w:left w:val="nil"/>
              <w:bottom w:val="nil"/>
              <w:right w:val="nil"/>
            </w:tcBorders>
            <w:shd w:val="clear" w:color="auto" w:fill="auto"/>
            <w:noWrap/>
            <w:vAlign w:val="center"/>
            <w:hideMark/>
          </w:tcPr>
          <w:p w14:paraId="517D33CC"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4B390D06"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66B578F1"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5AEDA69E"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6A1DD8E8"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1617307F" w14:textId="77777777" w:rsidR="009A7B5F" w:rsidRPr="00AE4D53" w:rsidRDefault="009A7B5F" w:rsidP="009F5DF5">
            <w:pPr>
              <w:spacing w:after="0" w:line="240" w:lineRule="auto"/>
              <w:ind w:firstLine="0"/>
              <w:jc w:val="center"/>
              <w:rPr>
                <w:rFonts w:eastAsia="Times New Roman" w:cstheme="majorBidi"/>
                <w:sz w:val="20"/>
                <w:szCs w:val="20"/>
              </w:rPr>
            </w:pPr>
          </w:p>
        </w:tc>
      </w:tr>
      <w:tr w:rsidR="009A7B5F" w:rsidRPr="00AE4D53" w14:paraId="0B21C628"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763C67B9"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6-LnAverageEmployee</w:t>
            </w:r>
          </w:p>
        </w:tc>
        <w:tc>
          <w:tcPr>
            <w:tcW w:w="960" w:type="dxa"/>
            <w:tcBorders>
              <w:top w:val="nil"/>
              <w:left w:val="nil"/>
              <w:bottom w:val="nil"/>
              <w:right w:val="nil"/>
            </w:tcBorders>
            <w:shd w:val="clear" w:color="auto" w:fill="auto"/>
            <w:noWrap/>
            <w:vAlign w:val="center"/>
            <w:hideMark/>
          </w:tcPr>
          <w:p w14:paraId="06642995"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-0.6437*</w:t>
            </w:r>
          </w:p>
        </w:tc>
        <w:tc>
          <w:tcPr>
            <w:tcW w:w="938" w:type="dxa"/>
            <w:tcBorders>
              <w:top w:val="nil"/>
              <w:left w:val="nil"/>
              <w:bottom w:val="nil"/>
              <w:right w:val="nil"/>
            </w:tcBorders>
            <w:shd w:val="clear" w:color="auto" w:fill="auto"/>
            <w:noWrap/>
            <w:vAlign w:val="center"/>
            <w:hideMark/>
          </w:tcPr>
          <w:p w14:paraId="4B9BF8E4"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-0.2353*</w:t>
            </w:r>
          </w:p>
        </w:tc>
        <w:tc>
          <w:tcPr>
            <w:tcW w:w="1300" w:type="dxa"/>
            <w:tcBorders>
              <w:top w:val="nil"/>
              <w:left w:val="nil"/>
              <w:bottom w:val="nil"/>
              <w:right w:val="nil"/>
            </w:tcBorders>
            <w:shd w:val="clear" w:color="auto" w:fill="auto"/>
            <w:noWrap/>
            <w:vAlign w:val="center"/>
            <w:hideMark/>
          </w:tcPr>
          <w:p w14:paraId="39A832C6"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-0.6805*</w:t>
            </w:r>
          </w:p>
        </w:tc>
        <w:tc>
          <w:tcPr>
            <w:tcW w:w="960" w:type="dxa"/>
            <w:tcBorders>
              <w:top w:val="nil"/>
              <w:left w:val="nil"/>
              <w:bottom w:val="nil"/>
              <w:right w:val="nil"/>
            </w:tcBorders>
            <w:shd w:val="clear" w:color="auto" w:fill="auto"/>
            <w:noWrap/>
            <w:vAlign w:val="center"/>
            <w:hideMark/>
          </w:tcPr>
          <w:p w14:paraId="04B097A5"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0.3467*</w:t>
            </w:r>
          </w:p>
        </w:tc>
        <w:tc>
          <w:tcPr>
            <w:tcW w:w="960" w:type="dxa"/>
            <w:tcBorders>
              <w:top w:val="nil"/>
              <w:left w:val="nil"/>
              <w:bottom w:val="nil"/>
              <w:right w:val="nil"/>
            </w:tcBorders>
            <w:shd w:val="clear" w:color="auto" w:fill="auto"/>
            <w:noWrap/>
            <w:vAlign w:val="center"/>
            <w:hideMark/>
          </w:tcPr>
          <w:p w14:paraId="05B653E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0.4827*</w:t>
            </w:r>
          </w:p>
        </w:tc>
        <w:tc>
          <w:tcPr>
            <w:tcW w:w="960" w:type="dxa"/>
            <w:tcBorders>
              <w:top w:val="nil"/>
              <w:left w:val="nil"/>
              <w:bottom w:val="nil"/>
              <w:right w:val="nil"/>
            </w:tcBorders>
            <w:shd w:val="clear" w:color="auto" w:fill="auto"/>
            <w:noWrap/>
            <w:vAlign w:val="center"/>
            <w:hideMark/>
          </w:tcPr>
          <w:p w14:paraId="3EBCCEC2"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1.00</w:t>
            </w:r>
          </w:p>
        </w:tc>
        <w:tc>
          <w:tcPr>
            <w:tcW w:w="960" w:type="dxa"/>
            <w:tcBorders>
              <w:top w:val="nil"/>
              <w:left w:val="nil"/>
              <w:bottom w:val="nil"/>
              <w:right w:val="nil"/>
            </w:tcBorders>
            <w:shd w:val="clear" w:color="auto" w:fill="auto"/>
            <w:noWrap/>
            <w:vAlign w:val="center"/>
            <w:hideMark/>
          </w:tcPr>
          <w:p w14:paraId="6C54B128" w14:textId="77777777" w:rsidR="009A7B5F" w:rsidRPr="00AE4D53" w:rsidRDefault="009A7B5F" w:rsidP="009F5DF5">
            <w:pPr>
              <w:spacing w:after="0" w:line="240" w:lineRule="auto"/>
              <w:ind w:firstLine="0"/>
              <w:jc w:val="center"/>
              <w:rPr>
                <w:rFonts w:eastAsia="Times New Roman" w:cstheme="majorBidi"/>
                <w:color w:val="000000"/>
                <w:sz w:val="20"/>
                <w:szCs w:val="20"/>
              </w:rPr>
            </w:pPr>
          </w:p>
        </w:tc>
        <w:tc>
          <w:tcPr>
            <w:tcW w:w="960" w:type="dxa"/>
            <w:tcBorders>
              <w:top w:val="nil"/>
              <w:left w:val="nil"/>
              <w:bottom w:val="nil"/>
              <w:right w:val="nil"/>
            </w:tcBorders>
            <w:shd w:val="clear" w:color="auto" w:fill="auto"/>
            <w:noWrap/>
            <w:vAlign w:val="center"/>
            <w:hideMark/>
          </w:tcPr>
          <w:p w14:paraId="081D2CB8"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62493295"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2D26709F"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36BB4C38"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4A67CC9F" w14:textId="77777777" w:rsidR="009A7B5F" w:rsidRPr="00AE4D53" w:rsidRDefault="009A7B5F" w:rsidP="009F5DF5">
            <w:pPr>
              <w:spacing w:after="0" w:line="240" w:lineRule="auto"/>
              <w:ind w:firstLine="0"/>
              <w:jc w:val="center"/>
              <w:rPr>
                <w:rFonts w:eastAsia="Times New Roman" w:cstheme="majorBidi"/>
                <w:sz w:val="20"/>
                <w:szCs w:val="20"/>
              </w:rPr>
            </w:pPr>
          </w:p>
        </w:tc>
      </w:tr>
      <w:tr w:rsidR="009A7B5F" w:rsidRPr="00AE4D53" w14:paraId="514F7AF9"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29BBB091"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7-LnRevenue</w:t>
            </w:r>
          </w:p>
        </w:tc>
        <w:tc>
          <w:tcPr>
            <w:tcW w:w="960" w:type="dxa"/>
            <w:tcBorders>
              <w:top w:val="nil"/>
              <w:left w:val="nil"/>
              <w:bottom w:val="nil"/>
              <w:right w:val="nil"/>
            </w:tcBorders>
            <w:shd w:val="clear" w:color="auto" w:fill="auto"/>
            <w:noWrap/>
            <w:vAlign w:val="center"/>
            <w:hideMark/>
          </w:tcPr>
          <w:p w14:paraId="207181D2"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0.5104*</w:t>
            </w:r>
          </w:p>
        </w:tc>
        <w:tc>
          <w:tcPr>
            <w:tcW w:w="938" w:type="dxa"/>
            <w:tcBorders>
              <w:top w:val="nil"/>
              <w:left w:val="nil"/>
              <w:bottom w:val="nil"/>
              <w:right w:val="nil"/>
            </w:tcBorders>
            <w:shd w:val="clear" w:color="auto" w:fill="auto"/>
            <w:noWrap/>
            <w:vAlign w:val="center"/>
            <w:hideMark/>
          </w:tcPr>
          <w:p w14:paraId="3D8E1248"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0.7955*</w:t>
            </w:r>
          </w:p>
        </w:tc>
        <w:tc>
          <w:tcPr>
            <w:tcW w:w="1300" w:type="dxa"/>
            <w:tcBorders>
              <w:top w:val="nil"/>
              <w:left w:val="nil"/>
              <w:bottom w:val="nil"/>
              <w:right w:val="nil"/>
            </w:tcBorders>
            <w:shd w:val="clear" w:color="auto" w:fill="auto"/>
            <w:noWrap/>
            <w:vAlign w:val="center"/>
            <w:hideMark/>
          </w:tcPr>
          <w:p w14:paraId="0E602874"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19FCAAE2"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0.1441*</w:t>
            </w:r>
          </w:p>
        </w:tc>
        <w:tc>
          <w:tcPr>
            <w:tcW w:w="960" w:type="dxa"/>
            <w:tcBorders>
              <w:top w:val="nil"/>
              <w:left w:val="nil"/>
              <w:bottom w:val="nil"/>
              <w:right w:val="nil"/>
            </w:tcBorders>
            <w:shd w:val="clear" w:color="auto" w:fill="auto"/>
            <w:noWrap/>
            <w:vAlign w:val="center"/>
            <w:hideMark/>
          </w:tcPr>
          <w:p w14:paraId="0D34512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0.4057*</w:t>
            </w:r>
          </w:p>
        </w:tc>
        <w:tc>
          <w:tcPr>
            <w:tcW w:w="960" w:type="dxa"/>
            <w:tcBorders>
              <w:top w:val="nil"/>
              <w:left w:val="nil"/>
              <w:bottom w:val="nil"/>
              <w:right w:val="nil"/>
            </w:tcBorders>
            <w:shd w:val="clear" w:color="auto" w:fill="auto"/>
            <w:noWrap/>
            <w:vAlign w:val="center"/>
            <w:hideMark/>
          </w:tcPr>
          <w:p w14:paraId="2B1B2A94"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-0.1147*</w:t>
            </w:r>
          </w:p>
        </w:tc>
        <w:tc>
          <w:tcPr>
            <w:tcW w:w="960" w:type="dxa"/>
            <w:tcBorders>
              <w:top w:val="nil"/>
              <w:left w:val="nil"/>
              <w:bottom w:val="nil"/>
              <w:right w:val="nil"/>
            </w:tcBorders>
            <w:shd w:val="clear" w:color="auto" w:fill="auto"/>
            <w:noWrap/>
            <w:vAlign w:val="center"/>
            <w:hideMark/>
          </w:tcPr>
          <w:p w14:paraId="4C3D339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1.00</w:t>
            </w:r>
          </w:p>
        </w:tc>
        <w:tc>
          <w:tcPr>
            <w:tcW w:w="960" w:type="dxa"/>
            <w:tcBorders>
              <w:top w:val="nil"/>
              <w:left w:val="nil"/>
              <w:bottom w:val="nil"/>
              <w:right w:val="nil"/>
            </w:tcBorders>
            <w:shd w:val="clear" w:color="auto" w:fill="auto"/>
            <w:noWrap/>
            <w:vAlign w:val="center"/>
            <w:hideMark/>
          </w:tcPr>
          <w:p w14:paraId="62F07700" w14:textId="77777777" w:rsidR="009A7B5F" w:rsidRPr="00AE4D53" w:rsidRDefault="009A7B5F" w:rsidP="009F5DF5">
            <w:pPr>
              <w:spacing w:after="0" w:line="240" w:lineRule="auto"/>
              <w:ind w:firstLine="0"/>
              <w:jc w:val="center"/>
              <w:rPr>
                <w:rFonts w:eastAsia="Times New Roman" w:cstheme="majorBidi"/>
                <w:color w:val="000000"/>
                <w:sz w:val="20"/>
                <w:szCs w:val="20"/>
              </w:rPr>
            </w:pPr>
          </w:p>
        </w:tc>
        <w:tc>
          <w:tcPr>
            <w:tcW w:w="960" w:type="dxa"/>
            <w:tcBorders>
              <w:top w:val="nil"/>
              <w:left w:val="nil"/>
              <w:bottom w:val="nil"/>
              <w:right w:val="nil"/>
            </w:tcBorders>
            <w:shd w:val="clear" w:color="auto" w:fill="auto"/>
            <w:noWrap/>
            <w:vAlign w:val="center"/>
            <w:hideMark/>
          </w:tcPr>
          <w:p w14:paraId="3E122AB8"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59FDA803"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73236CC1"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31101702" w14:textId="77777777" w:rsidR="009A7B5F" w:rsidRPr="00AE4D53" w:rsidRDefault="009A7B5F" w:rsidP="009F5DF5">
            <w:pPr>
              <w:spacing w:after="0" w:line="240" w:lineRule="auto"/>
              <w:ind w:firstLine="0"/>
              <w:jc w:val="center"/>
              <w:rPr>
                <w:rFonts w:eastAsia="Times New Roman" w:cstheme="majorBidi"/>
                <w:sz w:val="20"/>
                <w:szCs w:val="20"/>
              </w:rPr>
            </w:pPr>
          </w:p>
        </w:tc>
      </w:tr>
      <w:tr w:rsidR="009A7B5F" w:rsidRPr="00AE4D53" w14:paraId="549E128D"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712D74BA"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8-BTM</w:t>
            </w:r>
          </w:p>
        </w:tc>
        <w:tc>
          <w:tcPr>
            <w:tcW w:w="960" w:type="dxa"/>
            <w:tcBorders>
              <w:top w:val="nil"/>
              <w:left w:val="nil"/>
              <w:bottom w:val="nil"/>
              <w:right w:val="nil"/>
            </w:tcBorders>
            <w:shd w:val="clear" w:color="auto" w:fill="auto"/>
            <w:noWrap/>
            <w:vAlign w:val="center"/>
            <w:hideMark/>
          </w:tcPr>
          <w:p w14:paraId="77E3EE57"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-0.1220*</w:t>
            </w:r>
          </w:p>
        </w:tc>
        <w:tc>
          <w:tcPr>
            <w:tcW w:w="938" w:type="dxa"/>
            <w:tcBorders>
              <w:top w:val="nil"/>
              <w:left w:val="nil"/>
              <w:bottom w:val="nil"/>
              <w:right w:val="nil"/>
            </w:tcBorders>
            <w:shd w:val="clear" w:color="auto" w:fill="auto"/>
            <w:noWrap/>
            <w:vAlign w:val="center"/>
            <w:hideMark/>
          </w:tcPr>
          <w:p w14:paraId="7E3B79A9"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-0.2095*</w:t>
            </w:r>
          </w:p>
        </w:tc>
        <w:tc>
          <w:tcPr>
            <w:tcW w:w="1300" w:type="dxa"/>
            <w:tcBorders>
              <w:top w:val="nil"/>
              <w:left w:val="nil"/>
              <w:bottom w:val="nil"/>
              <w:right w:val="nil"/>
            </w:tcBorders>
            <w:shd w:val="clear" w:color="auto" w:fill="auto"/>
            <w:noWrap/>
            <w:vAlign w:val="center"/>
            <w:hideMark/>
          </w:tcPr>
          <w:p w14:paraId="4AB7448D"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73CDAE4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0.0490*</w:t>
            </w:r>
          </w:p>
        </w:tc>
        <w:tc>
          <w:tcPr>
            <w:tcW w:w="960" w:type="dxa"/>
            <w:tcBorders>
              <w:top w:val="nil"/>
              <w:left w:val="nil"/>
              <w:bottom w:val="nil"/>
              <w:right w:val="nil"/>
            </w:tcBorders>
            <w:shd w:val="clear" w:color="auto" w:fill="auto"/>
            <w:noWrap/>
            <w:vAlign w:val="center"/>
            <w:hideMark/>
          </w:tcPr>
          <w:p w14:paraId="34A50BC7"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0.0463*</w:t>
            </w:r>
          </w:p>
        </w:tc>
        <w:tc>
          <w:tcPr>
            <w:tcW w:w="960" w:type="dxa"/>
            <w:tcBorders>
              <w:top w:val="nil"/>
              <w:left w:val="nil"/>
              <w:bottom w:val="nil"/>
              <w:right w:val="nil"/>
            </w:tcBorders>
            <w:shd w:val="clear" w:color="auto" w:fill="auto"/>
            <w:noWrap/>
            <w:vAlign w:val="center"/>
            <w:hideMark/>
          </w:tcPr>
          <w:p w14:paraId="3AC1AD8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332B04E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-0.0703*</w:t>
            </w:r>
          </w:p>
        </w:tc>
        <w:tc>
          <w:tcPr>
            <w:tcW w:w="960" w:type="dxa"/>
            <w:tcBorders>
              <w:top w:val="nil"/>
              <w:left w:val="nil"/>
              <w:bottom w:val="nil"/>
              <w:right w:val="nil"/>
            </w:tcBorders>
            <w:shd w:val="clear" w:color="auto" w:fill="auto"/>
            <w:noWrap/>
            <w:vAlign w:val="center"/>
            <w:hideMark/>
          </w:tcPr>
          <w:p w14:paraId="1467411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1.00</w:t>
            </w:r>
          </w:p>
        </w:tc>
        <w:tc>
          <w:tcPr>
            <w:tcW w:w="960" w:type="dxa"/>
            <w:tcBorders>
              <w:top w:val="nil"/>
              <w:left w:val="nil"/>
              <w:bottom w:val="nil"/>
              <w:right w:val="nil"/>
            </w:tcBorders>
            <w:shd w:val="clear" w:color="auto" w:fill="auto"/>
            <w:noWrap/>
            <w:vAlign w:val="center"/>
            <w:hideMark/>
          </w:tcPr>
          <w:p w14:paraId="583829C0" w14:textId="77777777" w:rsidR="009A7B5F" w:rsidRPr="00AE4D53" w:rsidRDefault="009A7B5F" w:rsidP="009F5DF5">
            <w:pPr>
              <w:spacing w:after="0" w:line="240" w:lineRule="auto"/>
              <w:ind w:firstLine="0"/>
              <w:jc w:val="center"/>
              <w:rPr>
                <w:rFonts w:eastAsia="Times New Roman" w:cstheme="majorBidi"/>
                <w:color w:val="000000"/>
                <w:sz w:val="20"/>
                <w:szCs w:val="20"/>
              </w:rPr>
            </w:pPr>
          </w:p>
        </w:tc>
        <w:tc>
          <w:tcPr>
            <w:tcW w:w="960" w:type="dxa"/>
            <w:tcBorders>
              <w:top w:val="nil"/>
              <w:left w:val="nil"/>
              <w:bottom w:val="nil"/>
              <w:right w:val="nil"/>
            </w:tcBorders>
            <w:shd w:val="clear" w:color="auto" w:fill="auto"/>
            <w:noWrap/>
            <w:vAlign w:val="center"/>
            <w:hideMark/>
          </w:tcPr>
          <w:p w14:paraId="7DA69F43"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7C38B87C"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270A63A9" w14:textId="77777777" w:rsidR="009A7B5F" w:rsidRPr="00AE4D53" w:rsidRDefault="009A7B5F" w:rsidP="009F5DF5">
            <w:pPr>
              <w:spacing w:after="0" w:line="240" w:lineRule="auto"/>
              <w:ind w:firstLine="0"/>
              <w:jc w:val="center"/>
              <w:rPr>
                <w:rFonts w:eastAsia="Times New Roman" w:cstheme="majorBidi"/>
                <w:sz w:val="20"/>
                <w:szCs w:val="20"/>
              </w:rPr>
            </w:pPr>
          </w:p>
        </w:tc>
      </w:tr>
      <w:tr w:rsidR="009A7B5F" w:rsidRPr="00AE4D53" w14:paraId="7715C5BB"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4F3A81FD"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9-LnAge</w:t>
            </w:r>
          </w:p>
        </w:tc>
        <w:tc>
          <w:tcPr>
            <w:tcW w:w="960" w:type="dxa"/>
            <w:tcBorders>
              <w:top w:val="nil"/>
              <w:left w:val="nil"/>
              <w:bottom w:val="nil"/>
              <w:right w:val="nil"/>
            </w:tcBorders>
            <w:shd w:val="clear" w:color="auto" w:fill="auto"/>
            <w:noWrap/>
            <w:vAlign w:val="center"/>
            <w:hideMark/>
          </w:tcPr>
          <w:p w14:paraId="1299ADCA"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0.1360*</w:t>
            </w:r>
          </w:p>
        </w:tc>
        <w:tc>
          <w:tcPr>
            <w:tcW w:w="938" w:type="dxa"/>
            <w:tcBorders>
              <w:top w:val="nil"/>
              <w:left w:val="nil"/>
              <w:bottom w:val="nil"/>
              <w:right w:val="nil"/>
            </w:tcBorders>
            <w:shd w:val="clear" w:color="auto" w:fill="auto"/>
            <w:noWrap/>
            <w:vAlign w:val="center"/>
            <w:hideMark/>
          </w:tcPr>
          <w:p w14:paraId="2CACE0EC"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0.2575*</w:t>
            </w:r>
          </w:p>
        </w:tc>
        <w:tc>
          <w:tcPr>
            <w:tcW w:w="1300" w:type="dxa"/>
            <w:tcBorders>
              <w:top w:val="nil"/>
              <w:left w:val="nil"/>
              <w:bottom w:val="nil"/>
              <w:right w:val="nil"/>
            </w:tcBorders>
            <w:shd w:val="clear" w:color="auto" w:fill="auto"/>
            <w:noWrap/>
            <w:vAlign w:val="center"/>
            <w:hideMark/>
          </w:tcPr>
          <w:p w14:paraId="7F3D7C98"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74E1E2A1"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0.0472*</w:t>
            </w:r>
          </w:p>
        </w:tc>
        <w:tc>
          <w:tcPr>
            <w:tcW w:w="960" w:type="dxa"/>
            <w:tcBorders>
              <w:top w:val="nil"/>
              <w:left w:val="nil"/>
              <w:bottom w:val="nil"/>
              <w:right w:val="nil"/>
            </w:tcBorders>
            <w:shd w:val="clear" w:color="auto" w:fill="auto"/>
            <w:noWrap/>
            <w:vAlign w:val="center"/>
            <w:hideMark/>
          </w:tcPr>
          <w:p w14:paraId="18C02DC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0.0533*</w:t>
            </w:r>
          </w:p>
        </w:tc>
        <w:tc>
          <w:tcPr>
            <w:tcW w:w="960" w:type="dxa"/>
            <w:tcBorders>
              <w:top w:val="nil"/>
              <w:left w:val="nil"/>
              <w:bottom w:val="nil"/>
              <w:right w:val="nil"/>
            </w:tcBorders>
            <w:shd w:val="clear" w:color="auto" w:fill="auto"/>
            <w:noWrap/>
            <w:vAlign w:val="center"/>
            <w:hideMark/>
          </w:tcPr>
          <w:p w14:paraId="1FAA004B"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-0.01</w:t>
            </w:r>
          </w:p>
        </w:tc>
        <w:tc>
          <w:tcPr>
            <w:tcW w:w="960" w:type="dxa"/>
            <w:tcBorders>
              <w:top w:val="nil"/>
              <w:left w:val="nil"/>
              <w:bottom w:val="nil"/>
              <w:right w:val="nil"/>
            </w:tcBorders>
            <w:shd w:val="clear" w:color="auto" w:fill="auto"/>
            <w:noWrap/>
            <w:vAlign w:val="center"/>
            <w:hideMark/>
          </w:tcPr>
          <w:p w14:paraId="57DA0986"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0.1117*</w:t>
            </w:r>
          </w:p>
        </w:tc>
        <w:tc>
          <w:tcPr>
            <w:tcW w:w="960" w:type="dxa"/>
            <w:tcBorders>
              <w:top w:val="nil"/>
              <w:left w:val="nil"/>
              <w:bottom w:val="nil"/>
              <w:right w:val="nil"/>
            </w:tcBorders>
            <w:shd w:val="clear" w:color="auto" w:fill="auto"/>
            <w:noWrap/>
            <w:vAlign w:val="center"/>
            <w:hideMark/>
          </w:tcPr>
          <w:p w14:paraId="62AC3012"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0.0590*</w:t>
            </w:r>
          </w:p>
        </w:tc>
        <w:tc>
          <w:tcPr>
            <w:tcW w:w="960" w:type="dxa"/>
            <w:tcBorders>
              <w:top w:val="nil"/>
              <w:left w:val="nil"/>
              <w:bottom w:val="nil"/>
              <w:right w:val="nil"/>
            </w:tcBorders>
            <w:shd w:val="clear" w:color="auto" w:fill="auto"/>
            <w:noWrap/>
            <w:vAlign w:val="center"/>
            <w:hideMark/>
          </w:tcPr>
          <w:p w14:paraId="02BD0CF1"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1.00</w:t>
            </w:r>
          </w:p>
        </w:tc>
        <w:tc>
          <w:tcPr>
            <w:tcW w:w="960" w:type="dxa"/>
            <w:tcBorders>
              <w:top w:val="nil"/>
              <w:left w:val="nil"/>
              <w:bottom w:val="nil"/>
              <w:right w:val="nil"/>
            </w:tcBorders>
            <w:shd w:val="clear" w:color="auto" w:fill="auto"/>
            <w:noWrap/>
            <w:vAlign w:val="center"/>
            <w:hideMark/>
          </w:tcPr>
          <w:p w14:paraId="29A62A55" w14:textId="77777777" w:rsidR="009A7B5F" w:rsidRPr="00AE4D53" w:rsidRDefault="009A7B5F" w:rsidP="009F5DF5">
            <w:pPr>
              <w:spacing w:after="0" w:line="240" w:lineRule="auto"/>
              <w:ind w:firstLine="0"/>
              <w:jc w:val="center"/>
              <w:rPr>
                <w:rFonts w:eastAsia="Times New Roman" w:cstheme="majorBidi"/>
                <w:color w:val="000000"/>
                <w:sz w:val="20"/>
                <w:szCs w:val="20"/>
              </w:rPr>
            </w:pPr>
          </w:p>
        </w:tc>
        <w:tc>
          <w:tcPr>
            <w:tcW w:w="960" w:type="dxa"/>
            <w:tcBorders>
              <w:top w:val="nil"/>
              <w:left w:val="nil"/>
              <w:bottom w:val="nil"/>
              <w:right w:val="nil"/>
            </w:tcBorders>
            <w:shd w:val="clear" w:color="auto" w:fill="auto"/>
            <w:noWrap/>
            <w:vAlign w:val="center"/>
            <w:hideMark/>
          </w:tcPr>
          <w:p w14:paraId="66B2BBDF" w14:textId="77777777" w:rsidR="009A7B5F" w:rsidRPr="00AE4D53" w:rsidRDefault="009A7B5F" w:rsidP="009F5DF5">
            <w:pPr>
              <w:spacing w:after="0" w:line="240" w:lineRule="auto"/>
              <w:ind w:firstLine="0"/>
              <w:jc w:val="center"/>
              <w:rPr>
                <w:rFonts w:eastAsia="Times New Roman" w:cstheme="majorBidi"/>
                <w:sz w:val="20"/>
                <w:szCs w:val="20"/>
              </w:rPr>
            </w:pPr>
          </w:p>
        </w:tc>
        <w:tc>
          <w:tcPr>
            <w:tcW w:w="960" w:type="dxa"/>
            <w:tcBorders>
              <w:top w:val="nil"/>
              <w:left w:val="nil"/>
              <w:bottom w:val="nil"/>
              <w:right w:val="nil"/>
            </w:tcBorders>
            <w:shd w:val="clear" w:color="auto" w:fill="auto"/>
            <w:noWrap/>
            <w:vAlign w:val="center"/>
            <w:hideMark/>
          </w:tcPr>
          <w:p w14:paraId="71DE454E" w14:textId="77777777" w:rsidR="009A7B5F" w:rsidRPr="00AE4D53" w:rsidRDefault="009A7B5F" w:rsidP="009F5DF5">
            <w:pPr>
              <w:spacing w:after="0" w:line="240" w:lineRule="auto"/>
              <w:ind w:firstLine="0"/>
              <w:jc w:val="center"/>
              <w:rPr>
                <w:rFonts w:eastAsia="Times New Roman" w:cstheme="majorBidi"/>
                <w:sz w:val="20"/>
                <w:szCs w:val="20"/>
              </w:rPr>
            </w:pPr>
          </w:p>
        </w:tc>
      </w:tr>
      <w:tr w:rsidR="009A7B5F" w:rsidRPr="00AE4D53" w14:paraId="314D8670"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194F95A4"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10-ROA</w:t>
            </w:r>
          </w:p>
        </w:tc>
        <w:tc>
          <w:tcPr>
            <w:tcW w:w="960" w:type="dxa"/>
            <w:tcBorders>
              <w:top w:val="nil"/>
              <w:left w:val="nil"/>
              <w:bottom w:val="nil"/>
              <w:right w:val="nil"/>
            </w:tcBorders>
            <w:shd w:val="clear" w:color="auto" w:fill="auto"/>
            <w:noWrap/>
            <w:vAlign w:val="center"/>
            <w:hideMark/>
          </w:tcPr>
          <w:p w14:paraId="1D2C6E0D"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0.1666*</w:t>
            </w:r>
          </w:p>
        </w:tc>
        <w:tc>
          <w:tcPr>
            <w:tcW w:w="938" w:type="dxa"/>
            <w:tcBorders>
              <w:top w:val="nil"/>
              <w:left w:val="nil"/>
              <w:bottom w:val="nil"/>
              <w:right w:val="nil"/>
            </w:tcBorders>
            <w:shd w:val="clear" w:color="auto" w:fill="auto"/>
            <w:noWrap/>
            <w:vAlign w:val="center"/>
            <w:hideMark/>
          </w:tcPr>
          <w:p w14:paraId="4C86A869"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0.2456*</w:t>
            </w:r>
          </w:p>
        </w:tc>
        <w:tc>
          <w:tcPr>
            <w:tcW w:w="1300" w:type="dxa"/>
            <w:tcBorders>
              <w:top w:val="nil"/>
              <w:left w:val="nil"/>
              <w:bottom w:val="nil"/>
              <w:right w:val="nil"/>
            </w:tcBorders>
            <w:shd w:val="clear" w:color="auto" w:fill="auto"/>
            <w:noWrap/>
            <w:vAlign w:val="center"/>
            <w:hideMark/>
          </w:tcPr>
          <w:p w14:paraId="64F7AD1E"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0CB94419"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0.1075*</w:t>
            </w:r>
          </w:p>
        </w:tc>
        <w:tc>
          <w:tcPr>
            <w:tcW w:w="960" w:type="dxa"/>
            <w:tcBorders>
              <w:top w:val="nil"/>
              <w:left w:val="nil"/>
              <w:bottom w:val="nil"/>
              <w:right w:val="nil"/>
            </w:tcBorders>
            <w:shd w:val="clear" w:color="auto" w:fill="auto"/>
            <w:noWrap/>
            <w:vAlign w:val="center"/>
            <w:hideMark/>
          </w:tcPr>
          <w:p w14:paraId="3A7631A6"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0.2237*</w:t>
            </w:r>
          </w:p>
        </w:tc>
        <w:tc>
          <w:tcPr>
            <w:tcW w:w="960" w:type="dxa"/>
            <w:tcBorders>
              <w:top w:val="nil"/>
              <w:left w:val="nil"/>
              <w:bottom w:val="nil"/>
              <w:right w:val="nil"/>
            </w:tcBorders>
            <w:shd w:val="clear" w:color="auto" w:fill="auto"/>
            <w:noWrap/>
            <w:vAlign w:val="center"/>
            <w:hideMark/>
          </w:tcPr>
          <w:p w14:paraId="635B7A7B"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-0.0713*</w:t>
            </w:r>
          </w:p>
        </w:tc>
        <w:tc>
          <w:tcPr>
            <w:tcW w:w="960" w:type="dxa"/>
            <w:tcBorders>
              <w:top w:val="nil"/>
              <w:left w:val="nil"/>
              <w:bottom w:val="nil"/>
              <w:right w:val="nil"/>
            </w:tcBorders>
            <w:shd w:val="clear" w:color="auto" w:fill="auto"/>
            <w:noWrap/>
            <w:vAlign w:val="center"/>
            <w:hideMark/>
          </w:tcPr>
          <w:p w14:paraId="47769DF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0.3704*</w:t>
            </w:r>
          </w:p>
        </w:tc>
        <w:tc>
          <w:tcPr>
            <w:tcW w:w="960" w:type="dxa"/>
            <w:tcBorders>
              <w:top w:val="nil"/>
              <w:left w:val="nil"/>
              <w:bottom w:val="nil"/>
              <w:right w:val="nil"/>
            </w:tcBorders>
            <w:shd w:val="clear" w:color="auto" w:fill="auto"/>
            <w:noWrap/>
            <w:vAlign w:val="center"/>
            <w:hideMark/>
          </w:tcPr>
          <w:p w14:paraId="2C971267"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-0.2926*</w:t>
            </w:r>
          </w:p>
        </w:tc>
        <w:tc>
          <w:tcPr>
            <w:tcW w:w="960" w:type="dxa"/>
            <w:tcBorders>
              <w:top w:val="nil"/>
              <w:left w:val="nil"/>
              <w:bottom w:val="nil"/>
              <w:right w:val="nil"/>
            </w:tcBorders>
            <w:shd w:val="clear" w:color="auto" w:fill="auto"/>
            <w:noWrap/>
            <w:vAlign w:val="center"/>
            <w:hideMark/>
          </w:tcPr>
          <w:p w14:paraId="3AA9D50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-0.0480*</w:t>
            </w:r>
          </w:p>
        </w:tc>
        <w:tc>
          <w:tcPr>
            <w:tcW w:w="960" w:type="dxa"/>
            <w:tcBorders>
              <w:top w:val="nil"/>
              <w:left w:val="nil"/>
              <w:bottom w:val="nil"/>
              <w:right w:val="nil"/>
            </w:tcBorders>
            <w:shd w:val="clear" w:color="auto" w:fill="auto"/>
            <w:noWrap/>
            <w:vAlign w:val="center"/>
            <w:hideMark/>
          </w:tcPr>
          <w:p w14:paraId="205F598C"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1.00</w:t>
            </w:r>
          </w:p>
        </w:tc>
        <w:tc>
          <w:tcPr>
            <w:tcW w:w="960" w:type="dxa"/>
            <w:tcBorders>
              <w:top w:val="nil"/>
              <w:left w:val="nil"/>
              <w:bottom w:val="nil"/>
              <w:right w:val="nil"/>
            </w:tcBorders>
            <w:shd w:val="clear" w:color="auto" w:fill="auto"/>
            <w:noWrap/>
            <w:vAlign w:val="center"/>
            <w:hideMark/>
          </w:tcPr>
          <w:p w14:paraId="04FB1313" w14:textId="77777777" w:rsidR="009A7B5F" w:rsidRPr="00AE4D53" w:rsidRDefault="009A7B5F" w:rsidP="009F5DF5">
            <w:pPr>
              <w:spacing w:after="0" w:line="240" w:lineRule="auto"/>
              <w:ind w:firstLine="0"/>
              <w:jc w:val="center"/>
              <w:rPr>
                <w:rFonts w:eastAsia="Times New Roman" w:cstheme="majorBidi"/>
                <w:color w:val="000000"/>
                <w:sz w:val="20"/>
                <w:szCs w:val="20"/>
              </w:rPr>
            </w:pPr>
          </w:p>
        </w:tc>
        <w:tc>
          <w:tcPr>
            <w:tcW w:w="960" w:type="dxa"/>
            <w:tcBorders>
              <w:top w:val="nil"/>
              <w:left w:val="nil"/>
              <w:bottom w:val="nil"/>
              <w:right w:val="nil"/>
            </w:tcBorders>
            <w:shd w:val="clear" w:color="auto" w:fill="auto"/>
            <w:noWrap/>
            <w:vAlign w:val="center"/>
            <w:hideMark/>
          </w:tcPr>
          <w:p w14:paraId="2F1770C2" w14:textId="77777777" w:rsidR="009A7B5F" w:rsidRPr="00AE4D53" w:rsidRDefault="009A7B5F" w:rsidP="009F5DF5">
            <w:pPr>
              <w:spacing w:after="0" w:line="240" w:lineRule="auto"/>
              <w:ind w:firstLine="0"/>
              <w:jc w:val="center"/>
              <w:rPr>
                <w:rFonts w:eastAsia="Times New Roman" w:cstheme="majorBidi"/>
                <w:sz w:val="20"/>
                <w:szCs w:val="20"/>
              </w:rPr>
            </w:pPr>
          </w:p>
        </w:tc>
      </w:tr>
      <w:tr w:rsidR="009A7B5F" w:rsidRPr="00AE4D53" w14:paraId="6FA10296"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062B46DD"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11-Ret</w:t>
            </w:r>
          </w:p>
        </w:tc>
        <w:tc>
          <w:tcPr>
            <w:tcW w:w="960" w:type="dxa"/>
            <w:tcBorders>
              <w:top w:val="nil"/>
              <w:left w:val="nil"/>
              <w:bottom w:val="nil"/>
              <w:right w:val="nil"/>
            </w:tcBorders>
            <w:shd w:val="clear" w:color="auto" w:fill="auto"/>
            <w:noWrap/>
            <w:vAlign w:val="center"/>
            <w:hideMark/>
          </w:tcPr>
          <w:p w14:paraId="454A4D66"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0.0794*</w:t>
            </w:r>
          </w:p>
        </w:tc>
        <w:tc>
          <w:tcPr>
            <w:tcW w:w="938" w:type="dxa"/>
            <w:tcBorders>
              <w:top w:val="nil"/>
              <w:left w:val="nil"/>
              <w:bottom w:val="nil"/>
              <w:right w:val="nil"/>
            </w:tcBorders>
            <w:shd w:val="clear" w:color="auto" w:fill="auto"/>
            <w:noWrap/>
            <w:vAlign w:val="center"/>
            <w:hideMark/>
          </w:tcPr>
          <w:p w14:paraId="4E8815F9"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0.1101*</w:t>
            </w:r>
          </w:p>
        </w:tc>
        <w:tc>
          <w:tcPr>
            <w:tcW w:w="1300" w:type="dxa"/>
            <w:tcBorders>
              <w:top w:val="nil"/>
              <w:left w:val="nil"/>
              <w:bottom w:val="nil"/>
              <w:right w:val="nil"/>
            </w:tcBorders>
            <w:shd w:val="clear" w:color="auto" w:fill="auto"/>
            <w:noWrap/>
            <w:vAlign w:val="center"/>
            <w:hideMark/>
          </w:tcPr>
          <w:p w14:paraId="55BFDC14"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3C6AD75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0.0367*</w:t>
            </w:r>
          </w:p>
        </w:tc>
        <w:tc>
          <w:tcPr>
            <w:tcW w:w="960" w:type="dxa"/>
            <w:tcBorders>
              <w:top w:val="nil"/>
              <w:left w:val="nil"/>
              <w:bottom w:val="nil"/>
              <w:right w:val="nil"/>
            </w:tcBorders>
            <w:shd w:val="clear" w:color="auto" w:fill="auto"/>
            <w:noWrap/>
            <w:vAlign w:val="center"/>
            <w:hideMark/>
          </w:tcPr>
          <w:p w14:paraId="69D2EF0D"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0.0670*</w:t>
            </w:r>
          </w:p>
        </w:tc>
        <w:tc>
          <w:tcPr>
            <w:tcW w:w="960" w:type="dxa"/>
            <w:tcBorders>
              <w:top w:val="nil"/>
              <w:left w:val="nil"/>
              <w:bottom w:val="nil"/>
              <w:right w:val="nil"/>
            </w:tcBorders>
            <w:shd w:val="clear" w:color="auto" w:fill="auto"/>
            <w:noWrap/>
            <w:vAlign w:val="center"/>
            <w:hideMark/>
          </w:tcPr>
          <w:p w14:paraId="5C29C181"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-0.02</w:t>
            </w:r>
          </w:p>
        </w:tc>
        <w:tc>
          <w:tcPr>
            <w:tcW w:w="960" w:type="dxa"/>
            <w:tcBorders>
              <w:top w:val="nil"/>
              <w:left w:val="nil"/>
              <w:bottom w:val="nil"/>
              <w:right w:val="nil"/>
            </w:tcBorders>
            <w:shd w:val="clear" w:color="auto" w:fill="auto"/>
            <w:noWrap/>
            <w:vAlign w:val="center"/>
            <w:hideMark/>
          </w:tcPr>
          <w:p w14:paraId="48F14E66"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0.1059*</w:t>
            </w:r>
          </w:p>
        </w:tc>
        <w:tc>
          <w:tcPr>
            <w:tcW w:w="960" w:type="dxa"/>
            <w:tcBorders>
              <w:top w:val="nil"/>
              <w:left w:val="nil"/>
              <w:bottom w:val="nil"/>
              <w:right w:val="nil"/>
            </w:tcBorders>
            <w:shd w:val="clear" w:color="auto" w:fill="auto"/>
            <w:noWrap/>
            <w:vAlign w:val="center"/>
            <w:hideMark/>
          </w:tcPr>
          <w:p w14:paraId="6C59856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-0.4497*</w:t>
            </w:r>
          </w:p>
        </w:tc>
        <w:tc>
          <w:tcPr>
            <w:tcW w:w="960" w:type="dxa"/>
            <w:tcBorders>
              <w:top w:val="nil"/>
              <w:left w:val="nil"/>
              <w:bottom w:val="nil"/>
              <w:right w:val="nil"/>
            </w:tcBorders>
            <w:shd w:val="clear" w:color="auto" w:fill="auto"/>
            <w:noWrap/>
            <w:vAlign w:val="center"/>
            <w:hideMark/>
          </w:tcPr>
          <w:p w14:paraId="415FC544"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-0.02</w:t>
            </w:r>
          </w:p>
        </w:tc>
        <w:tc>
          <w:tcPr>
            <w:tcW w:w="960" w:type="dxa"/>
            <w:tcBorders>
              <w:top w:val="nil"/>
              <w:left w:val="nil"/>
              <w:bottom w:val="nil"/>
              <w:right w:val="nil"/>
            </w:tcBorders>
            <w:shd w:val="clear" w:color="auto" w:fill="auto"/>
            <w:noWrap/>
            <w:vAlign w:val="center"/>
            <w:hideMark/>
          </w:tcPr>
          <w:p w14:paraId="121F9D7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0.3545*</w:t>
            </w:r>
          </w:p>
        </w:tc>
        <w:tc>
          <w:tcPr>
            <w:tcW w:w="960" w:type="dxa"/>
            <w:tcBorders>
              <w:top w:val="nil"/>
              <w:left w:val="nil"/>
              <w:bottom w:val="nil"/>
              <w:right w:val="nil"/>
            </w:tcBorders>
            <w:shd w:val="clear" w:color="auto" w:fill="auto"/>
            <w:noWrap/>
            <w:vAlign w:val="center"/>
            <w:hideMark/>
          </w:tcPr>
          <w:p w14:paraId="61E9B1C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1.00</w:t>
            </w:r>
          </w:p>
        </w:tc>
        <w:tc>
          <w:tcPr>
            <w:tcW w:w="960" w:type="dxa"/>
            <w:tcBorders>
              <w:top w:val="nil"/>
              <w:left w:val="nil"/>
              <w:bottom w:val="nil"/>
              <w:right w:val="nil"/>
            </w:tcBorders>
            <w:shd w:val="clear" w:color="auto" w:fill="auto"/>
            <w:noWrap/>
            <w:vAlign w:val="center"/>
            <w:hideMark/>
          </w:tcPr>
          <w:p w14:paraId="5D570D2B" w14:textId="77777777" w:rsidR="009A7B5F" w:rsidRPr="00AE4D53" w:rsidRDefault="009A7B5F" w:rsidP="009F5DF5">
            <w:pPr>
              <w:spacing w:after="0" w:line="240" w:lineRule="auto"/>
              <w:ind w:firstLine="0"/>
              <w:jc w:val="center"/>
              <w:rPr>
                <w:rFonts w:eastAsia="Times New Roman" w:cstheme="majorBidi"/>
                <w:color w:val="000000"/>
                <w:sz w:val="20"/>
                <w:szCs w:val="20"/>
              </w:rPr>
            </w:pPr>
          </w:p>
        </w:tc>
      </w:tr>
      <w:tr w:rsidR="009A7B5F" w:rsidRPr="00AE4D53" w14:paraId="4AB4E05A"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0EED17C7"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12-STDRet</w:t>
            </w:r>
          </w:p>
        </w:tc>
        <w:tc>
          <w:tcPr>
            <w:tcW w:w="960" w:type="dxa"/>
            <w:tcBorders>
              <w:top w:val="nil"/>
              <w:left w:val="nil"/>
              <w:bottom w:val="nil"/>
              <w:right w:val="nil"/>
            </w:tcBorders>
            <w:shd w:val="clear" w:color="auto" w:fill="auto"/>
            <w:noWrap/>
            <w:vAlign w:val="center"/>
            <w:hideMark/>
          </w:tcPr>
          <w:p w14:paraId="38B5D455"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-0.3006*</w:t>
            </w:r>
          </w:p>
        </w:tc>
        <w:tc>
          <w:tcPr>
            <w:tcW w:w="938" w:type="dxa"/>
            <w:tcBorders>
              <w:top w:val="nil"/>
              <w:left w:val="nil"/>
              <w:bottom w:val="nil"/>
              <w:right w:val="nil"/>
            </w:tcBorders>
            <w:shd w:val="clear" w:color="auto" w:fill="auto"/>
            <w:noWrap/>
            <w:vAlign w:val="center"/>
            <w:hideMark/>
          </w:tcPr>
          <w:p w14:paraId="329F8CB5"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-0.4466*</w:t>
            </w:r>
          </w:p>
        </w:tc>
        <w:tc>
          <w:tcPr>
            <w:tcW w:w="1300" w:type="dxa"/>
            <w:tcBorders>
              <w:top w:val="nil"/>
              <w:left w:val="nil"/>
              <w:bottom w:val="nil"/>
              <w:right w:val="nil"/>
            </w:tcBorders>
            <w:shd w:val="clear" w:color="auto" w:fill="auto"/>
            <w:noWrap/>
            <w:vAlign w:val="center"/>
            <w:hideMark/>
          </w:tcPr>
          <w:p w14:paraId="2DE5CEB3"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643785C9"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0.02</w:t>
            </w:r>
          </w:p>
        </w:tc>
        <w:tc>
          <w:tcPr>
            <w:tcW w:w="960" w:type="dxa"/>
            <w:tcBorders>
              <w:top w:val="nil"/>
              <w:left w:val="nil"/>
              <w:bottom w:val="nil"/>
              <w:right w:val="nil"/>
            </w:tcBorders>
            <w:shd w:val="clear" w:color="auto" w:fill="auto"/>
            <w:noWrap/>
            <w:vAlign w:val="center"/>
            <w:hideMark/>
          </w:tcPr>
          <w:p w14:paraId="41146B47"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-0.2614*</w:t>
            </w:r>
          </w:p>
        </w:tc>
        <w:tc>
          <w:tcPr>
            <w:tcW w:w="960" w:type="dxa"/>
            <w:tcBorders>
              <w:top w:val="nil"/>
              <w:left w:val="nil"/>
              <w:bottom w:val="nil"/>
              <w:right w:val="nil"/>
            </w:tcBorders>
            <w:shd w:val="clear" w:color="auto" w:fill="auto"/>
            <w:noWrap/>
            <w:vAlign w:val="center"/>
            <w:hideMark/>
          </w:tcPr>
          <w:p w14:paraId="476454EA"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0.0391*</w:t>
            </w:r>
          </w:p>
        </w:tc>
        <w:tc>
          <w:tcPr>
            <w:tcW w:w="960" w:type="dxa"/>
            <w:tcBorders>
              <w:top w:val="nil"/>
              <w:left w:val="nil"/>
              <w:bottom w:val="nil"/>
              <w:right w:val="nil"/>
            </w:tcBorders>
            <w:shd w:val="clear" w:color="auto" w:fill="auto"/>
            <w:noWrap/>
            <w:vAlign w:val="center"/>
            <w:hideMark/>
          </w:tcPr>
          <w:p w14:paraId="6F1A71D7"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-0.5832*</w:t>
            </w:r>
          </w:p>
        </w:tc>
        <w:tc>
          <w:tcPr>
            <w:tcW w:w="960" w:type="dxa"/>
            <w:tcBorders>
              <w:top w:val="nil"/>
              <w:left w:val="nil"/>
              <w:bottom w:val="nil"/>
              <w:right w:val="nil"/>
            </w:tcBorders>
            <w:shd w:val="clear" w:color="auto" w:fill="auto"/>
            <w:noWrap/>
            <w:vAlign w:val="center"/>
            <w:hideMark/>
          </w:tcPr>
          <w:p w14:paraId="648E4754"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0.1886*</w:t>
            </w:r>
          </w:p>
        </w:tc>
        <w:tc>
          <w:tcPr>
            <w:tcW w:w="960" w:type="dxa"/>
            <w:tcBorders>
              <w:top w:val="nil"/>
              <w:left w:val="nil"/>
              <w:bottom w:val="nil"/>
              <w:right w:val="nil"/>
            </w:tcBorders>
            <w:shd w:val="clear" w:color="auto" w:fill="auto"/>
            <w:noWrap/>
            <w:vAlign w:val="center"/>
            <w:hideMark/>
          </w:tcPr>
          <w:p w14:paraId="4153560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-0.1237*</w:t>
            </w:r>
          </w:p>
        </w:tc>
        <w:tc>
          <w:tcPr>
            <w:tcW w:w="960" w:type="dxa"/>
            <w:tcBorders>
              <w:top w:val="nil"/>
              <w:left w:val="nil"/>
              <w:bottom w:val="nil"/>
              <w:right w:val="nil"/>
            </w:tcBorders>
            <w:shd w:val="clear" w:color="auto" w:fill="auto"/>
            <w:noWrap/>
            <w:vAlign w:val="center"/>
            <w:hideMark/>
          </w:tcPr>
          <w:p w14:paraId="351835B1"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-0.3583*</w:t>
            </w:r>
          </w:p>
        </w:tc>
        <w:tc>
          <w:tcPr>
            <w:tcW w:w="960" w:type="dxa"/>
            <w:tcBorders>
              <w:top w:val="nil"/>
              <w:left w:val="nil"/>
              <w:bottom w:val="nil"/>
              <w:right w:val="nil"/>
            </w:tcBorders>
            <w:shd w:val="clear" w:color="auto" w:fill="auto"/>
            <w:noWrap/>
            <w:vAlign w:val="center"/>
            <w:hideMark/>
          </w:tcPr>
          <w:p w14:paraId="7CD09765"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-0.1482*</w:t>
            </w:r>
          </w:p>
        </w:tc>
        <w:tc>
          <w:tcPr>
            <w:tcW w:w="960" w:type="dxa"/>
            <w:tcBorders>
              <w:top w:val="nil"/>
              <w:left w:val="nil"/>
              <w:bottom w:val="nil"/>
              <w:right w:val="nil"/>
            </w:tcBorders>
            <w:shd w:val="clear" w:color="auto" w:fill="auto"/>
            <w:noWrap/>
            <w:vAlign w:val="center"/>
            <w:hideMark/>
          </w:tcPr>
          <w:p w14:paraId="694D048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1.00</w:t>
            </w:r>
          </w:p>
        </w:tc>
      </w:tr>
      <w:tr w:rsidR="009A7B5F" w:rsidRPr="00AE4D53" w14:paraId="5DB710BB"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180FC6F2"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13-Leverage</w:t>
            </w:r>
          </w:p>
        </w:tc>
        <w:tc>
          <w:tcPr>
            <w:tcW w:w="960" w:type="dxa"/>
            <w:tcBorders>
              <w:top w:val="nil"/>
              <w:left w:val="nil"/>
              <w:bottom w:val="nil"/>
              <w:right w:val="nil"/>
            </w:tcBorders>
            <w:shd w:val="clear" w:color="auto" w:fill="auto"/>
            <w:noWrap/>
            <w:vAlign w:val="center"/>
            <w:hideMark/>
          </w:tcPr>
          <w:p w14:paraId="304FFB1F"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0.1995*</w:t>
            </w:r>
          </w:p>
        </w:tc>
        <w:tc>
          <w:tcPr>
            <w:tcW w:w="938" w:type="dxa"/>
            <w:tcBorders>
              <w:top w:val="nil"/>
              <w:left w:val="nil"/>
              <w:bottom w:val="nil"/>
              <w:right w:val="nil"/>
            </w:tcBorders>
            <w:shd w:val="clear" w:color="auto" w:fill="auto"/>
            <w:noWrap/>
            <w:vAlign w:val="center"/>
            <w:hideMark/>
          </w:tcPr>
          <w:p w14:paraId="07619980"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0.3076*</w:t>
            </w:r>
          </w:p>
        </w:tc>
        <w:tc>
          <w:tcPr>
            <w:tcW w:w="1300" w:type="dxa"/>
            <w:tcBorders>
              <w:top w:val="nil"/>
              <w:left w:val="nil"/>
              <w:bottom w:val="nil"/>
              <w:right w:val="nil"/>
            </w:tcBorders>
            <w:shd w:val="clear" w:color="auto" w:fill="auto"/>
            <w:noWrap/>
            <w:vAlign w:val="center"/>
            <w:hideMark/>
          </w:tcPr>
          <w:p w14:paraId="464A70AF"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30D1B15B"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-0.1393*</w:t>
            </w:r>
          </w:p>
        </w:tc>
        <w:tc>
          <w:tcPr>
            <w:tcW w:w="960" w:type="dxa"/>
            <w:tcBorders>
              <w:top w:val="nil"/>
              <w:left w:val="nil"/>
              <w:bottom w:val="nil"/>
              <w:right w:val="nil"/>
            </w:tcBorders>
            <w:shd w:val="clear" w:color="auto" w:fill="auto"/>
            <w:noWrap/>
            <w:vAlign w:val="center"/>
            <w:hideMark/>
          </w:tcPr>
          <w:p w14:paraId="778DCA5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0.1242*</w:t>
            </w:r>
          </w:p>
        </w:tc>
        <w:tc>
          <w:tcPr>
            <w:tcW w:w="960" w:type="dxa"/>
            <w:tcBorders>
              <w:top w:val="nil"/>
              <w:left w:val="nil"/>
              <w:bottom w:val="nil"/>
              <w:right w:val="nil"/>
            </w:tcBorders>
            <w:shd w:val="clear" w:color="auto" w:fill="auto"/>
            <w:noWrap/>
            <w:vAlign w:val="center"/>
            <w:hideMark/>
          </w:tcPr>
          <w:p w14:paraId="15988D74"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-0.0535*</w:t>
            </w:r>
          </w:p>
        </w:tc>
        <w:tc>
          <w:tcPr>
            <w:tcW w:w="960" w:type="dxa"/>
            <w:tcBorders>
              <w:top w:val="nil"/>
              <w:left w:val="nil"/>
              <w:bottom w:val="nil"/>
              <w:right w:val="nil"/>
            </w:tcBorders>
            <w:shd w:val="clear" w:color="auto" w:fill="auto"/>
            <w:noWrap/>
            <w:vAlign w:val="center"/>
            <w:hideMark/>
          </w:tcPr>
          <w:p w14:paraId="18775BC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0.3242*</w:t>
            </w:r>
          </w:p>
        </w:tc>
        <w:tc>
          <w:tcPr>
            <w:tcW w:w="960" w:type="dxa"/>
            <w:tcBorders>
              <w:top w:val="nil"/>
              <w:left w:val="nil"/>
              <w:bottom w:val="nil"/>
              <w:right w:val="nil"/>
            </w:tcBorders>
            <w:shd w:val="clear" w:color="auto" w:fill="auto"/>
            <w:noWrap/>
            <w:vAlign w:val="center"/>
            <w:hideMark/>
          </w:tcPr>
          <w:p w14:paraId="3609BE4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-0.0468*</w:t>
            </w:r>
          </w:p>
        </w:tc>
        <w:tc>
          <w:tcPr>
            <w:tcW w:w="960" w:type="dxa"/>
            <w:tcBorders>
              <w:top w:val="nil"/>
              <w:left w:val="nil"/>
              <w:bottom w:val="nil"/>
              <w:right w:val="nil"/>
            </w:tcBorders>
            <w:shd w:val="clear" w:color="auto" w:fill="auto"/>
            <w:noWrap/>
            <w:vAlign w:val="center"/>
            <w:hideMark/>
          </w:tcPr>
          <w:p w14:paraId="2ED6B9B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-0.0625*</w:t>
            </w:r>
          </w:p>
        </w:tc>
        <w:tc>
          <w:tcPr>
            <w:tcW w:w="960" w:type="dxa"/>
            <w:tcBorders>
              <w:top w:val="nil"/>
              <w:left w:val="nil"/>
              <w:bottom w:val="nil"/>
              <w:right w:val="nil"/>
            </w:tcBorders>
            <w:shd w:val="clear" w:color="auto" w:fill="auto"/>
            <w:noWrap/>
            <w:vAlign w:val="center"/>
            <w:hideMark/>
          </w:tcPr>
          <w:p w14:paraId="7E9E585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0.1128*</w:t>
            </w:r>
          </w:p>
        </w:tc>
        <w:tc>
          <w:tcPr>
            <w:tcW w:w="960" w:type="dxa"/>
            <w:tcBorders>
              <w:top w:val="nil"/>
              <w:left w:val="nil"/>
              <w:bottom w:val="nil"/>
              <w:right w:val="nil"/>
            </w:tcBorders>
            <w:shd w:val="clear" w:color="auto" w:fill="auto"/>
            <w:noWrap/>
            <w:vAlign w:val="center"/>
            <w:hideMark/>
          </w:tcPr>
          <w:p w14:paraId="1BB120A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0.01</w:t>
            </w:r>
          </w:p>
        </w:tc>
        <w:tc>
          <w:tcPr>
            <w:tcW w:w="960" w:type="dxa"/>
            <w:tcBorders>
              <w:top w:val="nil"/>
              <w:left w:val="nil"/>
              <w:bottom w:val="nil"/>
              <w:right w:val="nil"/>
            </w:tcBorders>
            <w:shd w:val="clear" w:color="auto" w:fill="auto"/>
            <w:noWrap/>
            <w:vAlign w:val="center"/>
            <w:hideMark/>
          </w:tcPr>
          <w:p w14:paraId="753DC4E2"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-0.2849*</w:t>
            </w:r>
          </w:p>
        </w:tc>
      </w:tr>
      <w:tr w:rsidR="009A7B5F" w:rsidRPr="00AE4D53" w14:paraId="0945806E"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5309AEDF"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14-IsCEOChair</w:t>
            </w:r>
          </w:p>
        </w:tc>
        <w:tc>
          <w:tcPr>
            <w:tcW w:w="960" w:type="dxa"/>
            <w:tcBorders>
              <w:top w:val="nil"/>
              <w:left w:val="nil"/>
              <w:bottom w:val="nil"/>
              <w:right w:val="nil"/>
            </w:tcBorders>
            <w:shd w:val="clear" w:color="auto" w:fill="auto"/>
            <w:noWrap/>
            <w:vAlign w:val="center"/>
            <w:hideMark/>
          </w:tcPr>
          <w:p w14:paraId="35869228"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-0.02</w:t>
            </w:r>
          </w:p>
        </w:tc>
        <w:tc>
          <w:tcPr>
            <w:tcW w:w="938" w:type="dxa"/>
            <w:tcBorders>
              <w:top w:val="nil"/>
              <w:left w:val="nil"/>
              <w:bottom w:val="nil"/>
              <w:right w:val="nil"/>
            </w:tcBorders>
            <w:shd w:val="clear" w:color="auto" w:fill="auto"/>
            <w:noWrap/>
            <w:vAlign w:val="center"/>
            <w:hideMark/>
          </w:tcPr>
          <w:p w14:paraId="06A1C6A7"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1300" w:type="dxa"/>
            <w:tcBorders>
              <w:top w:val="nil"/>
              <w:left w:val="nil"/>
              <w:bottom w:val="nil"/>
              <w:right w:val="nil"/>
            </w:tcBorders>
            <w:shd w:val="clear" w:color="auto" w:fill="auto"/>
            <w:noWrap/>
            <w:vAlign w:val="center"/>
            <w:hideMark/>
          </w:tcPr>
          <w:p w14:paraId="074E980A"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6D2B60EA"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0.0368*</w:t>
            </w:r>
          </w:p>
        </w:tc>
        <w:tc>
          <w:tcPr>
            <w:tcW w:w="960" w:type="dxa"/>
            <w:tcBorders>
              <w:top w:val="nil"/>
              <w:left w:val="nil"/>
              <w:bottom w:val="nil"/>
              <w:right w:val="nil"/>
            </w:tcBorders>
            <w:shd w:val="clear" w:color="auto" w:fill="auto"/>
            <w:noWrap/>
            <w:vAlign w:val="center"/>
            <w:hideMark/>
          </w:tcPr>
          <w:p w14:paraId="3431F46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7B7B10E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w:t>
            </w:r>
          </w:p>
        </w:tc>
        <w:tc>
          <w:tcPr>
            <w:tcW w:w="960" w:type="dxa"/>
            <w:tcBorders>
              <w:top w:val="nil"/>
              <w:left w:val="nil"/>
              <w:bottom w:val="nil"/>
              <w:right w:val="nil"/>
            </w:tcBorders>
            <w:shd w:val="clear" w:color="auto" w:fill="auto"/>
            <w:noWrap/>
            <w:vAlign w:val="center"/>
            <w:hideMark/>
          </w:tcPr>
          <w:p w14:paraId="3B43575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-0.0414*</w:t>
            </w:r>
          </w:p>
        </w:tc>
        <w:tc>
          <w:tcPr>
            <w:tcW w:w="960" w:type="dxa"/>
            <w:tcBorders>
              <w:top w:val="nil"/>
              <w:left w:val="nil"/>
              <w:bottom w:val="nil"/>
              <w:right w:val="nil"/>
            </w:tcBorders>
            <w:shd w:val="clear" w:color="auto" w:fill="auto"/>
            <w:noWrap/>
            <w:vAlign w:val="center"/>
            <w:hideMark/>
          </w:tcPr>
          <w:p w14:paraId="21796E4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-0.0381*</w:t>
            </w:r>
          </w:p>
        </w:tc>
        <w:tc>
          <w:tcPr>
            <w:tcW w:w="960" w:type="dxa"/>
            <w:tcBorders>
              <w:top w:val="nil"/>
              <w:left w:val="nil"/>
              <w:bottom w:val="nil"/>
              <w:right w:val="nil"/>
            </w:tcBorders>
            <w:shd w:val="clear" w:color="auto" w:fill="auto"/>
            <w:noWrap/>
            <w:vAlign w:val="center"/>
            <w:hideMark/>
          </w:tcPr>
          <w:p w14:paraId="4A8982CC"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0.0549*</w:t>
            </w:r>
          </w:p>
        </w:tc>
        <w:tc>
          <w:tcPr>
            <w:tcW w:w="960" w:type="dxa"/>
            <w:tcBorders>
              <w:top w:val="nil"/>
              <w:left w:val="nil"/>
              <w:bottom w:val="nil"/>
              <w:right w:val="nil"/>
            </w:tcBorders>
            <w:shd w:val="clear" w:color="auto" w:fill="auto"/>
            <w:noWrap/>
            <w:vAlign w:val="center"/>
            <w:hideMark/>
          </w:tcPr>
          <w:p w14:paraId="186BAB7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0.0367*</w:t>
            </w:r>
          </w:p>
        </w:tc>
        <w:tc>
          <w:tcPr>
            <w:tcW w:w="960" w:type="dxa"/>
            <w:tcBorders>
              <w:top w:val="nil"/>
              <w:left w:val="nil"/>
              <w:bottom w:val="nil"/>
              <w:right w:val="nil"/>
            </w:tcBorders>
            <w:shd w:val="clear" w:color="auto" w:fill="auto"/>
            <w:noWrap/>
            <w:vAlign w:val="center"/>
            <w:hideMark/>
          </w:tcPr>
          <w:p w14:paraId="759EE36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-0.02</w:t>
            </w:r>
          </w:p>
        </w:tc>
        <w:tc>
          <w:tcPr>
            <w:tcW w:w="960" w:type="dxa"/>
            <w:tcBorders>
              <w:top w:val="nil"/>
              <w:left w:val="nil"/>
              <w:bottom w:val="nil"/>
              <w:right w:val="nil"/>
            </w:tcBorders>
            <w:shd w:val="clear" w:color="auto" w:fill="auto"/>
            <w:noWrap/>
            <w:vAlign w:val="center"/>
            <w:hideMark/>
          </w:tcPr>
          <w:p w14:paraId="6B85DB9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w:t>
            </w:r>
          </w:p>
        </w:tc>
      </w:tr>
      <w:tr w:rsidR="009A7B5F" w:rsidRPr="00AE4D53" w14:paraId="75B03DEF"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4A5CB056"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15-CEOTenure</w:t>
            </w:r>
          </w:p>
        </w:tc>
        <w:tc>
          <w:tcPr>
            <w:tcW w:w="960" w:type="dxa"/>
            <w:tcBorders>
              <w:top w:val="nil"/>
              <w:left w:val="nil"/>
              <w:bottom w:val="nil"/>
              <w:right w:val="nil"/>
            </w:tcBorders>
            <w:shd w:val="clear" w:color="auto" w:fill="auto"/>
            <w:noWrap/>
            <w:vAlign w:val="center"/>
            <w:hideMark/>
          </w:tcPr>
          <w:p w14:paraId="60E5ABCE"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-0.02</w:t>
            </w:r>
          </w:p>
        </w:tc>
        <w:tc>
          <w:tcPr>
            <w:tcW w:w="938" w:type="dxa"/>
            <w:tcBorders>
              <w:top w:val="nil"/>
              <w:left w:val="nil"/>
              <w:bottom w:val="nil"/>
              <w:right w:val="nil"/>
            </w:tcBorders>
            <w:shd w:val="clear" w:color="auto" w:fill="auto"/>
            <w:noWrap/>
            <w:vAlign w:val="center"/>
            <w:hideMark/>
          </w:tcPr>
          <w:p w14:paraId="65FCF27F"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-0.04</w:t>
            </w:r>
          </w:p>
        </w:tc>
        <w:tc>
          <w:tcPr>
            <w:tcW w:w="1300" w:type="dxa"/>
            <w:tcBorders>
              <w:top w:val="nil"/>
              <w:left w:val="nil"/>
              <w:bottom w:val="nil"/>
              <w:right w:val="nil"/>
            </w:tcBorders>
            <w:shd w:val="clear" w:color="auto" w:fill="auto"/>
            <w:noWrap/>
            <w:vAlign w:val="center"/>
            <w:hideMark/>
          </w:tcPr>
          <w:p w14:paraId="33EFEB39"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-0.02</w:t>
            </w:r>
          </w:p>
        </w:tc>
        <w:tc>
          <w:tcPr>
            <w:tcW w:w="960" w:type="dxa"/>
            <w:tcBorders>
              <w:top w:val="nil"/>
              <w:left w:val="nil"/>
              <w:bottom w:val="nil"/>
              <w:right w:val="nil"/>
            </w:tcBorders>
            <w:shd w:val="clear" w:color="auto" w:fill="auto"/>
            <w:noWrap/>
            <w:vAlign w:val="center"/>
            <w:hideMark/>
          </w:tcPr>
          <w:p w14:paraId="161FB191"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58EBC291"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w:t>
            </w:r>
          </w:p>
        </w:tc>
        <w:tc>
          <w:tcPr>
            <w:tcW w:w="960" w:type="dxa"/>
            <w:tcBorders>
              <w:top w:val="nil"/>
              <w:left w:val="nil"/>
              <w:bottom w:val="nil"/>
              <w:right w:val="nil"/>
            </w:tcBorders>
            <w:shd w:val="clear" w:color="auto" w:fill="auto"/>
            <w:noWrap/>
            <w:vAlign w:val="center"/>
            <w:hideMark/>
          </w:tcPr>
          <w:p w14:paraId="67942C09"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-0.02</w:t>
            </w:r>
          </w:p>
        </w:tc>
        <w:tc>
          <w:tcPr>
            <w:tcW w:w="960" w:type="dxa"/>
            <w:tcBorders>
              <w:top w:val="nil"/>
              <w:left w:val="nil"/>
              <w:bottom w:val="nil"/>
              <w:right w:val="nil"/>
            </w:tcBorders>
            <w:shd w:val="clear" w:color="auto" w:fill="auto"/>
            <w:noWrap/>
            <w:vAlign w:val="center"/>
            <w:hideMark/>
          </w:tcPr>
          <w:p w14:paraId="3A6A3CAC"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0.0980*</w:t>
            </w:r>
          </w:p>
        </w:tc>
        <w:tc>
          <w:tcPr>
            <w:tcW w:w="960" w:type="dxa"/>
            <w:tcBorders>
              <w:top w:val="nil"/>
              <w:left w:val="nil"/>
              <w:bottom w:val="nil"/>
              <w:right w:val="nil"/>
            </w:tcBorders>
            <w:shd w:val="clear" w:color="auto" w:fill="auto"/>
            <w:noWrap/>
            <w:vAlign w:val="center"/>
            <w:hideMark/>
          </w:tcPr>
          <w:p w14:paraId="18A65F7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-0.0481*</w:t>
            </w:r>
          </w:p>
        </w:tc>
        <w:tc>
          <w:tcPr>
            <w:tcW w:w="960" w:type="dxa"/>
            <w:tcBorders>
              <w:top w:val="nil"/>
              <w:left w:val="nil"/>
              <w:bottom w:val="nil"/>
              <w:right w:val="nil"/>
            </w:tcBorders>
            <w:shd w:val="clear" w:color="auto" w:fill="auto"/>
            <w:noWrap/>
            <w:vAlign w:val="center"/>
            <w:hideMark/>
          </w:tcPr>
          <w:p w14:paraId="41A81412"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0.2735*</w:t>
            </w:r>
          </w:p>
        </w:tc>
        <w:tc>
          <w:tcPr>
            <w:tcW w:w="960" w:type="dxa"/>
            <w:tcBorders>
              <w:top w:val="nil"/>
              <w:left w:val="nil"/>
              <w:bottom w:val="nil"/>
              <w:right w:val="nil"/>
            </w:tcBorders>
            <w:shd w:val="clear" w:color="auto" w:fill="auto"/>
            <w:noWrap/>
            <w:vAlign w:val="center"/>
            <w:hideMark/>
          </w:tcPr>
          <w:p w14:paraId="6816BBD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0.1240*</w:t>
            </w:r>
          </w:p>
        </w:tc>
        <w:tc>
          <w:tcPr>
            <w:tcW w:w="960" w:type="dxa"/>
            <w:tcBorders>
              <w:top w:val="nil"/>
              <w:left w:val="nil"/>
              <w:bottom w:val="nil"/>
              <w:right w:val="nil"/>
            </w:tcBorders>
            <w:shd w:val="clear" w:color="auto" w:fill="auto"/>
            <w:noWrap/>
            <w:vAlign w:val="center"/>
            <w:hideMark/>
          </w:tcPr>
          <w:p w14:paraId="4B314E5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w:t>
            </w:r>
          </w:p>
        </w:tc>
        <w:tc>
          <w:tcPr>
            <w:tcW w:w="960" w:type="dxa"/>
            <w:tcBorders>
              <w:top w:val="nil"/>
              <w:left w:val="nil"/>
              <w:bottom w:val="nil"/>
              <w:right w:val="nil"/>
            </w:tcBorders>
            <w:shd w:val="clear" w:color="auto" w:fill="auto"/>
            <w:noWrap/>
            <w:vAlign w:val="center"/>
            <w:hideMark/>
          </w:tcPr>
          <w:p w14:paraId="3D976FF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-0.2253*</w:t>
            </w:r>
          </w:p>
        </w:tc>
      </w:tr>
      <w:tr w:rsidR="009A7B5F" w:rsidRPr="00AE4D53" w14:paraId="649FEA35"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0544F1CA"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16-BoardTenure</w:t>
            </w:r>
          </w:p>
        </w:tc>
        <w:tc>
          <w:tcPr>
            <w:tcW w:w="960" w:type="dxa"/>
            <w:tcBorders>
              <w:top w:val="nil"/>
              <w:left w:val="nil"/>
              <w:bottom w:val="nil"/>
              <w:right w:val="nil"/>
            </w:tcBorders>
            <w:shd w:val="clear" w:color="auto" w:fill="auto"/>
            <w:noWrap/>
            <w:vAlign w:val="center"/>
            <w:hideMark/>
          </w:tcPr>
          <w:p w14:paraId="40FC7E84"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-0.01</w:t>
            </w:r>
          </w:p>
        </w:tc>
        <w:tc>
          <w:tcPr>
            <w:tcW w:w="938" w:type="dxa"/>
            <w:tcBorders>
              <w:top w:val="nil"/>
              <w:left w:val="nil"/>
              <w:bottom w:val="nil"/>
              <w:right w:val="nil"/>
            </w:tcBorders>
            <w:shd w:val="clear" w:color="auto" w:fill="auto"/>
            <w:noWrap/>
            <w:vAlign w:val="center"/>
            <w:hideMark/>
          </w:tcPr>
          <w:p w14:paraId="318E6745"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-0.04</w:t>
            </w:r>
          </w:p>
        </w:tc>
        <w:tc>
          <w:tcPr>
            <w:tcW w:w="1300" w:type="dxa"/>
            <w:tcBorders>
              <w:top w:val="nil"/>
              <w:left w:val="nil"/>
              <w:bottom w:val="nil"/>
              <w:right w:val="nil"/>
            </w:tcBorders>
            <w:shd w:val="clear" w:color="auto" w:fill="auto"/>
            <w:noWrap/>
            <w:vAlign w:val="center"/>
            <w:hideMark/>
          </w:tcPr>
          <w:p w14:paraId="3F1C8953"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44CD0507"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0846A926"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-0.01</w:t>
            </w:r>
          </w:p>
        </w:tc>
        <w:tc>
          <w:tcPr>
            <w:tcW w:w="960" w:type="dxa"/>
            <w:tcBorders>
              <w:top w:val="nil"/>
              <w:left w:val="nil"/>
              <w:bottom w:val="nil"/>
              <w:right w:val="nil"/>
            </w:tcBorders>
            <w:shd w:val="clear" w:color="auto" w:fill="auto"/>
            <w:noWrap/>
            <w:vAlign w:val="center"/>
            <w:hideMark/>
          </w:tcPr>
          <w:p w14:paraId="19D3D4D9"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-0.02</w:t>
            </w:r>
          </w:p>
        </w:tc>
        <w:tc>
          <w:tcPr>
            <w:tcW w:w="960" w:type="dxa"/>
            <w:tcBorders>
              <w:top w:val="nil"/>
              <w:left w:val="nil"/>
              <w:bottom w:val="nil"/>
              <w:right w:val="nil"/>
            </w:tcBorders>
            <w:shd w:val="clear" w:color="auto" w:fill="auto"/>
            <w:noWrap/>
            <w:vAlign w:val="center"/>
            <w:hideMark/>
          </w:tcPr>
          <w:p w14:paraId="6E994B97"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0.1098*</w:t>
            </w:r>
          </w:p>
        </w:tc>
        <w:tc>
          <w:tcPr>
            <w:tcW w:w="960" w:type="dxa"/>
            <w:tcBorders>
              <w:top w:val="nil"/>
              <w:left w:val="nil"/>
              <w:bottom w:val="nil"/>
              <w:right w:val="nil"/>
            </w:tcBorders>
            <w:shd w:val="clear" w:color="auto" w:fill="auto"/>
            <w:noWrap/>
            <w:vAlign w:val="center"/>
            <w:hideMark/>
          </w:tcPr>
          <w:p w14:paraId="09F5D9F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-0.0556*</w:t>
            </w:r>
          </w:p>
        </w:tc>
        <w:tc>
          <w:tcPr>
            <w:tcW w:w="960" w:type="dxa"/>
            <w:tcBorders>
              <w:top w:val="nil"/>
              <w:left w:val="nil"/>
              <w:bottom w:val="nil"/>
              <w:right w:val="nil"/>
            </w:tcBorders>
            <w:shd w:val="clear" w:color="auto" w:fill="auto"/>
            <w:noWrap/>
            <w:vAlign w:val="center"/>
            <w:hideMark/>
          </w:tcPr>
          <w:p w14:paraId="37B89BB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0.2687*</w:t>
            </w:r>
          </w:p>
        </w:tc>
        <w:tc>
          <w:tcPr>
            <w:tcW w:w="960" w:type="dxa"/>
            <w:tcBorders>
              <w:top w:val="nil"/>
              <w:left w:val="nil"/>
              <w:bottom w:val="nil"/>
              <w:right w:val="nil"/>
            </w:tcBorders>
            <w:shd w:val="clear" w:color="auto" w:fill="auto"/>
            <w:noWrap/>
            <w:vAlign w:val="center"/>
            <w:hideMark/>
          </w:tcPr>
          <w:p w14:paraId="403BCA4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0.1188*</w:t>
            </w:r>
          </w:p>
        </w:tc>
        <w:tc>
          <w:tcPr>
            <w:tcW w:w="960" w:type="dxa"/>
            <w:tcBorders>
              <w:top w:val="nil"/>
              <w:left w:val="nil"/>
              <w:bottom w:val="nil"/>
              <w:right w:val="nil"/>
            </w:tcBorders>
            <w:shd w:val="clear" w:color="auto" w:fill="auto"/>
            <w:noWrap/>
            <w:vAlign w:val="center"/>
            <w:hideMark/>
          </w:tcPr>
          <w:p w14:paraId="50CAC74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0.0370*</w:t>
            </w:r>
          </w:p>
        </w:tc>
        <w:tc>
          <w:tcPr>
            <w:tcW w:w="960" w:type="dxa"/>
            <w:tcBorders>
              <w:top w:val="nil"/>
              <w:left w:val="nil"/>
              <w:bottom w:val="nil"/>
              <w:right w:val="nil"/>
            </w:tcBorders>
            <w:shd w:val="clear" w:color="auto" w:fill="auto"/>
            <w:noWrap/>
            <w:vAlign w:val="center"/>
            <w:hideMark/>
          </w:tcPr>
          <w:p w14:paraId="0E4ABF77"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-0.2210*</w:t>
            </w:r>
          </w:p>
        </w:tc>
      </w:tr>
      <w:tr w:rsidR="009A7B5F" w:rsidRPr="00AE4D53" w14:paraId="1B1FB77F"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65E8D303"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17-IndCommittee</w:t>
            </w:r>
          </w:p>
        </w:tc>
        <w:tc>
          <w:tcPr>
            <w:tcW w:w="960" w:type="dxa"/>
            <w:tcBorders>
              <w:top w:val="nil"/>
              <w:left w:val="nil"/>
              <w:bottom w:val="nil"/>
              <w:right w:val="nil"/>
            </w:tcBorders>
            <w:shd w:val="clear" w:color="auto" w:fill="auto"/>
            <w:noWrap/>
            <w:vAlign w:val="center"/>
            <w:hideMark/>
          </w:tcPr>
          <w:p w14:paraId="2FF3F92D"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0.0774*</w:t>
            </w:r>
          </w:p>
        </w:tc>
        <w:tc>
          <w:tcPr>
            <w:tcW w:w="938" w:type="dxa"/>
            <w:tcBorders>
              <w:top w:val="nil"/>
              <w:left w:val="nil"/>
              <w:bottom w:val="nil"/>
              <w:right w:val="nil"/>
            </w:tcBorders>
            <w:shd w:val="clear" w:color="auto" w:fill="auto"/>
            <w:noWrap/>
            <w:vAlign w:val="center"/>
            <w:hideMark/>
          </w:tcPr>
          <w:p w14:paraId="3DAAFA15"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0.1061*</w:t>
            </w:r>
          </w:p>
        </w:tc>
        <w:tc>
          <w:tcPr>
            <w:tcW w:w="1300" w:type="dxa"/>
            <w:tcBorders>
              <w:top w:val="nil"/>
              <w:left w:val="nil"/>
              <w:bottom w:val="nil"/>
              <w:right w:val="nil"/>
            </w:tcBorders>
            <w:shd w:val="clear" w:color="auto" w:fill="auto"/>
            <w:noWrap/>
            <w:vAlign w:val="center"/>
            <w:hideMark/>
          </w:tcPr>
          <w:p w14:paraId="6348BD16"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788ADD7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0.02</w:t>
            </w:r>
          </w:p>
        </w:tc>
        <w:tc>
          <w:tcPr>
            <w:tcW w:w="960" w:type="dxa"/>
            <w:tcBorders>
              <w:top w:val="nil"/>
              <w:left w:val="nil"/>
              <w:bottom w:val="nil"/>
              <w:right w:val="nil"/>
            </w:tcBorders>
            <w:shd w:val="clear" w:color="auto" w:fill="auto"/>
            <w:noWrap/>
            <w:vAlign w:val="center"/>
            <w:hideMark/>
          </w:tcPr>
          <w:p w14:paraId="025E19D6"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0.1088*</w:t>
            </w:r>
          </w:p>
        </w:tc>
        <w:tc>
          <w:tcPr>
            <w:tcW w:w="960" w:type="dxa"/>
            <w:tcBorders>
              <w:top w:val="nil"/>
              <w:left w:val="nil"/>
              <w:bottom w:val="nil"/>
              <w:right w:val="nil"/>
            </w:tcBorders>
            <w:shd w:val="clear" w:color="auto" w:fill="auto"/>
            <w:noWrap/>
            <w:vAlign w:val="center"/>
            <w:hideMark/>
          </w:tcPr>
          <w:p w14:paraId="6F11DBDD"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0.1010*</w:t>
            </w:r>
          </w:p>
        </w:tc>
        <w:tc>
          <w:tcPr>
            <w:tcW w:w="960" w:type="dxa"/>
            <w:tcBorders>
              <w:top w:val="nil"/>
              <w:left w:val="nil"/>
              <w:bottom w:val="nil"/>
              <w:right w:val="nil"/>
            </w:tcBorders>
            <w:shd w:val="clear" w:color="auto" w:fill="auto"/>
            <w:noWrap/>
            <w:vAlign w:val="center"/>
            <w:hideMark/>
          </w:tcPr>
          <w:p w14:paraId="1B2CA52D"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0.1910*</w:t>
            </w:r>
          </w:p>
        </w:tc>
        <w:tc>
          <w:tcPr>
            <w:tcW w:w="960" w:type="dxa"/>
            <w:tcBorders>
              <w:top w:val="nil"/>
              <w:left w:val="nil"/>
              <w:bottom w:val="nil"/>
              <w:right w:val="nil"/>
            </w:tcBorders>
            <w:shd w:val="clear" w:color="auto" w:fill="auto"/>
            <w:noWrap/>
            <w:vAlign w:val="center"/>
            <w:hideMark/>
          </w:tcPr>
          <w:p w14:paraId="1AC96B85"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w:t>
            </w:r>
          </w:p>
        </w:tc>
        <w:tc>
          <w:tcPr>
            <w:tcW w:w="960" w:type="dxa"/>
            <w:tcBorders>
              <w:top w:val="nil"/>
              <w:left w:val="nil"/>
              <w:bottom w:val="nil"/>
              <w:right w:val="nil"/>
            </w:tcBorders>
            <w:shd w:val="clear" w:color="auto" w:fill="auto"/>
            <w:noWrap/>
            <w:vAlign w:val="center"/>
            <w:hideMark/>
          </w:tcPr>
          <w:p w14:paraId="3C2E7B5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0.0686*</w:t>
            </w:r>
          </w:p>
        </w:tc>
        <w:tc>
          <w:tcPr>
            <w:tcW w:w="960" w:type="dxa"/>
            <w:tcBorders>
              <w:top w:val="nil"/>
              <w:left w:val="nil"/>
              <w:bottom w:val="nil"/>
              <w:right w:val="nil"/>
            </w:tcBorders>
            <w:shd w:val="clear" w:color="auto" w:fill="auto"/>
            <w:noWrap/>
            <w:vAlign w:val="center"/>
            <w:hideMark/>
          </w:tcPr>
          <w:p w14:paraId="5E3DE6DB"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0.0721*</w:t>
            </w:r>
          </w:p>
        </w:tc>
        <w:tc>
          <w:tcPr>
            <w:tcW w:w="960" w:type="dxa"/>
            <w:tcBorders>
              <w:top w:val="nil"/>
              <w:left w:val="nil"/>
              <w:bottom w:val="nil"/>
              <w:right w:val="nil"/>
            </w:tcBorders>
            <w:shd w:val="clear" w:color="auto" w:fill="auto"/>
            <w:noWrap/>
            <w:vAlign w:val="center"/>
            <w:hideMark/>
          </w:tcPr>
          <w:p w14:paraId="07CE593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124278C4"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-0.1925*</w:t>
            </w:r>
          </w:p>
        </w:tc>
      </w:tr>
      <w:tr w:rsidR="009A7B5F" w:rsidRPr="00AE4D53" w14:paraId="4D6F0179"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2ACF30C5"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18-PPEIntensity</w:t>
            </w:r>
          </w:p>
        </w:tc>
        <w:tc>
          <w:tcPr>
            <w:tcW w:w="960" w:type="dxa"/>
            <w:tcBorders>
              <w:top w:val="nil"/>
              <w:left w:val="nil"/>
              <w:bottom w:val="nil"/>
              <w:right w:val="nil"/>
            </w:tcBorders>
            <w:shd w:val="clear" w:color="auto" w:fill="auto"/>
            <w:noWrap/>
            <w:vAlign w:val="center"/>
            <w:hideMark/>
          </w:tcPr>
          <w:p w14:paraId="698EC0CB"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-0.2008*</w:t>
            </w:r>
          </w:p>
        </w:tc>
        <w:tc>
          <w:tcPr>
            <w:tcW w:w="938" w:type="dxa"/>
            <w:tcBorders>
              <w:top w:val="nil"/>
              <w:left w:val="nil"/>
              <w:bottom w:val="nil"/>
              <w:right w:val="nil"/>
            </w:tcBorders>
            <w:shd w:val="clear" w:color="auto" w:fill="auto"/>
            <w:noWrap/>
            <w:vAlign w:val="center"/>
            <w:hideMark/>
          </w:tcPr>
          <w:p w14:paraId="248713AC"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-0.3430*</w:t>
            </w:r>
          </w:p>
        </w:tc>
        <w:tc>
          <w:tcPr>
            <w:tcW w:w="1300" w:type="dxa"/>
            <w:tcBorders>
              <w:top w:val="nil"/>
              <w:left w:val="nil"/>
              <w:bottom w:val="nil"/>
              <w:right w:val="nil"/>
            </w:tcBorders>
            <w:shd w:val="clear" w:color="auto" w:fill="auto"/>
            <w:noWrap/>
            <w:vAlign w:val="center"/>
            <w:hideMark/>
          </w:tcPr>
          <w:p w14:paraId="6D0A84D9"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4797711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0.1149*</w:t>
            </w:r>
          </w:p>
        </w:tc>
        <w:tc>
          <w:tcPr>
            <w:tcW w:w="960" w:type="dxa"/>
            <w:tcBorders>
              <w:top w:val="nil"/>
              <w:left w:val="nil"/>
              <w:bottom w:val="nil"/>
              <w:right w:val="nil"/>
            </w:tcBorders>
            <w:shd w:val="clear" w:color="auto" w:fill="auto"/>
            <w:noWrap/>
            <w:vAlign w:val="center"/>
            <w:hideMark/>
          </w:tcPr>
          <w:p w14:paraId="17DA6DBA"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0.2859*</w:t>
            </w:r>
          </w:p>
        </w:tc>
        <w:tc>
          <w:tcPr>
            <w:tcW w:w="960" w:type="dxa"/>
            <w:tcBorders>
              <w:top w:val="nil"/>
              <w:left w:val="nil"/>
              <w:bottom w:val="nil"/>
              <w:right w:val="nil"/>
            </w:tcBorders>
            <w:shd w:val="clear" w:color="auto" w:fill="auto"/>
            <w:noWrap/>
            <w:vAlign w:val="center"/>
            <w:hideMark/>
          </w:tcPr>
          <w:p w14:paraId="31B04167"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0.3669*</w:t>
            </w:r>
          </w:p>
        </w:tc>
        <w:tc>
          <w:tcPr>
            <w:tcW w:w="960" w:type="dxa"/>
            <w:tcBorders>
              <w:top w:val="nil"/>
              <w:left w:val="nil"/>
              <w:bottom w:val="nil"/>
              <w:right w:val="nil"/>
            </w:tcBorders>
            <w:shd w:val="clear" w:color="auto" w:fill="auto"/>
            <w:noWrap/>
            <w:vAlign w:val="center"/>
            <w:hideMark/>
          </w:tcPr>
          <w:p w14:paraId="51C9D52C"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-0.2152*</w:t>
            </w:r>
          </w:p>
        </w:tc>
        <w:tc>
          <w:tcPr>
            <w:tcW w:w="960" w:type="dxa"/>
            <w:tcBorders>
              <w:top w:val="nil"/>
              <w:left w:val="nil"/>
              <w:bottom w:val="nil"/>
              <w:right w:val="nil"/>
            </w:tcBorders>
            <w:shd w:val="clear" w:color="auto" w:fill="auto"/>
            <w:noWrap/>
            <w:vAlign w:val="center"/>
            <w:hideMark/>
          </w:tcPr>
          <w:p w14:paraId="4703E122"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0.1553*</w:t>
            </w:r>
          </w:p>
        </w:tc>
        <w:tc>
          <w:tcPr>
            <w:tcW w:w="960" w:type="dxa"/>
            <w:tcBorders>
              <w:top w:val="nil"/>
              <w:left w:val="nil"/>
              <w:bottom w:val="nil"/>
              <w:right w:val="nil"/>
            </w:tcBorders>
            <w:shd w:val="clear" w:color="auto" w:fill="auto"/>
            <w:noWrap/>
            <w:vAlign w:val="center"/>
            <w:hideMark/>
          </w:tcPr>
          <w:p w14:paraId="7AE0C19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-0.01</w:t>
            </w:r>
          </w:p>
        </w:tc>
        <w:tc>
          <w:tcPr>
            <w:tcW w:w="960" w:type="dxa"/>
            <w:tcBorders>
              <w:top w:val="nil"/>
              <w:left w:val="nil"/>
              <w:bottom w:val="nil"/>
              <w:right w:val="nil"/>
            </w:tcBorders>
            <w:shd w:val="clear" w:color="auto" w:fill="auto"/>
            <w:noWrap/>
            <w:vAlign w:val="center"/>
            <w:hideMark/>
          </w:tcPr>
          <w:p w14:paraId="1B70DCA9"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-0.0558*</w:t>
            </w:r>
          </w:p>
        </w:tc>
        <w:tc>
          <w:tcPr>
            <w:tcW w:w="960" w:type="dxa"/>
            <w:tcBorders>
              <w:top w:val="nil"/>
              <w:left w:val="nil"/>
              <w:bottom w:val="nil"/>
              <w:right w:val="nil"/>
            </w:tcBorders>
            <w:shd w:val="clear" w:color="auto" w:fill="auto"/>
            <w:noWrap/>
            <w:vAlign w:val="center"/>
            <w:hideMark/>
          </w:tcPr>
          <w:p w14:paraId="53CE087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-0.0529*</w:t>
            </w:r>
          </w:p>
        </w:tc>
        <w:tc>
          <w:tcPr>
            <w:tcW w:w="960" w:type="dxa"/>
            <w:tcBorders>
              <w:top w:val="nil"/>
              <w:left w:val="nil"/>
              <w:bottom w:val="nil"/>
              <w:right w:val="nil"/>
            </w:tcBorders>
            <w:shd w:val="clear" w:color="auto" w:fill="auto"/>
            <w:noWrap/>
            <w:vAlign w:val="center"/>
            <w:hideMark/>
          </w:tcPr>
          <w:p w14:paraId="22270171"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0.1377*</w:t>
            </w:r>
          </w:p>
        </w:tc>
      </w:tr>
      <w:tr w:rsidR="009A7B5F" w:rsidRPr="00AE4D53" w14:paraId="4C6128DC"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36986C5A"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19-RDIntensity</w:t>
            </w:r>
          </w:p>
        </w:tc>
        <w:tc>
          <w:tcPr>
            <w:tcW w:w="960" w:type="dxa"/>
            <w:tcBorders>
              <w:top w:val="nil"/>
              <w:left w:val="nil"/>
              <w:bottom w:val="nil"/>
              <w:right w:val="nil"/>
            </w:tcBorders>
            <w:shd w:val="clear" w:color="auto" w:fill="auto"/>
            <w:noWrap/>
            <w:vAlign w:val="center"/>
            <w:hideMark/>
          </w:tcPr>
          <w:p w14:paraId="10819A08"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-0.0697*</w:t>
            </w:r>
          </w:p>
        </w:tc>
        <w:tc>
          <w:tcPr>
            <w:tcW w:w="938" w:type="dxa"/>
            <w:tcBorders>
              <w:top w:val="nil"/>
              <w:left w:val="nil"/>
              <w:bottom w:val="nil"/>
              <w:right w:val="nil"/>
            </w:tcBorders>
            <w:shd w:val="clear" w:color="auto" w:fill="auto"/>
            <w:noWrap/>
            <w:vAlign w:val="center"/>
            <w:hideMark/>
          </w:tcPr>
          <w:p w14:paraId="56FED682"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-0.0882*</w:t>
            </w:r>
          </w:p>
        </w:tc>
        <w:tc>
          <w:tcPr>
            <w:tcW w:w="1300" w:type="dxa"/>
            <w:tcBorders>
              <w:top w:val="nil"/>
              <w:left w:val="nil"/>
              <w:bottom w:val="nil"/>
              <w:right w:val="nil"/>
            </w:tcBorders>
            <w:shd w:val="clear" w:color="auto" w:fill="auto"/>
            <w:noWrap/>
            <w:vAlign w:val="center"/>
            <w:hideMark/>
          </w:tcPr>
          <w:p w14:paraId="09781C83"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5FEA748D"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0.01</w:t>
            </w:r>
          </w:p>
        </w:tc>
        <w:tc>
          <w:tcPr>
            <w:tcW w:w="960" w:type="dxa"/>
            <w:tcBorders>
              <w:top w:val="nil"/>
              <w:left w:val="nil"/>
              <w:bottom w:val="nil"/>
              <w:right w:val="nil"/>
            </w:tcBorders>
            <w:shd w:val="clear" w:color="auto" w:fill="auto"/>
            <w:noWrap/>
            <w:vAlign w:val="center"/>
            <w:hideMark/>
          </w:tcPr>
          <w:p w14:paraId="40863072"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-0.0993*</w:t>
            </w:r>
          </w:p>
        </w:tc>
        <w:tc>
          <w:tcPr>
            <w:tcW w:w="960" w:type="dxa"/>
            <w:tcBorders>
              <w:top w:val="nil"/>
              <w:left w:val="nil"/>
              <w:bottom w:val="nil"/>
              <w:right w:val="nil"/>
            </w:tcBorders>
            <w:shd w:val="clear" w:color="auto" w:fill="auto"/>
            <w:noWrap/>
            <w:vAlign w:val="center"/>
            <w:hideMark/>
          </w:tcPr>
          <w:p w14:paraId="76FD5C7A"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w:t>
            </w:r>
          </w:p>
        </w:tc>
        <w:tc>
          <w:tcPr>
            <w:tcW w:w="960" w:type="dxa"/>
            <w:tcBorders>
              <w:top w:val="nil"/>
              <w:left w:val="nil"/>
              <w:bottom w:val="nil"/>
              <w:right w:val="nil"/>
            </w:tcBorders>
            <w:shd w:val="clear" w:color="auto" w:fill="auto"/>
            <w:noWrap/>
            <w:vAlign w:val="center"/>
            <w:hideMark/>
          </w:tcPr>
          <w:p w14:paraId="70D1B711"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-0.0957*</w:t>
            </w:r>
          </w:p>
        </w:tc>
        <w:tc>
          <w:tcPr>
            <w:tcW w:w="960" w:type="dxa"/>
            <w:tcBorders>
              <w:top w:val="nil"/>
              <w:left w:val="nil"/>
              <w:bottom w:val="nil"/>
              <w:right w:val="nil"/>
            </w:tcBorders>
            <w:shd w:val="clear" w:color="auto" w:fill="auto"/>
            <w:noWrap/>
            <w:vAlign w:val="center"/>
            <w:hideMark/>
          </w:tcPr>
          <w:p w14:paraId="3869060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-0.1420*</w:t>
            </w:r>
          </w:p>
        </w:tc>
        <w:tc>
          <w:tcPr>
            <w:tcW w:w="960" w:type="dxa"/>
            <w:tcBorders>
              <w:top w:val="nil"/>
              <w:left w:val="nil"/>
              <w:bottom w:val="nil"/>
              <w:right w:val="nil"/>
            </w:tcBorders>
            <w:shd w:val="clear" w:color="auto" w:fill="auto"/>
            <w:noWrap/>
            <w:vAlign w:val="center"/>
            <w:hideMark/>
          </w:tcPr>
          <w:p w14:paraId="3019285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0.02</w:t>
            </w:r>
          </w:p>
        </w:tc>
        <w:tc>
          <w:tcPr>
            <w:tcW w:w="960" w:type="dxa"/>
            <w:tcBorders>
              <w:top w:val="nil"/>
              <w:left w:val="nil"/>
              <w:bottom w:val="nil"/>
              <w:right w:val="nil"/>
            </w:tcBorders>
            <w:shd w:val="clear" w:color="auto" w:fill="auto"/>
            <w:noWrap/>
            <w:vAlign w:val="center"/>
            <w:hideMark/>
          </w:tcPr>
          <w:p w14:paraId="502C62D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0.02</w:t>
            </w:r>
          </w:p>
        </w:tc>
        <w:tc>
          <w:tcPr>
            <w:tcW w:w="960" w:type="dxa"/>
            <w:tcBorders>
              <w:top w:val="nil"/>
              <w:left w:val="nil"/>
              <w:bottom w:val="nil"/>
              <w:right w:val="nil"/>
            </w:tcBorders>
            <w:shd w:val="clear" w:color="auto" w:fill="auto"/>
            <w:noWrap/>
            <w:vAlign w:val="center"/>
            <w:hideMark/>
          </w:tcPr>
          <w:p w14:paraId="51D9EEBC"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w:t>
            </w:r>
          </w:p>
        </w:tc>
        <w:tc>
          <w:tcPr>
            <w:tcW w:w="960" w:type="dxa"/>
            <w:tcBorders>
              <w:top w:val="nil"/>
              <w:left w:val="nil"/>
              <w:bottom w:val="nil"/>
              <w:right w:val="nil"/>
            </w:tcBorders>
            <w:shd w:val="clear" w:color="auto" w:fill="auto"/>
            <w:noWrap/>
            <w:vAlign w:val="center"/>
            <w:hideMark/>
          </w:tcPr>
          <w:p w14:paraId="30A88774"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w:t>
            </w:r>
          </w:p>
        </w:tc>
      </w:tr>
      <w:tr w:rsidR="009A7B5F" w:rsidRPr="00AE4D53" w14:paraId="5322AF2D"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466950D8"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20-IndConcentration</w:t>
            </w:r>
          </w:p>
        </w:tc>
        <w:tc>
          <w:tcPr>
            <w:tcW w:w="960" w:type="dxa"/>
            <w:tcBorders>
              <w:top w:val="nil"/>
              <w:left w:val="nil"/>
              <w:bottom w:val="nil"/>
              <w:right w:val="nil"/>
            </w:tcBorders>
            <w:shd w:val="clear" w:color="auto" w:fill="auto"/>
            <w:noWrap/>
            <w:vAlign w:val="center"/>
            <w:hideMark/>
          </w:tcPr>
          <w:p w14:paraId="514F4EE7"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0.03</w:t>
            </w:r>
          </w:p>
        </w:tc>
        <w:tc>
          <w:tcPr>
            <w:tcW w:w="938" w:type="dxa"/>
            <w:tcBorders>
              <w:top w:val="nil"/>
              <w:left w:val="nil"/>
              <w:bottom w:val="nil"/>
              <w:right w:val="nil"/>
            </w:tcBorders>
            <w:shd w:val="clear" w:color="auto" w:fill="auto"/>
            <w:noWrap/>
            <w:vAlign w:val="center"/>
            <w:hideMark/>
          </w:tcPr>
          <w:p w14:paraId="6A92C4FD"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0.0834*</w:t>
            </w:r>
          </w:p>
        </w:tc>
        <w:tc>
          <w:tcPr>
            <w:tcW w:w="1300" w:type="dxa"/>
            <w:tcBorders>
              <w:top w:val="nil"/>
              <w:left w:val="nil"/>
              <w:bottom w:val="nil"/>
              <w:right w:val="nil"/>
            </w:tcBorders>
            <w:shd w:val="clear" w:color="auto" w:fill="auto"/>
            <w:noWrap/>
            <w:vAlign w:val="center"/>
            <w:hideMark/>
          </w:tcPr>
          <w:p w14:paraId="1B9C0C48"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4C8FEEFC"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-0.0860*</w:t>
            </w:r>
          </w:p>
        </w:tc>
        <w:tc>
          <w:tcPr>
            <w:tcW w:w="960" w:type="dxa"/>
            <w:tcBorders>
              <w:top w:val="nil"/>
              <w:left w:val="nil"/>
              <w:bottom w:val="nil"/>
              <w:right w:val="nil"/>
            </w:tcBorders>
            <w:shd w:val="clear" w:color="auto" w:fill="auto"/>
            <w:noWrap/>
            <w:vAlign w:val="center"/>
            <w:hideMark/>
          </w:tcPr>
          <w:p w14:paraId="48D028AA"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0.0335*</w:t>
            </w:r>
          </w:p>
        </w:tc>
        <w:tc>
          <w:tcPr>
            <w:tcW w:w="960" w:type="dxa"/>
            <w:tcBorders>
              <w:top w:val="nil"/>
              <w:left w:val="nil"/>
              <w:bottom w:val="nil"/>
              <w:right w:val="nil"/>
            </w:tcBorders>
            <w:shd w:val="clear" w:color="auto" w:fill="auto"/>
            <w:noWrap/>
            <w:vAlign w:val="center"/>
            <w:hideMark/>
          </w:tcPr>
          <w:p w14:paraId="74B4E9E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0.01</w:t>
            </w:r>
          </w:p>
        </w:tc>
        <w:tc>
          <w:tcPr>
            <w:tcW w:w="960" w:type="dxa"/>
            <w:tcBorders>
              <w:top w:val="nil"/>
              <w:left w:val="nil"/>
              <w:bottom w:val="nil"/>
              <w:right w:val="nil"/>
            </w:tcBorders>
            <w:shd w:val="clear" w:color="auto" w:fill="auto"/>
            <w:noWrap/>
            <w:vAlign w:val="center"/>
            <w:hideMark/>
          </w:tcPr>
          <w:p w14:paraId="5B7E558D"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0.1534*</w:t>
            </w:r>
          </w:p>
        </w:tc>
        <w:tc>
          <w:tcPr>
            <w:tcW w:w="960" w:type="dxa"/>
            <w:tcBorders>
              <w:top w:val="nil"/>
              <w:left w:val="nil"/>
              <w:bottom w:val="nil"/>
              <w:right w:val="nil"/>
            </w:tcBorders>
            <w:shd w:val="clear" w:color="auto" w:fill="auto"/>
            <w:noWrap/>
            <w:vAlign w:val="center"/>
            <w:hideMark/>
          </w:tcPr>
          <w:p w14:paraId="18A4EE32"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-0.1109*</w:t>
            </w:r>
          </w:p>
        </w:tc>
        <w:tc>
          <w:tcPr>
            <w:tcW w:w="960" w:type="dxa"/>
            <w:tcBorders>
              <w:top w:val="nil"/>
              <w:left w:val="nil"/>
              <w:bottom w:val="nil"/>
              <w:right w:val="nil"/>
            </w:tcBorders>
            <w:shd w:val="clear" w:color="auto" w:fill="auto"/>
            <w:noWrap/>
            <w:vAlign w:val="center"/>
            <w:hideMark/>
          </w:tcPr>
          <w:p w14:paraId="0A52C431"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w:t>
            </w:r>
          </w:p>
        </w:tc>
        <w:tc>
          <w:tcPr>
            <w:tcW w:w="960" w:type="dxa"/>
            <w:tcBorders>
              <w:top w:val="nil"/>
              <w:left w:val="nil"/>
              <w:bottom w:val="nil"/>
              <w:right w:val="nil"/>
            </w:tcBorders>
            <w:shd w:val="clear" w:color="auto" w:fill="auto"/>
            <w:noWrap/>
            <w:vAlign w:val="center"/>
            <w:hideMark/>
          </w:tcPr>
          <w:p w14:paraId="243D3EFB"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-0.01</w:t>
            </w:r>
          </w:p>
        </w:tc>
        <w:tc>
          <w:tcPr>
            <w:tcW w:w="960" w:type="dxa"/>
            <w:tcBorders>
              <w:top w:val="nil"/>
              <w:left w:val="nil"/>
              <w:bottom w:val="nil"/>
              <w:right w:val="nil"/>
            </w:tcBorders>
            <w:shd w:val="clear" w:color="auto" w:fill="auto"/>
            <w:noWrap/>
            <w:vAlign w:val="center"/>
            <w:hideMark/>
          </w:tcPr>
          <w:p w14:paraId="5CA5D8FB"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0.0350*</w:t>
            </w:r>
          </w:p>
        </w:tc>
        <w:tc>
          <w:tcPr>
            <w:tcW w:w="960" w:type="dxa"/>
            <w:tcBorders>
              <w:top w:val="nil"/>
              <w:left w:val="nil"/>
              <w:bottom w:val="nil"/>
              <w:right w:val="nil"/>
            </w:tcBorders>
            <w:shd w:val="clear" w:color="auto" w:fill="auto"/>
            <w:noWrap/>
            <w:vAlign w:val="center"/>
            <w:hideMark/>
          </w:tcPr>
          <w:p w14:paraId="6181FF0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-0.1634*</w:t>
            </w:r>
          </w:p>
        </w:tc>
      </w:tr>
      <w:tr w:rsidR="009A7B5F" w:rsidRPr="00AE4D53" w14:paraId="28902D2F"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74A72B2F"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21-Education</w:t>
            </w:r>
          </w:p>
        </w:tc>
        <w:tc>
          <w:tcPr>
            <w:tcW w:w="960" w:type="dxa"/>
            <w:tcBorders>
              <w:top w:val="nil"/>
              <w:left w:val="nil"/>
              <w:bottom w:val="nil"/>
              <w:right w:val="nil"/>
            </w:tcBorders>
            <w:shd w:val="clear" w:color="auto" w:fill="auto"/>
            <w:noWrap/>
            <w:vAlign w:val="center"/>
            <w:hideMark/>
          </w:tcPr>
          <w:p w14:paraId="4C30A21C"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0.0446*</w:t>
            </w:r>
          </w:p>
        </w:tc>
        <w:tc>
          <w:tcPr>
            <w:tcW w:w="938" w:type="dxa"/>
            <w:tcBorders>
              <w:top w:val="nil"/>
              <w:left w:val="nil"/>
              <w:bottom w:val="nil"/>
              <w:right w:val="nil"/>
            </w:tcBorders>
            <w:shd w:val="clear" w:color="auto" w:fill="auto"/>
            <w:noWrap/>
            <w:vAlign w:val="center"/>
            <w:hideMark/>
          </w:tcPr>
          <w:p w14:paraId="00C7E5B7"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0.1347*</w:t>
            </w:r>
          </w:p>
        </w:tc>
        <w:tc>
          <w:tcPr>
            <w:tcW w:w="1300" w:type="dxa"/>
            <w:tcBorders>
              <w:top w:val="nil"/>
              <w:left w:val="nil"/>
              <w:bottom w:val="nil"/>
              <w:right w:val="nil"/>
            </w:tcBorders>
            <w:shd w:val="clear" w:color="auto" w:fill="auto"/>
            <w:noWrap/>
            <w:vAlign w:val="center"/>
            <w:hideMark/>
          </w:tcPr>
          <w:p w14:paraId="0FC45348"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79BBB4AA"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-0.0625*</w:t>
            </w:r>
          </w:p>
        </w:tc>
        <w:tc>
          <w:tcPr>
            <w:tcW w:w="960" w:type="dxa"/>
            <w:tcBorders>
              <w:top w:val="nil"/>
              <w:left w:val="nil"/>
              <w:bottom w:val="nil"/>
              <w:right w:val="nil"/>
            </w:tcBorders>
            <w:shd w:val="clear" w:color="auto" w:fill="auto"/>
            <w:noWrap/>
            <w:vAlign w:val="center"/>
            <w:hideMark/>
          </w:tcPr>
          <w:p w14:paraId="310EDC5A"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-0.0492*</w:t>
            </w:r>
          </w:p>
        </w:tc>
        <w:tc>
          <w:tcPr>
            <w:tcW w:w="960" w:type="dxa"/>
            <w:tcBorders>
              <w:top w:val="nil"/>
              <w:left w:val="nil"/>
              <w:bottom w:val="nil"/>
              <w:right w:val="nil"/>
            </w:tcBorders>
            <w:shd w:val="clear" w:color="auto" w:fill="auto"/>
            <w:noWrap/>
            <w:vAlign w:val="center"/>
            <w:hideMark/>
          </w:tcPr>
          <w:p w14:paraId="22282ADC"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-0.01</w:t>
            </w:r>
          </w:p>
        </w:tc>
        <w:tc>
          <w:tcPr>
            <w:tcW w:w="960" w:type="dxa"/>
            <w:tcBorders>
              <w:top w:val="nil"/>
              <w:left w:val="nil"/>
              <w:bottom w:val="nil"/>
              <w:right w:val="nil"/>
            </w:tcBorders>
            <w:shd w:val="clear" w:color="auto" w:fill="auto"/>
            <w:noWrap/>
            <w:vAlign w:val="center"/>
            <w:hideMark/>
          </w:tcPr>
          <w:p w14:paraId="7A00FC4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0.01</w:t>
            </w:r>
          </w:p>
        </w:tc>
        <w:tc>
          <w:tcPr>
            <w:tcW w:w="960" w:type="dxa"/>
            <w:tcBorders>
              <w:top w:val="nil"/>
              <w:left w:val="nil"/>
              <w:bottom w:val="nil"/>
              <w:right w:val="nil"/>
            </w:tcBorders>
            <w:shd w:val="clear" w:color="auto" w:fill="auto"/>
            <w:noWrap/>
            <w:vAlign w:val="center"/>
            <w:hideMark/>
          </w:tcPr>
          <w:p w14:paraId="12DC39F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-0.0745*</w:t>
            </w:r>
          </w:p>
        </w:tc>
        <w:tc>
          <w:tcPr>
            <w:tcW w:w="960" w:type="dxa"/>
            <w:tcBorders>
              <w:top w:val="nil"/>
              <w:left w:val="nil"/>
              <w:bottom w:val="nil"/>
              <w:right w:val="nil"/>
            </w:tcBorders>
            <w:shd w:val="clear" w:color="auto" w:fill="auto"/>
            <w:noWrap/>
            <w:vAlign w:val="center"/>
            <w:hideMark/>
          </w:tcPr>
          <w:p w14:paraId="25A99047"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0.01</w:t>
            </w:r>
          </w:p>
        </w:tc>
        <w:tc>
          <w:tcPr>
            <w:tcW w:w="960" w:type="dxa"/>
            <w:tcBorders>
              <w:top w:val="nil"/>
              <w:left w:val="nil"/>
              <w:bottom w:val="nil"/>
              <w:right w:val="nil"/>
            </w:tcBorders>
            <w:shd w:val="clear" w:color="auto" w:fill="auto"/>
            <w:noWrap/>
            <w:vAlign w:val="center"/>
            <w:hideMark/>
          </w:tcPr>
          <w:p w14:paraId="7510C6D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1FA7FD4B"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0.0447*</w:t>
            </w:r>
          </w:p>
        </w:tc>
        <w:tc>
          <w:tcPr>
            <w:tcW w:w="960" w:type="dxa"/>
            <w:tcBorders>
              <w:top w:val="nil"/>
              <w:left w:val="nil"/>
              <w:bottom w:val="nil"/>
              <w:right w:val="nil"/>
            </w:tcBorders>
            <w:shd w:val="clear" w:color="auto" w:fill="auto"/>
            <w:noWrap/>
            <w:vAlign w:val="center"/>
            <w:hideMark/>
          </w:tcPr>
          <w:p w14:paraId="0AACF719"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-0.1984*</w:t>
            </w:r>
          </w:p>
        </w:tc>
      </w:tr>
      <w:tr w:rsidR="009A7B5F" w:rsidRPr="00AE4D53" w14:paraId="01BA4836" w14:textId="77777777" w:rsidTr="009F5DF5">
        <w:trPr>
          <w:trHeight w:val="298"/>
          <w:jc w:val="center"/>
        </w:trPr>
        <w:tc>
          <w:tcPr>
            <w:tcW w:w="2211" w:type="dxa"/>
            <w:tcBorders>
              <w:top w:val="nil"/>
              <w:left w:val="nil"/>
              <w:bottom w:val="nil"/>
              <w:right w:val="nil"/>
            </w:tcBorders>
            <w:shd w:val="clear" w:color="auto" w:fill="auto"/>
            <w:noWrap/>
            <w:vAlign w:val="center"/>
            <w:hideMark/>
          </w:tcPr>
          <w:p w14:paraId="3E223945"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22-Union</w:t>
            </w:r>
          </w:p>
        </w:tc>
        <w:tc>
          <w:tcPr>
            <w:tcW w:w="960" w:type="dxa"/>
            <w:tcBorders>
              <w:top w:val="nil"/>
              <w:left w:val="nil"/>
              <w:bottom w:val="nil"/>
              <w:right w:val="nil"/>
            </w:tcBorders>
            <w:shd w:val="clear" w:color="auto" w:fill="auto"/>
            <w:noWrap/>
            <w:vAlign w:val="center"/>
            <w:hideMark/>
          </w:tcPr>
          <w:p w14:paraId="41FBD3B3"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0.1924*</w:t>
            </w:r>
          </w:p>
        </w:tc>
        <w:tc>
          <w:tcPr>
            <w:tcW w:w="938" w:type="dxa"/>
            <w:tcBorders>
              <w:top w:val="nil"/>
              <w:left w:val="nil"/>
              <w:bottom w:val="nil"/>
              <w:right w:val="nil"/>
            </w:tcBorders>
            <w:shd w:val="clear" w:color="auto" w:fill="auto"/>
            <w:noWrap/>
            <w:vAlign w:val="center"/>
            <w:hideMark/>
          </w:tcPr>
          <w:p w14:paraId="74F54660"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0.2767*</w:t>
            </w:r>
          </w:p>
        </w:tc>
        <w:tc>
          <w:tcPr>
            <w:tcW w:w="1300" w:type="dxa"/>
            <w:tcBorders>
              <w:top w:val="nil"/>
              <w:left w:val="nil"/>
              <w:bottom w:val="nil"/>
              <w:right w:val="nil"/>
            </w:tcBorders>
            <w:shd w:val="clear" w:color="auto" w:fill="auto"/>
            <w:noWrap/>
            <w:vAlign w:val="center"/>
            <w:hideMark/>
          </w:tcPr>
          <w:p w14:paraId="0099D49A"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bottom w:val="nil"/>
              <w:right w:val="nil"/>
            </w:tcBorders>
            <w:shd w:val="clear" w:color="auto" w:fill="auto"/>
            <w:noWrap/>
            <w:vAlign w:val="center"/>
            <w:hideMark/>
          </w:tcPr>
          <w:p w14:paraId="287DD80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-0.0650*</w:t>
            </w:r>
          </w:p>
        </w:tc>
        <w:tc>
          <w:tcPr>
            <w:tcW w:w="960" w:type="dxa"/>
            <w:tcBorders>
              <w:top w:val="nil"/>
              <w:left w:val="nil"/>
              <w:bottom w:val="nil"/>
              <w:right w:val="nil"/>
            </w:tcBorders>
            <w:shd w:val="clear" w:color="auto" w:fill="auto"/>
            <w:noWrap/>
            <w:vAlign w:val="center"/>
            <w:hideMark/>
          </w:tcPr>
          <w:p w14:paraId="7ED4AA2D"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0.0778*</w:t>
            </w:r>
          </w:p>
        </w:tc>
        <w:tc>
          <w:tcPr>
            <w:tcW w:w="960" w:type="dxa"/>
            <w:tcBorders>
              <w:top w:val="nil"/>
              <w:left w:val="nil"/>
              <w:bottom w:val="nil"/>
              <w:right w:val="nil"/>
            </w:tcBorders>
            <w:shd w:val="clear" w:color="auto" w:fill="auto"/>
            <w:noWrap/>
            <w:vAlign w:val="center"/>
            <w:hideMark/>
          </w:tcPr>
          <w:p w14:paraId="3F9189CE"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-0.0643*</w:t>
            </w:r>
          </w:p>
        </w:tc>
        <w:tc>
          <w:tcPr>
            <w:tcW w:w="960" w:type="dxa"/>
            <w:tcBorders>
              <w:top w:val="nil"/>
              <w:left w:val="nil"/>
              <w:bottom w:val="nil"/>
              <w:right w:val="nil"/>
            </w:tcBorders>
            <w:shd w:val="clear" w:color="auto" w:fill="auto"/>
            <w:noWrap/>
            <w:vAlign w:val="center"/>
            <w:hideMark/>
          </w:tcPr>
          <w:p w14:paraId="4D607309"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0.2521*</w:t>
            </w:r>
          </w:p>
        </w:tc>
        <w:tc>
          <w:tcPr>
            <w:tcW w:w="960" w:type="dxa"/>
            <w:tcBorders>
              <w:top w:val="nil"/>
              <w:left w:val="nil"/>
              <w:bottom w:val="nil"/>
              <w:right w:val="nil"/>
            </w:tcBorders>
            <w:shd w:val="clear" w:color="auto" w:fill="auto"/>
            <w:noWrap/>
            <w:vAlign w:val="center"/>
            <w:hideMark/>
          </w:tcPr>
          <w:p w14:paraId="0829F9E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-0.0618*</w:t>
            </w:r>
          </w:p>
        </w:tc>
        <w:tc>
          <w:tcPr>
            <w:tcW w:w="960" w:type="dxa"/>
            <w:tcBorders>
              <w:top w:val="nil"/>
              <w:left w:val="nil"/>
              <w:bottom w:val="nil"/>
              <w:right w:val="nil"/>
            </w:tcBorders>
            <w:shd w:val="clear" w:color="auto" w:fill="auto"/>
            <w:noWrap/>
            <w:vAlign w:val="center"/>
            <w:hideMark/>
          </w:tcPr>
          <w:p w14:paraId="4D64363B"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-0.0625*</w:t>
            </w:r>
          </w:p>
        </w:tc>
        <w:tc>
          <w:tcPr>
            <w:tcW w:w="960" w:type="dxa"/>
            <w:tcBorders>
              <w:top w:val="nil"/>
              <w:left w:val="nil"/>
              <w:bottom w:val="nil"/>
              <w:right w:val="nil"/>
            </w:tcBorders>
            <w:shd w:val="clear" w:color="auto" w:fill="auto"/>
            <w:noWrap/>
            <w:vAlign w:val="center"/>
            <w:hideMark/>
          </w:tcPr>
          <w:p w14:paraId="18815B30"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0.1503*</w:t>
            </w:r>
          </w:p>
        </w:tc>
        <w:tc>
          <w:tcPr>
            <w:tcW w:w="960" w:type="dxa"/>
            <w:tcBorders>
              <w:top w:val="nil"/>
              <w:left w:val="nil"/>
              <w:bottom w:val="nil"/>
              <w:right w:val="nil"/>
            </w:tcBorders>
            <w:shd w:val="clear" w:color="auto" w:fill="auto"/>
            <w:noWrap/>
            <w:vAlign w:val="center"/>
            <w:hideMark/>
          </w:tcPr>
          <w:p w14:paraId="35940D8A"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0.0401*</w:t>
            </w:r>
          </w:p>
        </w:tc>
        <w:tc>
          <w:tcPr>
            <w:tcW w:w="960" w:type="dxa"/>
            <w:tcBorders>
              <w:top w:val="nil"/>
              <w:left w:val="nil"/>
              <w:bottom w:val="nil"/>
              <w:right w:val="nil"/>
            </w:tcBorders>
            <w:shd w:val="clear" w:color="auto" w:fill="auto"/>
            <w:noWrap/>
            <w:vAlign w:val="center"/>
            <w:hideMark/>
          </w:tcPr>
          <w:p w14:paraId="0BD83D74"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-0.1339*</w:t>
            </w:r>
          </w:p>
        </w:tc>
      </w:tr>
      <w:tr w:rsidR="009A7B5F" w:rsidRPr="00AE4D53" w14:paraId="145DDAC2" w14:textId="77777777" w:rsidTr="009F5DF5">
        <w:trPr>
          <w:trHeight w:val="298"/>
          <w:jc w:val="center"/>
        </w:trPr>
        <w:tc>
          <w:tcPr>
            <w:tcW w:w="2211" w:type="dxa"/>
            <w:tcBorders>
              <w:top w:val="nil"/>
              <w:left w:val="nil"/>
              <w:right w:val="nil"/>
            </w:tcBorders>
            <w:shd w:val="clear" w:color="auto" w:fill="auto"/>
            <w:noWrap/>
            <w:vAlign w:val="center"/>
            <w:hideMark/>
          </w:tcPr>
          <w:p w14:paraId="6270F484" w14:textId="77777777" w:rsidR="009A7B5F" w:rsidRPr="00AE4D53" w:rsidRDefault="009A7B5F" w:rsidP="009F5DF5">
            <w:pPr>
              <w:spacing w:after="0"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23-Unemployment</w:t>
            </w:r>
          </w:p>
        </w:tc>
        <w:tc>
          <w:tcPr>
            <w:tcW w:w="960" w:type="dxa"/>
            <w:tcBorders>
              <w:top w:val="nil"/>
              <w:left w:val="nil"/>
              <w:right w:val="nil"/>
            </w:tcBorders>
            <w:shd w:val="clear" w:color="auto" w:fill="auto"/>
            <w:noWrap/>
            <w:vAlign w:val="center"/>
            <w:hideMark/>
          </w:tcPr>
          <w:p w14:paraId="22614EF0"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-0.02</w:t>
            </w:r>
          </w:p>
        </w:tc>
        <w:tc>
          <w:tcPr>
            <w:tcW w:w="938" w:type="dxa"/>
            <w:tcBorders>
              <w:top w:val="nil"/>
              <w:left w:val="nil"/>
              <w:right w:val="nil"/>
            </w:tcBorders>
            <w:shd w:val="clear" w:color="auto" w:fill="auto"/>
            <w:noWrap/>
            <w:vAlign w:val="center"/>
            <w:hideMark/>
          </w:tcPr>
          <w:p w14:paraId="0A1E15A6"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-0.03</w:t>
            </w:r>
          </w:p>
        </w:tc>
        <w:tc>
          <w:tcPr>
            <w:tcW w:w="1300" w:type="dxa"/>
            <w:tcBorders>
              <w:top w:val="nil"/>
              <w:left w:val="nil"/>
              <w:right w:val="nil"/>
            </w:tcBorders>
            <w:shd w:val="clear" w:color="auto" w:fill="auto"/>
            <w:noWrap/>
            <w:vAlign w:val="center"/>
            <w:hideMark/>
          </w:tcPr>
          <w:p w14:paraId="3F312738" w14:textId="77777777" w:rsidR="009A7B5F" w:rsidRPr="001D59A9" w:rsidRDefault="009A7B5F" w:rsidP="009F5DF5">
            <w:pPr>
              <w:spacing w:after="0"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right w:val="nil"/>
            </w:tcBorders>
            <w:shd w:val="clear" w:color="auto" w:fill="auto"/>
            <w:noWrap/>
            <w:vAlign w:val="center"/>
            <w:hideMark/>
          </w:tcPr>
          <w:p w14:paraId="5BBA65BC"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0.0514*</w:t>
            </w:r>
          </w:p>
        </w:tc>
        <w:tc>
          <w:tcPr>
            <w:tcW w:w="960" w:type="dxa"/>
            <w:tcBorders>
              <w:top w:val="nil"/>
              <w:left w:val="nil"/>
              <w:right w:val="nil"/>
            </w:tcBorders>
            <w:shd w:val="clear" w:color="auto" w:fill="auto"/>
            <w:noWrap/>
            <w:vAlign w:val="center"/>
            <w:hideMark/>
          </w:tcPr>
          <w:p w14:paraId="18DDC7B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-0.0395*</w:t>
            </w:r>
          </w:p>
        </w:tc>
        <w:tc>
          <w:tcPr>
            <w:tcW w:w="960" w:type="dxa"/>
            <w:tcBorders>
              <w:top w:val="nil"/>
              <w:left w:val="nil"/>
              <w:right w:val="nil"/>
            </w:tcBorders>
            <w:shd w:val="clear" w:color="auto" w:fill="auto"/>
            <w:noWrap/>
            <w:vAlign w:val="center"/>
            <w:hideMark/>
          </w:tcPr>
          <w:p w14:paraId="0F42CECF"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-0.0529*</w:t>
            </w:r>
          </w:p>
        </w:tc>
        <w:tc>
          <w:tcPr>
            <w:tcW w:w="960" w:type="dxa"/>
            <w:tcBorders>
              <w:top w:val="nil"/>
              <w:left w:val="nil"/>
              <w:right w:val="nil"/>
            </w:tcBorders>
            <w:shd w:val="clear" w:color="auto" w:fill="auto"/>
            <w:noWrap/>
            <w:vAlign w:val="center"/>
            <w:hideMark/>
          </w:tcPr>
          <w:p w14:paraId="11049832"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-0.02</w:t>
            </w:r>
          </w:p>
        </w:tc>
        <w:tc>
          <w:tcPr>
            <w:tcW w:w="960" w:type="dxa"/>
            <w:tcBorders>
              <w:top w:val="nil"/>
              <w:left w:val="nil"/>
              <w:right w:val="nil"/>
            </w:tcBorders>
            <w:shd w:val="clear" w:color="auto" w:fill="auto"/>
            <w:noWrap/>
            <w:vAlign w:val="center"/>
            <w:hideMark/>
          </w:tcPr>
          <w:p w14:paraId="784F641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0.0950*</w:t>
            </w:r>
          </w:p>
        </w:tc>
        <w:tc>
          <w:tcPr>
            <w:tcW w:w="960" w:type="dxa"/>
            <w:tcBorders>
              <w:top w:val="nil"/>
              <w:left w:val="nil"/>
              <w:right w:val="nil"/>
            </w:tcBorders>
            <w:shd w:val="clear" w:color="auto" w:fill="auto"/>
            <w:noWrap/>
            <w:vAlign w:val="center"/>
            <w:hideMark/>
          </w:tcPr>
          <w:p w14:paraId="18BFD3D3"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0.00</w:t>
            </w:r>
          </w:p>
        </w:tc>
        <w:tc>
          <w:tcPr>
            <w:tcW w:w="960" w:type="dxa"/>
            <w:tcBorders>
              <w:top w:val="nil"/>
              <w:left w:val="nil"/>
              <w:right w:val="nil"/>
            </w:tcBorders>
            <w:shd w:val="clear" w:color="auto" w:fill="auto"/>
            <w:noWrap/>
            <w:vAlign w:val="center"/>
            <w:hideMark/>
          </w:tcPr>
          <w:p w14:paraId="122DF6BC"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-0.0731*</w:t>
            </w:r>
          </w:p>
        </w:tc>
        <w:tc>
          <w:tcPr>
            <w:tcW w:w="960" w:type="dxa"/>
            <w:tcBorders>
              <w:top w:val="nil"/>
              <w:left w:val="nil"/>
              <w:right w:val="nil"/>
            </w:tcBorders>
            <w:shd w:val="clear" w:color="auto" w:fill="auto"/>
            <w:noWrap/>
            <w:vAlign w:val="center"/>
            <w:hideMark/>
          </w:tcPr>
          <w:p w14:paraId="085F3CCD"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w:t>
            </w:r>
          </w:p>
        </w:tc>
        <w:tc>
          <w:tcPr>
            <w:tcW w:w="960" w:type="dxa"/>
            <w:tcBorders>
              <w:top w:val="nil"/>
              <w:left w:val="nil"/>
              <w:right w:val="nil"/>
            </w:tcBorders>
            <w:shd w:val="clear" w:color="auto" w:fill="auto"/>
            <w:noWrap/>
            <w:vAlign w:val="center"/>
            <w:hideMark/>
          </w:tcPr>
          <w:p w14:paraId="48AC4848" w14:textId="77777777" w:rsidR="009A7B5F" w:rsidRPr="00AE4D53" w:rsidRDefault="009A7B5F" w:rsidP="009F5DF5">
            <w:pPr>
              <w:spacing w:after="0"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-0.0472*</w:t>
            </w:r>
          </w:p>
        </w:tc>
      </w:tr>
      <w:tr w:rsidR="009A7B5F" w:rsidRPr="00AE4D53" w14:paraId="7EB4053E" w14:textId="77777777" w:rsidTr="009F5DF5">
        <w:trPr>
          <w:trHeight w:val="298"/>
          <w:jc w:val="center"/>
        </w:trPr>
        <w:tc>
          <w:tcPr>
            <w:tcW w:w="2211" w:type="dxa"/>
            <w:tcBorders>
              <w:top w:val="nil"/>
              <w:left w:val="nil"/>
              <w:right w:val="nil"/>
            </w:tcBorders>
            <w:shd w:val="clear" w:color="auto" w:fill="auto"/>
            <w:noWrap/>
            <w:vAlign w:val="center"/>
            <w:hideMark/>
          </w:tcPr>
          <w:p w14:paraId="6F9E0DD4" w14:textId="77777777" w:rsidR="009A7B5F" w:rsidRPr="00AE4D53" w:rsidRDefault="009A7B5F" w:rsidP="009F5DF5">
            <w:pPr>
              <w:spacing w:line="240" w:lineRule="auto"/>
              <w:ind w:firstLine="0"/>
              <w:jc w:val="left"/>
              <w:rPr>
                <w:rFonts w:eastAsia="Times New Roman" w:cstheme="majorBidi"/>
                <w:color w:val="000000"/>
                <w:sz w:val="20"/>
                <w:szCs w:val="20"/>
              </w:rPr>
            </w:pPr>
            <w:r w:rsidRPr="00AE4D53">
              <w:rPr>
                <w:rFonts w:eastAsia="Times New Roman" w:cstheme="majorBidi"/>
                <w:color w:val="000000"/>
                <w:sz w:val="20"/>
                <w:szCs w:val="20"/>
              </w:rPr>
              <w:t>24-VacantJob</w:t>
            </w:r>
          </w:p>
        </w:tc>
        <w:tc>
          <w:tcPr>
            <w:tcW w:w="960" w:type="dxa"/>
            <w:tcBorders>
              <w:top w:val="nil"/>
              <w:left w:val="nil"/>
              <w:right w:val="nil"/>
            </w:tcBorders>
            <w:shd w:val="clear" w:color="auto" w:fill="auto"/>
            <w:noWrap/>
            <w:vAlign w:val="center"/>
            <w:hideMark/>
          </w:tcPr>
          <w:p w14:paraId="1D85778D" w14:textId="77777777" w:rsidR="009A7B5F" w:rsidRPr="001D59A9" w:rsidRDefault="009A7B5F" w:rsidP="009F5DF5">
            <w:pPr>
              <w:spacing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-0.03</w:t>
            </w:r>
          </w:p>
        </w:tc>
        <w:tc>
          <w:tcPr>
            <w:tcW w:w="938" w:type="dxa"/>
            <w:tcBorders>
              <w:top w:val="nil"/>
              <w:left w:val="nil"/>
              <w:right w:val="nil"/>
            </w:tcBorders>
            <w:shd w:val="clear" w:color="auto" w:fill="auto"/>
            <w:noWrap/>
            <w:vAlign w:val="center"/>
            <w:hideMark/>
          </w:tcPr>
          <w:p w14:paraId="244827AD" w14:textId="77777777" w:rsidR="009A7B5F" w:rsidRPr="001D59A9" w:rsidRDefault="009A7B5F" w:rsidP="009F5DF5">
            <w:pPr>
              <w:spacing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-0.01</w:t>
            </w:r>
          </w:p>
        </w:tc>
        <w:tc>
          <w:tcPr>
            <w:tcW w:w="1300" w:type="dxa"/>
            <w:tcBorders>
              <w:top w:val="nil"/>
              <w:left w:val="nil"/>
              <w:right w:val="nil"/>
            </w:tcBorders>
            <w:shd w:val="clear" w:color="auto" w:fill="auto"/>
            <w:noWrap/>
            <w:vAlign w:val="center"/>
            <w:hideMark/>
          </w:tcPr>
          <w:p w14:paraId="7F26EE50" w14:textId="77777777" w:rsidR="009A7B5F" w:rsidRPr="001D59A9" w:rsidRDefault="009A7B5F" w:rsidP="009F5DF5">
            <w:pPr>
              <w:spacing w:line="240" w:lineRule="auto"/>
              <w:ind w:firstLine="0"/>
              <w:jc w:val="center"/>
              <w:rPr>
                <w:rFonts w:eastAsia="Times New Roman" w:cstheme="majorBidi"/>
                <w:color w:val="000000"/>
                <w:sz w:val="20"/>
                <w:szCs w:val="20"/>
              </w:rPr>
            </w:pPr>
            <w:r w:rsidRPr="001D59A9">
              <w:rPr>
                <w:rFonts w:eastAsia="Times New Roman" w:cstheme="majorBidi"/>
                <w:color w:val="000000"/>
                <w:sz w:val="20"/>
                <w:szCs w:val="20"/>
              </w:rPr>
              <w:t>0.00</w:t>
            </w:r>
          </w:p>
        </w:tc>
        <w:tc>
          <w:tcPr>
            <w:tcW w:w="960" w:type="dxa"/>
            <w:tcBorders>
              <w:top w:val="nil"/>
              <w:left w:val="nil"/>
              <w:right w:val="nil"/>
            </w:tcBorders>
            <w:shd w:val="clear" w:color="auto" w:fill="auto"/>
            <w:noWrap/>
            <w:vAlign w:val="center"/>
            <w:hideMark/>
          </w:tcPr>
          <w:p w14:paraId="1391646F" w14:textId="77777777" w:rsidR="009A7B5F" w:rsidRPr="00AE4D53" w:rsidRDefault="009A7B5F" w:rsidP="009F5DF5">
            <w:pPr>
              <w:spacing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0.1467*</w:t>
            </w:r>
          </w:p>
        </w:tc>
        <w:tc>
          <w:tcPr>
            <w:tcW w:w="960" w:type="dxa"/>
            <w:tcBorders>
              <w:top w:val="nil"/>
              <w:left w:val="nil"/>
              <w:right w:val="nil"/>
            </w:tcBorders>
            <w:shd w:val="clear" w:color="auto" w:fill="auto"/>
            <w:noWrap/>
            <w:vAlign w:val="center"/>
            <w:hideMark/>
          </w:tcPr>
          <w:p w14:paraId="4BC6A30E" w14:textId="77777777" w:rsidR="009A7B5F" w:rsidRPr="00AE4D53" w:rsidRDefault="009A7B5F" w:rsidP="009F5DF5">
            <w:pPr>
              <w:spacing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0.0466*</w:t>
            </w:r>
          </w:p>
        </w:tc>
        <w:tc>
          <w:tcPr>
            <w:tcW w:w="960" w:type="dxa"/>
            <w:tcBorders>
              <w:top w:val="nil"/>
              <w:left w:val="nil"/>
              <w:right w:val="nil"/>
            </w:tcBorders>
            <w:shd w:val="clear" w:color="auto" w:fill="auto"/>
            <w:noWrap/>
            <w:vAlign w:val="center"/>
            <w:hideMark/>
          </w:tcPr>
          <w:p w14:paraId="1E6A3AC9" w14:textId="77777777" w:rsidR="009A7B5F" w:rsidRPr="00AE4D53" w:rsidRDefault="009A7B5F" w:rsidP="009F5DF5">
            <w:pPr>
              <w:spacing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0.0718*</w:t>
            </w:r>
          </w:p>
        </w:tc>
        <w:tc>
          <w:tcPr>
            <w:tcW w:w="960" w:type="dxa"/>
            <w:tcBorders>
              <w:top w:val="nil"/>
              <w:left w:val="nil"/>
              <w:right w:val="nil"/>
            </w:tcBorders>
            <w:shd w:val="clear" w:color="auto" w:fill="auto"/>
            <w:noWrap/>
            <w:vAlign w:val="center"/>
            <w:hideMark/>
          </w:tcPr>
          <w:p w14:paraId="6C5DFDAB" w14:textId="77777777" w:rsidR="009A7B5F" w:rsidRPr="00AE4D53" w:rsidRDefault="009A7B5F" w:rsidP="009F5DF5">
            <w:pPr>
              <w:spacing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-0.1851*</w:t>
            </w:r>
          </w:p>
        </w:tc>
        <w:tc>
          <w:tcPr>
            <w:tcW w:w="960" w:type="dxa"/>
            <w:tcBorders>
              <w:top w:val="nil"/>
              <w:left w:val="nil"/>
              <w:right w:val="nil"/>
            </w:tcBorders>
            <w:shd w:val="clear" w:color="auto" w:fill="auto"/>
            <w:noWrap/>
            <w:vAlign w:val="center"/>
            <w:hideMark/>
          </w:tcPr>
          <w:p w14:paraId="6CD9825A" w14:textId="77777777" w:rsidR="009A7B5F" w:rsidRPr="00AE4D53" w:rsidRDefault="009A7B5F" w:rsidP="009F5DF5">
            <w:pPr>
              <w:spacing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0.03</w:t>
            </w:r>
          </w:p>
        </w:tc>
        <w:tc>
          <w:tcPr>
            <w:tcW w:w="960" w:type="dxa"/>
            <w:tcBorders>
              <w:top w:val="nil"/>
              <w:left w:val="nil"/>
              <w:right w:val="nil"/>
            </w:tcBorders>
            <w:shd w:val="clear" w:color="auto" w:fill="auto"/>
            <w:noWrap/>
            <w:vAlign w:val="center"/>
            <w:hideMark/>
          </w:tcPr>
          <w:p w14:paraId="6F6AB300" w14:textId="77777777" w:rsidR="009A7B5F" w:rsidRPr="00AE4D53" w:rsidRDefault="009A7B5F" w:rsidP="009F5DF5">
            <w:pPr>
              <w:spacing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0.0671*</w:t>
            </w:r>
          </w:p>
        </w:tc>
        <w:tc>
          <w:tcPr>
            <w:tcW w:w="960" w:type="dxa"/>
            <w:tcBorders>
              <w:top w:val="nil"/>
              <w:left w:val="nil"/>
              <w:right w:val="nil"/>
            </w:tcBorders>
            <w:shd w:val="clear" w:color="auto" w:fill="auto"/>
            <w:noWrap/>
            <w:vAlign w:val="center"/>
            <w:hideMark/>
          </w:tcPr>
          <w:p w14:paraId="6B61EE06" w14:textId="77777777" w:rsidR="009A7B5F" w:rsidRPr="00AE4D53" w:rsidRDefault="009A7B5F" w:rsidP="009F5DF5">
            <w:pPr>
              <w:spacing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-0.0781*</w:t>
            </w:r>
          </w:p>
        </w:tc>
        <w:tc>
          <w:tcPr>
            <w:tcW w:w="960" w:type="dxa"/>
            <w:tcBorders>
              <w:top w:val="nil"/>
              <w:left w:val="nil"/>
              <w:right w:val="nil"/>
            </w:tcBorders>
            <w:shd w:val="clear" w:color="auto" w:fill="auto"/>
            <w:noWrap/>
            <w:vAlign w:val="center"/>
            <w:hideMark/>
          </w:tcPr>
          <w:p w14:paraId="26F55318" w14:textId="77777777" w:rsidR="009A7B5F" w:rsidRPr="00AE4D53" w:rsidRDefault="009A7B5F" w:rsidP="009F5DF5">
            <w:pPr>
              <w:spacing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-0.0995*</w:t>
            </w:r>
          </w:p>
        </w:tc>
        <w:tc>
          <w:tcPr>
            <w:tcW w:w="960" w:type="dxa"/>
            <w:tcBorders>
              <w:top w:val="nil"/>
              <w:left w:val="nil"/>
              <w:right w:val="nil"/>
            </w:tcBorders>
            <w:shd w:val="clear" w:color="auto" w:fill="auto"/>
            <w:noWrap/>
            <w:vAlign w:val="center"/>
            <w:hideMark/>
          </w:tcPr>
          <w:p w14:paraId="2C817D63" w14:textId="77777777" w:rsidR="009A7B5F" w:rsidRPr="00AE4D53" w:rsidRDefault="009A7B5F" w:rsidP="009F5DF5">
            <w:pPr>
              <w:spacing w:line="240" w:lineRule="auto"/>
              <w:ind w:firstLine="0"/>
              <w:jc w:val="center"/>
              <w:rPr>
                <w:rFonts w:eastAsia="Times New Roman" w:cstheme="majorBidi"/>
                <w:color w:val="000000"/>
                <w:sz w:val="20"/>
                <w:szCs w:val="20"/>
              </w:rPr>
            </w:pPr>
            <w:r w:rsidRPr="00AE4D53">
              <w:rPr>
                <w:rFonts w:eastAsia="Times New Roman" w:cstheme="majorBidi"/>
                <w:color w:val="000000"/>
                <w:sz w:val="20"/>
                <w:szCs w:val="20"/>
              </w:rPr>
              <w:t>0.3269*</w:t>
            </w:r>
          </w:p>
        </w:tc>
      </w:tr>
    </w:tbl>
    <w:p w14:paraId="5B3A2A43" w14:textId="77777777" w:rsidR="009A7B5F" w:rsidRDefault="009A7B5F" w:rsidP="009A7B5F"/>
    <w:p w14:paraId="0C21D5BF" w14:textId="77777777" w:rsidR="008A16C9" w:rsidRDefault="008A16C9" w:rsidP="009A7B5F">
      <w:pPr>
        <w:rPr>
          <w:b/>
          <w:bCs/>
          <w:color w:val="000000" w:themeColor="text1"/>
          <w:sz w:val="20"/>
          <w:szCs w:val="20"/>
        </w:rPr>
      </w:pPr>
    </w:p>
    <w:p w14:paraId="6174273A" w14:textId="055E424A" w:rsidR="009A7B5F" w:rsidRPr="008A16C9" w:rsidRDefault="009A7B5F" w:rsidP="008A16C9">
      <w:pPr>
        <w:tabs>
          <w:tab w:val="left" w:pos="567"/>
        </w:tabs>
        <w:spacing w:line="240" w:lineRule="auto"/>
        <w:ind w:firstLine="0"/>
        <w:jc w:val="left"/>
        <w:rPr>
          <w:rFonts w:ascii="Times New Roman" w:eastAsiaTheme="minorHAnsi" w:hAnsi="Times New Roman" w:cs="Times New Roman"/>
          <w:b/>
          <w:bCs/>
          <w:sz w:val="22"/>
          <w:lang w:eastAsia="en-US"/>
        </w:rPr>
      </w:pPr>
      <w:r w:rsidRPr="008A16C9">
        <w:rPr>
          <w:rFonts w:ascii="Times New Roman" w:eastAsiaTheme="minorHAnsi" w:hAnsi="Times New Roman" w:cs="Times New Roman"/>
          <w:b/>
          <w:bCs/>
          <w:sz w:val="22"/>
          <w:lang w:eastAsia="en-US"/>
        </w:rPr>
        <w:lastRenderedPageBreak/>
        <w:t xml:space="preserve">Panel B: from variable Leverage to </w:t>
      </w:r>
      <w:proofErr w:type="spellStart"/>
      <w:r w:rsidRPr="008A16C9">
        <w:rPr>
          <w:rFonts w:ascii="Times New Roman" w:eastAsiaTheme="minorHAnsi" w:hAnsi="Times New Roman" w:cs="Times New Roman"/>
          <w:b/>
          <w:bCs/>
          <w:sz w:val="22"/>
          <w:lang w:eastAsia="en-US"/>
        </w:rPr>
        <w:t>VacantJob</w:t>
      </w:r>
      <w:proofErr w:type="spellEnd"/>
    </w:p>
    <w:tbl>
      <w:tblPr>
        <w:tblW w:w="14350" w:type="dxa"/>
        <w:tblInd w:w="-709" w:type="dxa"/>
        <w:tblLook w:val="04A0" w:firstRow="1" w:lastRow="0" w:firstColumn="1" w:lastColumn="0" w:noHBand="0" w:noVBand="1"/>
      </w:tblPr>
      <w:tblGrid>
        <w:gridCol w:w="2182"/>
        <w:gridCol w:w="1014"/>
        <w:gridCol w:w="1014"/>
        <w:gridCol w:w="1014"/>
        <w:gridCol w:w="1014"/>
        <w:gridCol w:w="1014"/>
        <w:gridCol w:w="1014"/>
        <w:gridCol w:w="1014"/>
        <w:gridCol w:w="1014"/>
        <w:gridCol w:w="1014"/>
        <w:gridCol w:w="1014"/>
        <w:gridCol w:w="1014"/>
        <w:gridCol w:w="1014"/>
      </w:tblGrid>
      <w:tr w:rsidR="009A7B5F" w:rsidRPr="001F7631" w14:paraId="762C3834" w14:textId="77777777" w:rsidTr="009F5DF5">
        <w:trPr>
          <w:trHeight w:val="306"/>
        </w:trPr>
        <w:tc>
          <w:tcPr>
            <w:tcW w:w="2182" w:type="dxa"/>
            <w:tcBorders>
              <w:top w:val="nil"/>
              <w:left w:val="nil"/>
              <w:bottom w:val="single" w:sz="4" w:space="0" w:color="auto"/>
              <w:right w:val="nil"/>
            </w:tcBorders>
          </w:tcPr>
          <w:p w14:paraId="4011C293" w14:textId="77777777" w:rsidR="009A7B5F" w:rsidRPr="001F7631" w:rsidRDefault="009A7B5F" w:rsidP="009F5DF5">
            <w:pPr>
              <w:spacing w:after="0" w:line="240" w:lineRule="auto"/>
              <w:ind w:firstLine="0"/>
              <w:jc w:val="left"/>
              <w:rPr>
                <w:rFonts w:cstheme="majorBidi"/>
                <w:color w:val="000000"/>
                <w:sz w:val="20"/>
                <w:szCs w:val="20"/>
              </w:rPr>
            </w:pPr>
          </w:p>
        </w:tc>
        <w:tc>
          <w:tcPr>
            <w:tcW w:w="1014" w:type="dxa"/>
            <w:tcBorders>
              <w:top w:val="nil"/>
              <w:left w:val="nil"/>
              <w:bottom w:val="single" w:sz="4" w:space="0" w:color="auto"/>
              <w:right w:val="nil"/>
            </w:tcBorders>
            <w:shd w:val="clear" w:color="auto" w:fill="auto"/>
            <w:noWrap/>
            <w:vAlign w:val="center"/>
          </w:tcPr>
          <w:p w14:paraId="04624777"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cstheme="majorBidi"/>
                <w:color w:val="000000"/>
                <w:sz w:val="20"/>
                <w:szCs w:val="20"/>
              </w:rPr>
              <w:t>13</w:t>
            </w:r>
          </w:p>
        </w:tc>
        <w:tc>
          <w:tcPr>
            <w:tcW w:w="1014" w:type="dxa"/>
            <w:tcBorders>
              <w:top w:val="nil"/>
              <w:left w:val="nil"/>
              <w:bottom w:val="single" w:sz="4" w:space="0" w:color="auto"/>
              <w:right w:val="nil"/>
            </w:tcBorders>
            <w:shd w:val="clear" w:color="auto" w:fill="auto"/>
            <w:noWrap/>
            <w:vAlign w:val="center"/>
          </w:tcPr>
          <w:p w14:paraId="495C4D56"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cstheme="majorBidi"/>
                <w:color w:val="000000"/>
                <w:sz w:val="20"/>
                <w:szCs w:val="20"/>
              </w:rPr>
              <w:t>14</w:t>
            </w:r>
          </w:p>
        </w:tc>
        <w:tc>
          <w:tcPr>
            <w:tcW w:w="1014" w:type="dxa"/>
            <w:tcBorders>
              <w:top w:val="nil"/>
              <w:left w:val="nil"/>
              <w:bottom w:val="single" w:sz="4" w:space="0" w:color="auto"/>
              <w:right w:val="nil"/>
            </w:tcBorders>
            <w:shd w:val="clear" w:color="auto" w:fill="auto"/>
            <w:noWrap/>
            <w:vAlign w:val="center"/>
          </w:tcPr>
          <w:p w14:paraId="750FC36A" w14:textId="77777777" w:rsidR="009A7B5F" w:rsidRPr="001F7631" w:rsidRDefault="009A7B5F" w:rsidP="009F5DF5">
            <w:pPr>
              <w:spacing w:after="0" w:line="240" w:lineRule="auto"/>
              <w:ind w:firstLine="0"/>
              <w:jc w:val="center"/>
              <w:rPr>
                <w:rFonts w:eastAsia="Times New Roman" w:cstheme="majorBidi"/>
                <w:sz w:val="20"/>
                <w:szCs w:val="20"/>
              </w:rPr>
            </w:pPr>
            <w:r w:rsidRPr="001F7631">
              <w:rPr>
                <w:rFonts w:cstheme="majorBidi"/>
                <w:color w:val="000000"/>
                <w:sz w:val="20"/>
                <w:szCs w:val="20"/>
              </w:rPr>
              <w:t>15</w:t>
            </w:r>
          </w:p>
        </w:tc>
        <w:tc>
          <w:tcPr>
            <w:tcW w:w="1014" w:type="dxa"/>
            <w:tcBorders>
              <w:top w:val="nil"/>
              <w:left w:val="nil"/>
              <w:bottom w:val="single" w:sz="4" w:space="0" w:color="auto"/>
              <w:right w:val="nil"/>
            </w:tcBorders>
            <w:shd w:val="clear" w:color="auto" w:fill="auto"/>
            <w:noWrap/>
            <w:vAlign w:val="center"/>
          </w:tcPr>
          <w:p w14:paraId="78C8BE47" w14:textId="77777777" w:rsidR="009A7B5F" w:rsidRPr="001F7631" w:rsidRDefault="009A7B5F" w:rsidP="009F5DF5">
            <w:pPr>
              <w:spacing w:after="0" w:line="240" w:lineRule="auto"/>
              <w:ind w:firstLine="0"/>
              <w:jc w:val="center"/>
              <w:rPr>
                <w:rFonts w:eastAsia="Times New Roman" w:cstheme="majorBidi"/>
                <w:sz w:val="20"/>
                <w:szCs w:val="20"/>
              </w:rPr>
            </w:pPr>
            <w:r w:rsidRPr="001F7631">
              <w:rPr>
                <w:rFonts w:cstheme="majorBidi"/>
                <w:color w:val="000000"/>
                <w:sz w:val="20"/>
                <w:szCs w:val="20"/>
              </w:rPr>
              <w:t>16</w:t>
            </w:r>
          </w:p>
        </w:tc>
        <w:tc>
          <w:tcPr>
            <w:tcW w:w="1014" w:type="dxa"/>
            <w:tcBorders>
              <w:top w:val="nil"/>
              <w:left w:val="nil"/>
              <w:bottom w:val="single" w:sz="4" w:space="0" w:color="auto"/>
              <w:right w:val="nil"/>
            </w:tcBorders>
            <w:shd w:val="clear" w:color="auto" w:fill="auto"/>
            <w:noWrap/>
            <w:vAlign w:val="center"/>
          </w:tcPr>
          <w:p w14:paraId="4838A4E6" w14:textId="77777777" w:rsidR="009A7B5F" w:rsidRPr="001F7631" w:rsidRDefault="009A7B5F" w:rsidP="009F5DF5">
            <w:pPr>
              <w:spacing w:after="0" w:line="240" w:lineRule="auto"/>
              <w:ind w:firstLine="0"/>
              <w:jc w:val="center"/>
              <w:rPr>
                <w:rFonts w:eastAsia="Times New Roman" w:cstheme="majorBidi"/>
                <w:sz w:val="20"/>
                <w:szCs w:val="20"/>
              </w:rPr>
            </w:pPr>
            <w:r w:rsidRPr="001F7631">
              <w:rPr>
                <w:rFonts w:cstheme="majorBidi"/>
                <w:color w:val="000000"/>
                <w:sz w:val="20"/>
                <w:szCs w:val="20"/>
              </w:rPr>
              <w:t>17</w:t>
            </w:r>
          </w:p>
        </w:tc>
        <w:tc>
          <w:tcPr>
            <w:tcW w:w="1014" w:type="dxa"/>
            <w:tcBorders>
              <w:top w:val="nil"/>
              <w:left w:val="nil"/>
              <w:bottom w:val="single" w:sz="4" w:space="0" w:color="auto"/>
              <w:right w:val="nil"/>
            </w:tcBorders>
            <w:shd w:val="clear" w:color="auto" w:fill="auto"/>
            <w:noWrap/>
            <w:vAlign w:val="center"/>
          </w:tcPr>
          <w:p w14:paraId="401AF62E" w14:textId="77777777" w:rsidR="009A7B5F" w:rsidRPr="001F7631" w:rsidRDefault="009A7B5F" w:rsidP="009F5DF5">
            <w:pPr>
              <w:spacing w:after="0" w:line="240" w:lineRule="auto"/>
              <w:ind w:firstLine="0"/>
              <w:jc w:val="center"/>
              <w:rPr>
                <w:rFonts w:eastAsia="Times New Roman" w:cstheme="majorBidi"/>
                <w:sz w:val="20"/>
                <w:szCs w:val="20"/>
              </w:rPr>
            </w:pPr>
            <w:r w:rsidRPr="001F7631">
              <w:rPr>
                <w:rFonts w:cstheme="majorBidi"/>
                <w:color w:val="000000"/>
                <w:sz w:val="20"/>
                <w:szCs w:val="20"/>
              </w:rPr>
              <w:t>18</w:t>
            </w:r>
          </w:p>
        </w:tc>
        <w:tc>
          <w:tcPr>
            <w:tcW w:w="1014" w:type="dxa"/>
            <w:tcBorders>
              <w:top w:val="nil"/>
              <w:left w:val="nil"/>
              <w:bottom w:val="single" w:sz="4" w:space="0" w:color="auto"/>
              <w:right w:val="nil"/>
            </w:tcBorders>
            <w:shd w:val="clear" w:color="auto" w:fill="auto"/>
            <w:noWrap/>
            <w:vAlign w:val="center"/>
          </w:tcPr>
          <w:p w14:paraId="65630864" w14:textId="77777777" w:rsidR="009A7B5F" w:rsidRPr="001F7631" w:rsidRDefault="009A7B5F" w:rsidP="009F5DF5">
            <w:pPr>
              <w:spacing w:after="0" w:line="240" w:lineRule="auto"/>
              <w:ind w:firstLine="0"/>
              <w:jc w:val="center"/>
              <w:rPr>
                <w:rFonts w:eastAsia="Times New Roman" w:cstheme="majorBidi"/>
                <w:sz w:val="20"/>
                <w:szCs w:val="20"/>
              </w:rPr>
            </w:pPr>
            <w:r w:rsidRPr="001F7631">
              <w:rPr>
                <w:rFonts w:cstheme="majorBidi"/>
                <w:color w:val="000000"/>
                <w:sz w:val="20"/>
                <w:szCs w:val="20"/>
              </w:rPr>
              <w:t>19</w:t>
            </w:r>
          </w:p>
        </w:tc>
        <w:tc>
          <w:tcPr>
            <w:tcW w:w="1014" w:type="dxa"/>
            <w:tcBorders>
              <w:top w:val="nil"/>
              <w:left w:val="nil"/>
              <w:bottom w:val="single" w:sz="4" w:space="0" w:color="auto"/>
              <w:right w:val="nil"/>
            </w:tcBorders>
            <w:shd w:val="clear" w:color="auto" w:fill="auto"/>
            <w:noWrap/>
            <w:vAlign w:val="center"/>
          </w:tcPr>
          <w:p w14:paraId="2345E1AF" w14:textId="77777777" w:rsidR="009A7B5F" w:rsidRPr="001F7631" w:rsidRDefault="009A7B5F" w:rsidP="009F5DF5">
            <w:pPr>
              <w:spacing w:after="0" w:line="240" w:lineRule="auto"/>
              <w:ind w:firstLine="0"/>
              <w:jc w:val="center"/>
              <w:rPr>
                <w:rFonts w:eastAsia="Times New Roman" w:cstheme="majorBidi"/>
                <w:sz w:val="20"/>
                <w:szCs w:val="20"/>
              </w:rPr>
            </w:pPr>
            <w:r w:rsidRPr="001F7631">
              <w:rPr>
                <w:rFonts w:cstheme="majorBidi"/>
                <w:color w:val="000000"/>
                <w:sz w:val="20"/>
                <w:szCs w:val="20"/>
              </w:rPr>
              <w:t>20</w:t>
            </w:r>
          </w:p>
        </w:tc>
        <w:tc>
          <w:tcPr>
            <w:tcW w:w="1014" w:type="dxa"/>
            <w:tcBorders>
              <w:top w:val="nil"/>
              <w:left w:val="nil"/>
              <w:bottom w:val="single" w:sz="4" w:space="0" w:color="auto"/>
              <w:right w:val="nil"/>
            </w:tcBorders>
            <w:shd w:val="clear" w:color="auto" w:fill="auto"/>
            <w:noWrap/>
            <w:vAlign w:val="center"/>
          </w:tcPr>
          <w:p w14:paraId="4AEFCBFE" w14:textId="77777777" w:rsidR="009A7B5F" w:rsidRPr="001F7631" w:rsidRDefault="009A7B5F" w:rsidP="009F5DF5">
            <w:pPr>
              <w:spacing w:after="0" w:line="240" w:lineRule="auto"/>
              <w:ind w:firstLine="0"/>
              <w:jc w:val="center"/>
              <w:rPr>
                <w:rFonts w:eastAsia="Times New Roman" w:cstheme="majorBidi"/>
                <w:sz w:val="20"/>
                <w:szCs w:val="20"/>
              </w:rPr>
            </w:pPr>
            <w:r w:rsidRPr="001F7631">
              <w:rPr>
                <w:rFonts w:cstheme="majorBidi"/>
                <w:color w:val="000000"/>
                <w:sz w:val="20"/>
                <w:szCs w:val="20"/>
              </w:rPr>
              <w:t>21</w:t>
            </w:r>
          </w:p>
        </w:tc>
        <w:tc>
          <w:tcPr>
            <w:tcW w:w="1014" w:type="dxa"/>
            <w:tcBorders>
              <w:top w:val="nil"/>
              <w:left w:val="nil"/>
              <w:bottom w:val="single" w:sz="4" w:space="0" w:color="auto"/>
              <w:right w:val="nil"/>
            </w:tcBorders>
            <w:shd w:val="clear" w:color="auto" w:fill="auto"/>
            <w:noWrap/>
            <w:vAlign w:val="center"/>
          </w:tcPr>
          <w:p w14:paraId="6C71ABCF" w14:textId="77777777" w:rsidR="009A7B5F" w:rsidRPr="001F7631" w:rsidRDefault="009A7B5F" w:rsidP="009F5DF5">
            <w:pPr>
              <w:spacing w:after="0" w:line="240" w:lineRule="auto"/>
              <w:ind w:firstLine="0"/>
              <w:jc w:val="center"/>
              <w:rPr>
                <w:rFonts w:eastAsia="Times New Roman" w:cstheme="majorBidi"/>
                <w:sz w:val="20"/>
                <w:szCs w:val="20"/>
              </w:rPr>
            </w:pPr>
            <w:r w:rsidRPr="001F7631">
              <w:rPr>
                <w:rFonts w:cstheme="majorBidi"/>
                <w:color w:val="000000"/>
                <w:sz w:val="20"/>
                <w:szCs w:val="20"/>
              </w:rPr>
              <w:t>22</w:t>
            </w:r>
          </w:p>
        </w:tc>
        <w:tc>
          <w:tcPr>
            <w:tcW w:w="1014" w:type="dxa"/>
            <w:tcBorders>
              <w:top w:val="nil"/>
              <w:left w:val="nil"/>
              <w:bottom w:val="single" w:sz="4" w:space="0" w:color="auto"/>
              <w:right w:val="nil"/>
            </w:tcBorders>
            <w:shd w:val="clear" w:color="auto" w:fill="auto"/>
            <w:noWrap/>
            <w:vAlign w:val="center"/>
          </w:tcPr>
          <w:p w14:paraId="5FD90A8D" w14:textId="77777777" w:rsidR="009A7B5F" w:rsidRPr="001F7631" w:rsidRDefault="009A7B5F" w:rsidP="009F5DF5">
            <w:pPr>
              <w:spacing w:after="0" w:line="240" w:lineRule="auto"/>
              <w:ind w:firstLine="0"/>
              <w:jc w:val="center"/>
              <w:rPr>
                <w:rFonts w:eastAsia="Times New Roman" w:cstheme="majorBidi"/>
                <w:sz w:val="20"/>
                <w:szCs w:val="20"/>
              </w:rPr>
            </w:pPr>
            <w:r w:rsidRPr="001F7631">
              <w:rPr>
                <w:rFonts w:cstheme="majorBidi"/>
                <w:color w:val="000000"/>
                <w:sz w:val="20"/>
                <w:szCs w:val="20"/>
              </w:rPr>
              <w:t>23</w:t>
            </w:r>
          </w:p>
        </w:tc>
        <w:tc>
          <w:tcPr>
            <w:tcW w:w="1014" w:type="dxa"/>
            <w:tcBorders>
              <w:top w:val="nil"/>
              <w:left w:val="nil"/>
              <w:bottom w:val="single" w:sz="4" w:space="0" w:color="auto"/>
              <w:right w:val="nil"/>
            </w:tcBorders>
            <w:shd w:val="clear" w:color="auto" w:fill="auto"/>
            <w:noWrap/>
            <w:vAlign w:val="center"/>
          </w:tcPr>
          <w:p w14:paraId="2476A1DC" w14:textId="77777777" w:rsidR="009A7B5F" w:rsidRPr="001F7631" w:rsidRDefault="009A7B5F" w:rsidP="009F5DF5">
            <w:pPr>
              <w:spacing w:after="0" w:line="240" w:lineRule="auto"/>
              <w:ind w:firstLine="0"/>
              <w:jc w:val="center"/>
              <w:rPr>
                <w:rFonts w:eastAsia="Times New Roman" w:cstheme="majorBidi"/>
                <w:sz w:val="20"/>
                <w:szCs w:val="20"/>
              </w:rPr>
            </w:pPr>
            <w:r w:rsidRPr="001F7631">
              <w:rPr>
                <w:rFonts w:cstheme="majorBidi"/>
                <w:color w:val="000000"/>
                <w:sz w:val="20"/>
                <w:szCs w:val="20"/>
              </w:rPr>
              <w:t>24</w:t>
            </w:r>
          </w:p>
        </w:tc>
      </w:tr>
      <w:tr w:rsidR="009A7B5F" w:rsidRPr="001F7631" w14:paraId="443F4368" w14:textId="77777777" w:rsidTr="009F5DF5">
        <w:trPr>
          <w:trHeight w:val="306"/>
        </w:trPr>
        <w:tc>
          <w:tcPr>
            <w:tcW w:w="2182" w:type="dxa"/>
            <w:tcBorders>
              <w:top w:val="single" w:sz="4" w:space="0" w:color="auto"/>
              <w:left w:val="nil"/>
              <w:bottom w:val="nil"/>
              <w:right w:val="nil"/>
            </w:tcBorders>
            <w:vAlign w:val="center"/>
          </w:tcPr>
          <w:p w14:paraId="19752771"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13-Leverage</w:t>
            </w:r>
          </w:p>
        </w:tc>
        <w:tc>
          <w:tcPr>
            <w:tcW w:w="1014" w:type="dxa"/>
            <w:tcBorders>
              <w:top w:val="single" w:sz="4" w:space="0" w:color="auto"/>
              <w:left w:val="nil"/>
              <w:bottom w:val="nil"/>
              <w:right w:val="nil"/>
            </w:tcBorders>
            <w:shd w:val="clear" w:color="auto" w:fill="auto"/>
            <w:noWrap/>
            <w:vAlign w:val="center"/>
            <w:hideMark/>
          </w:tcPr>
          <w:p w14:paraId="3E76D9F7"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c>
          <w:tcPr>
            <w:tcW w:w="1014" w:type="dxa"/>
            <w:tcBorders>
              <w:top w:val="single" w:sz="4" w:space="0" w:color="auto"/>
              <w:left w:val="nil"/>
              <w:bottom w:val="nil"/>
              <w:right w:val="nil"/>
            </w:tcBorders>
            <w:shd w:val="clear" w:color="auto" w:fill="auto"/>
            <w:noWrap/>
            <w:vAlign w:val="center"/>
            <w:hideMark/>
          </w:tcPr>
          <w:p w14:paraId="7094B03E" w14:textId="77777777" w:rsidR="009A7B5F" w:rsidRPr="001F7631" w:rsidRDefault="009A7B5F" w:rsidP="009F5DF5">
            <w:pPr>
              <w:spacing w:after="0" w:line="240" w:lineRule="auto"/>
              <w:ind w:firstLine="0"/>
              <w:jc w:val="center"/>
              <w:rPr>
                <w:rFonts w:eastAsia="Times New Roman" w:cstheme="majorBidi"/>
                <w:color w:val="000000"/>
                <w:sz w:val="20"/>
                <w:szCs w:val="20"/>
              </w:rPr>
            </w:pPr>
          </w:p>
        </w:tc>
        <w:tc>
          <w:tcPr>
            <w:tcW w:w="1014" w:type="dxa"/>
            <w:tcBorders>
              <w:top w:val="single" w:sz="4" w:space="0" w:color="auto"/>
              <w:left w:val="nil"/>
              <w:bottom w:val="nil"/>
              <w:right w:val="nil"/>
            </w:tcBorders>
            <w:shd w:val="clear" w:color="auto" w:fill="auto"/>
            <w:noWrap/>
            <w:vAlign w:val="center"/>
            <w:hideMark/>
          </w:tcPr>
          <w:p w14:paraId="133A40B9"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single" w:sz="4" w:space="0" w:color="auto"/>
              <w:left w:val="nil"/>
              <w:bottom w:val="nil"/>
              <w:right w:val="nil"/>
            </w:tcBorders>
            <w:shd w:val="clear" w:color="auto" w:fill="auto"/>
            <w:noWrap/>
            <w:vAlign w:val="center"/>
            <w:hideMark/>
          </w:tcPr>
          <w:p w14:paraId="3CD1B8F9"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single" w:sz="4" w:space="0" w:color="auto"/>
              <w:left w:val="nil"/>
              <w:bottom w:val="nil"/>
              <w:right w:val="nil"/>
            </w:tcBorders>
            <w:shd w:val="clear" w:color="auto" w:fill="auto"/>
            <w:noWrap/>
            <w:vAlign w:val="center"/>
            <w:hideMark/>
          </w:tcPr>
          <w:p w14:paraId="54B1F209"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single" w:sz="4" w:space="0" w:color="auto"/>
              <w:left w:val="nil"/>
              <w:bottom w:val="nil"/>
              <w:right w:val="nil"/>
            </w:tcBorders>
            <w:shd w:val="clear" w:color="auto" w:fill="auto"/>
            <w:noWrap/>
            <w:vAlign w:val="center"/>
            <w:hideMark/>
          </w:tcPr>
          <w:p w14:paraId="499F2B58"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single" w:sz="4" w:space="0" w:color="auto"/>
              <w:left w:val="nil"/>
              <w:bottom w:val="nil"/>
              <w:right w:val="nil"/>
            </w:tcBorders>
            <w:shd w:val="clear" w:color="auto" w:fill="auto"/>
            <w:noWrap/>
            <w:vAlign w:val="center"/>
            <w:hideMark/>
          </w:tcPr>
          <w:p w14:paraId="7A4EB445"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single" w:sz="4" w:space="0" w:color="auto"/>
              <w:left w:val="nil"/>
              <w:bottom w:val="nil"/>
              <w:right w:val="nil"/>
            </w:tcBorders>
            <w:shd w:val="clear" w:color="auto" w:fill="auto"/>
            <w:noWrap/>
            <w:vAlign w:val="center"/>
            <w:hideMark/>
          </w:tcPr>
          <w:p w14:paraId="3866AB16"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single" w:sz="4" w:space="0" w:color="auto"/>
              <w:left w:val="nil"/>
              <w:bottom w:val="nil"/>
              <w:right w:val="nil"/>
            </w:tcBorders>
            <w:shd w:val="clear" w:color="auto" w:fill="auto"/>
            <w:noWrap/>
            <w:vAlign w:val="center"/>
            <w:hideMark/>
          </w:tcPr>
          <w:p w14:paraId="55BE33BF"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single" w:sz="4" w:space="0" w:color="auto"/>
              <w:left w:val="nil"/>
              <w:bottom w:val="nil"/>
              <w:right w:val="nil"/>
            </w:tcBorders>
            <w:shd w:val="clear" w:color="auto" w:fill="auto"/>
            <w:noWrap/>
            <w:vAlign w:val="center"/>
            <w:hideMark/>
          </w:tcPr>
          <w:p w14:paraId="7CD40E89"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single" w:sz="4" w:space="0" w:color="auto"/>
              <w:left w:val="nil"/>
              <w:bottom w:val="nil"/>
              <w:right w:val="nil"/>
            </w:tcBorders>
            <w:shd w:val="clear" w:color="auto" w:fill="auto"/>
            <w:noWrap/>
            <w:vAlign w:val="center"/>
            <w:hideMark/>
          </w:tcPr>
          <w:p w14:paraId="6E3E8A0A"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single" w:sz="4" w:space="0" w:color="auto"/>
              <w:left w:val="nil"/>
              <w:bottom w:val="nil"/>
              <w:right w:val="nil"/>
            </w:tcBorders>
            <w:shd w:val="clear" w:color="auto" w:fill="auto"/>
            <w:noWrap/>
            <w:vAlign w:val="center"/>
            <w:hideMark/>
          </w:tcPr>
          <w:p w14:paraId="70428D9A" w14:textId="77777777" w:rsidR="009A7B5F" w:rsidRPr="001F7631" w:rsidRDefault="009A7B5F" w:rsidP="009F5DF5">
            <w:pPr>
              <w:spacing w:after="0" w:line="240" w:lineRule="auto"/>
              <w:ind w:firstLine="0"/>
              <w:jc w:val="center"/>
              <w:rPr>
                <w:rFonts w:eastAsia="Times New Roman" w:cstheme="majorBidi"/>
                <w:sz w:val="20"/>
                <w:szCs w:val="20"/>
              </w:rPr>
            </w:pPr>
          </w:p>
        </w:tc>
      </w:tr>
      <w:tr w:rsidR="009A7B5F" w:rsidRPr="001F7631" w14:paraId="34A26C12" w14:textId="77777777" w:rsidTr="009F5DF5">
        <w:trPr>
          <w:trHeight w:val="306"/>
        </w:trPr>
        <w:tc>
          <w:tcPr>
            <w:tcW w:w="2182" w:type="dxa"/>
            <w:tcBorders>
              <w:top w:val="nil"/>
              <w:left w:val="nil"/>
              <w:bottom w:val="nil"/>
              <w:right w:val="nil"/>
            </w:tcBorders>
            <w:vAlign w:val="center"/>
          </w:tcPr>
          <w:p w14:paraId="4A09CD5D"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14-IsCEOChair</w:t>
            </w:r>
          </w:p>
        </w:tc>
        <w:tc>
          <w:tcPr>
            <w:tcW w:w="1014" w:type="dxa"/>
            <w:tcBorders>
              <w:top w:val="nil"/>
              <w:left w:val="nil"/>
              <w:bottom w:val="nil"/>
              <w:right w:val="nil"/>
            </w:tcBorders>
            <w:shd w:val="clear" w:color="auto" w:fill="auto"/>
            <w:noWrap/>
            <w:vAlign w:val="center"/>
            <w:hideMark/>
          </w:tcPr>
          <w:p w14:paraId="751847CB"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-0.0464*</w:t>
            </w:r>
          </w:p>
        </w:tc>
        <w:tc>
          <w:tcPr>
            <w:tcW w:w="1014" w:type="dxa"/>
            <w:tcBorders>
              <w:top w:val="nil"/>
              <w:left w:val="nil"/>
              <w:bottom w:val="nil"/>
              <w:right w:val="nil"/>
            </w:tcBorders>
            <w:shd w:val="clear" w:color="auto" w:fill="auto"/>
            <w:noWrap/>
            <w:vAlign w:val="center"/>
            <w:hideMark/>
          </w:tcPr>
          <w:p w14:paraId="3F871CE0"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c>
          <w:tcPr>
            <w:tcW w:w="1014" w:type="dxa"/>
            <w:tcBorders>
              <w:top w:val="nil"/>
              <w:left w:val="nil"/>
              <w:bottom w:val="nil"/>
              <w:right w:val="nil"/>
            </w:tcBorders>
            <w:shd w:val="clear" w:color="auto" w:fill="auto"/>
            <w:noWrap/>
            <w:vAlign w:val="center"/>
            <w:hideMark/>
          </w:tcPr>
          <w:p w14:paraId="3D6B8708" w14:textId="77777777" w:rsidR="009A7B5F" w:rsidRPr="001F7631" w:rsidRDefault="009A7B5F" w:rsidP="009F5DF5">
            <w:pPr>
              <w:spacing w:after="0" w:line="240" w:lineRule="auto"/>
              <w:ind w:firstLine="0"/>
              <w:jc w:val="center"/>
              <w:rPr>
                <w:rFonts w:eastAsia="Times New Roman" w:cstheme="majorBidi"/>
                <w:color w:val="000000"/>
                <w:sz w:val="20"/>
                <w:szCs w:val="20"/>
              </w:rPr>
            </w:pPr>
          </w:p>
        </w:tc>
        <w:tc>
          <w:tcPr>
            <w:tcW w:w="1014" w:type="dxa"/>
            <w:tcBorders>
              <w:top w:val="nil"/>
              <w:left w:val="nil"/>
              <w:bottom w:val="nil"/>
              <w:right w:val="nil"/>
            </w:tcBorders>
            <w:shd w:val="clear" w:color="auto" w:fill="auto"/>
            <w:noWrap/>
            <w:vAlign w:val="center"/>
            <w:hideMark/>
          </w:tcPr>
          <w:p w14:paraId="61280696"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579189AC"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055B7BE1"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21AC2BE6"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651CE321"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20425B42"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2CB3A687"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030861B0"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73984BD7" w14:textId="77777777" w:rsidR="009A7B5F" w:rsidRPr="001F7631" w:rsidRDefault="009A7B5F" w:rsidP="009F5DF5">
            <w:pPr>
              <w:spacing w:after="0" w:line="240" w:lineRule="auto"/>
              <w:ind w:firstLine="0"/>
              <w:jc w:val="center"/>
              <w:rPr>
                <w:rFonts w:eastAsia="Times New Roman" w:cstheme="majorBidi"/>
                <w:sz w:val="20"/>
                <w:szCs w:val="20"/>
              </w:rPr>
            </w:pPr>
          </w:p>
        </w:tc>
      </w:tr>
      <w:tr w:rsidR="009A7B5F" w:rsidRPr="001F7631" w14:paraId="1DF49790" w14:textId="77777777" w:rsidTr="009F5DF5">
        <w:trPr>
          <w:trHeight w:val="306"/>
        </w:trPr>
        <w:tc>
          <w:tcPr>
            <w:tcW w:w="2182" w:type="dxa"/>
            <w:tcBorders>
              <w:top w:val="nil"/>
              <w:left w:val="nil"/>
              <w:bottom w:val="nil"/>
              <w:right w:val="nil"/>
            </w:tcBorders>
            <w:vAlign w:val="center"/>
          </w:tcPr>
          <w:p w14:paraId="5618CDC6"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15-CEOTenure</w:t>
            </w:r>
          </w:p>
        </w:tc>
        <w:tc>
          <w:tcPr>
            <w:tcW w:w="1014" w:type="dxa"/>
            <w:tcBorders>
              <w:top w:val="nil"/>
              <w:left w:val="nil"/>
              <w:bottom w:val="nil"/>
              <w:right w:val="nil"/>
            </w:tcBorders>
            <w:shd w:val="clear" w:color="auto" w:fill="auto"/>
            <w:noWrap/>
            <w:vAlign w:val="center"/>
            <w:hideMark/>
          </w:tcPr>
          <w:p w14:paraId="109AF99A"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0.00</w:t>
            </w:r>
          </w:p>
        </w:tc>
        <w:tc>
          <w:tcPr>
            <w:tcW w:w="1014" w:type="dxa"/>
            <w:tcBorders>
              <w:top w:val="nil"/>
              <w:left w:val="nil"/>
              <w:bottom w:val="nil"/>
              <w:right w:val="nil"/>
            </w:tcBorders>
            <w:shd w:val="clear" w:color="auto" w:fill="auto"/>
            <w:noWrap/>
            <w:vAlign w:val="center"/>
            <w:hideMark/>
          </w:tcPr>
          <w:p w14:paraId="2466462A"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0.1813*</w:t>
            </w:r>
          </w:p>
        </w:tc>
        <w:tc>
          <w:tcPr>
            <w:tcW w:w="1014" w:type="dxa"/>
            <w:tcBorders>
              <w:top w:val="nil"/>
              <w:left w:val="nil"/>
              <w:bottom w:val="nil"/>
              <w:right w:val="nil"/>
            </w:tcBorders>
            <w:shd w:val="clear" w:color="auto" w:fill="auto"/>
            <w:noWrap/>
            <w:vAlign w:val="center"/>
            <w:hideMark/>
          </w:tcPr>
          <w:p w14:paraId="029E7C19"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c>
          <w:tcPr>
            <w:tcW w:w="1014" w:type="dxa"/>
            <w:tcBorders>
              <w:top w:val="nil"/>
              <w:left w:val="nil"/>
              <w:bottom w:val="nil"/>
              <w:right w:val="nil"/>
            </w:tcBorders>
            <w:shd w:val="clear" w:color="auto" w:fill="auto"/>
            <w:noWrap/>
            <w:vAlign w:val="center"/>
            <w:hideMark/>
          </w:tcPr>
          <w:p w14:paraId="150B7F76" w14:textId="77777777" w:rsidR="009A7B5F" w:rsidRPr="001F7631" w:rsidRDefault="009A7B5F" w:rsidP="009F5DF5">
            <w:pPr>
              <w:spacing w:after="0" w:line="240" w:lineRule="auto"/>
              <w:ind w:firstLine="0"/>
              <w:jc w:val="center"/>
              <w:rPr>
                <w:rFonts w:eastAsia="Times New Roman" w:cstheme="majorBidi"/>
                <w:color w:val="000000"/>
                <w:sz w:val="20"/>
                <w:szCs w:val="20"/>
              </w:rPr>
            </w:pPr>
          </w:p>
        </w:tc>
        <w:tc>
          <w:tcPr>
            <w:tcW w:w="1014" w:type="dxa"/>
            <w:tcBorders>
              <w:top w:val="nil"/>
              <w:left w:val="nil"/>
              <w:bottom w:val="nil"/>
              <w:right w:val="nil"/>
            </w:tcBorders>
            <w:shd w:val="clear" w:color="auto" w:fill="auto"/>
            <w:noWrap/>
            <w:vAlign w:val="center"/>
            <w:hideMark/>
          </w:tcPr>
          <w:p w14:paraId="75258412"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3B488BD8"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6929A71F"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7DFD3F4D"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77727484"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7CECDC6B"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25D0E770"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5A4B832F" w14:textId="77777777" w:rsidR="009A7B5F" w:rsidRPr="001F7631" w:rsidRDefault="009A7B5F" w:rsidP="009F5DF5">
            <w:pPr>
              <w:spacing w:after="0" w:line="240" w:lineRule="auto"/>
              <w:ind w:firstLine="0"/>
              <w:jc w:val="center"/>
              <w:rPr>
                <w:rFonts w:eastAsia="Times New Roman" w:cstheme="majorBidi"/>
                <w:sz w:val="20"/>
                <w:szCs w:val="20"/>
              </w:rPr>
            </w:pPr>
          </w:p>
        </w:tc>
      </w:tr>
      <w:tr w:rsidR="009A7B5F" w:rsidRPr="001F7631" w14:paraId="2344FCC9" w14:textId="77777777" w:rsidTr="009F5DF5">
        <w:trPr>
          <w:trHeight w:val="306"/>
        </w:trPr>
        <w:tc>
          <w:tcPr>
            <w:tcW w:w="2182" w:type="dxa"/>
            <w:tcBorders>
              <w:top w:val="nil"/>
              <w:left w:val="nil"/>
              <w:bottom w:val="nil"/>
              <w:right w:val="nil"/>
            </w:tcBorders>
            <w:vAlign w:val="center"/>
          </w:tcPr>
          <w:p w14:paraId="4B6741F5"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16-BoardTenure</w:t>
            </w:r>
          </w:p>
        </w:tc>
        <w:tc>
          <w:tcPr>
            <w:tcW w:w="1014" w:type="dxa"/>
            <w:tcBorders>
              <w:top w:val="nil"/>
              <w:left w:val="nil"/>
              <w:bottom w:val="nil"/>
              <w:right w:val="nil"/>
            </w:tcBorders>
            <w:shd w:val="clear" w:color="auto" w:fill="auto"/>
            <w:noWrap/>
            <w:vAlign w:val="center"/>
            <w:hideMark/>
          </w:tcPr>
          <w:p w14:paraId="535A3B41"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-0.01</w:t>
            </w:r>
          </w:p>
        </w:tc>
        <w:tc>
          <w:tcPr>
            <w:tcW w:w="1014" w:type="dxa"/>
            <w:tcBorders>
              <w:top w:val="nil"/>
              <w:left w:val="nil"/>
              <w:bottom w:val="nil"/>
              <w:right w:val="nil"/>
            </w:tcBorders>
            <w:shd w:val="clear" w:color="auto" w:fill="auto"/>
            <w:noWrap/>
            <w:vAlign w:val="center"/>
            <w:hideMark/>
          </w:tcPr>
          <w:p w14:paraId="47A011FE"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0.1833*</w:t>
            </w:r>
          </w:p>
        </w:tc>
        <w:tc>
          <w:tcPr>
            <w:tcW w:w="1014" w:type="dxa"/>
            <w:tcBorders>
              <w:top w:val="nil"/>
              <w:left w:val="nil"/>
              <w:bottom w:val="nil"/>
              <w:right w:val="nil"/>
            </w:tcBorders>
            <w:shd w:val="clear" w:color="auto" w:fill="auto"/>
            <w:noWrap/>
            <w:vAlign w:val="center"/>
            <w:hideMark/>
          </w:tcPr>
          <w:p w14:paraId="62DF0DE5"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1.0000*</w:t>
            </w:r>
          </w:p>
        </w:tc>
        <w:tc>
          <w:tcPr>
            <w:tcW w:w="1014" w:type="dxa"/>
            <w:tcBorders>
              <w:top w:val="nil"/>
              <w:left w:val="nil"/>
              <w:bottom w:val="nil"/>
              <w:right w:val="nil"/>
            </w:tcBorders>
            <w:shd w:val="clear" w:color="auto" w:fill="auto"/>
            <w:noWrap/>
            <w:vAlign w:val="center"/>
            <w:hideMark/>
          </w:tcPr>
          <w:p w14:paraId="2224F51E"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c>
          <w:tcPr>
            <w:tcW w:w="1014" w:type="dxa"/>
            <w:tcBorders>
              <w:top w:val="nil"/>
              <w:left w:val="nil"/>
              <w:bottom w:val="nil"/>
              <w:right w:val="nil"/>
            </w:tcBorders>
            <w:shd w:val="clear" w:color="auto" w:fill="auto"/>
            <w:noWrap/>
            <w:vAlign w:val="center"/>
            <w:hideMark/>
          </w:tcPr>
          <w:p w14:paraId="7EDC3B17" w14:textId="77777777" w:rsidR="009A7B5F" w:rsidRPr="001F7631" w:rsidRDefault="009A7B5F" w:rsidP="009F5DF5">
            <w:pPr>
              <w:spacing w:after="0" w:line="240" w:lineRule="auto"/>
              <w:ind w:firstLine="0"/>
              <w:jc w:val="center"/>
              <w:rPr>
                <w:rFonts w:eastAsia="Times New Roman" w:cstheme="majorBidi"/>
                <w:color w:val="000000"/>
                <w:sz w:val="20"/>
                <w:szCs w:val="20"/>
              </w:rPr>
            </w:pPr>
          </w:p>
        </w:tc>
        <w:tc>
          <w:tcPr>
            <w:tcW w:w="1014" w:type="dxa"/>
            <w:tcBorders>
              <w:top w:val="nil"/>
              <w:left w:val="nil"/>
              <w:bottom w:val="nil"/>
              <w:right w:val="nil"/>
            </w:tcBorders>
            <w:shd w:val="clear" w:color="auto" w:fill="auto"/>
            <w:noWrap/>
            <w:vAlign w:val="center"/>
            <w:hideMark/>
          </w:tcPr>
          <w:p w14:paraId="61D3CE39"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159B5E11"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0474613C"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7FC2F0F7"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74A34071"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35EC340D"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41959A15" w14:textId="77777777" w:rsidR="009A7B5F" w:rsidRPr="001F7631" w:rsidRDefault="009A7B5F" w:rsidP="009F5DF5">
            <w:pPr>
              <w:spacing w:after="0" w:line="240" w:lineRule="auto"/>
              <w:ind w:firstLine="0"/>
              <w:jc w:val="center"/>
              <w:rPr>
                <w:rFonts w:eastAsia="Times New Roman" w:cstheme="majorBidi"/>
                <w:sz w:val="20"/>
                <w:szCs w:val="20"/>
              </w:rPr>
            </w:pPr>
          </w:p>
        </w:tc>
      </w:tr>
      <w:tr w:rsidR="009A7B5F" w:rsidRPr="001F7631" w14:paraId="2C867485" w14:textId="77777777" w:rsidTr="009F5DF5">
        <w:trPr>
          <w:trHeight w:val="306"/>
        </w:trPr>
        <w:tc>
          <w:tcPr>
            <w:tcW w:w="2182" w:type="dxa"/>
            <w:tcBorders>
              <w:top w:val="nil"/>
              <w:left w:val="nil"/>
              <w:bottom w:val="nil"/>
              <w:right w:val="nil"/>
            </w:tcBorders>
            <w:vAlign w:val="center"/>
          </w:tcPr>
          <w:p w14:paraId="28A266BD"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17-IndCommittee</w:t>
            </w:r>
          </w:p>
        </w:tc>
        <w:tc>
          <w:tcPr>
            <w:tcW w:w="1014" w:type="dxa"/>
            <w:tcBorders>
              <w:top w:val="nil"/>
              <w:left w:val="nil"/>
              <w:bottom w:val="nil"/>
              <w:right w:val="nil"/>
            </w:tcBorders>
            <w:shd w:val="clear" w:color="auto" w:fill="auto"/>
            <w:noWrap/>
            <w:vAlign w:val="center"/>
            <w:hideMark/>
          </w:tcPr>
          <w:p w14:paraId="794C3194"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0.0787*</w:t>
            </w:r>
          </w:p>
        </w:tc>
        <w:tc>
          <w:tcPr>
            <w:tcW w:w="1014" w:type="dxa"/>
            <w:tcBorders>
              <w:top w:val="nil"/>
              <w:left w:val="nil"/>
              <w:bottom w:val="nil"/>
              <w:right w:val="nil"/>
            </w:tcBorders>
            <w:shd w:val="clear" w:color="auto" w:fill="auto"/>
            <w:noWrap/>
            <w:vAlign w:val="center"/>
            <w:hideMark/>
          </w:tcPr>
          <w:p w14:paraId="7B17018F"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-0.0785*</w:t>
            </w:r>
          </w:p>
        </w:tc>
        <w:tc>
          <w:tcPr>
            <w:tcW w:w="1014" w:type="dxa"/>
            <w:tcBorders>
              <w:top w:val="nil"/>
              <w:left w:val="nil"/>
              <w:bottom w:val="nil"/>
              <w:right w:val="nil"/>
            </w:tcBorders>
            <w:shd w:val="clear" w:color="auto" w:fill="auto"/>
            <w:noWrap/>
            <w:vAlign w:val="center"/>
            <w:hideMark/>
          </w:tcPr>
          <w:p w14:paraId="3CA3C276"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-0.01</w:t>
            </w:r>
          </w:p>
        </w:tc>
        <w:tc>
          <w:tcPr>
            <w:tcW w:w="1014" w:type="dxa"/>
            <w:tcBorders>
              <w:top w:val="nil"/>
              <w:left w:val="nil"/>
              <w:bottom w:val="nil"/>
              <w:right w:val="nil"/>
            </w:tcBorders>
            <w:shd w:val="clear" w:color="auto" w:fill="auto"/>
            <w:noWrap/>
            <w:vAlign w:val="center"/>
            <w:hideMark/>
          </w:tcPr>
          <w:p w14:paraId="7167F7EA"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0.00</w:t>
            </w:r>
          </w:p>
        </w:tc>
        <w:tc>
          <w:tcPr>
            <w:tcW w:w="1014" w:type="dxa"/>
            <w:tcBorders>
              <w:top w:val="nil"/>
              <w:left w:val="nil"/>
              <w:bottom w:val="nil"/>
              <w:right w:val="nil"/>
            </w:tcBorders>
            <w:shd w:val="clear" w:color="auto" w:fill="auto"/>
            <w:noWrap/>
            <w:vAlign w:val="center"/>
            <w:hideMark/>
          </w:tcPr>
          <w:p w14:paraId="3C9EBE0D"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c>
          <w:tcPr>
            <w:tcW w:w="1014" w:type="dxa"/>
            <w:tcBorders>
              <w:top w:val="nil"/>
              <w:left w:val="nil"/>
              <w:bottom w:val="nil"/>
              <w:right w:val="nil"/>
            </w:tcBorders>
            <w:shd w:val="clear" w:color="auto" w:fill="auto"/>
            <w:noWrap/>
            <w:vAlign w:val="center"/>
            <w:hideMark/>
          </w:tcPr>
          <w:p w14:paraId="30EDBDE2" w14:textId="77777777" w:rsidR="009A7B5F" w:rsidRPr="001F7631" w:rsidRDefault="009A7B5F" w:rsidP="009F5DF5">
            <w:pPr>
              <w:spacing w:after="0" w:line="240" w:lineRule="auto"/>
              <w:ind w:firstLine="0"/>
              <w:jc w:val="center"/>
              <w:rPr>
                <w:rFonts w:eastAsia="Times New Roman" w:cstheme="majorBidi"/>
                <w:color w:val="000000"/>
                <w:sz w:val="20"/>
                <w:szCs w:val="20"/>
              </w:rPr>
            </w:pPr>
          </w:p>
        </w:tc>
        <w:tc>
          <w:tcPr>
            <w:tcW w:w="1014" w:type="dxa"/>
            <w:tcBorders>
              <w:top w:val="nil"/>
              <w:left w:val="nil"/>
              <w:bottom w:val="nil"/>
              <w:right w:val="nil"/>
            </w:tcBorders>
            <w:shd w:val="clear" w:color="auto" w:fill="auto"/>
            <w:noWrap/>
            <w:vAlign w:val="center"/>
            <w:hideMark/>
          </w:tcPr>
          <w:p w14:paraId="2B9A53AE"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5A89061D"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55BC6073"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36CCF46B"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6FC98223"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20926DAE" w14:textId="77777777" w:rsidR="009A7B5F" w:rsidRPr="001F7631" w:rsidRDefault="009A7B5F" w:rsidP="009F5DF5">
            <w:pPr>
              <w:spacing w:after="0" w:line="240" w:lineRule="auto"/>
              <w:ind w:firstLine="0"/>
              <w:jc w:val="center"/>
              <w:rPr>
                <w:rFonts w:eastAsia="Times New Roman" w:cstheme="majorBidi"/>
                <w:sz w:val="20"/>
                <w:szCs w:val="20"/>
              </w:rPr>
            </w:pPr>
          </w:p>
        </w:tc>
      </w:tr>
      <w:tr w:rsidR="009A7B5F" w:rsidRPr="001F7631" w14:paraId="438BFB7C" w14:textId="77777777" w:rsidTr="009F5DF5">
        <w:trPr>
          <w:trHeight w:val="306"/>
        </w:trPr>
        <w:tc>
          <w:tcPr>
            <w:tcW w:w="2182" w:type="dxa"/>
            <w:tcBorders>
              <w:top w:val="nil"/>
              <w:left w:val="nil"/>
              <w:bottom w:val="nil"/>
              <w:right w:val="nil"/>
            </w:tcBorders>
            <w:vAlign w:val="center"/>
          </w:tcPr>
          <w:p w14:paraId="3D30D0A8"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18-PPEIntensity</w:t>
            </w:r>
          </w:p>
        </w:tc>
        <w:tc>
          <w:tcPr>
            <w:tcW w:w="1014" w:type="dxa"/>
            <w:tcBorders>
              <w:top w:val="nil"/>
              <w:left w:val="nil"/>
              <w:bottom w:val="nil"/>
              <w:right w:val="nil"/>
            </w:tcBorders>
            <w:shd w:val="clear" w:color="auto" w:fill="auto"/>
            <w:noWrap/>
            <w:vAlign w:val="center"/>
            <w:hideMark/>
          </w:tcPr>
          <w:p w14:paraId="14C19BAB"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0.02</w:t>
            </w:r>
          </w:p>
        </w:tc>
        <w:tc>
          <w:tcPr>
            <w:tcW w:w="1014" w:type="dxa"/>
            <w:tcBorders>
              <w:top w:val="nil"/>
              <w:left w:val="nil"/>
              <w:bottom w:val="nil"/>
              <w:right w:val="nil"/>
            </w:tcBorders>
            <w:shd w:val="clear" w:color="auto" w:fill="auto"/>
            <w:noWrap/>
            <w:vAlign w:val="center"/>
            <w:hideMark/>
          </w:tcPr>
          <w:p w14:paraId="627DB268"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0.01</w:t>
            </w:r>
          </w:p>
        </w:tc>
        <w:tc>
          <w:tcPr>
            <w:tcW w:w="1014" w:type="dxa"/>
            <w:tcBorders>
              <w:top w:val="nil"/>
              <w:left w:val="nil"/>
              <w:bottom w:val="nil"/>
              <w:right w:val="nil"/>
            </w:tcBorders>
            <w:shd w:val="clear" w:color="auto" w:fill="auto"/>
            <w:noWrap/>
            <w:vAlign w:val="center"/>
            <w:hideMark/>
          </w:tcPr>
          <w:p w14:paraId="0B321DF8"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-0.1055*</w:t>
            </w:r>
          </w:p>
        </w:tc>
        <w:tc>
          <w:tcPr>
            <w:tcW w:w="1014" w:type="dxa"/>
            <w:tcBorders>
              <w:top w:val="nil"/>
              <w:left w:val="nil"/>
              <w:bottom w:val="nil"/>
              <w:right w:val="nil"/>
            </w:tcBorders>
            <w:shd w:val="clear" w:color="auto" w:fill="auto"/>
            <w:noWrap/>
            <w:vAlign w:val="center"/>
            <w:hideMark/>
          </w:tcPr>
          <w:p w14:paraId="1CB472EF"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-0.1129*</w:t>
            </w:r>
          </w:p>
        </w:tc>
        <w:tc>
          <w:tcPr>
            <w:tcW w:w="1014" w:type="dxa"/>
            <w:tcBorders>
              <w:top w:val="nil"/>
              <w:left w:val="nil"/>
              <w:bottom w:val="nil"/>
              <w:right w:val="nil"/>
            </w:tcBorders>
            <w:shd w:val="clear" w:color="auto" w:fill="auto"/>
            <w:noWrap/>
            <w:vAlign w:val="center"/>
            <w:hideMark/>
          </w:tcPr>
          <w:p w14:paraId="51AA0B5F"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-0.02</w:t>
            </w:r>
          </w:p>
        </w:tc>
        <w:tc>
          <w:tcPr>
            <w:tcW w:w="1014" w:type="dxa"/>
            <w:tcBorders>
              <w:top w:val="nil"/>
              <w:left w:val="nil"/>
              <w:bottom w:val="nil"/>
              <w:right w:val="nil"/>
            </w:tcBorders>
            <w:shd w:val="clear" w:color="auto" w:fill="auto"/>
            <w:noWrap/>
            <w:vAlign w:val="center"/>
            <w:hideMark/>
          </w:tcPr>
          <w:p w14:paraId="03831F78"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c>
          <w:tcPr>
            <w:tcW w:w="1014" w:type="dxa"/>
            <w:tcBorders>
              <w:top w:val="nil"/>
              <w:left w:val="nil"/>
              <w:bottom w:val="nil"/>
              <w:right w:val="nil"/>
            </w:tcBorders>
            <w:shd w:val="clear" w:color="auto" w:fill="auto"/>
            <w:noWrap/>
            <w:vAlign w:val="center"/>
            <w:hideMark/>
          </w:tcPr>
          <w:p w14:paraId="585AFDE8" w14:textId="77777777" w:rsidR="009A7B5F" w:rsidRPr="001F7631" w:rsidRDefault="009A7B5F" w:rsidP="009F5DF5">
            <w:pPr>
              <w:spacing w:after="0" w:line="240" w:lineRule="auto"/>
              <w:ind w:firstLine="0"/>
              <w:jc w:val="center"/>
              <w:rPr>
                <w:rFonts w:eastAsia="Times New Roman" w:cstheme="majorBidi"/>
                <w:color w:val="000000"/>
                <w:sz w:val="20"/>
                <w:szCs w:val="20"/>
              </w:rPr>
            </w:pPr>
          </w:p>
        </w:tc>
        <w:tc>
          <w:tcPr>
            <w:tcW w:w="1014" w:type="dxa"/>
            <w:tcBorders>
              <w:top w:val="nil"/>
              <w:left w:val="nil"/>
              <w:bottom w:val="nil"/>
              <w:right w:val="nil"/>
            </w:tcBorders>
            <w:shd w:val="clear" w:color="auto" w:fill="auto"/>
            <w:noWrap/>
            <w:vAlign w:val="center"/>
            <w:hideMark/>
          </w:tcPr>
          <w:p w14:paraId="35CB99C7"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5ED741BB"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030185FE"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6C7E19B1"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3CAC92E4" w14:textId="77777777" w:rsidR="009A7B5F" w:rsidRPr="001F7631" w:rsidRDefault="009A7B5F" w:rsidP="009F5DF5">
            <w:pPr>
              <w:spacing w:after="0" w:line="240" w:lineRule="auto"/>
              <w:ind w:firstLine="0"/>
              <w:jc w:val="center"/>
              <w:rPr>
                <w:rFonts w:eastAsia="Times New Roman" w:cstheme="majorBidi"/>
                <w:sz w:val="20"/>
                <w:szCs w:val="20"/>
              </w:rPr>
            </w:pPr>
          </w:p>
        </w:tc>
      </w:tr>
      <w:tr w:rsidR="009A7B5F" w:rsidRPr="001F7631" w14:paraId="5820B4E9" w14:textId="77777777" w:rsidTr="009F5DF5">
        <w:trPr>
          <w:trHeight w:val="306"/>
        </w:trPr>
        <w:tc>
          <w:tcPr>
            <w:tcW w:w="2182" w:type="dxa"/>
            <w:tcBorders>
              <w:top w:val="nil"/>
              <w:left w:val="nil"/>
              <w:bottom w:val="nil"/>
              <w:right w:val="nil"/>
            </w:tcBorders>
            <w:vAlign w:val="center"/>
          </w:tcPr>
          <w:p w14:paraId="6C3BA8E6"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19-RDIntensity</w:t>
            </w:r>
          </w:p>
        </w:tc>
        <w:tc>
          <w:tcPr>
            <w:tcW w:w="1014" w:type="dxa"/>
            <w:tcBorders>
              <w:top w:val="nil"/>
              <w:left w:val="nil"/>
              <w:bottom w:val="nil"/>
              <w:right w:val="nil"/>
            </w:tcBorders>
            <w:shd w:val="clear" w:color="auto" w:fill="auto"/>
            <w:noWrap/>
            <w:vAlign w:val="center"/>
            <w:hideMark/>
          </w:tcPr>
          <w:p w14:paraId="47CB6C20"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-0.0628*</w:t>
            </w:r>
          </w:p>
        </w:tc>
        <w:tc>
          <w:tcPr>
            <w:tcW w:w="1014" w:type="dxa"/>
            <w:tcBorders>
              <w:top w:val="nil"/>
              <w:left w:val="nil"/>
              <w:bottom w:val="nil"/>
              <w:right w:val="nil"/>
            </w:tcBorders>
            <w:shd w:val="clear" w:color="auto" w:fill="auto"/>
            <w:noWrap/>
            <w:vAlign w:val="center"/>
            <w:hideMark/>
          </w:tcPr>
          <w:p w14:paraId="61FFE91B"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0.02</w:t>
            </w:r>
          </w:p>
        </w:tc>
        <w:tc>
          <w:tcPr>
            <w:tcW w:w="1014" w:type="dxa"/>
            <w:tcBorders>
              <w:top w:val="nil"/>
              <w:left w:val="nil"/>
              <w:bottom w:val="nil"/>
              <w:right w:val="nil"/>
            </w:tcBorders>
            <w:shd w:val="clear" w:color="auto" w:fill="auto"/>
            <w:noWrap/>
            <w:vAlign w:val="center"/>
            <w:hideMark/>
          </w:tcPr>
          <w:p w14:paraId="319E96B6"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0.0987*</w:t>
            </w:r>
          </w:p>
        </w:tc>
        <w:tc>
          <w:tcPr>
            <w:tcW w:w="1014" w:type="dxa"/>
            <w:tcBorders>
              <w:top w:val="nil"/>
              <w:left w:val="nil"/>
              <w:bottom w:val="nil"/>
              <w:right w:val="nil"/>
            </w:tcBorders>
            <w:shd w:val="clear" w:color="auto" w:fill="auto"/>
            <w:noWrap/>
            <w:vAlign w:val="center"/>
            <w:hideMark/>
          </w:tcPr>
          <w:p w14:paraId="2C089F28"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0.0910*</w:t>
            </w:r>
          </w:p>
        </w:tc>
        <w:tc>
          <w:tcPr>
            <w:tcW w:w="1014" w:type="dxa"/>
            <w:tcBorders>
              <w:top w:val="nil"/>
              <w:left w:val="nil"/>
              <w:bottom w:val="nil"/>
              <w:right w:val="nil"/>
            </w:tcBorders>
            <w:shd w:val="clear" w:color="auto" w:fill="auto"/>
            <w:noWrap/>
            <w:vAlign w:val="center"/>
            <w:hideMark/>
          </w:tcPr>
          <w:p w14:paraId="61CE8F9B"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0.02</w:t>
            </w:r>
          </w:p>
        </w:tc>
        <w:tc>
          <w:tcPr>
            <w:tcW w:w="1014" w:type="dxa"/>
            <w:tcBorders>
              <w:top w:val="nil"/>
              <w:left w:val="nil"/>
              <w:bottom w:val="nil"/>
              <w:right w:val="nil"/>
            </w:tcBorders>
            <w:shd w:val="clear" w:color="auto" w:fill="auto"/>
            <w:noWrap/>
            <w:vAlign w:val="center"/>
            <w:hideMark/>
          </w:tcPr>
          <w:p w14:paraId="4C68117D"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-0.0696*</w:t>
            </w:r>
          </w:p>
        </w:tc>
        <w:tc>
          <w:tcPr>
            <w:tcW w:w="1014" w:type="dxa"/>
            <w:tcBorders>
              <w:top w:val="nil"/>
              <w:left w:val="nil"/>
              <w:bottom w:val="nil"/>
              <w:right w:val="nil"/>
            </w:tcBorders>
            <w:shd w:val="clear" w:color="auto" w:fill="auto"/>
            <w:noWrap/>
            <w:vAlign w:val="center"/>
            <w:hideMark/>
          </w:tcPr>
          <w:p w14:paraId="4F73BCA1"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c>
          <w:tcPr>
            <w:tcW w:w="1014" w:type="dxa"/>
            <w:tcBorders>
              <w:top w:val="nil"/>
              <w:left w:val="nil"/>
              <w:bottom w:val="nil"/>
              <w:right w:val="nil"/>
            </w:tcBorders>
            <w:shd w:val="clear" w:color="auto" w:fill="auto"/>
            <w:noWrap/>
            <w:vAlign w:val="center"/>
            <w:hideMark/>
          </w:tcPr>
          <w:p w14:paraId="26184CA0" w14:textId="77777777" w:rsidR="009A7B5F" w:rsidRPr="001F7631" w:rsidRDefault="009A7B5F" w:rsidP="009F5DF5">
            <w:pPr>
              <w:spacing w:after="0" w:line="240" w:lineRule="auto"/>
              <w:ind w:firstLine="0"/>
              <w:jc w:val="center"/>
              <w:rPr>
                <w:rFonts w:eastAsia="Times New Roman" w:cstheme="majorBidi"/>
                <w:color w:val="000000"/>
                <w:sz w:val="20"/>
                <w:szCs w:val="20"/>
              </w:rPr>
            </w:pPr>
          </w:p>
        </w:tc>
        <w:tc>
          <w:tcPr>
            <w:tcW w:w="1014" w:type="dxa"/>
            <w:tcBorders>
              <w:top w:val="nil"/>
              <w:left w:val="nil"/>
              <w:bottom w:val="nil"/>
              <w:right w:val="nil"/>
            </w:tcBorders>
            <w:shd w:val="clear" w:color="auto" w:fill="auto"/>
            <w:noWrap/>
            <w:vAlign w:val="center"/>
            <w:hideMark/>
          </w:tcPr>
          <w:p w14:paraId="0D404B54"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769687A4"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07DE8C47"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7FB83045" w14:textId="77777777" w:rsidR="009A7B5F" w:rsidRPr="001F7631" w:rsidRDefault="009A7B5F" w:rsidP="009F5DF5">
            <w:pPr>
              <w:spacing w:after="0" w:line="240" w:lineRule="auto"/>
              <w:ind w:firstLine="0"/>
              <w:jc w:val="center"/>
              <w:rPr>
                <w:rFonts w:eastAsia="Times New Roman" w:cstheme="majorBidi"/>
                <w:sz w:val="20"/>
                <w:szCs w:val="20"/>
              </w:rPr>
            </w:pPr>
          </w:p>
        </w:tc>
      </w:tr>
      <w:tr w:rsidR="009A7B5F" w:rsidRPr="001F7631" w14:paraId="7A1A0DED" w14:textId="77777777" w:rsidTr="009F5DF5">
        <w:trPr>
          <w:trHeight w:val="306"/>
        </w:trPr>
        <w:tc>
          <w:tcPr>
            <w:tcW w:w="2182" w:type="dxa"/>
            <w:tcBorders>
              <w:top w:val="nil"/>
              <w:left w:val="nil"/>
              <w:bottom w:val="nil"/>
              <w:right w:val="nil"/>
            </w:tcBorders>
            <w:vAlign w:val="center"/>
          </w:tcPr>
          <w:p w14:paraId="79C93392"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20-IndConcentration</w:t>
            </w:r>
          </w:p>
        </w:tc>
        <w:tc>
          <w:tcPr>
            <w:tcW w:w="1014" w:type="dxa"/>
            <w:tcBorders>
              <w:top w:val="nil"/>
              <w:left w:val="nil"/>
              <w:bottom w:val="nil"/>
              <w:right w:val="nil"/>
            </w:tcBorders>
            <w:shd w:val="clear" w:color="auto" w:fill="auto"/>
            <w:noWrap/>
            <w:vAlign w:val="center"/>
            <w:hideMark/>
          </w:tcPr>
          <w:p w14:paraId="36CC5B94"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0.0496*</w:t>
            </w:r>
          </w:p>
        </w:tc>
        <w:tc>
          <w:tcPr>
            <w:tcW w:w="1014" w:type="dxa"/>
            <w:tcBorders>
              <w:top w:val="nil"/>
              <w:left w:val="nil"/>
              <w:bottom w:val="nil"/>
              <w:right w:val="nil"/>
            </w:tcBorders>
            <w:shd w:val="clear" w:color="auto" w:fill="auto"/>
            <w:noWrap/>
            <w:vAlign w:val="center"/>
            <w:hideMark/>
          </w:tcPr>
          <w:p w14:paraId="58E21A33"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-0.0397*</w:t>
            </w:r>
          </w:p>
        </w:tc>
        <w:tc>
          <w:tcPr>
            <w:tcW w:w="1014" w:type="dxa"/>
            <w:tcBorders>
              <w:top w:val="nil"/>
              <w:left w:val="nil"/>
              <w:bottom w:val="nil"/>
              <w:right w:val="nil"/>
            </w:tcBorders>
            <w:shd w:val="clear" w:color="auto" w:fill="auto"/>
            <w:noWrap/>
            <w:vAlign w:val="center"/>
            <w:hideMark/>
          </w:tcPr>
          <w:p w14:paraId="751403C5"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0.0669*</w:t>
            </w:r>
          </w:p>
        </w:tc>
        <w:tc>
          <w:tcPr>
            <w:tcW w:w="1014" w:type="dxa"/>
            <w:tcBorders>
              <w:top w:val="nil"/>
              <w:left w:val="nil"/>
              <w:bottom w:val="nil"/>
              <w:right w:val="nil"/>
            </w:tcBorders>
            <w:shd w:val="clear" w:color="auto" w:fill="auto"/>
            <w:noWrap/>
            <w:vAlign w:val="center"/>
            <w:hideMark/>
          </w:tcPr>
          <w:p w14:paraId="1BE19654"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0.0723*</w:t>
            </w:r>
          </w:p>
        </w:tc>
        <w:tc>
          <w:tcPr>
            <w:tcW w:w="1014" w:type="dxa"/>
            <w:tcBorders>
              <w:top w:val="nil"/>
              <w:left w:val="nil"/>
              <w:bottom w:val="nil"/>
              <w:right w:val="nil"/>
            </w:tcBorders>
            <w:shd w:val="clear" w:color="auto" w:fill="auto"/>
            <w:noWrap/>
            <w:vAlign w:val="center"/>
            <w:hideMark/>
          </w:tcPr>
          <w:p w14:paraId="3850CE70"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0.0483*</w:t>
            </w:r>
          </w:p>
        </w:tc>
        <w:tc>
          <w:tcPr>
            <w:tcW w:w="1014" w:type="dxa"/>
            <w:tcBorders>
              <w:top w:val="nil"/>
              <w:left w:val="nil"/>
              <w:bottom w:val="nil"/>
              <w:right w:val="nil"/>
            </w:tcBorders>
            <w:shd w:val="clear" w:color="auto" w:fill="auto"/>
            <w:noWrap/>
            <w:vAlign w:val="center"/>
            <w:hideMark/>
          </w:tcPr>
          <w:p w14:paraId="0F0C61D4"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-0.0803*</w:t>
            </w:r>
          </w:p>
        </w:tc>
        <w:tc>
          <w:tcPr>
            <w:tcW w:w="1014" w:type="dxa"/>
            <w:tcBorders>
              <w:top w:val="nil"/>
              <w:left w:val="nil"/>
              <w:bottom w:val="nil"/>
              <w:right w:val="nil"/>
            </w:tcBorders>
            <w:shd w:val="clear" w:color="auto" w:fill="auto"/>
            <w:noWrap/>
            <w:vAlign w:val="center"/>
            <w:hideMark/>
          </w:tcPr>
          <w:p w14:paraId="6911ABE6"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0.1274*</w:t>
            </w:r>
          </w:p>
        </w:tc>
        <w:tc>
          <w:tcPr>
            <w:tcW w:w="1014" w:type="dxa"/>
            <w:tcBorders>
              <w:top w:val="nil"/>
              <w:left w:val="nil"/>
              <w:bottom w:val="nil"/>
              <w:right w:val="nil"/>
            </w:tcBorders>
            <w:shd w:val="clear" w:color="auto" w:fill="auto"/>
            <w:noWrap/>
            <w:vAlign w:val="center"/>
            <w:hideMark/>
          </w:tcPr>
          <w:p w14:paraId="65FC84FF"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c>
          <w:tcPr>
            <w:tcW w:w="1014" w:type="dxa"/>
            <w:tcBorders>
              <w:top w:val="nil"/>
              <w:left w:val="nil"/>
              <w:bottom w:val="nil"/>
              <w:right w:val="nil"/>
            </w:tcBorders>
            <w:shd w:val="clear" w:color="auto" w:fill="auto"/>
            <w:noWrap/>
            <w:vAlign w:val="center"/>
            <w:hideMark/>
          </w:tcPr>
          <w:p w14:paraId="238720CD" w14:textId="77777777" w:rsidR="009A7B5F" w:rsidRPr="001F7631" w:rsidRDefault="009A7B5F" w:rsidP="009F5DF5">
            <w:pPr>
              <w:spacing w:after="0" w:line="240" w:lineRule="auto"/>
              <w:ind w:firstLine="0"/>
              <w:jc w:val="center"/>
              <w:rPr>
                <w:rFonts w:eastAsia="Times New Roman" w:cstheme="majorBidi"/>
                <w:color w:val="000000"/>
                <w:sz w:val="20"/>
                <w:szCs w:val="20"/>
              </w:rPr>
            </w:pPr>
          </w:p>
        </w:tc>
        <w:tc>
          <w:tcPr>
            <w:tcW w:w="1014" w:type="dxa"/>
            <w:tcBorders>
              <w:top w:val="nil"/>
              <w:left w:val="nil"/>
              <w:bottom w:val="nil"/>
              <w:right w:val="nil"/>
            </w:tcBorders>
            <w:shd w:val="clear" w:color="auto" w:fill="auto"/>
            <w:noWrap/>
            <w:vAlign w:val="center"/>
            <w:hideMark/>
          </w:tcPr>
          <w:p w14:paraId="12021D1C"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76237D55"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4A8C0EA1" w14:textId="77777777" w:rsidR="009A7B5F" w:rsidRPr="001F7631" w:rsidRDefault="009A7B5F" w:rsidP="009F5DF5">
            <w:pPr>
              <w:spacing w:after="0" w:line="240" w:lineRule="auto"/>
              <w:ind w:firstLine="0"/>
              <w:jc w:val="center"/>
              <w:rPr>
                <w:rFonts w:eastAsia="Times New Roman" w:cstheme="majorBidi"/>
                <w:sz w:val="20"/>
                <w:szCs w:val="20"/>
              </w:rPr>
            </w:pPr>
          </w:p>
        </w:tc>
      </w:tr>
      <w:tr w:rsidR="009A7B5F" w:rsidRPr="001F7631" w14:paraId="1588294A" w14:textId="77777777" w:rsidTr="009F5DF5">
        <w:trPr>
          <w:trHeight w:val="306"/>
        </w:trPr>
        <w:tc>
          <w:tcPr>
            <w:tcW w:w="2182" w:type="dxa"/>
            <w:tcBorders>
              <w:top w:val="nil"/>
              <w:left w:val="nil"/>
              <w:bottom w:val="nil"/>
              <w:right w:val="nil"/>
            </w:tcBorders>
            <w:vAlign w:val="center"/>
          </w:tcPr>
          <w:p w14:paraId="54953C53"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21-Education</w:t>
            </w:r>
          </w:p>
        </w:tc>
        <w:tc>
          <w:tcPr>
            <w:tcW w:w="1014" w:type="dxa"/>
            <w:tcBorders>
              <w:top w:val="nil"/>
              <w:left w:val="nil"/>
              <w:bottom w:val="nil"/>
              <w:right w:val="nil"/>
            </w:tcBorders>
            <w:shd w:val="clear" w:color="auto" w:fill="auto"/>
            <w:noWrap/>
            <w:vAlign w:val="center"/>
            <w:hideMark/>
          </w:tcPr>
          <w:p w14:paraId="7C382679"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0.0328*</w:t>
            </w:r>
          </w:p>
        </w:tc>
        <w:tc>
          <w:tcPr>
            <w:tcW w:w="1014" w:type="dxa"/>
            <w:tcBorders>
              <w:top w:val="nil"/>
              <w:left w:val="nil"/>
              <w:bottom w:val="nil"/>
              <w:right w:val="nil"/>
            </w:tcBorders>
            <w:shd w:val="clear" w:color="auto" w:fill="auto"/>
            <w:noWrap/>
            <w:vAlign w:val="center"/>
            <w:hideMark/>
          </w:tcPr>
          <w:p w14:paraId="1128E67F"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-0.0344*</w:t>
            </w:r>
          </w:p>
        </w:tc>
        <w:tc>
          <w:tcPr>
            <w:tcW w:w="1014" w:type="dxa"/>
            <w:tcBorders>
              <w:top w:val="nil"/>
              <w:left w:val="nil"/>
              <w:bottom w:val="nil"/>
              <w:right w:val="nil"/>
            </w:tcBorders>
            <w:shd w:val="clear" w:color="auto" w:fill="auto"/>
            <w:noWrap/>
            <w:vAlign w:val="center"/>
            <w:hideMark/>
          </w:tcPr>
          <w:p w14:paraId="691F5766"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0.02</w:t>
            </w:r>
          </w:p>
        </w:tc>
        <w:tc>
          <w:tcPr>
            <w:tcW w:w="1014" w:type="dxa"/>
            <w:tcBorders>
              <w:top w:val="nil"/>
              <w:left w:val="nil"/>
              <w:bottom w:val="nil"/>
              <w:right w:val="nil"/>
            </w:tcBorders>
            <w:shd w:val="clear" w:color="auto" w:fill="auto"/>
            <w:noWrap/>
            <w:vAlign w:val="center"/>
            <w:hideMark/>
          </w:tcPr>
          <w:p w14:paraId="7268C5E9"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0.02</w:t>
            </w:r>
          </w:p>
        </w:tc>
        <w:tc>
          <w:tcPr>
            <w:tcW w:w="1014" w:type="dxa"/>
            <w:tcBorders>
              <w:top w:val="nil"/>
              <w:left w:val="nil"/>
              <w:bottom w:val="nil"/>
              <w:right w:val="nil"/>
            </w:tcBorders>
            <w:shd w:val="clear" w:color="auto" w:fill="auto"/>
            <w:noWrap/>
            <w:vAlign w:val="center"/>
            <w:hideMark/>
          </w:tcPr>
          <w:p w14:paraId="387D5E07"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-0.0469*</w:t>
            </w:r>
          </w:p>
        </w:tc>
        <w:tc>
          <w:tcPr>
            <w:tcW w:w="1014" w:type="dxa"/>
            <w:tcBorders>
              <w:top w:val="nil"/>
              <w:left w:val="nil"/>
              <w:bottom w:val="nil"/>
              <w:right w:val="nil"/>
            </w:tcBorders>
            <w:shd w:val="clear" w:color="auto" w:fill="auto"/>
            <w:noWrap/>
            <w:vAlign w:val="center"/>
            <w:hideMark/>
          </w:tcPr>
          <w:p w14:paraId="3C8CF90D"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-0.0696*</w:t>
            </w:r>
          </w:p>
        </w:tc>
        <w:tc>
          <w:tcPr>
            <w:tcW w:w="1014" w:type="dxa"/>
            <w:tcBorders>
              <w:top w:val="nil"/>
              <w:left w:val="nil"/>
              <w:bottom w:val="nil"/>
              <w:right w:val="nil"/>
            </w:tcBorders>
            <w:shd w:val="clear" w:color="auto" w:fill="auto"/>
            <w:noWrap/>
            <w:vAlign w:val="center"/>
            <w:hideMark/>
          </w:tcPr>
          <w:p w14:paraId="073B3EA5"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0.0921*</w:t>
            </w:r>
          </w:p>
        </w:tc>
        <w:tc>
          <w:tcPr>
            <w:tcW w:w="1014" w:type="dxa"/>
            <w:tcBorders>
              <w:top w:val="nil"/>
              <w:left w:val="nil"/>
              <w:bottom w:val="nil"/>
              <w:right w:val="nil"/>
            </w:tcBorders>
            <w:shd w:val="clear" w:color="auto" w:fill="auto"/>
            <w:noWrap/>
            <w:vAlign w:val="center"/>
            <w:hideMark/>
          </w:tcPr>
          <w:p w14:paraId="06DEE808"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0.0616*</w:t>
            </w:r>
          </w:p>
        </w:tc>
        <w:tc>
          <w:tcPr>
            <w:tcW w:w="1014" w:type="dxa"/>
            <w:tcBorders>
              <w:top w:val="nil"/>
              <w:left w:val="nil"/>
              <w:bottom w:val="nil"/>
              <w:right w:val="nil"/>
            </w:tcBorders>
            <w:shd w:val="clear" w:color="auto" w:fill="auto"/>
            <w:noWrap/>
            <w:vAlign w:val="center"/>
            <w:hideMark/>
          </w:tcPr>
          <w:p w14:paraId="30783534"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c>
          <w:tcPr>
            <w:tcW w:w="1014" w:type="dxa"/>
            <w:tcBorders>
              <w:top w:val="nil"/>
              <w:left w:val="nil"/>
              <w:bottom w:val="nil"/>
              <w:right w:val="nil"/>
            </w:tcBorders>
            <w:shd w:val="clear" w:color="auto" w:fill="auto"/>
            <w:noWrap/>
            <w:vAlign w:val="center"/>
            <w:hideMark/>
          </w:tcPr>
          <w:p w14:paraId="0E9DCB82" w14:textId="77777777" w:rsidR="009A7B5F" w:rsidRPr="001F7631" w:rsidRDefault="009A7B5F" w:rsidP="009F5DF5">
            <w:pPr>
              <w:spacing w:after="0" w:line="240" w:lineRule="auto"/>
              <w:ind w:firstLine="0"/>
              <w:jc w:val="center"/>
              <w:rPr>
                <w:rFonts w:eastAsia="Times New Roman" w:cstheme="majorBidi"/>
                <w:color w:val="000000"/>
                <w:sz w:val="20"/>
                <w:szCs w:val="20"/>
              </w:rPr>
            </w:pPr>
          </w:p>
        </w:tc>
        <w:tc>
          <w:tcPr>
            <w:tcW w:w="1014" w:type="dxa"/>
            <w:tcBorders>
              <w:top w:val="nil"/>
              <w:left w:val="nil"/>
              <w:bottom w:val="nil"/>
              <w:right w:val="nil"/>
            </w:tcBorders>
            <w:shd w:val="clear" w:color="auto" w:fill="auto"/>
            <w:noWrap/>
            <w:vAlign w:val="center"/>
            <w:hideMark/>
          </w:tcPr>
          <w:p w14:paraId="5694F5DE" w14:textId="77777777" w:rsidR="009A7B5F" w:rsidRPr="001F7631" w:rsidRDefault="009A7B5F" w:rsidP="009F5DF5">
            <w:pPr>
              <w:spacing w:after="0" w:line="240" w:lineRule="auto"/>
              <w:ind w:firstLine="0"/>
              <w:jc w:val="center"/>
              <w:rPr>
                <w:rFonts w:eastAsia="Times New Roman" w:cstheme="majorBidi"/>
                <w:sz w:val="20"/>
                <w:szCs w:val="20"/>
              </w:rPr>
            </w:pPr>
          </w:p>
        </w:tc>
        <w:tc>
          <w:tcPr>
            <w:tcW w:w="1014" w:type="dxa"/>
            <w:tcBorders>
              <w:top w:val="nil"/>
              <w:left w:val="nil"/>
              <w:bottom w:val="nil"/>
              <w:right w:val="nil"/>
            </w:tcBorders>
            <w:shd w:val="clear" w:color="auto" w:fill="auto"/>
            <w:noWrap/>
            <w:vAlign w:val="center"/>
            <w:hideMark/>
          </w:tcPr>
          <w:p w14:paraId="2BA935F8" w14:textId="77777777" w:rsidR="009A7B5F" w:rsidRPr="001F7631" w:rsidRDefault="009A7B5F" w:rsidP="009F5DF5">
            <w:pPr>
              <w:spacing w:after="0" w:line="240" w:lineRule="auto"/>
              <w:ind w:firstLine="0"/>
              <w:jc w:val="center"/>
              <w:rPr>
                <w:rFonts w:eastAsia="Times New Roman" w:cstheme="majorBidi"/>
                <w:sz w:val="20"/>
                <w:szCs w:val="20"/>
              </w:rPr>
            </w:pPr>
          </w:p>
        </w:tc>
      </w:tr>
      <w:tr w:rsidR="009A7B5F" w:rsidRPr="001F7631" w14:paraId="764ECC5D" w14:textId="77777777" w:rsidTr="009F5DF5">
        <w:trPr>
          <w:trHeight w:val="306"/>
        </w:trPr>
        <w:tc>
          <w:tcPr>
            <w:tcW w:w="2182" w:type="dxa"/>
            <w:tcBorders>
              <w:top w:val="nil"/>
              <w:left w:val="nil"/>
              <w:bottom w:val="nil"/>
              <w:right w:val="nil"/>
            </w:tcBorders>
            <w:vAlign w:val="center"/>
          </w:tcPr>
          <w:p w14:paraId="23A4A638"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22-Union</w:t>
            </w:r>
          </w:p>
        </w:tc>
        <w:tc>
          <w:tcPr>
            <w:tcW w:w="1014" w:type="dxa"/>
            <w:tcBorders>
              <w:top w:val="nil"/>
              <w:left w:val="nil"/>
              <w:bottom w:val="nil"/>
              <w:right w:val="nil"/>
            </w:tcBorders>
            <w:shd w:val="clear" w:color="auto" w:fill="auto"/>
            <w:noWrap/>
            <w:vAlign w:val="center"/>
            <w:hideMark/>
          </w:tcPr>
          <w:p w14:paraId="7E897DDE"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0.1364*</w:t>
            </w:r>
          </w:p>
        </w:tc>
        <w:tc>
          <w:tcPr>
            <w:tcW w:w="1014" w:type="dxa"/>
            <w:tcBorders>
              <w:top w:val="nil"/>
              <w:left w:val="nil"/>
              <w:bottom w:val="nil"/>
              <w:right w:val="nil"/>
            </w:tcBorders>
            <w:shd w:val="clear" w:color="auto" w:fill="auto"/>
            <w:noWrap/>
            <w:vAlign w:val="center"/>
            <w:hideMark/>
          </w:tcPr>
          <w:p w14:paraId="7BAEB172"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-0.03</w:t>
            </w:r>
          </w:p>
        </w:tc>
        <w:tc>
          <w:tcPr>
            <w:tcW w:w="1014" w:type="dxa"/>
            <w:tcBorders>
              <w:top w:val="nil"/>
              <w:left w:val="nil"/>
              <w:bottom w:val="nil"/>
              <w:right w:val="nil"/>
            </w:tcBorders>
            <w:shd w:val="clear" w:color="auto" w:fill="auto"/>
            <w:noWrap/>
            <w:vAlign w:val="center"/>
            <w:hideMark/>
          </w:tcPr>
          <w:p w14:paraId="77DA4FBB"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0.01</w:t>
            </w:r>
          </w:p>
        </w:tc>
        <w:tc>
          <w:tcPr>
            <w:tcW w:w="1014" w:type="dxa"/>
            <w:tcBorders>
              <w:top w:val="nil"/>
              <w:left w:val="nil"/>
              <w:bottom w:val="nil"/>
              <w:right w:val="nil"/>
            </w:tcBorders>
            <w:shd w:val="clear" w:color="auto" w:fill="auto"/>
            <w:noWrap/>
            <w:vAlign w:val="center"/>
            <w:hideMark/>
          </w:tcPr>
          <w:p w14:paraId="0D31B9BD"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0.01</w:t>
            </w:r>
          </w:p>
        </w:tc>
        <w:tc>
          <w:tcPr>
            <w:tcW w:w="1014" w:type="dxa"/>
            <w:tcBorders>
              <w:top w:val="nil"/>
              <w:left w:val="nil"/>
              <w:bottom w:val="nil"/>
              <w:right w:val="nil"/>
            </w:tcBorders>
            <w:shd w:val="clear" w:color="auto" w:fill="auto"/>
            <w:noWrap/>
            <w:vAlign w:val="center"/>
            <w:hideMark/>
          </w:tcPr>
          <w:p w14:paraId="47AF446D"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0.1289*</w:t>
            </w:r>
          </w:p>
        </w:tc>
        <w:tc>
          <w:tcPr>
            <w:tcW w:w="1014" w:type="dxa"/>
            <w:tcBorders>
              <w:top w:val="nil"/>
              <w:left w:val="nil"/>
              <w:bottom w:val="nil"/>
              <w:right w:val="nil"/>
            </w:tcBorders>
            <w:shd w:val="clear" w:color="auto" w:fill="auto"/>
            <w:noWrap/>
            <w:vAlign w:val="center"/>
            <w:hideMark/>
          </w:tcPr>
          <w:p w14:paraId="29E0EF5A"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-0.02</w:t>
            </w:r>
          </w:p>
        </w:tc>
        <w:tc>
          <w:tcPr>
            <w:tcW w:w="1014" w:type="dxa"/>
            <w:tcBorders>
              <w:top w:val="nil"/>
              <w:left w:val="nil"/>
              <w:bottom w:val="nil"/>
              <w:right w:val="nil"/>
            </w:tcBorders>
            <w:shd w:val="clear" w:color="auto" w:fill="auto"/>
            <w:noWrap/>
            <w:vAlign w:val="center"/>
            <w:hideMark/>
          </w:tcPr>
          <w:p w14:paraId="354B1CCC"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0.01</w:t>
            </w:r>
          </w:p>
        </w:tc>
        <w:tc>
          <w:tcPr>
            <w:tcW w:w="1014" w:type="dxa"/>
            <w:tcBorders>
              <w:top w:val="nil"/>
              <w:left w:val="nil"/>
              <w:bottom w:val="nil"/>
              <w:right w:val="nil"/>
            </w:tcBorders>
            <w:shd w:val="clear" w:color="auto" w:fill="auto"/>
            <w:noWrap/>
            <w:vAlign w:val="center"/>
            <w:hideMark/>
          </w:tcPr>
          <w:p w14:paraId="1D9C946E"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0.1371*</w:t>
            </w:r>
          </w:p>
        </w:tc>
        <w:tc>
          <w:tcPr>
            <w:tcW w:w="1014" w:type="dxa"/>
            <w:tcBorders>
              <w:top w:val="nil"/>
              <w:left w:val="nil"/>
              <w:bottom w:val="nil"/>
              <w:right w:val="nil"/>
            </w:tcBorders>
            <w:shd w:val="clear" w:color="auto" w:fill="auto"/>
            <w:noWrap/>
            <w:vAlign w:val="center"/>
            <w:hideMark/>
          </w:tcPr>
          <w:p w14:paraId="1AF6FD08"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-0.5516*</w:t>
            </w:r>
          </w:p>
        </w:tc>
        <w:tc>
          <w:tcPr>
            <w:tcW w:w="1014" w:type="dxa"/>
            <w:tcBorders>
              <w:top w:val="nil"/>
              <w:left w:val="nil"/>
              <w:bottom w:val="nil"/>
              <w:right w:val="nil"/>
            </w:tcBorders>
            <w:shd w:val="clear" w:color="auto" w:fill="auto"/>
            <w:noWrap/>
            <w:vAlign w:val="center"/>
            <w:hideMark/>
          </w:tcPr>
          <w:p w14:paraId="1055D0CF"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c>
          <w:tcPr>
            <w:tcW w:w="1014" w:type="dxa"/>
            <w:tcBorders>
              <w:top w:val="nil"/>
              <w:left w:val="nil"/>
              <w:bottom w:val="nil"/>
              <w:right w:val="nil"/>
            </w:tcBorders>
            <w:shd w:val="clear" w:color="auto" w:fill="auto"/>
            <w:noWrap/>
            <w:vAlign w:val="center"/>
            <w:hideMark/>
          </w:tcPr>
          <w:p w14:paraId="473851D1" w14:textId="77777777" w:rsidR="009A7B5F" w:rsidRPr="001F7631" w:rsidRDefault="009A7B5F" w:rsidP="009F5DF5">
            <w:pPr>
              <w:spacing w:after="0" w:line="240" w:lineRule="auto"/>
              <w:ind w:firstLine="0"/>
              <w:jc w:val="center"/>
              <w:rPr>
                <w:rFonts w:eastAsia="Times New Roman" w:cstheme="majorBidi"/>
                <w:color w:val="000000"/>
                <w:sz w:val="20"/>
                <w:szCs w:val="20"/>
              </w:rPr>
            </w:pPr>
          </w:p>
        </w:tc>
        <w:tc>
          <w:tcPr>
            <w:tcW w:w="1014" w:type="dxa"/>
            <w:tcBorders>
              <w:top w:val="nil"/>
              <w:left w:val="nil"/>
              <w:bottom w:val="nil"/>
              <w:right w:val="nil"/>
            </w:tcBorders>
            <w:shd w:val="clear" w:color="auto" w:fill="auto"/>
            <w:noWrap/>
            <w:vAlign w:val="center"/>
            <w:hideMark/>
          </w:tcPr>
          <w:p w14:paraId="56A796BE" w14:textId="77777777" w:rsidR="009A7B5F" w:rsidRPr="001F7631" w:rsidRDefault="009A7B5F" w:rsidP="009F5DF5">
            <w:pPr>
              <w:spacing w:after="0" w:line="240" w:lineRule="auto"/>
              <w:ind w:firstLine="0"/>
              <w:jc w:val="center"/>
              <w:rPr>
                <w:rFonts w:eastAsia="Times New Roman" w:cstheme="majorBidi"/>
                <w:sz w:val="20"/>
                <w:szCs w:val="20"/>
              </w:rPr>
            </w:pPr>
          </w:p>
        </w:tc>
      </w:tr>
      <w:tr w:rsidR="009A7B5F" w:rsidRPr="001F7631" w14:paraId="07ABF476" w14:textId="77777777" w:rsidTr="009F5DF5">
        <w:trPr>
          <w:trHeight w:val="306"/>
        </w:trPr>
        <w:tc>
          <w:tcPr>
            <w:tcW w:w="2182" w:type="dxa"/>
            <w:tcBorders>
              <w:top w:val="nil"/>
              <w:left w:val="nil"/>
              <w:right w:val="nil"/>
            </w:tcBorders>
            <w:vAlign w:val="center"/>
          </w:tcPr>
          <w:p w14:paraId="480307B7"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23-Unemployment</w:t>
            </w:r>
          </w:p>
        </w:tc>
        <w:tc>
          <w:tcPr>
            <w:tcW w:w="1014" w:type="dxa"/>
            <w:tcBorders>
              <w:top w:val="nil"/>
              <w:left w:val="nil"/>
              <w:right w:val="nil"/>
            </w:tcBorders>
            <w:shd w:val="clear" w:color="auto" w:fill="auto"/>
            <w:noWrap/>
            <w:vAlign w:val="center"/>
            <w:hideMark/>
          </w:tcPr>
          <w:p w14:paraId="374BE21B"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0.03</w:t>
            </w:r>
          </w:p>
        </w:tc>
        <w:tc>
          <w:tcPr>
            <w:tcW w:w="1014" w:type="dxa"/>
            <w:tcBorders>
              <w:top w:val="nil"/>
              <w:left w:val="nil"/>
              <w:right w:val="nil"/>
            </w:tcBorders>
            <w:shd w:val="clear" w:color="auto" w:fill="auto"/>
            <w:noWrap/>
            <w:vAlign w:val="center"/>
            <w:hideMark/>
          </w:tcPr>
          <w:p w14:paraId="752DEB7D"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-0.03</w:t>
            </w:r>
          </w:p>
        </w:tc>
        <w:tc>
          <w:tcPr>
            <w:tcW w:w="1014" w:type="dxa"/>
            <w:tcBorders>
              <w:top w:val="nil"/>
              <w:left w:val="nil"/>
              <w:right w:val="nil"/>
            </w:tcBorders>
            <w:shd w:val="clear" w:color="auto" w:fill="auto"/>
            <w:noWrap/>
            <w:vAlign w:val="center"/>
            <w:hideMark/>
          </w:tcPr>
          <w:p w14:paraId="7DB017C3"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0.01</w:t>
            </w:r>
          </w:p>
        </w:tc>
        <w:tc>
          <w:tcPr>
            <w:tcW w:w="1014" w:type="dxa"/>
            <w:tcBorders>
              <w:top w:val="nil"/>
              <w:left w:val="nil"/>
              <w:right w:val="nil"/>
            </w:tcBorders>
            <w:shd w:val="clear" w:color="auto" w:fill="auto"/>
            <w:noWrap/>
            <w:vAlign w:val="center"/>
            <w:hideMark/>
          </w:tcPr>
          <w:p w14:paraId="678C8FB2"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0.00</w:t>
            </w:r>
          </w:p>
        </w:tc>
        <w:tc>
          <w:tcPr>
            <w:tcW w:w="1014" w:type="dxa"/>
            <w:tcBorders>
              <w:top w:val="nil"/>
              <w:left w:val="nil"/>
              <w:right w:val="nil"/>
            </w:tcBorders>
            <w:shd w:val="clear" w:color="auto" w:fill="auto"/>
            <w:noWrap/>
            <w:vAlign w:val="center"/>
            <w:hideMark/>
          </w:tcPr>
          <w:p w14:paraId="1671833F"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-0.0547*</w:t>
            </w:r>
          </w:p>
        </w:tc>
        <w:tc>
          <w:tcPr>
            <w:tcW w:w="1014" w:type="dxa"/>
            <w:tcBorders>
              <w:top w:val="nil"/>
              <w:left w:val="nil"/>
              <w:right w:val="nil"/>
            </w:tcBorders>
            <w:shd w:val="clear" w:color="auto" w:fill="auto"/>
            <w:noWrap/>
            <w:vAlign w:val="center"/>
            <w:hideMark/>
          </w:tcPr>
          <w:p w14:paraId="1BC4CABA"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-0.0604*</w:t>
            </w:r>
          </w:p>
        </w:tc>
        <w:tc>
          <w:tcPr>
            <w:tcW w:w="1014" w:type="dxa"/>
            <w:tcBorders>
              <w:top w:val="nil"/>
              <w:left w:val="nil"/>
              <w:right w:val="nil"/>
            </w:tcBorders>
            <w:shd w:val="clear" w:color="auto" w:fill="auto"/>
            <w:noWrap/>
            <w:vAlign w:val="center"/>
            <w:hideMark/>
          </w:tcPr>
          <w:p w14:paraId="67A1F5F1"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-0.01</w:t>
            </w:r>
          </w:p>
        </w:tc>
        <w:tc>
          <w:tcPr>
            <w:tcW w:w="1014" w:type="dxa"/>
            <w:tcBorders>
              <w:top w:val="nil"/>
              <w:left w:val="nil"/>
              <w:right w:val="nil"/>
            </w:tcBorders>
            <w:shd w:val="clear" w:color="auto" w:fill="auto"/>
            <w:noWrap/>
            <w:vAlign w:val="center"/>
            <w:hideMark/>
          </w:tcPr>
          <w:p w14:paraId="4B651D7B"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-0.02</w:t>
            </w:r>
          </w:p>
        </w:tc>
        <w:tc>
          <w:tcPr>
            <w:tcW w:w="1014" w:type="dxa"/>
            <w:tcBorders>
              <w:top w:val="nil"/>
              <w:left w:val="nil"/>
              <w:right w:val="nil"/>
            </w:tcBorders>
            <w:shd w:val="clear" w:color="auto" w:fill="auto"/>
            <w:noWrap/>
            <w:vAlign w:val="center"/>
            <w:hideMark/>
          </w:tcPr>
          <w:p w14:paraId="0128C5FD"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0.0498*</w:t>
            </w:r>
          </w:p>
        </w:tc>
        <w:tc>
          <w:tcPr>
            <w:tcW w:w="1014" w:type="dxa"/>
            <w:tcBorders>
              <w:top w:val="nil"/>
              <w:left w:val="nil"/>
              <w:right w:val="nil"/>
            </w:tcBorders>
            <w:shd w:val="clear" w:color="auto" w:fill="auto"/>
            <w:noWrap/>
            <w:vAlign w:val="center"/>
            <w:hideMark/>
          </w:tcPr>
          <w:p w14:paraId="14402745"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-0.0840*</w:t>
            </w:r>
          </w:p>
        </w:tc>
        <w:tc>
          <w:tcPr>
            <w:tcW w:w="1014" w:type="dxa"/>
            <w:tcBorders>
              <w:top w:val="nil"/>
              <w:left w:val="nil"/>
              <w:right w:val="nil"/>
            </w:tcBorders>
            <w:shd w:val="clear" w:color="auto" w:fill="auto"/>
            <w:noWrap/>
            <w:vAlign w:val="center"/>
            <w:hideMark/>
          </w:tcPr>
          <w:p w14:paraId="7C2F49EC"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c>
          <w:tcPr>
            <w:tcW w:w="1014" w:type="dxa"/>
            <w:tcBorders>
              <w:top w:val="nil"/>
              <w:left w:val="nil"/>
              <w:right w:val="nil"/>
            </w:tcBorders>
            <w:shd w:val="clear" w:color="auto" w:fill="auto"/>
            <w:noWrap/>
            <w:vAlign w:val="center"/>
            <w:hideMark/>
          </w:tcPr>
          <w:p w14:paraId="3D33CF7E" w14:textId="77777777" w:rsidR="009A7B5F" w:rsidRPr="001F7631" w:rsidRDefault="009A7B5F" w:rsidP="009F5DF5">
            <w:pPr>
              <w:spacing w:after="0" w:line="240" w:lineRule="auto"/>
              <w:ind w:firstLine="0"/>
              <w:jc w:val="center"/>
              <w:rPr>
                <w:rFonts w:eastAsia="Times New Roman" w:cstheme="majorBidi"/>
                <w:color w:val="000000"/>
                <w:sz w:val="20"/>
                <w:szCs w:val="20"/>
              </w:rPr>
            </w:pPr>
          </w:p>
        </w:tc>
      </w:tr>
      <w:tr w:rsidR="009A7B5F" w:rsidRPr="001F7631" w14:paraId="7D8E8133" w14:textId="77777777" w:rsidTr="009F5DF5">
        <w:trPr>
          <w:trHeight w:val="306"/>
        </w:trPr>
        <w:tc>
          <w:tcPr>
            <w:tcW w:w="2182" w:type="dxa"/>
            <w:tcBorders>
              <w:left w:val="nil"/>
              <w:bottom w:val="single" w:sz="4" w:space="0" w:color="auto"/>
              <w:right w:val="nil"/>
            </w:tcBorders>
            <w:vAlign w:val="center"/>
          </w:tcPr>
          <w:p w14:paraId="6ACE049E" w14:textId="77777777" w:rsidR="009A7B5F" w:rsidRPr="001F7631" w:rsidRDefault="009A7B5F" w:rsidP="009F5DF5">
            <w:pPr>
              <w:spacing w:after="0" w:line="240" w:lineRule="auto"/>
              <w:ind w:firstLine="0"/>
              <w:jc w:val="left"/>
              <w:rPr>
                <w:rFonts w:eastAsia="Times New Roman" w:cstheme="majorBidi"/>
                <w:color w:val="000000"/>
                <w:sz w:val="20"/>
                <w:szCs w:val="20"/>
              </w:rPr>
            </w:pPr>
            <w:r w:rsidRPr="001F7631">
              <w:rPr>
                <w:rFonts w:cstheme="majorBidi"/>
                <w:color w:val="000000"/>
                <w:sz w:val="20"/>
                <w:szCs w:val="20"/>
              </w:rPr>
              <w:t>24-VacantJob</w:t>
            </w:r>
          </w:p>
        </w:tc>
        <w:tc>
          <w:tcPr>
            <w:tcW w:w="1014" w:type="dxa"/>
            <w:tcBorders>
              <w:left w:val="nil"/>
              <w:right w:val="nil"/>
            </w:tcBorders>
            <w:shd w:val="clear" w:color="auto" w:fill="auto"/>
            <w:noWrap/>
            <w:vAlign w:val="center"/>
            <w:hideMark/>
          </w:tcPr>
          <w:p w14:paraId="7C94129D"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-0.2469*</w:t>
            </w:r>
          </w:p>
        </w:tc>
        <w:tc>
          <w:tcPr>
            <w:tcW w:w="1014" w:type="dxa"/>
            <w:tcBorders>
              <w:left w:val="nil"/>
              <w:right w:val="nil"/>
            </w:tcBorders>
            <w:shd w:val="clear" w:color="auto" w:fill="auto"/>
            <w:noWrap/>
            <w:vAlign w:val="center"/>
            <w:hideMark/>
          </w:tcPr>
          <w:p w14:paraId="579AFC8E"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0.0386*</w:t>
            </w:r>
          </w:p>
        </w:tc>
        <w:tc>
          <w:tcPr>
            <w:tcW w:w="1014" w:type="dxa"/>
            <w:tcBorders>
              <w:left w:val="nil"/>
              <w:right w:val="nil"/>
            </w:tcBorders>
            <w:shd w:val="clear" w:color="auto" w:fill="auto"/>
            <w:noWrap/>
            <w:vAlign w:val="center"/>
            <w:hideMark/>
          </w:tcPr>
          <w:p w14:paraId="6FD7C699"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-0.1198*</w:t>
            </w:r>
          </w:p>
        </w:tc>
        <w:tc>
          <w:tcPr>
            <w:tcW w:w="1014" w:type="dxa"/>
            <w:tcBorders>
              <w:left w:val="nil"/>
              <w:right w:val="nil"/>
            </w:tcBorders>
            <w:shd w:val="clear" w:color="auto" w:fill="auto"/>
            <w:noWrap/>
            <w:vAlign w:val="center"/>
            <w:hideMark/>
          </w:tcPr>
          <w:p w14:paraId="43EAD4D1"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-0.1240*</w:t>
            </w:r>
          </w:p>
        </w:tc>
        <w:tc>
          <w:tcPr>
            <w:tcW w:w="1014" w:type="dxa"/>
            <w:tcBorders>
              <w:left w:val="nil"/>
              <w:right w:val="nil"/>
            </w:tcBorders>
            <w:shd w:val="clear" w:color="auto" w:fill="auto"/>
            <w:noWrap/>
            <w:vAlign w:val="center"/>
            <w:hideMark/>
          </w:tcPr>
          <w:p w14:paraId="22F32BDF"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0.0400*</w:t>
            </w:r>
          </w:p>
        </w:tc>
        <w:tc>
          <w:tcPr>
            <w:tcW w:w="1014" w:type="dxa"/>
            <w:tcBorders>
              <w:left w:val="nil"/>
              <w:right w:val="nil"/>
            </w:tcBorders>
            <w:shd w:val="clear" w:color="auto" w:fill="auto"/>
            <w:noWrap/>
            <w:vAlign w:val="center"/>
            <w:hideMark/>
          </w:tcPr>
          <w:p w14:paraId="65E6CA99"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0.1440*</w:t>
            </w:r>
          </w:p>
        </w:tc>
        <w:tc>
          <w:tcPr>
            <w:tcW w:w="1014" w:type="dxa"/>
            <w:tcBorders>
              <w:left w:val="nil"/>
              <w:right w:val="nil"/>
            </w:tcBorders>
            <w:shd w:val="clear" w:color="auto" w:fill="auto"/>
            <w:noWrap/>
            <w:vAlign w:val="center"/>
            <w:hideMark/>
          </w:tcPr>
          <w:p w14:paraId="61F73F73"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-0.1034*</w:t>
            </w:r>
          </w:p>
        </w:tc>
        <w:tc>
          <w:tcPr>
            <w:tcW w:w="1014" w:type="dxa"/>
            <w:tcBorders>
              <w:left w:val="nil"/>
              <w:right w:val="nil"/>
            </w:tcBorders>
            <w:shd w:val="clear" w:color="auto" w:fill="auto"/>
            <w:noWrap/>
            <w:vAlign w:val="center"/>
            <w:hideMark/>
          </w:tcPr>
          <w:p w14:paraId="6549FFE2"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-0.1717*</w:t>
            </w:r>
          </w:p>
        </w:tc>
        <w:tc>
          <w:tcPr>
            <w:tcW w:w="1014" w:type="dxa"/>
            <w:tcBorders>
              <w:left w:val="nil"/>
              <w:right w:val="nil"/>
            </w:tcBorders>
            <w:shd w:val="clear" w:color="auto" w:fill="auto"/>
            <w:noWrap/>
            <w:vAlign w:val="center"/>
            <w:hideMark/>
          </w:tcPr>
          <w:p w14:paraId="62EA6A86"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-0.2776*</w:t>
            </w:r>
          </w:p>
        </w:tc>
        <w:tc>
          <w:tcPr>
            <w:tcW w:w="1014" w:type="dxa"/>
            <w:tcBorders>
              <w:left w:val="nil"/>
              <w:right w:val="nil"/>
            </w:tcBorders>
            <w:shd w:val="clear" w:color="auto" w:fill="auto"/>
            <w:noWrap/>
            <w:vAlign w:val="center"/>
            <w:hideMark/>
          </w:tcPr>
          <w:p w14:paraId="56058652"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0.0440*</w:t>
            </w:r>
          </w:p>
        </w:tc>
        <w:tc>
          <w:tcPr>
            <w:tcW w:w="1014" w:type="dxa"/>
            <w:tcBorders>
              <w:left w:val="nil"/>
              <w:right w:val="nil"/>
            </w:tcBorders>
            <w:shd w:val="clear" w:color="auto" w:fill="auto"/>
            <w:noWrap/>
            <w:vAlign w:val="center"/>
            <w:hideMark/>
          </w:tcPr>
          <w:p w14:paraId="2CFEEA5B"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-0.3249*</w:t>
            </w:r>
          </w:p>
        </w:tc>
        <w:tc>
          <w:tcPr>
            <w:tcW w:w="1014" w:type="dxa"/>
            <w:tcBorders>
              <w:left w:val="nil"/>
              <w:right w:val="nil"/>
            </w:tcBorders>
            <w:shd w:val="clear" w:color="auto" w:fill="auto"/>
            <w:noWrap/>
            <w:vAlign w:val="center"/>
            <w:hideMark/>
          </w:tcPr>
          <w:p w14:paraId="4A71747B" w14:textId="77777777" w:rsidR="009A7B5F" w:rsidRPr="001F7631" w:rsidRDefault="009A7B5F" w:rsidP="009F5DF5">
            <w:pPr>
              <w:spacing w:after="0" w:line="240" w:lineRule="auto"/>
              <w:ind w:firstLine="0"/>
              <w:jc w:val="center"/>
              <w:rPr>
                <w:rFonts w:eastAsia="Times New Roman" w:cstheme="majorBidi"/>
                <w:color w:val="000000"/>
                <w:sz w:val="20"/>
                <w:szCs w:val="20"/>
              </w:rPr>
            </w:pPr>
            <w:r w:rsidRPr="001F7631">
              <w:rPr>
                <w:rFonts w:eastAsia="Times New Roman" w:cstheme="majorBidi"/>
                <w:color w:val="000000"/>
                <w:sz w:val="20"/>
                <w:szCs w:val="20"/>
              </w:rPr>
              <w:t>1.00</w:t>
            </w:r>
          </w:p>
        </w:tc>
      </w:tr>
      <w:tr w:rsidR="009A7B5F" w:rsidRPr="001F7631" w14:paraId="54F9D7B8" w14:textId="77777777" w:rsidTr="009F5DF5">
        <w:trPr>
          <w:trHeight w:val="306"/>
        </w:trPr>
        <w:tc>
          <w:tcPr>
            <w:tcW w:w="14350" w:type="dxa"/>
            <w:gridSpan w:val="13"/>
            <w:tcBorders>
              <w:left w:val="nil"/>
              <w:bottom w:val="single" w:sz="4" w:space="0" w:color="auto"/>
              <w:right w:val="nil"/>
            </w:tcBorders>
            <w:vAlign w:val="center"/>
          </w:tcPr>
          <w:p w14:paraId="5EFF7EA8" w14:textId="3398A4B6" w:rsidR="009A7B5F" w:rsidRPr="008A16C9" w:rsidRDefault="009A7B5F" w:rsidP="008A16C9">
            <w:pPr>
              <w:spacing w:before="160" w:after="0" w:line="240" w:lineRule="auto"/>
              <w:ind w:firstLine="0"/>
              <w:rPr>
                <w:sz w:val="22"/>
              </w:rPr>
            </w:pPr>
            <w:r w:rsidRPr="008A16C9">
              <w:rPr>
                <w:rFonts w:cstheme="majorBidi"/>
                <w:sz w:val="22"/>
              </w:rPr>
              <w:t xml:space="preserve">* Indicates significance at 5 per cent. </w:t>
            </w:r>
          </w:p>
          <w:p w14:paraId="0AAADA10" w14:textId="26B3ECBC" w:rsidR="009A7B5F" w:rsidRPr="008A16C9" w:rsidRDefault="009A7B5F" w:rsidP="009F5DF5">
            <w:pPr>
              <w:spacing w:after="0" w:line="240" w:lineRule="auto"/>
              <w:ind w:firstLine="0"/>
              <w:jc w:val="left"/>
              <w:rPr>
                <w:sz w:val="22"/>
              </w:rPr>
            </w:pPr>
            <w:r w:rsidRPr="008A16C9">
              <w:rPr>
                <w:rFonts w:cstheme="majorBidi"/>
                <w:sz w:val="22"/>
              </w:rPr>
              <w:t>Table 3 presents Pearson correlations for the main variables in our samples.</w:t>
            </w:r>
            <w:r w:rsidRPr="008A16C9">
              <w:rPr>
                <w:sz w:val="22"/>
              </w:rPr>
              <w:t xml:space="preserve"> </w:t>
            </w:r>
            <w:r w:rsidRPr="008A16C9">
              <w:rPr>
                <w:rFonts w:cstheme="majorBidi"/>
                <w:sz w:val="22"/>
              </w:rPr>
              <w:t xml:space="preserve">Continuous variables are </w:t>
            </w:r>
            <w:r w:rsidR="00C55BD0">
              <w:rPr>
                <w:sz w:val="22"/>
              </w:rPr>
              <w:t>trimmed</w:t>
            </w:r>
            <w:r w:rsidRPr="008A16C9">
              <w:rPr>
                <w:sz w:val="22"/>
              </w:rPr>
              <w:t xml:space="preserve"> at 1 per cent and 99 per cent.</w:t>
            </w:r>
          </w:p>
          <w:p w14:paraId="577C41EC" w14:textId="77777777" w:rsidR="009A7B5F" w:rsidRPr="001F7631" w:rsidRDefault="009A7B5F" w:rsidP="000643BD">
            <w:pPr>
              <w:spacing w:after="0" w:line="240" w:lineRule="auto"/>
              <w:ind w:firstLine="0"/>
              <w:rPr>
                <w:rFonts w:eastAsia="Times New Roman" w:cstheme="majorBidi"/>
                <w:color w:val="000000"/>
                <w:sz w:val="20"/>
                <w:szCs w:val="20"/>
              </w:rPr>
            </w:pPr>
            <w:r w:rsidRPr="008A16C9">
              <w:rPr>
                <w:rFonts w:cstheme="majorBidi"/>
                <w:sz w:val="22"/>
              </w:rPr>
              <w:t>All variables are defined in Appendix A.</w:t>
            </w:r>
            <w:r w:rsidRPr="00FE4564">
              <w:rPr>
                <w:rFonts w:cstheme="majorBidi"/>
                <w:sz w:val="20"/>
                <w:szCs w:val="20"/>
              </w:rPr>
              <w:t xml:space="preserve"> </w:t>
            </w:r>
          </w:p>
        </w:tc>
      </w:tr>
    </w:tbl>
    <w:p w14:paraId="0FD597A5" w14:textId="77777777" w:rsidR="009A7B5F" w:rsidRDefault="009A7B5F" w:rsidP="009A7B5F"/>
    <w:p w14:paraId="10275AB4" w14:textId="77777777" w:rsidR="009A7B5F" w:rsidRDefault="009A7B5F" w:rsidP="009A7B5F"/>
    <w:p w14:paraId="50CF62FD" w14:textId="77777777" w:rsidR="009A7B5F" w:rsidRDefault="009A7B5F" w:rsidP="009A7B5F">
      <w:pPr>
        <w:ind w:firstLine="0"/>
      </w:pPr>
    </w:p>
    <w:p w14:paraId="3F155535" w14:textId="77777777" w:rsidR="009A7B5F" w:rsidRDefault="009A7B5F" w:rsidP="009A7B5F"/>
    <w:p w14:paraId="3072AF2B" w14:textId="77777777" w:rsidR="009A7B5F" w:rsidRDefault="009A7B5F" w:rsidP="009A7B5F"/>
    <w:p w14:paraId="3AB6C117" w14:textId="77777777" w:rsidR="009A7B5F" w:rsidRDefault="009A7B5F" w:rsidP="009A7B5F">
      <w:pPr>
        <w:ind w:firstLine="0"/>
        <w:sectPr w:rsidR="009A7B5F" w:rsidSect="009A14B2">
          <w:pgSz w:w="15840" w:h="12240" w:orient="landscape"/>
          <w:pgMar w:top="1440" w:right="1440" w:bottom="1440" w:left="1080" w:header="720" w:footer="435" w:gutter="0"/>
          <w:cols w:space="720"/>
          <w:docGrid w:linePitch="360"/>
        </w:sectPr>
      </w:pPr>
    </w:p>
    <w:p w14:paraId="101A593D" w14:textId="332707AE" w:rsidR="009A7B5F" w:rsidRDefault="003064E0" w:rsidP="003064E0">
      <w:pPr>
        <w:pStyle w:val="Heading2"/>
      </w:pPr>
      <w:r>
        <w:lastRenderedPageBreak/>
        <w:t xml:space="preserve">5.2. </w:t>
      </w:r>
      <w:r w:rsidR="009A7B5F" w:rsidRPr="0050698E">
        <w:t>The determinant</w:t>
      </w:r>
      <w:r w:rsidR="009A7B5F">
        <w:t>s</w:t>
      </w:r>
      <w:r w:rsidR="009A7B5F" w:rsidRPr="0050698E">
        <w:t xml:space="preserve"> of pay</w:t>
      </w:r>
      <w:r w:rsidR="009A7B5F">
        <w:t xml:space="preserve"> </w:t>
      </w:r>
      <w:r w:rsidR="009A7B5F" w:rsidRPr="00C56D59">
        <w:t>inequality</w:t>
      </w:r>
    </w:p>
    <w:p w14:paraId="5DDE3061" w14:textId="6F7582F6" w:rsidR="009A7B5F" w:rsidRDefault="009A7B5F" w:rsidP="003064E0">
      <w:pPr>
        <w:ind w:firstLine="0"/>
      </w:pPr>
      <w:r>
        <w:t>Table 4 reports the result</w:t>
      </w:r>
      <w:r w:rsidRPr="008464FA">
        <w:t xml:space="preserve"> of implementing the model described in equation </w:t>
      </w:r>
      <w:r>
        <w:t>1</w:t>
      </w:r>
      <w:r w:rsidRPr="008464FA">
        <w:t xml:space="preserve">. </w:t>
      </w:r>
      <w:r>
        <w:t>T</w:t>
      </w:r>
      <w:r w:rsidRPr="008464FA">
        <w:t>hese variables explain 37.6</w:t>
      </w:r>
      <w:r>
        <w:t>%</w:t>
      </w:r>
      <w:r w:rsidRPr="008464FA">
        <w:t xml:space="preserve"> of the variation in </w:t>
      </w:r>
      <w:r w:rsidRPr="002E3CCA">
        <w:t>pay inequality</w:t>
      </w:r>
      <w:r w:rsidRPr="008464FA">
        <w:t xml:space="preserve"> (adjusted r-squared of 37.6</w:t>
      </w:r>
      <w:r>
        <w:t xml:space="preserve">%). </w:t>
      </w:r>
      <w:r w:rsidRPr="008464FA">
        <w:t xml:space="preserve">Consistent with our expectation, the variables are significantly related to </w:t>
      </w:r>
      <w:r w:rsidRPr="002E3CCA">
        <w:t>pay inequality</w:t>
      </w:r>
      <w:r w:rsidRPr="008464FA">
        <w:t xml:space="preserve"> </w:t>
      </w:r>
      <w:r>
        <w:t>with</w:t>
      </w:r>
      <w:r w:rsidRPr="008464FA">
        <w:t xml:space="preserve"> the predicted sign</w:t>
      </w:r>
      <w:r>
        <w:t>s</w:t>
      </w:r>
      <w:r w:rsidRPr="008464FA">
        <w:t>.</w:t>
      </w:r>
      <w:r>
        <w:t xml:space="preserve"> The</w:t>
      </w:r>
      <w:r w:rsidRPr="008464FA">
        <w:t xml:space="preserve"> regression includes the year, two-digit GICS industry, and region fixed effect. </w:t>
      </w:r>
      <w:r>
        <w:t xml:space="preserve">The </w:t>
      </w:r>
      <w:r w:rsidRPr="008464FA">
        <w:t xml:space="preserve">standard errors </w:t>
      </w:r>
      <w:r>
        <w:t>are clustered</w:t>
      </w:r>
      <w:r w:rsidRPr="008464FA">
        <w:t xml:space="preserve"> at the firm level</w:t>
      </w:r>
      <w:r>
        <w:t>. A</w:t>
      </w:r>
      <w:r w:rsidRPr="008464FA">
        <w:t xml:space="preserve">ll continuous variables </w:t>
      </w:r>
      <w:r>
        <w:t xml:space="preserve">are </w:t>
      </w:r>
      <w:r w:rsidR="00C55BD0">
        <w:t>trimmed</w:t>
      </w:r>
      <w:r w:rsidRPr="005A44B8">
        <w:t xml:space="preserve"> </w:t>
      </w:r>
      <w:r w:rsidRPr="008464FA">
        <w:t xml:space="preserve">at the </w:t>
      </w:r>
      <w:r>
        <w:t>1</w:t>
      </w:r>
      <w:r w:rsidRPr="00034A7C">
        <w:rPr>
          <w:vertAlign w:val="superscript"/>
        </w:rPr>
        <w:t>st</w:t>
      </w:r>
      <w:r w:rsidRPr="008464FA">
        <w:t xml:space="preserve"> and 99</w:t>
      </w:r>
      <w:r w:rsidRPr="008464FA">
        <w:rPr>
          <w:vertAlign w:val="superscript"/>
        </w:rPr>
        <w:t>th</w:t>
      </w:r>
      <w:r w:rsidRPr="008464FA">
        <w:t xml:space="preserve"> percentile to minimise the impact of any potential outliers.</w:t>
      </w:r>
    </w:p>
    <w:p w14:paraId="2FF2F46C" w14:textId="316B9B57" w:rsidR="009A7B5F" w:rsidRPr="008A16C9" w:rsidRDefault="009A7B5F" w:rsidP="008A16C9">
      <w:pPr>
        <w:tabs>
          <w:tab w:val="left" w:pos="567"/>
        </w:tabs>
        <w:spacing w:line="240" w:lineRule="auto"/>
        <w:ind w:firstLine="0"/>
        <w:jc w:val="center"/>
        <w:rPr>
          <w:rFonts w:ascii="Times New Roman" w:eastAsiaTheme="minorHAnsi" w:hAnsi="Times New Roman" w:cs="Times New Roman"/>
          <w:b/>
          <w:bCs/>
          <w:sz w:val="22"/>
          <w:lang w:eastAsia="en-US"/>
        </w:rPr>
      </w:pPr>
      <w:r w:rsidRPr="008A16C9">
        <w:rPr>
          <w:rFonts w:ascii="Times New Roman" w:eastAsiaTheme="minorHAnsi" w:hAnsi="Times New Roman" w:cs="Times New Roman"/>
          <w:b/>
          <w:bCs/>
          <w:sz w:val="22"/>
          <w:lang w:eastAsia="en-US"/>
        </w:rPr>
        <w:t xml:space="preserve">Table </w:t>
      </w:r>
      <w:r w:rsidRPr="008A16C9">
        <w:rPr>
          <w:rFonts w:ascii="Times New Roman" w:eastAsiaTheme="minorHAnsi" w:hAnsi="Times New Roman" w:cs="Times New Roman"/>
          <w:b/>
          <w:bCs/>
          <w:sz w:val="22"/>
          <w:lang w:eastAsia="en-US"/>
        </w:rPr>
        <w:fldChar w:fldCharType="begin"/>
      </w:r>
      <w:r w:rsidRPr="008A16C9">
        <w:rPr>
          <w:rFonts w:ascii="Times New Roman" w:eastAsiaTheme="minorHAnsi" w:hAnsi="Times New Roman" w:cs="Times New Roman"/>
          <w:b/>
          <w:bCs/>
          <w:sz w:val="22"/>
          <w:lang w:eastAsia="en-US"/>
        </w:rPr>
        <w:instrText xml:space="preserve"> SEQ Table \* ARABIC </w:instrText>
      </w:r>
      <w:r w:rsidRPr="008A16C9">
        <w:rPr>
          <w:rFonts w:ascii="Times New Roman" w:eastAsiaTheme="minorHAnsi" w:hAnsi="Times New Roman" w:cs="Times New Roman"/>
          <w:b/>
          <w:bCs/>
          <w:sz w:val="22"/>
          <w:lang w:eastAsia="en-US"/>
        </w:rPr>
        <w:fldChar w:fldCharType="separate"/>
      </w:r>
      <w:r w:rsidR="00F45684">
        <w:rPr>
          <w:rFonts w:ascii="Times New Roman" w:eastAsiaTheme="minorHAnsi" w:hAnsi="Times New Roman" w:cs="Times New Roman"/>
          <w:b/>
          <w:bCs/>
          <w:noProof/>
          <w:sz w:val="22"/>
          <w:lang w:eastAsia="en-US"/>
        </w:rPr>
        <w:t>4</w:t>
      </w:r>
      <w:r w:rsidRPr="008A16C9">
        <w:rPr>
          <w:rFonts w:ascii="Times New Roman" w:eastAsiaTheme="minorHAnsi" w:hAnsi="Times New Roman" w:cs="Times New Roman"/>
          <w:b/>
          <w:bCs/>
          <w:sz w:val="22"/>
          <w:lang w:eastAsia="en-US"/>
        </w:rPr>
        <w:fldChar w:fldCharType="end"/>
      </w:r>
      <w:r w:rsidRPr="008A16C9">
        <w:rPr>
          <w:rFonts w:ascii="Times New Roman" w:eastAsiaTheme="minorHAnsi" w:hAnsi="Times New Roman" w:cs="Times New Roman"/>
          <w:b/>
          <w:bCs/>
          <w:sz w:val="22"/>
          <w:lang w:eastAsia="en-US"/>
        </w:rPr>
        <w:t xml:space="preserve"> The determinants of pay inequality</w:t>
      </w:r>
    </w:p>
    <w:tbl>
      <w:tblPr>
        <w:tblW w:w="8377" w:type="dxa"/>
        <w:jc w:val="center"/>
        <w:tblLayout w:type="fixed"/>
        <w:tblLook w:val="04A0" w:firstRow="1" w:lastRow="0" w:firstColumn="1" w:lastColumn="0" w:noHBand="0" w:noVBand="1"/>
      </w:tblPr>
      <w:tblGrid>
        <w:gridCol w:w="3260"/>
        <w:gridCol w:w="1560"/>
        <w:gridCol w:w="2048"/>
        <w:gridCol w:w="1509"/>
      </w:tblGrid>
      <w:tr w:rsidR="009A7B5F" w:rsidRPr="0079479E" w14:paraId="4A960D3B" w14:textId="77777777" w:rsidTr="00843069">
        <w:trPr>
          <w:trHeight w:val="113"/>
          <w:jc w:val="center"/>
        </w:trPr>
        <w:tc>
          <w:tcPr>
            <w:tcW w:w="3260" w:type="dxa"/>
            <w:shd w:val="clear" w:color="auto" w:fill="auto"/>
            <w:noWrap/>
            <w:vAlign w:val="center"/>
            <w:hideMark/>
          </w:tcPr>
          <w:p w14:paraId="16979E64" w14:textId="77777777" w:rsidR="009A7B5F" w:rsidRPr="0055532D" w:rsidRDefault="009A7B5F" w:rsidP="009F5DF5">
            <w:pPr>
              <w:spacing w:after="0" w:line="240" w:lineRule="auto"/>
              <w:ind w:firstLine="0"/>
              <w:jc w:val="center"/>
              <w:rPr>
                <w:rFonts w:eastAsia="Times New Roman" w:cstheme="majorBidi"/>
                <w:sz w:val="20"/>
                <w:szCs w:val="20"/>
              </w:rPr>
            </w:pPr>
          </w:p>
        </w:tc>
        <w:tc>
          <w:tcPr>
            <w:tcW w:w="1560" w:type="dxa"/>
            <w:vAlign w:val="center"/>
          </w:tcPr>
          <w:p w14:paraId="51A41CEC" w14:textId="77777777" w:rsidR="009A7B5F" w:rsidRPr="0079479E" w:rsidRDefault="009A7B5F" w:rsidP="009F5DF5">
            <w:pPr>
              <w:spacing w:after="0" w:line="240" w:lineRule="auto"/>
              <w:ind w:firstLine="0"/>
              <w:jc w:val="center"/>
              <w:rPr>
                <w:rFonts w:eastAsia="Times New Roman" w:cstheme="majorBidi"/>
                <w:color w:val="000000"/>
                <w:sz w:val="20"/>
                <w:szCs w:val="20"/>
              </w:rPr>
            </w:pPr>
          </w:p>
        </w:tc>
        <w:tc>
          <w:tcPr>
            <w:tcW w:w="3557" w:type="dxa"/>
            <w:gridSpan w:val="2"/>
            <w:tcBorders>
              <w:bottom w:val="single" w:sz="4" w:space="0" w:color="auto"/>
            </w:tcBorders>
            <w:shd w:val="clear" w:color="auto" w:fill="auto"/>
            <w:noWrap/>
            <w:vAlign w:val="center"/>
            <w:hideMark/>
          </w:tcPr>
          <w:p w14:paraId="1FF66539" w14:textId="77777777" w:rsidR="009A7B5F" w:rsidRPr="0079479E" w:rsidRDefault="009A7B5F" w:rsidP="009F5DF5">
            <w:pPr>
              <w:spacing w:after="0" w:line="240" w:lineRule="auto"/>
              <w:ind w:firstLine="0"/>
              <w:jc w:val="center"/>
              <w:rPr>
                <w:rFonts w:eastAsia="Times New Roman" w:cstheme="majorBidi"/>
                <w:color w:val="000000"/>
                <w:sz w:val="20"/>
                <w:szCs w:val="20"/>
              </w:rPr>
            </w:pPr>
            <w:r>
              <w:rPr>
                <w:rFonts w:eastAsia="Times New Roman" w:cstheme="majorBidi"/>
                <w:color w:val="000000"/>
                <w:sz w:val="20"/>
                <w:szCs w:val="20"/>
              </w:rPr>
              <w:t>Pay inequality</w:t>
            </w:r>
          </w:p>
        </w:tc>
      </w:tr>
      <w:tr w:rsidR="009A7B5F" w:rsidRPr="0079479E" w14:paraId="4B7E88EE" w14:textId="77777777" w:rsidTr="00843069">
        <w:trPr>
          <w:trHeight w:val="113"/>
          <w:jc w:val="center"/>
        </w:trPr>
        <w:tc>
          <w:tcPr>
            <w:tcW w:w="3260" w:type="dxa"/>
            <w:tcBorders>
              <w:bottom w:val="single" w:sz="4" w:space="0" w:color="auto"/>
            </w:tcBorders>
            <w:shd w:val="clear" w:color="auto" w:fill="auto"/>
            <w:noWrap/>
            <w:vAlign w:val="center"/>
          </w:tcPr>
          <w:p w14:paraId="79865BE2" w14:textId="77777777" w:rsidR="009A7B5F" w:rsidRPr="0079479E" w:rsidRDefault="009A7B5F" w:rsidP="009F5DF5">
            <w:pPr>
              <w:spacing w:after="0" w:line="240" w:lineRule="auto"/>
              <w:ind w:firstLine="0"/>
              <w:jc w:val="center"/>
              <w:rPr>
                <w:rFonts w:eastAsia="Times New Roman" w:cstheme="majorBidi"/>
                <w:sz w:val="20"/>
                <w:szCs w:val="20"/>
              </w:rPr>
            </w:pPr>
          </w:p>
        </w:tc>
        <w:tc>
          <w:tcPr>
            <w:tcW w:w="1560" w:type="dxa"/>
            <w:tcBorders>
              <w:bottom w:val="single" w:sz="4" w:space="0" w:color="auto"/>
            </w:tcBorders>
            <w:vAlign w:val="center"/>
          </w:tcPr>
          <w:p w14:paraId="327FE9EF" w14:textId="77777777" w:rsidR="009A7B5F" w:rsidRPr="0079479E" w:rsidRDefault="009A7B5F" w:rsidP="009F5DF5">
            <w:pPr>
              <w:spacing w:after="0" w:line="240" w:lineRule="auto"/>
              <w:ind w:firstLine="0"/>
              <w:jc w:val="left"/>
              <w:rPr>
                <w:rFonts w:eastAsia="Times New Roman" w:cstheme="majorBidi"/>
                <w:color w:val="000000"/>
                <w:sz w:val="20"/>
                <w:szCs w:val="20"/>
              </w:rPr>
            </w:pPr>
            <w:r>
              <w:rPr>
                <w:rFonts w:eastAsia="Times New Roman" w:cstheme="majorBidi"/>
                <w:color w:val="000000"/>
                <w:sz w:val="20"/>
                <w:szCs w:val="20"/>
              </w:rPr>
              <w:t>Predicted Sign</w:t>
            </w:r>
          </w:p>
        </w:tc>
        <w:tc>
          <w:tcPr>
            <w:tcW w:w="2048" w:type="dxa"/>
            <w:tcBorders>
              <w:top w:val="single" w:sz="4" w:space="0" w:color="auto"/>
              <w:bottom w:val="single" w:sz="4" w:space="0" w:color="auto"/>
            </w:tcBorders>
            <w:shd w:val="clear" w:color="auto" w:fill="auto"/>
            <w:noWrap/>
            <w:vAlign w:val="center"/>
          </w:tcPr>
          <w:p w14:paraId="703E40FA" w14:textId="77777777" w:rsidR="009A7B5F" w:rsidRPr="0079479E"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Coefficient</w:t>
            </w:r>
          </w:p>
        </w:tc>
        <w:tc>
          <w:tcPr>
            <w:tcW w:w="1509" w:type="dxa"/>
            <w:tcBorders>
              <w:top w:val="single" w:sz="4" w:space="0" w:color="auto"/>
              <w:bottom w:val="single" w:sz="4" w:space="0" w:color="auto"/>
            </w:tcBorders>
            <w:vAlign w:val="center"/>
          </w:tcPr>
          <w:p w14:paraId="1F4F97C8" w14:textId="77777777" w:rsidR="009A7B5F" w:rsidRPr="0079479E"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Standard Error</w:t>
            </w:r>
          </w:p>
        </w:tc>
      </w:tr>
      <w:tr w:rsidR="009A7B5F" w:rsidRPr="0079479E" w14:paraId="716E4D4F" w14:textId="77777777" w:rsidTr="008A16C9">
        <w:trPr>
          <w:trHeight w:val="113"/>
          <w:jc w:val="center"/>
        </w:trPr>
        <w:tc>
          <w:tcPr>
            <w:tcW w:w="3260" w:type="dxa"/>
            <w:tcBorders>
              <w:top w:val="single" w:sz="4" w:space="0" w:color="auto"/>
            </w:tcBorders>
            <w:shd w:val="clear" w:color="auto" w:fill="auto"/>
            <w:noWrap/>
            <w:vAlign w:val="center"/>
            <w:hideMark/>
          </w:tcPr>
          <w:p w14:paraId="5057F1EB" w14:textId="77777777" w:rsidR="009A7B5F" w:rsidRPr="0055532D" w:rsidRDefault="009A7B5F" w:rsidP="009F5DF5">
            <w:pPr>
              <w:spacing w:after="0" w:line="240" w:lineRule="auto"/>
              <w:ind w:firstLine="0"/>
              <w:jc w:val="left"/>
              <w:rPr>
                <w:rFonts w:eastAsia="Times New Roman" w:cstheme="majorBidi"/>
                <w:color w:val="000000"/>
                <w:sz w:val="20"/>
                <w:szCs w:val="20"/>
              </w:rPr>
            </w:pPr>
            <w:proofErr w:type="spellStart"/>
            <w:r w:rsidRPr="0055532D">
              <w:rPr>
                <w:rFonts w:eastAsia="Times New Roman" w:cstheme="majorBidi"/>
                <w:color w:val="000000"/>
                <w:sz w:val="20"/>
                <w:szCs w:val="20"/>
              </w:rPr>
              <w:t>LnRevenue</w:t>
            </w:r>
            <w:proofErr w:type="spellEnd"/>
          </w:p>
        </w:tc>
        <w:tc>
          <w:tcPr>
            <w:tcW w:w="1560" w:type="dxa"/>
            <w:tcBorders>
              <w:top w:val="single" w:sz="4" w:space="0" w:color="auto"/>
            </w:tcBorders>
            <w:vAlign w:val="center"/>
          </w:tcPr>
          <w:p w14:paraId="58E8ADF2"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tcBorders>
              <w:top w:val="single" w:sz="4" w:space="0" w:color="auto"/>
            </w:tcBorders>
            <w:shd w:val="clear" w:color="auto" w:fill="auto"/>
            <w:noWrap/>
            <w:vAlign w:val="center"/>
            <w:hideMark/>
          </w:tcPr>
          <w:p w14:paraId="7165F421"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0.174 ***</w:t>
            </w:r>
          </w:p>
        </w:tc>
        <w:tc>
          <w:tcPr>
            <w:tcW w:w="1509" w:type="dxa"/>
            <w:tcBorders>
              <w:top w:val="single" w:sz="4" w:space="0" w:color="auto"/>
            </w:tcBorders>
            <w:vAlign w:val="center"/>
          </w:tcPr>
          <w:p w14:paraId="6F53804F"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0.025</w:t>
            </w:r>
          </w:p>
        </w:tc>
      </w:tr>
      <w:tr w:rsidR="009A7B5F" w:rsidRPr="0079479E" w14:paraId="7721C07B" w14:textId="77777777" w:rsidTr="009F5DF5">
        <w:trPr>
          <w:trHeight w:val="113"/>
          <w:jc w:val="center"/>
        </w:trPr>
        <w:tc>
          <w:tcPr>
            <w:tcW w:w="3260" w:type="dxa"/>
            <w:shd w:val="clear" w:color="auto" w:fill="auto"/>
            <w:noWrap/>
            <w:vAlign w:val="center"/>
            <w:hideMark/>
          </w:tcPr>
          <w:p w14:paraId="2F98BE38"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55532D">
              <w:rPr>
                <w:rFonts w:eastAsia="Times New Roman" w:cstheme="majorBidi"/>
                <w:color w:val="000000"/>
                <w:sz w:val="20"/>
                <w:szCs w:val="20"/>
              </w:rPr>
              <w:t>BTM</w:t>
            </w:r>
          </w:p>
        </w:tc>
        <w:tc>
          <w:tcPr>
            <w:tcW w:w="1560" w:type="dxa"/>
            <w:vAlign w:val="center"/>
          </w:tcPr>
          <w:p w14:paraId="11C64130"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7DBF95EA"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-0.129 **</w:t>
            </w:r>
          </w:p>
        </w:tc>
        <w:tc>
          <w:tcPr>
            <w:tcW w:w="1509" w:type="dxa"/>
            <w:vAlign w:val="center"/>
          </w:tcPr>
          <w:p w14:paraId="39E73D26"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0.062</w:t>
            </w:r>
          </w:p>
        </w:tc>
      </w:tr>
      <w:tr w:rsidR="009A7B5F" w:rsidRPr="0079479E" w14:paraId="447CA8FA" w14:textId="77777777" w:rsidTr="009F5DF5">
        <w:trPr>
          <w:trHeight w:val="113"/>
          <w:jc w:val="center"/>
        </w:trPr>
        <w:tc>
          <w:tcPr>
            <w:tcW w:w="3260" w:type="dxa"/>
            <w:shd w:val="clear" w:color="auto" w:fill="auto"/>
            <w:noWrap/>
            <w:vAlign w:val="center"/>
            <w:hideMark/>
          </w:tcPr>
          <w:p w14:paraId="64E21B2E" w14:textId="77777777" w:rsidR="009A7B5F" w:rsidRPr="0055532D" w:rsidRDefault="009A7B5F" w:rsidP="009F5DF5">
            <w:pPr>
              <w:spacing w:after="0" w:line="240" w:lineRule="auto"/>
              <w:ind w:firstLine="0"/>
              <w:jc w:val="left"/>
              <w:rPr>
                <w:rFonts w:eastAsia="Times New Roman" w:cstheme="majorBidi"/>
                <w:color w:val="000000"/>
                <w:sz w:val="20"/>
                <w:szCs w:val="20"/>
              </w:rPr>
            </w:pPr>
            <w:proofErr w:type="spellStart"/>
            <w:r w:rsidRPr="0055532D">
              <w:rPr>
                <w:rFonts w:eastAsia="Times New Roman" w:cstheme="majorBidi"/>
                <w:color w:val="000000"/>
                <w:sz w:val="20"/>
                <w:szCs w:val="20"/>
              </w:rPr>
              <w:t>LnAge</w:t>
            </w:r>
            <w:proofErr w:type="spellEnd"/>
          </w:p>
        </w:tc>
        <w:tc>
          <w:tcPr>
            <w:tcW w:w="1560" w:type="dxa"/>
            <w:vAlign w:val="center"/>
          </w:tcPr>
          <w:p w14:paraId="51398E26"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280F2ADD"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0.245 ***</w:t>
            </w:r>
          </w:p>
        </w:tc>
        <w:tc>
          <w:tcPr>
            <w:tcW w:w="1509" w:type="dxa"/>
            <w:vAlign w:val="center"/>
          </w:tcPr>
          <w:p w14:paraId="68EC18B4"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0.066</w:t>
            </w:r>
          </w:p>
        </w:tc>
      </w:tr>
      <w:tr w:rsidR="009A7B5F" w:rsidRPr="0079479E" w14:paraId="7B24C443" w14:textId="77777777" w:rsidTr="009F5DF5">
        <w:trPr>
          <w:trHeight w:val="113"/>
          <w:jc w:val="center"/>
        </w:trPr>
        <w:tc>
          <w:tcPr>
            <w:tcW w:w="3260" w:type="dxa"/>
            <w:shd w:val="clear" w:color="auto" w:fill="auto"/>
            <w:noWrap/>
            <w:vAlign w:val="center"/>
            <w:hideMark/>
          </w:tcPr>
          <w:p w14:paraId="7D6B54C2"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55532D">
              <w:rPr>
                <w:rFonts w:eastAsia="Times New Roman" w:cstheme="majorBidi"/>
                <w:color w:val="000000"/>
                <w:sz w:val="20"/>
                <w:szCs w:val="20"/>
              </w:rPr>
              <w:t>ROA</w:t>
            </w:r>
          </w:p>
        </w:tc>
        <w:tc>
          <w:tcPr>
            <w:tcW w:w="1560" w:type="dxa"/>
            <w:vAlign w:val="center"/>
          </w:tcPr>
          <w:p w14:paraId="199FA3CB"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1C5B6C67"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-0.001</w:t>
            </w:r>
          </w:p>
        </w:tc>
        <w:tc>
          <w:tcPr>
            <w:tcW w:w="1509" w:type="dxa"/>
            <w:vAlign w:val="center"/>
          </w:tcPr>
          <w:p w14:paraId="7A5A7418"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0.002</w:t>
            </w:r>
          </w:p>
        </w:tc>
      </w:tr>
      <w:tr w:rsidR="009A7B5F" w:rsidRPr="0079479E" w14:paraId="6E96EFE4" w14:textId="77777777" w:rsidTr="009F5DF5">
        <w:trPr>
          <w:trHeight w:val="113"/>
          <w:jc w:val="center"/>
        </w:trPr>
        <w:tc>
          <w:tcPr>
            <w:tcW w:w="3260" w:type="dxa"/>
            <w:shd w:val="clear" w:color="auto" w:fill="auto"/>
            <w:noWrap/>
            <w:vAlign w:val="center"/>
            <w:hideMark/>
          </w:tcPr>
          <w:p w14:paraId="4C8A2ECF"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Ret</w:t>
            </w:r>
          </w:p>
        </w:tc>
        <w:tc>
          <w:tcPr>
            <w:tcW w:w="1560" w:type="dxa"/>
            <w:vAlign w:val="center"/>
          </w:tcPr>
          <w:p w14:paraId="6C328766"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698149D7"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0.011</w:t>
            </w:r>
          </w:p>
        </w:tc>
        <w:tc>
          <w:tcPr>
            <w:tcW w:w="1509" w:type="dxa"/>
            <w:vAlign w:val="center"/>
          </w:tcPr>
          <w:p w14:paraId="1FFAABA1"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0.059</w:t>
            </w:r>
          </w:p>
        </w:tc>
      </w:tr>
      <w:tr w:rsidR="009A7B5F" w:rsidRPr="0079479E" w14:paraId="5F55E0B6" w14:textId="77777777" w:rsidTr="009F5DF5">
        <w:trPr>
          <w:trHeight w:val="113"/>
          <w:jc w:val="center"/>
        </w:trPr>
        <w:tc>
          <w:tcPr>
            <w:tcW w:w="3260" w:type="dxa"/>
            <w:shd w:val="clear" w:color="auto" w:fill="auto"/>
            <w:noWrap/>
            <w:vAlign w:val="center"/>
            <w:hideMark/>
          </w:tcPr>
          <w:p w14:paraId="2F7DE4B5"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55532D">
              <w:rPr>
                <w:rFonts w:eastAsia="Times New Roman" w:cstheme="majorBidi"/>
                <w:color w:val="000000"/>
                <w:sz w:val="20"/>
                <w:szCs w:val="20"/>
              </w:rPr>
              <w:t>Ret</w:t>
            </w:r>
            <w:r w:rsidRPr="0079479E">
              <w:rPr>
                <w:rFonts w:eastAsia="Times New Roman" w:cstheme="majorBidi"/>
                <w:color w:val="000000"/>
                <w:sz w:val="20"/>
                <w:szCs w:val="20"/>
              </w:rPr>
              <w:t xml:space="preserve"> </w:t>
            </w:r>
            <w:r w:rsidRPr="0055532D">
              <w:rPr>
                <w:rFonts w:eastAsia="Times New Roman" w:cstheme="majorBidi"/>
                <w:color w:val="000000"/>
                <w:sz w:val="20"/>
                <w:szCs w:val="20"/>
              </w:rPr>
              <w:t>Var</w:t>
            </w:r>
          </w:p>
        </w:tc>
        <w:tc>
          <w:tcPr>
            <w:tcW w:w="1560" w:type="dxa"/>
            <w:vAlign w:val="center"/>
          </w:tcPr>
          <w:p w14:paraId="0BBBB65E"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3B4FF9FB"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0.455</w:t>
            </w:r>
          </w:p>
        </w:tc>
        <w:tc>
          <w:tcPr>
            <w:tcW w:w="1509" w:type="dxa"/>
            <w:vAlign w:val="center"/>
          </w:tcPr>
          <w:p w14:paraId="0635F71E"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0.859</w:t>
            </w:r>
          </w:p>
        </w:tc>
      </w:tr>
      <w:tr w:rsidR="009A7B5F" w:rsidRPr="0079479E" w14:paraId="25F90BB1" w14:textId="77777777" w:rsidTr="009F5DF5">
        <w:trPr>
          <w:trHeight w:val="113"/>
          <w:jc w:val="center"/>
        </w:trPr>
        <w:tc>
          <w:tcPr>
            <w:tcW w:w="3260" w:type="dxa"/>
            <w:shd w:val="clear" w:color="auto" w:fill="auto"/>
            <w:noWrap/>
            <w:vAlign w:val="center"/>
            <w:hideMark/>
          </w:tcPr>
          <w:p w14:paraId="7C9A8366"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Leverage</w:t>
            </w:r>
          </w:p>
        </w:tc>
        <w:tc>
          <w:tcPr>
            <w:tcW w:w="1560" w:type="dxa"/>
            <w:vAlign w:val="center"/>
          </w:tcPr>
          <w:p w14:paraId="4EAFE5BA"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4D0CEC35"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0.009 ***</w:t>
            </w:r>
          </w:p>
        </w:tc>
        <w:tc>
          <w:tcPr>
            <w:tcW w:w="1509" w:type="dxa"/>
            <w:vAlign w:val="center"/>
          </w:tcPr>
          <w:p w14:paraId="03CE8CB7"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0.002</w:t>
            </w:r>
          </w:p>
        </w:tc>
      </w:tr>
      <w:tr w:rsidR="009A7B5F" w:rsidRPr="0079479E" w14:paraId="374E0540" w14:textId="77777777" w:rsidTr="009F5DF5">
        <w:trPr>
          <w:trHeight w:val="113"/>
          <w:jc w:val="center"/>
        </w:trPr>
        <w:tc>
          <w:tcPr>
            <w:tcW w:w="3260" w:type="dxa"/>
            <w:shd w:val="clear" w:color="auto" w:fill="auto"/>
            <w:noWrap/>
            <w:vAlign w:val="center"/>
            <w:hideMark/>
          </w:tcPr>
          <w:p w14:paraId="5E425C84" w14:textId="77777777" w:rsidR="009A7B5F" w:rsidRPr="0055532D" w:rsidRDefault="009A7B5F" w:rsidP="009F5DF5">
            <w:pPr>
              <w:spacing w:after="0" w:line="240" w:lineRule="auto"/>
              <w:ind w:firstLine="0"/>
              <w:jc w:val="left"/>
              <w:rPr>
                <w:rFonts w:eastAsia="Times New Roman" w:cstheme="majorBidi"/>
                <w:color w:val="000000"/>
                <w:sz w:val="20"/>
                <w:szCs w:val="20"/>
              </w:rPr>
            </w:pPr>
            <w:proofErr w:type="spellStart"/>
            <w:r w:rsidRPr="0055532D">
              <w:rPr>
                <w:rFonts w:eastAsia="Times New Roman" w:cstheme="majorBidi"/>
                <w:color w:val="000000"/>
                <w:sz w:val="20"/>
                <w:szCs w:val="20"/>
              </w:rPr>
              <w:t>IsCEOChair</w:t>
            </w:r>
            <w:proofErr w:type="spellEnd"/>
          </w:p>
        </w:tc>
        <w:tc>
          <w:tcPr>
            <w:tcW w:w="1560" w:type="dxa"/>
            <w:vAlign w:val="center"/>
          </w:tcPr>
          <w:p w14:paraId="32E41E47"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746A59F7"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0.171</w:t>
            </w:r>
          </w:p>
        </w:tc>
        <w:tc>
          <w:tcPr>
            <w:tcW w:w="1509" w:type="dxa"/>
            <w:vAlign w:val="center"/>
          </w:tcPr>
          <w:p w14:paraId="2F0A4035"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0.185</w:t>
            </w:r>
          </w:p>
        </w:tc>
      </w:tr>
      <w:tr w:rsidR="009A7B5F" w:rsidRPr="0079479E" w14:paraId="73E97785" w14:textId="77777777" w:rsidTr="009F5DF5">
        <w:trPr>
          <w:trHeight w:val="113"/>
          <w:jc w:val="center"/>
        </w:trPr>
        <w:tc>
          <w:tcPr>
            <w:tcW w:w="3260" w:type="dxa"/>
            <w:shd w:val="clear" w:color="auto" w:fill="auto"/>
            <w:noWrap/>
            <w:vAlign w:val="center"/>
            <w:hideMark/>
          </w:tcPr>
          <w:p w14:paraId="472C337A" w14:textId="77777777" w:rsidR="009A7B5F" w:rsidRPr="0055532D" w:rsidRDefault="009A7B5F" w:rsidP="009F5DF5">
            <w:pPr>
              <w:spacing w:after="0" w:line="240" w:lineRule="auto"/>
              <w:ind w:firstLine="0"/>
              <w:jc w:val="left"/>
              <w:rPr>
                <w:rFonts w:eastAsia="Times New Roman" w:cstheme="majorBidi"/>
                <w:color w:val="000000"/>
                <w:sz w:val="20"/>
                <w:szCs w:val="20"/>
              </w:rPr>
            </w:pPr>
            <w:proofErr w:type="spellStart"/>
            <w:r w:rsidRPr="0055532D">
              <w:rPr>
                <w:rFonts w:eastAsia="Times New Roman" w:cstheme="majorBidi"/>
                <w:color w:val="000000"/>
                <w:sz w:val="20"/>
                <w:szCs w:val="20"/>
              </w:rPr>
              <w:t>BoardTenure</w:t>
            </w:r>
            <w:proofErr w:type="spellEnd"/>
          </w:p>
        </w:tc>
        <w:tc>
          <w:tcPr>
            <w:tcW w:w="1560" w:type="dxa"/>
            <w:vAlign w:val="center"/>
          </w:tcPr>
          <w:p w14:paraId="05BFB740"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26E5C341"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-0.038 ***</w:t>
            </w:r>
          </w:p>
        </w:tc>
        <w:tc>
          <w:tcPr>
            <w:tcW w:w="1509" w:type="dxa"/>
            <w:vAlign w:val="center"/>
          </w:tcPr>
          <w:p w14:paraId="57806682"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0.014</w:t>
            </w:r>
          </w:p>
        </w:tc>
      </w:tr>
      <w:tr w:rsidR="009A7B5F" w:rsidRPr="0079479E" w14:paraId="701A9125" w14:textId="77777777" w:rsidTr="009F5DF5">
        <w:trPr>
          <w:trHeight w:val="113"/>
          <w:jc w:val="center"/>
        </w:trPr>
        <w:tc>
          <w:tcPr>
            <w:tcW w:w="3260" w:type="dxa"/>
            <w:shd w:val="clear" w:color="auto" w:fill="auto"/>
            <w:noWrap/>
            <w:vAlign w:val="center"/>
            <w:hideMark/>
          </w:tcPr>
          <w:p w14:paraId="5E9B118A" w14:textId="77777777" w:rsidR="009A7B5F" w:rsidRPr="0055532D" w:rsidRDefault="009A7B5F" w:rsidP="009F5DF5">
            <w:pPr>
              <w:spacing w:after="0" w:line="240" w:lineRule="auto"/>
              <w:ind w:firstLine="0"/>
              <w:jc w:val="left"/>
              <w:rPr>
                <w:rFonts w:eastAsia="Times New Roman" w:cstheme="majorBidi"/>
                <w:color w:val="000000"/>
                <w:sz w:val="20"/>
                <w:szCs w:val="20"/>
              </w:rPr>
            </w:pPr>
            <w:proofErr w:type="spellStart"/>
            <w:r w:rsidRPr="0079479E">
              <w:rPr>
                <w:rFonts w:eastAsia="Times New Roman" w:cstheme="majorBidi"/>
                <w:color w:val="000000"/>
                <w:sz w:val="20"/>
                <w:szCs w:val="20"/>
              </w:rPr>
              <w:t>IndCommittee</w:t>
            </w:r>
            <w:proofErr w:type="spellEnd"/>
          </w:p>
        </w:tc>
        <w:tc>
          <w:tcPr>
            <w:tcW w:w="1560" w:type="dxa"/>
            <w:vAlign w:val="center"/>
          </w:tcPr>
          <w:p w14:paraId="7DFCCE72"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6688DA28"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-0.003 *</w:t>
            </w:r>
          </w:p>
        </w:tc>
        <w:tc>
          <w:tcPr>
            <w:tcW w:w="1509" w:type="dxa"/>
            <w:vAlign w:val="center"/>
          </w:tcPr>
          <w:p w14:paraId="2B261C5B"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0.002</w:t>
            </w:r>
          </w:p>
        </w:tc>
      </w:tr>
      <w:tr w:rsidR="009A7B5F" w:rsidRPr="0079479E" w14:paraId="4912B0CC" w14:textId="77777777" w:rsidTr="009F5DF5">
        <w:trPr>
          <w:trHeight w:val="113"/>
          <w:jc w:val="center"/>
        </w:trPr>
        <w:tc>
          <w:tcPr>
            <w:tcW w:w="3260" w:type="dxa"/>
            <w:shd w:val="clear" w:color="auto" w:fill="auto"/>
            <w:noWrap/>
            <w:vAlign w:val="center"/>
            <w:hideMark/>
          </w:tcPr>
          <w:p w14:paraId="463F1A39" w14:textId="77777777" w:rsidR="009A7B5F" w:rsidRPr="0055532D" w:rsidRDefault="009A7B5F" w:rsidP="009F5DF5">
            <w:pPr>
              <w:spacing w:after="0" w:line="240" w:lineRule="auto"/>
              <w:ind w:firstLine="0"/>
              <w:jc w:val="left"/>
              <w:rPr>
                <w:rFonts w:eastAsia="Times New Roman" w:cstheme="majorBidi"/>
                <w:color w:val="000000"/>
                <w:sz w:val="20"/>
                <w:szCs w:val="20"/>
              </w:rPr>
            </w:pPr>
            <w:proofErr w:type="spellStart"/>
            <w:r w:rsidRPr="0079479E">
              <w:rPr>
                <w:rFonts w:eastAsia="Times New Roman" w:cstheme="majorBidi"/>
                <w:color w:val="000000"/>
                <w:sz w:val="20"/>
                <w:szCs w:val="20"/>
              </w:rPr>
              <w:t>PPTIntensity</w:t>
            </w:r>
            <w:proofErr w:type="spellEnd"/>
          </w:p>
        </w:tc>
        <w:tc>
          <w:tcPr>
            <w:tcW w:w="1560" w:type="dxa"/>
            <w:vAlign w:val="center"/>
          </w:tcPr>
          <w:p w14:paraId="7DDDD831"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42BBC7B0"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-0.047 ***</w:t>
            </w:r>
          </w:p>
        </w:tc>
        <w:tc>
          <w:tcPr>
            <w:tcW w:w="1509" w:type="dxa"/>
            <w:vAlign w:val="center"/>
          </w:tcPr>
          <w:p w14:paraId="38E87664"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0.008</w:t>
            </w:r>
          </w:p>
        </w:tc>
      </w:tr>
      <w:tr w:rsidR="009A7B5F" w:rsidRPr="0079479E" w14:paraId="663C9205" w14:textId="77777777" w:rsidTr="009F5DF5">
        <w:trPr>
          <w:trHeight w:val="113"/>
          <w:jc w:val="center"/>
        </w:trPr>
        <w:tc>
          <w:tcPr>
            <w:tcW w:w="3260" w:type="dxa"/>
            <w:shd w:val="clear" w:color="auto" w:fill="auto"/>
            <w:noWrap/>
            <w:vAlign w:val="center"/>
            <w:hideMark/>
          </w:tcPr>
          <w:p w14:paraId="6D154D1C" w14:textId="77777777" w:rsidR="009A7B5F" w:rsidRPr="0055532D" w:rsidRDefault="009A7B5F" w:rsidP="009F5DF5">
            <w:pPr>
              <w:spacing w:after="0" w:line="240" w:lineRule="auto"/>
              <w:ind w:firstLine="0"/>
              <w:jc w:val="left"/>
              <w:rPr>
                <w:rFonts w:eastAsia="Times New Roman" w:cstheme="majorBidi"/>
                <w:color w:val="000000"/>
                <w:sz w:val="20"/>
                <w:szCs w:val="20"/>
              </w:rPr>
            </w:pPr>
            <w:proofErr w:type="spellStart"/>
            <w:r w:rsidRPr="0079479E">
              <w:rPr>
                <w:rFonts w:eastAsia="Times New Roman" w:cstheme="majorBidi"/>
                <w:color w:val="000000"/>
                <w:sz w:val="20"/>
                <w:szCs w:val="20"/>
              </w:rPr>
              <w:t>RDIntensity</w:t>
            </w:r>
            <w:proofErr w:type="spellEnd"/>
          </w:p>
        </w:tc>
        <w:tc>
          <w:tcPr>
            <w:tcW w:w="1560" w:type="dxa"/>
            <w:vAlign w:val="center"/>
          </w:tcPr>
          <w:p w14:paraId="653C248E"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4F533F51"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-0.023</w:t>
            </w:r>
          </w:p>
        </w:tc>
        <w:tc>
          <w:tcPr>
            <w:tcW w:w="1509" w:type="dxa"/>
            <w:vAlign w:val="center"/>
          </w:tcPr>
          <w:p w14:paraId="47B0D733"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0.015</w:t>
            </w:r>
          </w:p>
        </w:tc>
      </w:tr>
      <w:tr w:rsidR="009A7B5F" w:rsidRPr="0079479E" w14:paraId="68D55C32" w14:textId="77777777" w:rsidTr="009F5DF5">
        <w:trPr>
          <w:trHeight w:val="113"/>
          <w:jc w:val="center"/>
        </w:trPr>
        <w:tc>
          <w:tcPr>
            <w:tcW w:w="3260" w:type="dxa"/>
            <w:shd w:val="clear" w:color="auto" w:fill="auto"/>
            <w:noWrap/>
            <w:vAlign w:val="center"/>
          </w:tcPr>
          <w:p w14:paraId="3CBAC97F" w14:textId="77777777" w:rsidR="009A7B5F" w:rsidRPr="0079479E"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Education</w:t>
            </w:r>
          </w:p>
        </w:tc>
        <w:tc>
          <w:tcPr>
            <w:tcW w:w="1560" w:type="dxa"/>
            <w:vAlign w:val="center"/>
          </w:tcPr>
          <w:p w14:paraId="64D0D464" w14:textId="77777777" w:rsidR="009A7B5F"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tcPr>
          <w:p w14:paraId="3A70F691" w14:textId="77777777" w:rsidR="009A7B5F" w:rsidRPr="0079479E" w:rsidRDefault="009A7B5F" w:rsidP="009F5DF5">
            <w:pPr>
              <w:spacing w:after="0" w:line="240" w:lineRule="auto"/>
              <w:ind w:firstLine="0"/>
              <w:jc w:val="left"/>
              <w:rPr>
                <w:rFonts w:cstheme="majorBidi"/>
                <w:sz w:val="20"/>
                <w:szCs w:val="20"/>
              </w:rPr>
            </w:pPr>
            <w:r w:rsidRPr="0079479E">
              <w:rPr>
                <w:rFonts w:cstheme="majorBidi"/>
                <w:sz w:val="20"/>
                <w:szCs w:val="20"/>
              </w:rPr>
              <w:t>0.073</w:t>
            </w:r>
          </w:p>
        </w:tc>
        <w:tc>
          <w:tcPr>
            <w:tcW w:w="1509" w:type="dxa"/>
            <w:vAlign w:val="center"/>
          </w:tcPr>
          <w:p w14:paraId="1AAFE448" w14:textId="77777777" w:rsidR="009A7B5F" w:rsidRDefault="009A7B5F" w:rsidP="009F5DF5">
            <w:pPr>
              <w:spacing w:after="0" w:line="240" w:lineRule="auto"/>
              <w:ind w:firstLine="0"/>
              <w:jc w:val="left"/>
              <w:rPr>
                <w:rFonts w:cstheme="majorBidi"/>
                <w:sz w:val="20"/>
                <w:szCs w:val="20"/>
              </w:rPr>
            </w:pPr>
            <w:r>
              <w:rPr>
                <w:rFonts w:cstheme="majorBidi"/>
                <w:sz w:val="20"/>
                <w:szCs w:val="20"/>
              </w:rPr>
              <w:t>0.1</w:t>
            </w:r>
          </w:p>
        </w:tc>
      </w:tr>
      <w:tr w:rsidR="009A7B5F" w:rsidRPr="0079479E" w14:paraId="113D39AA" w14:textId="77777777" w:rsidTr="009F5DF5">
        <w:trPr>
          <w:trHeight w:val="113"/>
          <w:jc w:val="center"/>
        </w:trPr>
        <w:tc>
          <w:tcPr>
            <w:tcW w:w="3260" w:type="dxa"/>
            <w:shd w:val="clear" w:color="auto" w:fill="auto"/>
            <w:noWrap/>
            <w:vAlign w:val="center"/>
            <w:hideMark/>
          </w:tcPr>
          <w:p w14:paraId="5C3ED349" w14:textId="77777777" w:rsidR="009A7B5F" w:rsidRPr="0055532D" w:rsidRDefault="009A7B5F" w:rsidP="009F5DF5">
            <w:pPr>
              <w:spacing w:after="0" w:line="240" w:lineRule="auto"/>
              <w:ind w:firstLine="0"/>
              <w:jc w:val="left"/>
              <w:rPr>
                <w:rFonts w:eastAsia="Times New Roman" w:cstheme="majorBidi"/>
                <w:color w:val="000000"/>
                <w:sz w:val="20"/>
                <w:szCs w:val="20"/>
              </w:rPr>
            </w:pPr>
            <w:proofErr w:type="spellStart"/>
            <w:r w:rsidRPr="0079479E">
              <w:rPr>
                <w:rFonts w:eastAsia="Times New Roman" w:cstheme="majorBidi"/>
                <w:color w:val="000000"/>
                <w:sz w:val="20"/>
                <w:szCs w:val="20"/>
              </w:rPr>
              <w:t>Ind</w:t>
            </w:r>
            <w:r w:rsidRPr="0055532D">
              <w:rPr>
                <w:rFonts w:eastAsia="Times New Roman" w:cstheme="majorBidi"/>
                <w:color w:val="000000"/>
                <w:sz w:val="20"/>
                <w:szCs w:val="20"/>
              </w:rPr>
              <w:t>Concentration</w:t>
            </w:r>
            <w:proofErr w:type="spellEnd"/>
          </w:p>
        </w:tc>
        <w:tc>
          <w:tcPr>
            <w:tcW w:w="1560" w:type="dxa"/>
            <w:vAlign w:val="center"/>
          </w:tcPr>
          <w:p w14:paraId="713C91A6"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3BAC905B" w14:textId="77777777" w:rsidR="009A7B5F" w:rsidRPr="0055532D" w:rsidRDefault="009A7B5F" w:rsidP="009F5DF5">
            <w:pPr>
              <w:spacing w:after="0" w:line="240" w:lineRule="auto"/>
              <w:ind w:firstLine="0"/>
              <w:jc w:val="left"/>
              <w:rPr>
                <w:rFonts w:eastAsia="Times New Roman" w:cstheme="majorBidi"/>
                <w:color w:val="000000"/>
                <w:sz w:val="20"/>
                <w:szCs w:val="20"/>
              </w:rPr>
            </w:pPr>
            <w:r>
              <w:rPr>
                <w:rFonts w:cstheme="majorBidi"/>
                <w:sz w:val="20"/>
                <w:szCs w:val="20"/>
              </w:rPr>
              <w:t>-</w:t>
            </w:r>
            <w:r w:rsidRPr="0079479E">
              <w:rPr>
                <w:rFonts w:cstheme="majorBidi"/>
                <w:sz w:val="20"/>
                <w:szCs w:val="20"/>
              </w:rPr>
              <w:t>0</w:t>
            </w:r>
            <w:r>
              <w:rPr>
                <w:rFonts w:cstheme="majorBidi"/>
                <w:sz w:val="20"/>
                <w:szCs w:val="20"/>
              </w:rPr>
              <w:t>.000</w:t>
            </w:r>
          </w:p>
        </w:tc>
        <w:tc>
          <w:tcPr>
            <w:tcW w:w="1509" w:type="dxa"/>
            <w:vAlign w:val="center"/>
          </w:tcPr>
          <w:p w14:paraId="662AC10F" w14:textId="77777777" w:rsidR="009A7B5F" w:rsidRPr="0079479E" w:rsidRDefault="009A7B5F" w:rsidP="009F5DF5">
            <w:pPr>
              <w:spacing w:after="0" w:line="240" w:lineRule="auto"/>
              <w:ind w:firstLine="0"/>
              <w:jc w:val="left"/>
              <w:rPr>
                <w:rFonts w:cstheme="majorBidi"/>
                <w:sz w:val="20"/>
                <w:szCs w:val="20"/>
              </w:rPr>
            </w:pPr>
            <w:r w:rsidRPr="0079479E">
              <w:rPr>
                <w:rFonts w:cstheme="majorBidi"/>
                <w:sz w:val="20"/>
                <w:szCs w:val="20"/>
              </w:rPr>
              <w:t>0</w:t>
            </w:r>
            <w:r>
              <w:rPr>
                <w:rFonts w:cstheme="majorBidi"/>
                <w:sz w:val="20"/>
                <w:szCs w:val="20"/>
              </w:rPr>
              <w:t>.000</w:t>
            </w:r>
          </w:p>
        </w:tc>
      </w:tr>
      <w:tr w:rsidR="009A7B5F" w:rsidRPr="0079479E" w14:paraId="0DB82616" w14:textId="77777777" w:rsidTr="009F5DF5">
        <w:trPr>
          <w:trHeight w:val="113"/>
          <w:jc w:val="center"/>
        </w:trPr>
        <w:tc>
          <w:tcPr>
            <w:tcW w:w="3260" w:type="dxa"/>
            <w:shd w:val="clear" w:color="auto" w:fill="auto"/>
            <w:noWrap/>
            <w:vAlign w:val="center"/>
            <w:hideMark/>
          </w:tcPr>
          <w:p w14:paraId="74D9E0BB"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Union</w:t>
            </w:r>
          </w:p>
        </w:tc>
        <w:tc>
          <w:tcPr>
            <w:tcW w:w="1560" w:type="dxa"/>
            <w:vAlign w:val="center"/>
          </w:tcPr>
          <w:p w14:paraId="658F6C0E"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4A313452"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-0.009</w:t>
            </w:r>
          </w:p>
        </w:tc>
        <w:tc>
          <w:tcPr>
            <w:tcW w:w="1509" w:type="dxa"/>
            <w:vAlign w:val="center"/>
          </w:tcPr>
          <w:p w14:paraId="5CB10275"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0.038</w:t>
            </w:r>
          </w:p>
        </w:tc>
      </w:tr>
      <w:tr w:rsidR="009A7B5F" w:rsidRPr="0079479E" w14:paraId="13A33634" w14:textId="77777777" w:rsidTr="009F5DF5">
        <w:trPr>
          <w:trHeight w:val="113"/>
          <w:jc w:val="center"/>
        </w:trPr>
        <w:tc>
          <w:tcPr>
            <w:tcW w:w="3260" w:type="dxa"/>
            <w:shd w:val="clear" w:color="auto" w:fill="auto"/>
            <w:noWrap/>
            <w:vAlign w:val="center"/>
            <w:hideMark/>
          </w:tcPr>
          <w:p w14:paraId="6C99DCD3" w14:textId="77777777" w:rsidR="009A7B5F" w:rsidRPr="0055532D" w:rsidRDefault="009A7B5F" w:rsidP="009F5DF5">
            <w:pPr>
              <w:spacing w:after="0" w:line="240" w:lineRule="auto"/>
              <w:ind w:firstLine="0"/>
              <w:jc w:val="left"/>
              <w:rPr>
                <w:rFonts w:eastAsia="Times New Roman" w:cstheme="majorBidi"/>
                <w:color w:val="000000"/>
                <w:sz w:val="20"/>
                <w:szCs w:val="20"/>
              </w:rPr>
            </w:pPr>
            <w:proofErr w:type="spellStart"/>
            <w:r w:rsidRPr="0055532D">
              <w:rPr>
                <w:rFonts w:eastAsia="Times New Roman" w:cstheme="majorBidi"/>
                <w:color w:val="000000"/>
                <w:sz w:val="20"/>
                <w:szCs w:val="20"/>
              </w:rPr>
              <w:t>UnemploymentRate</w:t>
            </w:r>
            <w:proofErr w:type="spellEnd"/>
          </w:p>
        </w:tc>
        <w:tc>
          <w:tcPr>
            <w:tcW w:w="1560" w:type="dxa"/>
            <w:vAlign w:val="center"/>
          </w:tcPr>
          <w:p w14:paraId="65B98BC0"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1A3343C2"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0.128 **</w:t>
            </w:r>
          </w:p>
        </w:tc>
        <w:tc>
          <w:tcPr>
            <w:tcW w:w="1509" w:type="dxa"/>
            <w:vAlign w:val="center"/>
          </w:tcPr>
          <w:p w14:paraId="3BBB1862"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0.057</w:t>
            </w:r>
          </w:p>
        </w:tc>
      </w:tr>
      <w:tr w:rsidR="009A7B5F" w:rsidRPr="0079479E" w14:paraId="1DB7BC8B" w14:textId="77777777" w:rsidTr="009F5DF5">
        <w:trPr>
          <w:trHeight w:val="113"/>
          <w:jc w:val="center"/>
        </w:trPr>
        <w:tc>
          <w:tcPr>
            <w:tcW w:w="3260" w:type="dxa"/>
            <w:shd w:val="clear" w:color="auto" w:fill="auto"/>
            <w:noWrap/>
            <w:vAlign w:val="center"/>
            <w:hideMark/>
          </w:tcPr>
          <w:p w14:paraId="7763311E" w14:textId="77777777" w:rsidR="009A7B5F" w:rsidRPr="0055532D" w:rsidRDefault="009A7B5F" w:rsidP="009F5DF5">
            <w:pPr>
              <w:spacing w:after="0" w:line="240" w:lineRule="auto"/>
              <w:ind w:firstLine="0"/>
              <w:jc w:val="left"/>
              <w:rPr>
                <w:rFonts w:eastAsia="Times New Roman" w:cstheme="majorBidi"/>
                <w:color w:val="000000"/>
                <w:sz w:val="20"/>
                <w:szCs w:val="20"/>
              </w:rPr>
            </w:pPr>
            <w:proofErr w:type="spellStart"/>
            <w:r w:rsidRPr="0055532D">
              <w:rPr>
                <w:rFonts w:eastAsia="Times New Roman" w:cstheme="majorBidi"/>
                <w:color w:val="000000"/>
                <w:sz w:val="20"/>
                <w:szCs w:val="20"/>
              </w:rPr>
              <w:t>VacantJob</w:t>
            </w:r>
            <w:proofErr w:type="spellEnd"/>
          </w:p>
        </w:tc>
        <w:tc>
          <w:tcPr>
            <w:tcW w:w="1560" w:type="dxa"/>
            <w:vAlign w:val="center"/>
          </w:tcPr>
          <w:p w14:paraId="33605000"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w:t>
            </w:r>
          </w:p>
        </w:tc>
        <w:tc>
          <w:tcPr>
            <w:tcW w:w="2048" w:type="dxa"/>
            <w:shd w:val="clear" w:color="auto" w:fill="auto"/>
            <w:noWrap/>
            <w:vAlign w:val="center"/>
            <w:hideMark/>
          </w:tcPr>
          <w:p w14:paraId="10E9CC78" w14:textId="77777777" w:rsidR="009A7B5F" w:rsidRPr="0055532D" w:rsidRDefault="009A7B5F" w:rsidP="009F5DF5">
            <w:pPr>
              <w:spacing w:after="0" w:line="240" w:lineRule="auto"/>
              <w:ind w:firstLine="0"/>
              <w:jc w:val="left"/>
              <w:rPr>
                <w:rFonts w:eastAsia="Times New Roman" w:cstheme="majorBidi"/>
                <w:color w:val="000000"/>
                <w:sz w:val="20"/>
                <w:szCs w:val="20"/>
              </w:rPr>
            </w:pPr>
            <w:r w:rsidRPr="0079479E">
              <w:rPr>
                <w:rFonts w:cstheme="majorBidi"/>
                <w:sz w:val="20"/>
                <w:szCs w:val="20"/>
              </w:rPr>
              <w:t>0.105 **</w:t>
            </w:r>
          </w:p>
        </w:tc>
        <w:tc>
          <w:tcPr>
            <w:tcW w:w="1509" w:type="dxa"/>
            <w:vAlign w:val="center"/>
          </w:tcPr>
          <w:p w14:paraId="7455E178"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0.051</w:t>
            </w:r>
          </w:p>
        </w:tc>
      </w:tr>
      <w:tr w:rsidR="009A7B5F" w:rsidRPr="0079479E" w14:paraId="5D69C28E" w14:textId="77777777" w:rsidTr="009F5DF5">
        <w:trPr>
          <w:trHeight w:val="113"/>
          <w:jc w:val="center"/>
        </w:trPr>
        <w:tc>
          <w:tcPr>
            <w:tcW w:w="3260" w:type="dxa"/>
            <w:shd w:val="clear" w:color="auto" w:fill="auto"/>
            <w:noWrap/>
            <w:vAlign w:val="center"/>
          </w:tcPr>
          <w:p w14:paraId="2CC8F564" w14:textId="77777777" w:rsidR="009A7B5F" w:rsidRPr="0079479E"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Constant</w:t>
            </w:r>
          </w:p>
        </w:tc>
        <w:tc>
          <w:tcPr>
            <w:tcW w:w="1560" w:type="dxa"/>
            <w:vAlign w:val="center"/>
          </w:tcPr>
          <w:p w14:paraId="347ACF73" w14:textId="77777777" w:rsidR="009A7B5F" w:rsidRPr="0079479E" w:rsidRDefault="009A7B5F" w:rsidP="009F5DF5">
            <w:pPr>
              <w:spacing w:after="0" w:line="240" w:lineRule="auto"/>
              <w:ind w:firstLine="0"/>
              <w:jc w:val="left"/>
              <w:rPr>
                <w:rFonts w:cstheme="majorBidi"/>
                <w:sz w:val="20"/>
                <w:szCs w:val="20"/>
              </w:rPr>
            </w:pPr>
          </w:p>
        </w:tc>
        <w:tc>
          <w:tcPr>
            <w:tcW w:w="2048" w:type="dxa"/>
            <w:shd w:val="clear" w:color="auto" w:fill="auto"/>
            <w:noWrap/>
            <w:vAlign w:val="center"/>
          </w:tcPr>
          <w:p w14:paraId="66754B9D" w14:textId="77777777" w:rsidR="009A7B5F" w:rsidRPr="0079479E" w:rsidRDefault="009A7B5F" w:rsidP="009F5DF5">
            <w:pPr>
              <w:spacing w:after="0" w:line="240" w:lineRule="auto"/>
              <w:ind w:firstLine="0"/>
              <w:jc w:val="left"/>
              <w:rPr>
                <w:rFonts w:cstheme="majorBidi"/>
                <w:sz w:val="20"/>
                <w:szCs w:val="20"/>
              </w:rPr>
            </w:pPr>
            <w:r w:rsidRPr="0079479E">
              <w:rPr>
                <w:rFonts w:cstheme="majorBidi"/>
                <w:sz w:val="20"/>
                <w:szCs w:val="20"/>
              </w:rPr>
              <w:t>0.714</w:t>
            </w:r>
          </w:p>
        </w:tc>
        <w:tc>
          <w:tcPr>
            <w:tcW w:w="1509" w:type="dxa"/>
            <w:vAlign w:val="center"/>
          </w:tcPr>
          <w:p w14:paraId="3CE2A1E6"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1.949</w:t>
            </w:r>
          </w:p>
        </w:tc>
      </w:tr>
      <w:tr w:rsidR="009A7B5F" w:rsidRPr="0079479E" w14:paraId="4A6AE94A" w14:textId="77777777" w:rsidTr="009F5DF5">
        <w:trPr>
          <w:trHeight w:val="113"/>
          <w:jc w:val="center"/>
        </w:trPr>
        <w:tc>
          <w:tcPr>
            <w:tcW w:w="3260" w:type="dxa"/>
            <w:shd w:val="clear" w:color="auto" w:fill="auto"/>
            <w:noWrap/>
            <w:vAlign w:val="center"/>
          </w:tcPr>
          <w:p w14:paraId="3D599ECC" w14:textId="77777777" w:rsidR="009A7B5F" w:rsidRPr="0079479E"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Year Fixed Eff</w:t>
            </w:r>
            <w:r>
              <w:rPr>
                <w:rFonts w:eastAsia="Times New Roman" w:cstheme="majorBidi"/>
                <w:color w:val="000000"/>
                <w:sz w:val="20"/>
                <w:szCs w:val="20"/>
              </w:rPr>
              <w:t>e</w:t>
            </w:r>
            <w:r w:rsidRPr="0079479E">
              <w:rPr>
                <w:rFonts w:eastAsia="Times New Roman" w:cstheme="majorBidi"/>
                <w:color w:val="000000"/>
                <w:sz w:val="20"/>
                <w:szCs w:val="20"/>
              </w:rPr>
              <w:t>cts</w:t>
            </w:r>
          </w:p>
        </w:tc>
        <w:tc>
          <w:tcPr>
            <w:tcW w:w="1560" w:type="dxa"/>
            <w:vAlign w:val="center"/>
          </w:tcPr>
          <w:p w14:paraId="322DD073" w14:textId="77777777" w:rsidR="009A7B5F" w:rsidRPr="0079479E" w:rsidRDefault="009A7B5F" w:rsidP="009F5DF5">
            <w:pPr>
              <w:spacing w:after="0" w:line="240" w:lineRule="auto"/>
              <w:ind w:firstLine="0"/>
              <w:jc w:val="left"/>
              <w:rPr>
                <w:rFonts w:cstheme="majorBidi"/>
                <w:sz w:val="20"/>
                <w:szCs w:val="20"/>
              </w:rPr>
            </w:pPr>
          </w:p>
        </w:tc>
        <w:tc>
          <w:tcPr>
            <w:tcW w:w="2048" w:type="dxa"/>
            <w:shd w:val="clear" w:color="auto" w:fill="auto"/>
            <w:noWrap/>
            <w:vAlign w:val="center"/>
          </w:tcPr>
          <w:p w14:paraId="22A2AB8A" w14:textId="77777777" w:rsidR="009A7B5F" w:rsidRPr="0079479E" w:rsidRDefault="009A7B5F" w:rsidP="009F5DF5">
            <w:pPr>
              <w:spacing w:after="0" w:line="240" w:lineRule="auto"/>
              <w:ind w:firstLine="0"/>
              <w:jc w:val="left"/>
              <w:rPr>
                <w:rFonts w:cstheme="majorBidi"/>
                <w:sz w:val="20"/>
                <w:szCs w:val="20"/>
              </w:rPr>
            </w:pPr>
            <w:r w:rsidRPr="0079479E">
              <w:rPr>
                <w:rFonts w:cstheme="majorBidi"/>
                <w:sz w:val="20"/>
                <w:szCs w:val="20"/>
              </w:rPr>
              <w:t>Yes</w:t>
            </w:r>
          </w:p>
        </w:tc>
        <w:tc>
          <w:tcPr>
            <w:tcW w:w="1509" w:type="dxa"/>
            <w:vAlign w:val="center"/>
          </w:tcPr>
          <w:p w14:paraId="559B85DA" w14:textId="77777777" w:rsidR="009A7B5F" w:rsidRPr="0079479E" w:rsidRDefault="009A7B5F" w:rsidP="009F5DF5">
            <w:pPr>
              <w:spacing w:after="0" w:line="240" w:lineRule="auto"/>
              <w:ind w:firstLine="0"/>
              <w:jc w:val="left"/>
              <w:rPr>
                <w:rFonts w:cstheme="majorBidi"/>
                <w:sz w:val="20"/>
                <w:szCs w:val="20"/>
              </w:rPr>
            </w:pPr>
          </w:p>
        </w:tc>
      </w:tr>
      <w:tr w:rsidR="009A7B5F" w:rsidRPr="0079479E" w14:paraId="2CAC5A97" w14:textId="77777777" w:rsidTr="009F5DF5">
        <w:trPr>
          <w:trHeight w:val="113"/>
          <w:jc w:val="center"/>
        </w:trPr>
        <w:tc>
          <w:tcPr>
            <w:tcW w:w="3260" w:type="dxa"/>
            <w:shd w:val="clear" w:color="auto" w:fill="auto"/>
            <w:noWrap/>
            <w:vAlign w:val="center"/>
          </w:tcPr>
          <w:p w14:paraId="0284A7B5" w14:textId="77777777" w:rsidR="009A7B5F" w:rsidRPr="0079479E"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Industry Fixed Effects</w:t>
            </w:r>
          </w:p>
        </w:tc>
        <w:tc>
          <w:tcPr>
            <w:tcW w:w="1560" w:type="dxa"/>
            <w:vAlign w:val="center"/>
          </w:tcPr>
          <w:p w14:paraId="36228CD7" w14:textId="77777777" w:rsidR="009A7B5F" w:rsidRPr="0079479E" w:rsidRDefault="009A7B5F" w:rsidP="009F5DF5">
            <w:pPr>
              <w:spacing w:after="0" w:line="240" w:lineRule="auto"/>
              <w:ind w:firstLine="0"/>
              <w:jc w:val="left"/>
              <w:rPr>
                <w:rFonts w:cstheme="majorBidi"/>
                <w:sz w:val="20"/>
                <w:szCs w:val="20"/>
              </w:rPr>
            </w:pPr>
          </w:p>
        </w:tc>
        <w:tc>
          <w:tcPr>
            <w:tcW w:w="2048" w:type="dxa"/>
            <w:shd w:val="clear" w:color="auto" w:fill="auto"/>
            <w:noWrap/>
            <w:vAlign w:val="center"/>
          </w:tcPr>
          <w:p w14:paraId="6681F5E3" w14:textId="77777777" w:rsidR="009A7B5F" w:rsidRPr="0079479E" w:rsidRDefault="009A7B5F" w:rsidP="009F5DF5">
            <w:pPr>
              <w:spacing w:after="0" w:line="240" w:lineRule="auto"/>
              <w:ind w:firstLine="0"/>
              <w:jc w:val="left"/>
              <w:rPr>
                <w:rFonts w:cstheme="majorBidi"/>
                <w:sz w:val="20"/>
                <w:szCs w:val="20"/>
              </w:rPr>
            </w:pPr>
            <w:r w:rsidRPr="0079479E">
              <w:rPr>
                <w:rFonts w:cstheme="majorBidi"/>
                <w:sz w:val="20"/>
                <w:szCs w:val="20"/>
              </w:rPr>
              <w:t>Yes</w:t>
            </w:r>
          </w:p>
        </w:tc>
        <w:tc>
          <w:tcPr>
            <w:tcW w:w="1509" w:type="dxa"/>
            <w:vAlign w:val="center"/>
          </w:tcPr>
          <w:p w14:paraId="22C2F7E2" w14:textId="77777777" w:rsidR="009A7B5F" w:rsidRPr="0079479E" w:rsidRDefault="009A7B5F" w:rsidP="009F5DF5">
            <w:pPr>
              <w:spacing w:after="0" w:line="240" w:lineRule="auto"/>
              <w:ind w:firstLine="0"/>
              <w:jc w:val="left"/>
              <w:rPr>
                <w:rFonts w:cstheme="majorBidi"/>
                <w:sz w:val="20"/>
                <w:szCs w:val="20"/>
              </w:rPr>
            </w:pPr>
          </w:p>
        </w:tc>
      </w:tr>
      <w:tr w:rsidR="009A7B5F" w:rsidRPr="0079479E" w14:paraId="44666986" w14:textId="77777777" w:rsidTr="009F5DF5">
        <w:trPr>
          <w:trHeight w:val="113"/>
          <w:jc w:val="center"/>
        </w:trPr>
        <w:tc>
          <w:tcPr>
            <w:tcW w:w="3260" w:type="dxa"/>
            <w:shd w:val="clear" w:color="auto" w:fill="auto"/>
            <w:noWrap/>
            <w:vAlign w:val="center"/>
          </w:tcPr>
          <w:p w14:paraId="6B1C2340" w14:textId="77777777" w:rsidR="009A7B5F" w:rsidRPr="0079479E"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Region Fixed Effects</w:t>
            </w:r>
          </w:p>
        </w:tc>
        <w:tc>
          <w:tcPr>
            <w:tcW w:w="1560" w:type="dxa"/>
            <w:vAlign w:val="center"/>
          </w:tcPr>
          <w:p w14:paraId="31814AA2" w14:textId="77777777" w:rsidR="009A7B5F" w:rsidRPr="0079479E" w:rsidRDefault="009A7B5F" w:rsidP="009F5DF5">
            <w:pPr>
              <w:spacing w:after="0" w:line="240" w:lineRule="auto"/>
              <w:ind w:firstLine="0"/>
              <w:jc w:val="left"/>
              <w:rPr>
                <w:rFonts w:cstheme="majorBidi"/>
                <w:sz w:val="20"/>
                <w:szCs w:val="20"/>
              </w:rPr>
            </w:pPr>
          </w:p>
        </w:tc>
        <w:tc>
          <w:tcPr>
            <w:tcW w:w="2048" w:type="dxa"/>
            <w:shd w:val="clear" w:color="auto" w:fill="auto"/>
            <w:noWrap/>
            <w:vAlign w:val="center"/>
          </w:tcPr>
          <w:p w14:paraId="4818F068" w14:textId="77777777" w:rsidR="009A7B5F" w:rsidRPr="0079479E" w:rsidRDefault="009A7B5F" w:rsidP="009F5DF5">
            <w:pPr>
              <w:spacing w:after="0" w:line="240" w:lineRule="auto"/>
              <w:ind w:firstLine="0"/>
              <w:jc w:val="left"/>
              <w:rPr>
                <w:rFonts w:cstheme="majorBidi"/>
                <w:sz w:val="20"/>
                <w:szCs w:val="20"/>
              </w:rPr>
            </w:pPr>
            <w:r w:rsidRPr="0079479E">
              <w:rPr>
                <w:rFonts w:cstheme="majorBidi"/>
                <w:sz w:val="20"/>
                <w:szCs w:val="20"/>
              </w:rPr>
              <w:t>Yes</w:t>
            </w:r>
          </w:p>
        </w:tc>
        <w:tc>
          <w:tcPr>
            <w:tcW w:w="1509" w:type="dxa"/>
            <w:vAlign w:val="center"/>
          </w:tcPr>
          <w:p w14:paraId="7FCBB186" w14:textId="77777777" w:rsidR="009A7B5F" w:rsidRPr="0079479E" w:rsidRDefault="009A7B5F" w:rsidP="009F5DF5">
            <w:pPr>
              <w:spacing w:after="0" w:line="240" w:lineRule="auto"/>
              <w:ind w:firstLine="0"/>
              <w:jc w:val="left"/>
              <w:rPr>
                <w:rFonts w:cstheme="majorBidi"/>
                <w:sz w:val="20"/>
                <w:szCs w:val="20"/>
              </w:rPr>
            </w:pPr>
          </w:p>
        </w:tc>
      </w:tr>
      <w:tr w:rsidR="009A7B5F" w:rsidRPr="0079479E" w14:paraId="29022210" w14:textId="77777777" w:rsidTr="009F5DF5">
        <w:trPr>
          <w:trHeight w:val="113"/>
          <w:jc w:val="center"/>
        </w:trPr>
        <w:tc>
          <w:tcPr>
            <w:tcW w:w="3260" w:type="dxa"/>
            <w:shd w:val="clear" w:color="auto" w:fill="auto"/>
            <w:noWrap/>
            <w:vAlign w:val="center"/>
          </w:tcPr>
          <w:p w14:paraId="27EB1FA9" w14:textId="77777777" w:rsidR="009A7B5F" w:rsidRPr="0079479E"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Firm-level clustering standard error</w:t>
            </w:r>
          </w:p>
        </w:tc>
        <w:tc>
          <w:tcPr>
            <w:tcW w:w="1560" w:type="dxa"/>
            <w:vAlign w:val="center"/>
          </w:tcPr>
          <w:p w14:paraId="022A520B" w14:textId="77777777" w:rsidR="009A7B5F" w:rsidRPr="0079479E" w:rsidRDefault="009A7B5F" w:rsidP="009F5DF5">
            <w:pPr>
              <w:spacing w:after="0" w:line="240" w:lineRule="auto"/>
              <w:ind w:firstLine="0"/>
              <w:jc w:val="left"/>
              <w:rPr>
                <w:rFonts w:cstheme="majorBidi"/>
                <w:sz w:val="20"/>
                <w:szCs w:val="20"/>
              </w:rPr>
            </w:pPr>
          </w:p>
        </w:tc>
        <w:tc>
          <w:tcPr>
            <w:tcW w:w="2048" w:type="dxa"/>
            <w:shd w:val="clear" w:color="auto" w:fill="auto"/>
            <w:noWrap/>
            <w:vAlign w:val="center"/>
          </w:tcPr>
          <w:p w14:paraId="2C9A1397" w14:textId="77777777" w:rsidR="009A7B5F" w:rsidRPr="0079479E" w:rsidRDefault="009A7B5F" w:rsidP="009F5DF5">
            <w:pPr>
              <w:spacing w:after="0" w:line="240" w:lineRule="auto"/>
              <w:ind w:firstLine="0"/>
              <w:jc w:val="left"/>
              <w:rPr>
                <w:rFonts w:cstheme="majorBidi"/>
                <w:sz w:val="20"/>
                <w:szCs w:val="20"/>
              </w:rPr>
            </w:pPr>
            <w:r w:rsidRPr="0079479E">
              <w:rPr>
                <w:rFonts w:cstheme="majorBidi"/>
                <w:sz w:val="20"/>
                <w:szCs w:val="20"/>
              </w:rPr>
              <w:t>Yes</w:t>
            </w:r>
          </w:p>
        </w:tc>
        <w:tc>
          <w:tcPr>
            <w:tcW w:w="1509" w:type="dxa"/>
            <w:vAlign w:val="center"/>
          </w:tcPr>
          <w:p w14:paraId="2DEE460D" w14:textId="77777777" w:rsidR="009A7B5F" w:rsidRPr="0079479E" w:rsidRDefault="009A7B5F" w:rsidP="009F5DF5">
            <w:pPr>
              <w:spacing w:after="0" w:line="240" w:lineRule="auto"/>
              <w:ind w:firstLine="0"/>
              <w:jc w:val="left"/>
              <w:rPr>
                <w:rFonts w:cstheme="majorBidi"/>
                <w:sz w:val="20"/>
                <w:szCs w:val="20"/>
              </w:rPr>
            </w:pPr>
          </w:p>
        </w:tc>
      </w:tr>
      <w:tr w:rsidR="009A7B5F" w:rsidRPr="0079479E" w14:paraId="5AAE75E9" w14:textId="77777777" w:rsidTr="009F5DF5">
        <w:trPr>
          <w:trHeight w:val="113"/>
          <w:jc w:val="center"/>
        </w:trPr>
        <w:tc>
          <w:tcPr>
            <w:tcW w:w="3260" w:type="dxa"/>
            <w:shd w:val="clear" w:color="auto" w:fill="auto"/>
            <w:noWrap/>
            <w:vAlign w:val="center"/>
          </w:tcPr>
          <w:p w14:paraId="51E18246" w14:textId="77777777" w:rsidR="009A7B5F" w:rsidRPr="0079479E" w:rsidRDefault="009A7B5F" w:rsidP="009F5DF5">
            <w:pPr>
              <w:spacing w:after="0" w:line="240" w:lineRule="auto"/>
              <w:ind w:firstLine="0"/>
              <w:jc w:val="left"/>
              <w:rPr>
                <w:rFonts w:eastAsia="Times New Roman" w:cstheme="majorBidi"/>
                <w:color w:val="000000"/>
                <w:sz w:val="20"/>
                <w:szCs w:val="20"/>
                <w:vertAlign w:val="superscript"/>
              </w:rPr>
            </w:pPr>
            <w:r w:rsidRPr="0079479E">
              <w:rPr>
                <w:rFonts w:eastAsia="Times New Roman" w:cstheme="majorBidi"/>
                <w:color w:val="000000"/>
                <w:sz w:val="20"/>
                <w:szCs w:val="20"/>
              </w:rPr>
              <w:t>Observation</w:t>
            </w:r>
          </w:p>
        </w:tc>
        <w:tc>
          <w:tcPr>
            <w:tcW w:w="1560" w:type="dxa"/>
            <w:vAlign w:val="center"/>
          </w:tcPr>
          <w:p w14:paraId="534F95B0" w14:textId="77777777" w:rsidR="009A7B5F" w:rsidRDefault="009A7B5F" w:rsidP="009F5DF5">
            <w:pPr>
              <w:spacing w:after="0" w:line="240" w:lineRule="auto"/>
              <w:ind w:firstLine="0"/>
              <w:jc w:val="left"/>
              <w:rPr>
                <w:rFonts w:cstheme="majorBidi"/>
                <w:sz w:val="20"/>
                <w:szCs w:val="20"/>
              </w:rPr>
            </w:pPr>
          </w:p>
        </w:tc>
        <w:tc>
          <w:tcPr>
            <w:tcW w:w="2048" w:type="dxa"/>
            <w:shd w:val="clear" w:color="auto" w:fill="auto"/>
            <w:noWrap/>
            <w:vAlign w:val="center"/>
          </w:tcPr>
          <w:p w14:paraId="2F2E6E1C"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2132</w:t>
            </w:r>
          </w:p>
        </w:tc>
        <w:tc>
          <w:tcPr>
            <w:tcW w:w="1509" w:type="dxa"/>
            <w:vAlign w:val="center"/>
          </w:tcPr>
          <w:p w14:paraId="2342F49A" w14:textId="77777777" w:rsidR="009A7B5F" w:rsidRPr="0079479E" w:rsidRDefault="009A7B5F" w:rsidP="009F5DF5">
            <w:pPr>
              <w:spacing w:after="0" w:line="240" w:lineRule="auto"/>
              <w:ind w:firstLine="0"/>
              <w:jc w:val="left"/>
              <w:rPr>
                <w:rFonts w:cstheme="majorBidi"/>
                <w:sz w:val="20"/>
                <w:szCs w:val="20"/>
              </w:rPr>
            </w:pPr>
          </w:p>
        </w:tc>
      </w:tr>
      <w:tr w:rsidR="009A7B5F" w:rsidRPr="0079479E" w14:paraId="5D53B8C8" w14:textId="77777777" w:rsidTr="009F5DF5">
        <w:trPr>
          <w:trHeight w:val="113"/>
          <w:jc w:val="center"/>
        </w:trPr>
        <w:tc>
          <w:tcPr>
            <w:tcW w:w="3260" w:type="dxa"/>
            <w:shd w:val="clear" w:color="auto" w:fill="auto"/>
            <w:noWrap/>
            <w:vAlign w:val="center"/>
          </w:tcPr>
          <w:p w14:paraId="71EE4DCC" w14:textId="77777777" w:rsidR="009A7B5F" w:rsidRPr="0079479E"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Firms</w:t>
            </w:r>
          </w:p>
        </w:tc>
        <w:tc>
          <w:tcPr>
            <w:tcW w:w="1560" w:type="dxa"/>
            <w:vAlign w:val="center"/>
          </w:tcPr>
          <w:p w14:paraId="5E2B895D" w14:textId="77777777" w:rsidR="009A7B5F" w:rsidRDefault="009A7B5F" w:rsidP="009F5DF5">
            <w:pPr>
              <w:spacing w:after="0" w:line="240" w:lineRule="auto"/>
              <w:ind w:firstLine="0"/>
              <w:jc w:val="left"/>
              <w:rPr>
                <w:rFonts w:cstheme="majorBidi"/>
                <w:sz w:val="20"/>
                <w:szCs w:val="20"/>
              </w:rPr>
            </w:pPr>
          </w:p>
        </w:tc>
        <w:tc>
          <w:tcPr>
            <w:tcW w:w="2048" w:type="dxa"/>
            <w:shd w:val="clear" w:color="auto" w:fill="auto"/>
            <w:noWrap/>
            <w:vAlign w:val="center"/>
          </w:tcPr>
          <w:p w14:paraId="4741912C"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385</w:t>
            </w:r>
          </w:p>
        </w:tc>
        <w:tc>
          <w:tcPr>
            <w:tcW w:w="1509" w:type="dxa"/>
            <w:vAlign w:val="center"/>
          </w:tcPr>
          <w:p w14:paraId="396B1D67" w14:textId="77777777" w:rsidR="009A7B5F" w:rsidRPr="0079479E" w:rsidRDefault="009A7B5F" w:rsidP="009F5DF5">
            <w:pPr>
              <w:spacing w:after="0" w:line="240" w:lineRule="auto"/>
              <w:ind w:firstLine="0"/>
              <w:jc w:val="left"/>
              <w:rPr>
                <w:rFonts w:cstheme="majorBidi"/>
                <w:sz w:val="20"/>
                <w:szCs w:val="20"/>
              </w:rPr>
            </w:pPr>
          </w:p>
        </w:tc>
      </w:tr>
      <w:tr w:rsidR="009A7B5F" w:rsidRPr="0079479E" w14:paraId="43AFA1CF" w14:textId="77777777" w:rsidTr="009F5DF5">
        <w:trPr>
          <w:trHeight w:val="113"/>
          <w:jc w:val="center"/>
        </w:trPr>
        <w:tc>
          <w:tcPr>
            <w:tcW w:w="3260" w:type="dxa"/>
            <w:tcBorders>
              <w:bottom w:val="single" w:sz="4" w:space="0" w:color="auto"/>
            </w:tcBorders>
            <w:shd w:val="clear" w:color="auto" w:fill="auto"/>
            <w:noWrap/>
            <w:vAlign w:val="center"/>
          </w:tcPr>
          <w:p w14:paraId="6FE4AB9E" w14:textId="77777777" w:rsidR="009A7B5F" w:rsidRPr="0079479E" w:rsidRDefault="009A7B5F" w:rsidP="009F5DF5">
            <w:pPr>
              <w:spacing w:after="0" w:line="240" w:lineRule="auto"/>
              <w:ind w:firstLine="0"/>
              <w:jc w:val="left"/>
              <w:rPr>
                <w:rFonts w:eastAsia="Times New Roman" w:cstheme="majorBidi"/>
                <w:color w:val="000000"/>
                <w:sz w:val="20"/>
                <w:szCs w:val="20"/>
              </w:rPr>
            </w:pPr>
            <w:r w:rsidRPr="0079479E">
              <w:rPr>
                <w:rFonts w:eastAsia="Times New Roman" w:cstheme="majorBidi"/>
                <w:color w:val="000000"/>
                <w:sz w:val="20"/>
                <w:szCs w:val="20"/>
              </w:rPr>
              <w:t>Adjusted R</w:t>
            </w:r>
            <w:r w:rsidRPr="0079479E">
              <w:rPr>
                <w:rFonts w:eastAsia="Times New Roman" w:cstheme="majorBidi"/>
                <w:color w:val="000000"/>
                <w:sz w:val="20"/>
                <w:szCs w:val="20"/>
                <w:vertAlign w:val="superscript"/>
              </w:rPr>
              <w:t>2</w:t>
            </w:r>
          </w:p>
        </w:tc>
        <w:tc>
          <w:tcPr>
            <w:tcW w:w="1560" w:type="dxa"/>
            <w:vAlign w:val="center"/>
          </w:tcPr>
          <w:p w14:paraId="3298B9DF" w14:textId="77777777" w:rsidR="009A7B5F" w:rsidRDefault="009A7B5F" w:rsidP="009F5DF5">
            <w:pPr>
              <w:spacing w:after="0" w:line="240" w:lineRule="auto"/>
              <w:ind w:firstLine="0"/>
              <w:jc w:val="left"/>
              <w:rPr>
                <w:rFonts w:cstheme="majorBidi"/>
                <w:sz w:val="20"/>
                <w:szCs w:val="20"/>
              </w:rPr>
            </w:pPr>
          </w:p>
        </w:tc>
        <w:tc>
          <w:tcPr>
            <w:tcW w:w="2048" w:type="dxa"/>
            <w:shd w:val="clear" w:color="auto" w:fill="auto"/>
            <w:noWrap/>
            <w:vAlign w:val="center"/>
          </w:tcPr>
          <w:p w14:paraId="281F6206" w14:textId="77777777" w:rsidR="009A7B5F" w:rsidRPr="0079479E" w:rsidRDefault="009A7B5F" w:rsidP="009F5DF5">
            <w:pPr>
              <w:spacing w:after="0" w:line="240" w:lineRule="auto"/>
              <w:ind w:firstLine="0"/>
              <w:jc w:val="left"/>
              <w:rPr>
                <w:rFonts w:cstheme="majorBidi"/>
                <w:sz w:val="20"/>
                <w:szCs w:val="20"/>
              </w:rPr>
            </w:pPr>
            <w:r>
              <w:rPr>
                <w:rFonts w:cstheme="majorBidi"/>
                <w:sz w:val="20"/>
                <w:szCs w:val="20"/>
              </w:rPr>
              <w:t>0.376</w:t>
            </w:r>
          </w:p>
        </w:tc>
        <w:tc>
          <w:tcPr>
            <w:tcW w:w="1509" w:type="dxa"/>
            <w:vAlign w:val="center"/>
          </w:tcPr>
          <w:p w14:paraId="57005AFE" w14:textId="77777777" w:rsidR="009A7B5F" w:rsidRPr="0079479E" w:rsidRDefault="009A7B5F" w:rsidP="009F5DF5">
            <w:pPr>
              <w:spacing w:after="0" w:line="240" w:lineRule="auto"/>
              <w:ind w:firstLine="0"/>
              <w:jc w:val="left"/>
              <w:rPr>
                <w:rFonts w:cstheme="majorBidi"/>
                <w:sz w:val="20"/>
                <w:szCs w:val="20"/>
              </w:rPr>
            </w:pPr>
          </w:p>
        </w:tc>
      </w:tr>
      <w:tr w:rsidR="009A7B5F" w:rsidRPr="0079479E" w14:paraId="4C625D6B" w14:textId="77777777" w:rsidTr="009F5DF5">
        <w:trPr>
          <w:trHeight w:val="113"/>
          <w:jc w:val="center"/>
        </w:trPr>
        <w:tc>
          <w:tcPr>
            <w:tcW w:w="8377" w:type="dxa"/>
            <w:gridSpan w:val="4"/>
            <w:tcBorders>
              <w:bottom w:val="single" w:sz="4" w:space="0" w:color="auto"/>
            </w:tcBorders>
            <w:vAlign w:val="center"/>
          </w:tcPr>
          <w:p w14:paraId="43DF4C61" w14:textId="77777777" w:rsidR="009A7B5F" w:rsidRPr="008A16C9" w:rsidRDefault="009A7B5F" w:rsidP="008A16C9">
            <w:pPr>
              <w:pStyle w:val="Caption"/>
              <w:spacing w:before="160" w:after="0" w:line="240" w:lineRule="auto"/>
              <w:ind w:firstLine="0"/>
              <w:contextualSpacing/>
              <w:rPr>
                <w:i w:val="0"/>
                <w:iCs w:val="0"/>
                <w:color w:val="auto"/>
                <w:sz w:val="22"/>
                <w:szCs w:val="22"/>
              </w:rPr>
            </w:pPr>
            <w:r w:rsidRPr="008A16C9">
              <w:rPr>
                <w:i w:val="0"/>
                <w:iCs w:val="0"/>
                <w:color w:val="auto"/>
                <w:sz w:val="22"/>
                <w:szCs w:val="22"/>
              </w:rPr>
              <w:t xml:space="preserve">*, **, *** Indicate significance at the 10%, 5% and 1% levels, respectively. </w:t>
            </w:r>
          </w:p>
          <w:p w14:paraId="6881F855" w14:textId="3AEB52EB" w:rsidR="009A7B5F" w:rsidRPr="008A16C9" w:rsidRDefault="009A7B5F" w:rsidP="009F5DF5">
            <w:pPr>
              <w:pStyle w:val="Caption"/>
              <w:spacing w:after="120" w:line="240" w:lineRule="auto"/>
              <w:ind w:firstLine="0"/>
              <w:contextualSpacing/>
              <w:rPr>
                <w:i w:val="0"/>
                <w:iCs w:val="0"/>
                <w:color w:val="auto"/>
                <w:sz w:val="22"/>
                <w:szCs w:val="22"/>
              </w:rPr>
            </w:pPr>
            <w:r w:rsidRPr="008A16C9">
              <w:rPr>
                <w:i w:val="0"/>
                <w:iCs w:val="0"/>
                <w:color w:val="auto"/>
                <w:sz w:val="22"/>
                <w:szCs w:val="22"/>
              </w:rPr>
              <w:t xml:space="preserve">Table 4 presents the result of regression model used to explain pay inequity. Pay inequality is measured as the natural log of the ratio of total CEO compensation to average employee pay. The regression includes region, industry, and year fixed effects. Continuous variables are </w:t>
            </w:r>
            <w:r w:rsidR="00C55BD0">
              <w:rPr>
                <w:i w:val="0"/>
                <w:iCs w:val="0"/>
                <w:color w:val="auto"/>
                <w:sz w:val="22"/>
                <w:szCs w:val="22"/>
              </w:rPr>
              <w:t>trimmed</w:t>
            </w:r>
            <w:r w:rsidRPr="008A16C9">
              <w:rPr>
                <w:i w:val="0"/>
                <w:iCs w:val="0"/>
                <w:color w:val="auto"/>
                <w:sz w:val="22"/>
                <w:szCs w:val="22"/>
              </w:rPr>
              <w:t xml:space="preserve"> at 1 per cent and 99 per cent. Robust standard errors are clustered at the firm level. </w:t>
            </w:r>
          </w:p>
          <w:p w14:paraId="5D20BF93" w14:textId="77777777" w:rsidR="009A7B5F" w:rsidRPr="008B19D3" w:rsidRDefault="009A7B5F" w:rsidP="009F5DF5">
            <w:pPr>
              <w:pStyle w:val="Caption"/>
              <w:spacing w:after="120" w:line="240" w:lineRule="auto"/>
              <w:ind w:firstLine="0"/>
              <w:contextualSpacing/>
              <w:rPr>
                <w:i w:val="0"/>
                <w:iCs w:val="0"/>
                <w:color w:val="auto"/>
                <w:sz w:val="20"/>
                <w:szCs w:val="20"/>
              </w:rPr>
            </w:pPr>
            <w:r w:rsidRPr="008A16C9">
              <w:rPr>
                <w:i w:val="0"/>
                <w:iCs w:val="0"/>
                <w:color w:val="auto"/>
                <w:sz w:val="22"/>
                <w:szCs w:val="22"/>
              </w:rPr>
              <w:t>All variables are defined in Appendix A.</w:t>
            </w:r>
          </w:p>
        </w:tc>
      </w:tr>
    </w:tbl>
    <w:p w14:paraId="380AE2D1" w14:textId="77777777" w:rsidR="009A7B5F" w:rsidRDefault="009A7B5F" w:rsidP="001C6347">
      <w:pPr>
        <w:ind w:firstLine="0"/>
      </w:pPr>
    </w:p>
    <w:p w14:paraId="14AC4505" w14:textId="77777777" w:rsidR="009A7B5F" w:rsidRDefault="009A7B5F" w:rsidP="003064E0">
      <w:r>
        <w:t xml:space="preserve">The result confirms that </w:t>
      </w:r>
      <w:r w:rsidRPr="002E3CCA">
        <w:t>pay inequality</w:t>
      </w:r>
      <w:r>
        <w:t xml:space="preserve"> increases with CEO’s skill and decreases with corporate governance effectiveness. Proxies for CEO’s skills such as</w:t>
      </w:r>
      <w:r w:rsidRPr="008464FA">
        <w:t xml:space="preserve"> </w:t>
      </w:r>
      <w:proofErr w:type="spellStart"/>
      <w:r w:rsidRPr="008464FA">
        <w:rPr>
          <w:i/>
          <w:iCs/>
        </w:rPr>
        <w:t>LnRevenue</w:t>
      </w:r>
      <w:proofErr w:type="spellEnd"/>
      <w:r w:rsidRPr="008464FA">
        <w:t xml:space="preserve">, </w:t>
      </w:r>
      <w:proofErr w:type="spellStart"/>
      <w:r w:rsidRPr="008464FA">
        <w:rPr>
          <w:i/>
          <w:iCs/>
        </w:rPr>
        <w:t>LnAge</w:t>
      </w:r>
      <w:proofErr w:type="spellEnd"/>
      <w:r w:rsidRPr="008464FA">
        <w:t xml:space="preserve"> and Inverse</w:t>
      </w:r>
      <w:r w:rsidRPr="008464FA">
        <w:rPr>
          <w:i/>
          <w:iCs/>
        </w:rPr>
        <w:t xml:space="preserve"> BTM</w:t>
      </w:r>
      <w:r w:rsidRPr="008464FA">
        <w:t xml:space="preserve"> have a significant positive relation with </w:t>
      </w:r>
      <w:r w:rsidRPr="002E3CCA">
        <w:t>pay inequality</w:t>
      </w:r>
      <w:r w:rsidRPr="008464FA">
        <w:t xml:space="preserve">. </w:t>
      </w:r>
      <w:r>
        <w:t>Moreover,</w:t>
      </w:r>
      <w:r w:rsidRPr="008464FA">
        <w:t xml:space="preserve"> </w:t>
      </w:r>
      <w:r w:rsidRPr="002E3CCA">
        <w:t>pay inequality</w:t>
      </w:r>
      <w:r w:rsidRPr="008464FA">
        <w:t xml:space="preserve"> increases with a firm’s leverage.</w:t>
      </w:r>
      <w:r w:rsidRPr="00882B14">
        <w:t xml:space="preserve"> </w:t>
      </w:r>
      <w:r>
        <w:t>Regarding corporate governance effectiveness, t</w:t>
      </w:r>
      <w:r w:rsidRPr="009722C5">
        <w:t>he coefficient</w:t>
      </w:r>
      <w:r>
        <w:t xml:space="preserve">s </w:t>
      </w:r>
      <w:proofErr w:type="spellStart"/>
      <w:r w:rsidRPr="00882B14">
        <w:rPr>
          <w:i/>
          <w:iCs/>
        </w:rPr>
        <w:lastRenderedPageBreak/>
        <w:t>BoardTenure</w:t>
      </w:r>
      <w:proofErr w:type="spellEnd"/>
      <w:r>
        <w:t xml:space="preserve"> </w:t>
      </w:r>
      <w:r w:rsidRPr="008464FA">
        <w:t xml:space="preserve">and </w:t>
      </w:r>
      <w:proofErr w:type="spellStart"/>
      <w:r w:rsidRPr="00882B14">
        <w:rPr>
          <w:i/>
          <w:iCs/>
        </w:rPr>
        <w:t>IndCommittee</w:t>
      </w:r>
      <w:proofErr w:type="spellEnd"/>
      <w:r>
        <w:t xml:space="preserve"> are negative and significant </w:t>
      </w:r>
      <w:r w:rsidRPr="008464FA">
        <w:t>at 1% and 10%,</w:t>
      </w:r>
      <w:r w:rsidRPr="00034A7C">
        <w:t xml:space="preserve"> </w:t>
      </w:r>
      <w:r w:rsidRPr="008464FA">
        <w:t>respectively.</w:t>
      </w:r>
      <w:r>
        <w:t xml:space="preserve"> In addition, the coefficient of </w:t>
      </w:r>
      <w:proofErr w:type="spellStart"/>
      <w:r w:rsidRPr="00C1453B">
        <w:rPr>
          <w:i/>
          <w:iCs/>
        </w:rPr>
        <w:t>IsCEOChair</w:t>
      </w:r>
      <w:proofErr w:type="spellEnd"/>
      <w:r w:rsidRPr="008464FA">
        <w:t xml:space="preserve"> </w:t>
      </w:r>
      <w:r>
        <w:t xml:space="preserve">is marginally </w:t>
      </w:r>
      <w:r w:rsidRPr="008464FA">
        <w:t>positive</w:t>
      </w:r>
      <w:r>
        <w:t xml:space="preserve"> at 10% significance.</w:t>
      </w:r>
      <w:r w:rsidRPr="008464FA">
        <w:t xml:space="preserve"> </w:t>
      </w:r>
    </w:p>
    <w:p w14:paraId="2FE0832B" w14:textId="77777777" w:rsidR="009A7B5F" w:rsidRPr="00766528" w:rsidRDefault="009A7B5F" w:rsidP="003064E0">
      <w:r>
        <w:t xml:space="preserve">On the other hand, the result shows that higher employees’ skills and outside opportunities reduce </w:t>
      </w:r>
      <w:r w:rsidRPr="002E3CCA">
        <w:t>pay inequality</w:t>
      </w:r>
      <w:r>
        <w:t xml:space="preserve">. For example, employees’ </w:t>
      </w:r>
      <w:r w:rsidRPr="008464FA">
        <w:t xml:space="preserve">skill </w:t>
      </w:r>
      <w:r>
        <w:t>measured by</w:t>
      </w:r>
      <w:r w:rsidRPr="008464FA">
        <w:t xml:space="preserve"> </w:t>
      </w:r>
      <w:proofErr w:type="spellStart"/>
      <w:r w:rsidRPr="003B3A58">
        <w:rPr>
          <w:i/>
          <w:iCs/>
        </w:rPr>
        <w:t>PPTIntensity</w:t>
      </w:r>
      <w:proofErr w:type="spellEnd"/>
      <w:r w:rsidRPr="008464FA">
        <w:t xml:space="preserve"> </w:t>
      </w:r>
      <w:r>
        <w:t xml:space="preserve">is significantly and negatively associated with </w:t>
      </w:r>
      <w:r w:rsidRPr="002E3CCA">
        <w:t>pay inequality</w:t>
      </w:r>
      <w:r w:rsidRPr="008464FA">
        <w:t xml:space="preserve">. </w:t>
      </w:r>
      <w:r>
        <w:t>In contrast,</w:t>
      </w:r>
      <w:r w:rsidRPr="008464FA">
        <w:t xml:space="preserve"> the unemployment rate and the percentage of vacant job</w:t>
      </w:r>
      <w:r>
        <w:t>s</w:t>
      </w:r>
      <w:r w:rsidRPr="008464FA">
        <w:t xml:space="preserve"> have a significant positive relation</w:t>
      </w:r>
      <w:r>
        <w:t>ship</w:t>
      </w:r>
      <w:r w:rsidRPr="008464FA">
        <w:t xml:space="preserve"> with </w:t>
      </w:r>
      <w:r w:rsidRPr="002E3CCA">
        <w:t>pay inequality</w:t>
      </w:r>
      <w:r w:rsidRPr="003B3A58">
        <w:t xml:space="preserve"> </w:t>
      </w:r>
      <w:r>
        <w:t xml:space="preserve">by decreasing </w:t>
      </w:r>
      <w:r w:rsidRPr="008464FA">
        <w:t>employees</w:t>
      </w:r>
      <w:r>
        <w:t>’</w:t>
      </w:r>
      <w:r w:rsidRPr="008464FA">
        <w:t xml:space="preserve"> bargaining power. </w:t>
      </w:r>
      <w:r>
        <w:t>Therefore, the model defines</w:t>
      </w:r>
      <w:r w:rsidRPr="002E3CCA">
        <w:t xml:space="preserve"> pay inequality</w:t>
      </w:r>
      <w:r>
        <w:t xml:space="preserve"> appropriately. Hence, we use the p</w:t>
      </w:r>
      <w:r w:rsidRPr="008464FA">
        <w:t>redicted pay inequality</w:t>
      </w:r>
      <w:r>
        <w:t xml:space="preserve"> to capture </w:t>
      </w:r>
      <w:r w:rsidRPr="002E3CCA">
        <w:t>pay equity</w:t>
      </w:r>
      <w:r>
        <w:t xml:space="preserve"> and the residual, </w:t>
      </w:r>
      <w:r w:rsidRPr="008464FA">
        <w:t xml:space="preserve">the deviation from </w:t>
      </w:r>
      <w:r>
        <w:t xml:space="preserve">predicted </w:t>
      </w:r>
      <w:r w:rsidRPr="002E3CCA">
        <w:t>pay inequality</w:t>
      </w:r>
      <w:r>
        <w:t xml:space="preserve">, to capture </w:t>
      </w:r>
      <w:r w:rsidRPr="00EB5970">
        <w:t>pay</w:t>
      </w:r>
      <w:r>
        <w:t xml:space="preserve"> </w:t>
      </w:r>
      <w:r w:rsidRPr="00EB5970">
        <w:t>inequity</w:t>
      </w:r>
      <w:r>
        <w:t xml:space="preserve"> in the next section. </w:t>
      </w:r>
    </w:p>
    <w:p w14:paraId="5314E4DB" w14:textId="65AA3947" w:rsidR="009A7B5F" w:rsidRDefault="003064E0" w:rsidP="00853595">
      <w:pPr>
        <w:pStyle w:val="Heading2"/>
        <w:numPr>
          <w:ilvl w:val="1"/>
          <w:numId w:val="3"/>
        </w:numPr>
      </w:pPr>
      <w:r>
        <w:t xml:space="preserve"> </w:t>
      </w:r>
      <w:r w:rsidR="009A7B5F">
        <w:t xml:space="preserve">The effect of </w:t>
      </w:r>
      <w:r w:rsidR="009A7B5F" w:rsidRPr="008B19D3">
        <w:t>pay ratios</w:t>
      </w:r>
      <w:r w:rsidR="009A7B5F" w:rsidRPr="0001651E">
        <w:rPr>
          <w:color w:val="FF0000"/>
        </w:rPr>
        <w:t xml:space="preserve"> </w:t>
      </w:r>
      <w:r w:rsidR="009A7B5F">
        <w:t>on employee performance</w:t>
      </w:r>
    </w:p>
    <w:p w14:paraId="639C9666" w14:textId="77777777" w:rsidR="009A7B5F" w:rsidRDefault="009A7B5F" w:rsidP="00843069">
      <w:pPr>
        <w:ind w:firstLine="0"/>
      </w:pPr>
      <w:r w:rsidRPr="00A353DC">
        <w:t xml:space="preserve">Table </w:t>
      </w:r>
      <w:r>
        <w:t>5</w:t>
      </w:r>
      <w:r w:rsidRPr="00A353DC">
        <w:t xml:space="preserve"> </w:t>
      </w:r>
      <w:r>
        <w:t xml:space="preserve">presents the model’s result using </w:t>
      </w:r>
      <w:r w:rsidRPr="00A353DC">
        <w:t xml:space="preserve">equation </w:t>
      </w:r>
      <w:r>
        <w:t>2</w:t>
      </w:r>
      <w:r w:rsidRPr="00A353DC">
        <w:t>, examining the relation</w:t>
      </w:r>
      <w:r>
        <w:t>ship</w:t>
      </w:r>
      <w:r w:rsidRPr="00A353DC">
        <w:t xml:space="preserve"> between pay ratios</w:t>
      </w:r>
      <w:r w:rsidRPr="00734E1D">
        <w:t xml:space="preserve"> and employee performance. First, we focus on the association between </w:t>
      </w:r>
      <w:r w:rsidRPr="006A4EBC">
        <w:t>pay</w:t>
      </w:r>
      <w:r>
        <w:t xml:space="preserve"> </w:t>
      </w:r>
      <w:r w:rsidRPr="006A4EBC">
        <w:t>inequality</w:t>
      </w:r>
      <w:r w:rsidRPr="00734E1D">
        <w:t xml:space="preserve"> and employee performance. As shown, in </w:t>
      </w:r>
      <w:r>
        <w:t xml:space="preserve">both </w:t>
      </w:r>
      <w:r w:rsidRPr="00734E1D">
        <w:t>column</w:t>
      </w:r>
      <w:r>
        <w:t>s</w:t>
      </w:r>
      <w:r w:rsidRPr="00734E1D">
        <w:t xml:space="preserve"> (1) and (5), the coefficient is negative and highly significant (p-value less than </w:t>
      </w:r>
      <w:r>
        <w:t>0.01)</w:t>
      </w:r>
      <w:r w:rsidRPr="00734E1D">
        <w:t>. Then, we examine whether there is a positive (negative) relation</w:t>
      </w:r>
      <w:r>
        <w:t>ship</w:t>
      </w:r>
      <w:r w:rsidRPr="00734E1D">
        <w:t xml:space="preserve"> between </w:t>
      </w:r>
      <w:r w:rsidRPr="006A4EBC">
        <w:t>pay equity (pay in</w:t>
      </w:r>
      <w:r>
        <w:t>e</w:t>
      </w:r>
      <w:r w:rsidRPr="006A4EBC">
        <w:t>quity) and</w:t>
      </w:r>
      <w:r w:rsidRPr="00734E1D">
        <w:t xml:space="preserve"> employee performance. </w:t>
      </w:r>
      <w:r>
        <w:t>T</w:t>
      </w:r>
      <w:r w:rsidRPr="00734E1D">
        <w:t>he coefficient</w:t>
      </w:r>
      <w:r>
        <w:t>s</w:t>
      </w:r>
      <w:r w:rsidRPr="00734E1D">
        <w:t xml:space="preserve"> of </w:t>
      </w:r>
      <w:r w:rsidRPr="006A4EBC">
        <w:t>pay equity</w:t>
      </w:r>
      <w:r w:rsidRPr="00734E1D">
        <w:t xml:space="preserve"> </w:t>
      </w:r>
      <w:r>
        <w:t>are not significant</w:t>
      </w:r>
      <w:r w:rsidRPr="00734E1D">
        <w:t xml:space="preserve"> </w:t>
      </w:r>
      <w:r>
        <w:t>in either column</w:t>
      </w:r>
      <w:r w:rsidRPr="00734E1D">
        <w:t xml:space="preserve"> (2) </w:t>
      </w:r>
      <w:r>
        <w:t>or column</w:t>
      </w:r>
      <w:r w:rsidRPr="00734E1D">
        <w:t xml:space="preserve"> (6</w:t>
      </w:r>
      <w:r>
        <w:t>)</w:t>
      </w:r>
      <w:r w:rsidRPr="00734E1D">
        <w:t xml:space="preserve">. Consistent with </w:t>
      </w:r>
      <w:r>
        <w:t>hypothesis H1,</w:t>
      </w:r>
      <w:r w:rsidRPr="00734E1D">
        <w:t xml:space="preserve"> we find </w:t>
      </w:r>
      <w:r>
        <w:t xml:space="preserve">a </w:t>
      </w:r>
      <w:r w:rsidRPr="00734E1D">
        <w:t>negative and significant (p-value less than</w:t>
      </w:r>
      <w:r>
        <w:t xml:space="preserve"> 0.01</w:t>
      </w:r>
      <w:r w:rsidRPr="00734E1D">
        <w:t>) relatio</w:t>
      </w:r>
      <w:r>
        <w:t>nship</w:t>
      </w:r>
      <w:r w:rsidRPr="00734E1D">
        <w:t xml:space="preserve"> between </w:t>
      </w:r>
      <w:r w:rsidRPr="006A4EBC">
        <w:t xml:space="preserve">pay inequity </w:t>
      </w:r>
      <w:r w:rsidRPr="00734E1D">
        <w:t>and employee performance in column</w:t>
      </w:r>
      <w:r>
        <w:t>s</w:t>
      </w:r>
      <w:r w:rsidRPr="00734E1D">
        <w:t xml:space="preserve"> (3) and (7). </w:t>
      </w:r>
      <w:r>
        <w:t>W</w:t>
      </w:r>
      <w:r w:rsidRPr="00A353DC">
        <w:t xml:space="preserve">e repeat our regression by including </w:t>
      </w:r>
      <w:r w:rsidRPr="006A4EBC">
        <w:t>both pay equity and pay in</w:t>
      </w:r>
      <w:r>
        <w:t>e</w:t>
      </w:r>
      <w:r w:rsidRPr="006A4EBC">
        <w:t>quity in</w:t>
      </w:r>
      <w:r w:rsidRPr="00A353DC">
        <w:t xml:space="preserve"> the equation (column</w:t>
      </w:r>
      <w:r>
        <w:t>s</w:t>
      </w:r>
      <w:r w:rsidRPr="00A353DC">
        <w:t xml:space="preserve"> (4) and (8)). The coefficient </w:t>
      </w:r>
      <w:r w:rsidRPr="006A4EBC">
        <w:t>of pay inequity</w:t>
      </w:r>
      <w:r w:rsidRPr="00A353DC">
        <w:t xml:space="preserve"> remains negative and highly significant (P-value =0</w:t>
      </w:r>
      <w:r>
        <w:t>.00</w:t>
      </w:r>
      <w:r w:rsidRPr="00A353DC">
        <w:t xml:space="preserve">). However, </w:t>
      </w:r>
      <w:r w:rsidRPr="006A4EBC">
        <w:t xml:space="preserve">pay equity turns more significantly negative in columns (4) and (8). </w:t>
      </w:r>
    </w:p>
    <w:p w14:paraId="0942B607" w14:textId="0C56ABF4" w:rsidR="009A7B5F" w:rsidRDefault="009A7B5F" w:rsidP="003064E0">
      <w:r>
        <w:t>W</w:t>
      </w:r>
      <w:r w:rsidRPr="0080162F">
        <w:t>e</w:t>
      </w:r>
      <w:r>
        <w:t xml:space="preserve"> also</w:t>
      </w:r>
      <w:r w:rsidRPr="0080162F">
        <w:t xml:space="preserve"> control the possible effect of other factors on employee performance.</w:t>
      </w:r>
      <w:r>
        <w:t xml:space="preserve"> As expected,</w:t>
      </w:r>
      <w:r w:rsidRPr="0080162F">
        <w:t xml:space="preserve"> </w:t>
      </w:r>
      <w:r>
        <w:t>t</w:t>
      </w:r>
      <w:r w:rsidRPr="0080162F">
        <w:t xml:space="preserve">he coefficient of </w:t>
      </w:r>
      <w:proofErr w:type="spellStart"/>
      <w:r w:rsidRPr="00B9351E">
        <w:rPr>
          <w:i/>
          <w:iCs/>
        </w:rPr>
        <w:t>LnAveEmployeePay</w:t>
      </w:r>
      <w:proofErr w:type="spellEnd"/>
      <w:r w:rsidRPr="0080162F">
        <w:t xml:space="preserve"> and </w:t>
      </w:r>
      <w:proofErr w:type="spellStart"/>
      <w:r w:rsidRPr="00AE5A7A">
        <w:rPr>
          <w:i/>
          <w:iCs/>
        </w:rPr>
        <w:t>LnRevenue</w:t>
      </w:r>
      <w:proofErr w:type="spellEnd"/>
      <w:r w:rsidRPr="0080162F">
        <w:t xml:space="preserve"> are mostly significantly positive. </w:t>
      </w:r>
      <w:r>
        <w:t>With regard to</w:t>
      </w:r>
      <w:r w:rsidRPr="0080162F">
        <w:t xml:space="preserve"> employee</w:t>
      </w:r>
      <w:r>
        <w:t>s'</w:t>
      </w:r>
      <w:r w:rsidRPr="0080162F">
        <w:t xml:space="preserve"> skill, </w:t>
      </w:r>
      <w:proofErr w:type="spellStart"/>
      <w:r w:rsidRPr="00B9351E">
        <w:rPr>
          <w:i/>
          <w:iCs/>
        </w:rPr>
        <w:t>PPEIntesity</w:t>
      </w:r>
      <w:proofErr w:type="spellEnd"/>
      <w:r w:rsidRPr="0080162F">
        <w:t xml:space="preserve"> is significantly positive</w:t>
      </w:r>
      <w:r>
        <w:t xml:space="preserve"> when we use </w:t>
      </w:r>
      <w:r w:rsidRPr="00084A2E">
        <w:rPr>
          <w:i/>
          <w:iCs/>
        </w:rPr>
        <w:t>SLE</w:t>
      </w:r>
      <w:r>
        <w:t xml:space="preserve"> as a measure of employee performance</w:t>
      </w:r>
      <w:r w:rsidRPr="0080162F">
        <w:t xml:space="preserve">. </w:t>
      </w:r>
      <w:r>
        <w:t xml:space="preserve">The consistent finding is that </w:t>
      </w:r>
      <w:r w:rsidRPr="0080162F">
        <w:t>highly skilled employee</w:t>
      </w:r>
      <w:r>
        <w:t>s</w:t>
      </w:r>
      <w:r w:rsidRPr="0080162F">
        <w:t xml:space="preserve"> have higher productivity. In addition, the result</w:t>
      </w:r>
      <w:r>
        <w:t>s</w:t>
      </w:r>
      <w:r w:rsidRPr="0080162F">
        <w:t xml:space="preserve"> show</w:t>
      </w:r>
      <w:r>
        <w:t xml:space="preserve"> that productivity is higher in concentrated industries. One explanation is that employees increase their performance to secure their careers because there is less outside opportunity for employees in highly concentrated industries. On the other hand, the company does not want to lose their employees because there are not enough potential employees in the market.  Therefore, the company also motivates its employees to achieve higher productivity. Our results show no significant relationship with other variables.</w:t>
      </w:r>
    </w:p>
    <w:p w14:paraId="740F54CD" w14:textId="0B354046" w:rsidR="003064E0" w:rsidRDefault="003064E0" w:rsidP="003064E0"/>
    <w:p w14:paraId="14EF8464" w14:textId="43B6A454" w:rsidR="003064E0" w:rsidRDefault="003064E0" w:rsidP="003064E0"/>
    <w:p w14:paraId="50CB069A" w14:textId="17C924DA" w:rsidR="003064E0" w:rsidRDefault="003064E0" w:rsidP="003064E0"/>
    <w:p w14:paraId="1A97900C" w14:textId="437DCF76" w:rsidR="003064E0" w:rsidRDefault="003064E0" w:rsidP="003064E0"/>
    <w:p w14:paraId="4C8CB70F" w14:textId="77777777" w:rsidR="003064E0" w:rsidRDefault="003064E0" w:rsidP="003064E0"/>
    <w:p w14:paraId="5F4DDE64" w14:textId="6E2F095B" w:rsidR="009A7B5F" w:rsidRPr="00146CD4" w:rsidRDefault="009A7B5F" w:rsidP="00146CD4">
      <w:pPr>
        <w:tabs>
          <w:tab w:val="left" w:pos="567"/>
        </w:tabs>
        <w:spacing w:line="240" w:lineRule="auto"/>
        <w:ind w:firstLine="0"/>
        <w:jc w:val="center"/>
        <w:rPr>
          <w:rFonts w:ascii="Times New Roman" w:eastAsiaTheme="minorHAnsi" w:hAnsi="Times New Roman" w:cs="Times New Roman"/>
          <w:b/>
          <w:bCs/>
          <w:sz w:val="22"/>
          <w:lang w:eastAsia="en-US"/>
        </w:rPr>
      </w:pPr>
      <w:r w:rsidRPr="00146CD4">
        <w:rPr>
          <w:rFonts w:ascii="Times New Roman" w:eastAsiaTheme="minorHAnsi" w:hAnsi="Times New Roman" w:cs="Times New Roman"/>
          <w:b/>
          <w:bCs/>
          <w:sz w:val="22"/>
          <w:lang w:eastAsia="en-US"/>
        </w:rPr>
        <w:lastRenderedPageBreak/>
        <w:t xml:space="preserve">Table </w:t>
      </w:r>
      <w:r w:rsidRPr="00146CD4">
        <w:rPr>
          <w:rFonts w:ascii="Times New Roman" w:eastAsiaTheme="minorHAnsi" w:hAnsi="Times New Roman" w:cs="Times New Roman"/>
          <w:b/>
          <w:bCs/>
          <w:sz w:val="22"/>
          <w:lang w:eastAsia="en-US"/>
        </w:rPr>
        <w:fldChar w:fldCharType="begin"/>
      </w:r>
      <w:r w:rsidRPr="00146CD4">
        <w:rPr>
          <w:rFonts w:ascii="Times New Roman" w:eastAsiaTheme="minorHAnsi" w:hAnsi="Times New Roman" w:cs="Times New Roman"/>
          <w:b/>
          <w:bCs/>
          <w:sz w:val="22"/>
          <w:lang w:eastAsia="en-US"/>
        </w:rPr>
        <w:instrText xml:space="preserve"> SEQ Table \* ARABIC </w:instrText>
      </w:r>
      <w:r w:rsidRPr="00146CD4">
        <w:rPr>
          <w:rFonts w:ascii="Times New Roman" w:eastAsiaTheme="minorHAnsi" w:hAnsi="Times New Roman" w:cs="Times New Roman"/>
          <w:b/>
          <w:bCs/>
          <w:sz w:val="22"/>
          <w:lang w:eastAsia="en-US"/>
        </w:rPr>
        <w:fldChar w:fldCharType="separate"/>
      </w:r>
      <w:r w:rsidR="00F45684">
        <w:rPr>
          <w:rFonts w:ascii="Times New Roman" w:eastAsiaTheme="minorHAnsi" w:hAnsi="Times New Roman" w:cs="Times New Roman"/>
          <w:b/>
          <w:bCs/>
          <w:noProof/>
          <w:sz w:val="22"/>
          <w:lang w:eastAsia="en-US"/>
        </w:rPr>
        <w:t>5</w:t>
      </w:r>
      <w:r w:rsidRPr="00146CD4">
        <w:rPr>
          <w:rFonts w:ascii="Times New Roman" w:eastAsiaTheme="minorHAnsi" w:hAnsi="Times New Roman" w:cs="Times New Roman"/>
          <w:b/>
          <w:bCs/>
          <w:sz w:val="22"/>
          <w:lang w:eastAsia="en-US"/>
        </w:rPr>
        <w:fldChar w:fldCharType="end"/>
      </w:r>
      <w:r w:rsidRPr="00146CD4">
        <w:rPr>
          <w:rFonts w:ascii="Times New Roman" w:eastAsiaTheme="minorHAnsi" w:hAnsi="Times New Roman" w:cs="Times New Roman"/>
          <w:b/>
          <w:bCs/>
          <w:sz w:val="22"/>
          <w:lang w:eastAsia="en-US"/>
        </w:rPr>
        <w:t>: Pay ratios and employee productivity</w:t>
      </w:r>
    </w:p>
    <w:tbl>
      <w:tblPr>
        <w:tblStyle w:val="TableGrid1"/>
        <w:tblW w:w="111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44"/>
        <w:gridCol w:w="1017"/>
        <w:gridCol w:w="1041"/>
        <w:gridCol w:w="954"/>
        <w:gridCol w:w="1042"/>
        <w:gridCol w:w="248"/>
        <w:gridCol w:w="1034"/>
        <w:gridCol w:w="1034"/>
        <w:gridCol w:w="1034"/>
        <w:gridCol w:w="1022"/>
        <w:gridCol w:w="13"/>
      </w:tblGrid>
      <w:tr w:rsidR="009A7B5F" w:rsidRPr="00B02459" w14:paraId="7AD28781" w14:textId="77777777" w:rsidTr="006F5B49">
        <w:trPr>
          <w:trHeight w:val="84"/>
          <w:jc w:val="center"/>
        </w:trPr>
        <w:tc>
          <w:tcPr>
            <w:tcW w:w="1809" w:type="dxa"/>
            <w:noWrap/>
            <w:vAlign w:val="center"/>
          </w:tcPr>
          <w:p w14:paraId="495996D7" w14:textId="77777777" w:rsidR="009A7B5F" w:rsidRPr="00B02459" w:rsidRDefault="009A7B5F" w:rsidP="009F5DF5">
            <w:pPr>
              <w:spacing w:line="240" w:lineRule="auto"/>
              <w:ind w:firstLine="0"/>
              <w:jc w:val="left"/>
              <w:rPr>
                <w:rFonts w:eastAsia="Times New Roman" w:cstheme="majorBidi"/>
                <w:color w:val="000000"/>
                <w:sz w:val="18"/>
                <w:szCs w:val="18"/>
              </w:rPr>
            </w:pPr>
          </w:p>
        </w:tc>
        <w:tc>
          <w:tcPr>
            <w:tcW w:w="944" w:type="dxa"/>
            <w:vAlign w:val="center"/>
          </w:tcPr>
          <w:p w14:paraId="0CFCA142" w14:textId="77777777" w:rsidR="009A7B5F" w:rsidRPr="00B02459" w:rsidRDefault="009A7B5F" w:rsidP="009F5DF5">
            <w:pPr>
              <w:spacing w:line="240" w:lineRule="auto"/>
              <w:ind w:firstLine="0"/>
              <w:jc w:val="left"/>
              <w:rPr>
                <w:rFonts w:eastAsia="Times New Roman" w:cstheme="majorBidi"/>
                <w:color w:val="000000"/>
                <w:sz w:val="18"/>
                <w:szCs w:val="18"/>
              </w:rPr>
            </w:pPr>
          </w:p>
        </w:tc>
        <w:tc>
          <w:tcPr>
            <w:tcW w:w="4054" w:type="dxa"/>
            <w:gridSpan w:val="4"/>
            <w:tcBorders>
              <w:bottom w:val="single" w:sz="2" w:space="0" w:color="auto"/>
            </w:tcBorders>
            <w:noWrap/>
            <w:vAlign w:val="center"/>
          </w:tcPr>
          <w:p w14:paraId="52C30AB6" w14:textId="77777777" w:rsidR="009A7B5F" w:rsidRPr="00B02459" w:rsidRDefault="009A7B5F" w:rsidP="009F5DF5">
            <w:pPr>
              <w:spacing w:line="240" w:lineRule="auto"/>
              <w:ind w:firstLine="0"/>
              <w:jc w:val="center"/>
              <w:rPr>
                <w:rFonts w:eastAsia="Times New Roman" w:cstheme="majorBidi"/>
                <w:color w:val="000000"/>
                <w:sz w:val="18"/>
                <w:szCs w:val="18"/>
              </w:rPr>
            </w:pPr>
            <w:r>
              <w:rPr>
                <w:rFonts w:eastAsia="Times New Roman" w:cstheme="majorBidi"/>
                <w:color w:val="000000"/>
                <w:sz w:val="18"/>
                <w:szCs w:val="18"/>
              </w:rPr>
              <w:t>TFP</w:t>
            </w:r>
          </w:p>
        </w:tc>
        <w:tc>
          <w:tcPr>
            <w:tcW w:w="248" w:type="dxa"/>
          </w:tcPr>
          <w:p w14:paraId="1F7EC8A1" w14:textId="77777777" w:rsidR="009A7B5F" w:rsidRPr="00B02459" w:rsidRDefault="009A7B5F" w:rsidP="009F5DF5">
            <w:pPr>
              <w:spacing w:line="240" w:lineRule="auto"/>
              <w:ind w:firstLine="0"/>
              <w:jc w:val="left"/>
              <w:rPr>
                <w:rFonts w:eastAsia="Times New Roman" w:cstheme="majorBidi"/>
                <w:color w:val="000000"/>
                <w:sz w:val="18"/>
                <w:szCs w:val="18"/>
              </w:rPr>
            </w:pPr>
          </w:p>
        </w:tc>
        <w:tc>
          <w:tcPr>
            <w:tcW w:w="4137" w:type="dxa"/>
            <w:gridSpan w:val="5"/>
            <w:tcBorders>
              <w:bottom w:val="single" w:sz="2" w:space="0" w:color="auto"/>
            </w:tcBorders>
            <w:noWrap/>
            <w:vAlign w:val="center"/>
          </w:tcPr>
          <w:p w14:paraId="5DE37A2A" w14:textId="77777777" w:rsidR="009A7B5F" w:rsidRPr="00B02459" w:rsidRDefault="009A7B5F" w:rsidP="009F5DF5">
            <w:pPr>
              <w:spacing w:line="240" w:lineRule="auto"/>
              <w:ind w:firstLine="0"/>
              <w:jc w:val="center"/>
              <w:rPr>
                <w:rFonts w:eastAsia="Times New Roman" w:cstheme="majorBidi"/>
                <w:color w:val="000000"/>
                <w:sz w:val="18"/>
                <w:szCs w:val="18"/>
              </w:rPr>
            </w:pPr>
            <w:r>
              <w:rPr>
                <w:rFonts w:eastAsia="Times New Roman" w:cstheme="majorBidi"/>
                <w:color w:val="000000"/>
                <w:sz w:val="18"/>
                <w:szCs w:val="18"/>
              </w:rPr>
              <w:t>SLE</w:t>
            </w:r>
          </w:p>
        </w:tc>
      </w:tr>
      <w:tr w:rsidR="006F5B49" w:rsidRPr="00B02459" w14:paraId="57A01A36" w14:textId="77777777" w:rsidTr="006F5B49">
        <w:trPr>
          <w:trHeight w:val="84"/>
          <w:jc w:val="center"/>
        </w:trPr>
        <w:tc>
          <w:tcPr>
            <w:tcW w:w="1809" w:type="dxa"/>
            <w:tcBorders>
              <w:bottom w:val="single" w:sz="2" w:space="0" w:color="auto"/>
            </w:tcBorders>
            <w:noWrap/>
            <w:vAlign w:val="center"/>
          </w:tcPr>
          <w:p w14:paraId="79A54F6E" w14:textId="77777777" w:rsidR="009A7B5F" w:rsidRPr="00B02459" w:rsidRDefault="009A7B5F" w:rsidP="009F5DF5">
            <w:pPr>
              <w:spacing w:line="240" w:lineRule="auto"/>
              <w:ind w:firstLine="0"/>
              <w:jc w:val="left"/>
              <w:rPr>
                <w:rFonts w:eastAsia="Times New Roman" w:cstheme="majorBidi"/>
                <w:color w:val="000000"/>
                <w:sz w:val="18"/>
                <w:szCs w:val="18"/>
              </w:rPr>
            </w:pPr>
          </w:p>
        </w:tc>
        <w:tc>
          <w:tcPr>
            <w:tcW w:w="944" w:type="dxa"/>
            <w:tcBorders>
              <w:bottom w:val="single" w:sz="2" w:space="0" w:color="auto"/>
            </w:tcBorders>
            <w:vAlign w:val="center"/>
          </w:tcPr>
          <w:p w14:paraId="55E51AA2" w14:textId="77777777" w:rsidR="009A7B5F" w:rsidRPr="00B02459" w:rsidRDefault="009A7B5F" w:rsidP="009F5DF5">
            <w:pPr>
              <w:spacing w:line="240" w:lineRule="auto"/>
              <w:ind w:firstLine="0"/>
              <w:jc w:val="left"/>
              <w:rPr>
                <w:rFonts w:eastAsia="Times New Roman" w:cstheme="majorBidi"/>
                <w:color w:val="000000"/>
                <w:sz w:val="18"/>
                <w:szCs w:val="18"/>
              </w:rPr>
            </w:pPr>
            <w:r w:rsidRPr="00B02459">
              <w:rPr>
                <w:rFonts w:eastAsia="Times New Roman" w:cstheme="majorBidi"/>
                <w:color w:val="000000"/>
                <w:sz w:val="18"/>
                <w:szCs w:val="18"/>
              </w:rPr>
              <w:t>Predicted Sign</w:t>
            </w:r>
          </w:p>
        </w:tc>
        <w:tc>
          <w:tcPr>
            <w:tcW w:w="1017" w:type="dxa"/>
            <w:tcBorders>
              <w:top w:val="single" w:sz="2" w:space="0" w:color="auto"/>
              <w:bottom w:val="single" w:sz="2" w:space="0" w:color="auto"/>
            </w:tcBorders>
            <w:noWrap/>
            <w:vAlign w:val="center"/>
          </w:tcPr>
          <w:p w14:paraId="513B9370" w14:textId="77777777" w:rsidR="009A7B5F" w:rsidRPr="00B02459" w:rsidRDefault="009A7B5F" w:rsidP="009F5DF5">
            <w:pPr>
              <w:spacing w:line="240" w:lineRule="auto"/>
              <w:ind w:firstLine="0"/>
              <w:jc w:val="left"/>
              <w:rPr>
                <w:rFonts w:eastAsia="Times New Roman" w:cstheme="majorBidi"/>
                <w:color w:val="000000"/>
                <w:sz w:val="18"/>
                <w:szCs w:val="18"/>
              </w:rPr>
            </w:pPr>
            <w:r w:rsidRPr="00B02459">
              <w:rPr>
                <w:rFonts w:eastAsia="Times New Roman" w:cstheme="majorBidi"/>
                <w:color w:val="000000"/>
                <w:sz w:val="18"/>
                <w:szCs w:val="18"/>
              </w:rPr>
              <w:t>(1)</w:t>
            </w:r>
          </w:p>
        </w:tc>
        <w:tc>
          <w:tcPr>
            <w:tcW w:w="1041" w:type="dxa"/>
            <w:tcBorders>
              <w:top w:val="single" w:sz="2" w:space="0" w:color="auto"/>
              <w:bottom w:val="single" w:sz="2" w:space="0" w:color="auto"/>
            </w:tcBorders>
            <w:noWrap/>
            <w:vAlign w:val="center"/>
          </w:tcPr>
          <w:p w14:paraId="759420AD" w14:textId="77777777" w:rsidR="009A7B5F" w:rsidRPr="00B02459" w:rsidRDefault="009A7B5F" w:rsidP="009F5DF5">
            <w:pPr>
              <w:spacing w:line="240" w:lineRule="auto"/>
              <w:ind w:firstLine="0"/>
              <w:jc w:val="left"/>
              <w:rPr>
                <w:rFonts w:eastAsia="Times New Roman" w:cstheme="majorBidi"/>
                <w:color w:val="000000"/>
                <w:sz w:val="18"/>
                <w:szCs w:val="18"/>
              </w:rPr>
            </w:pPr>
            <w:r w:rsidRPr="00B02459">
              <w:rPr>
                <w:rFonts w:eastAsia="Times New Roman" w:cstheme="majorBidi"/>
                <w:color w:val="000000"/>
                <w:sz w:val="18"/>
                <w:szCs w:val="18"/>
              </w:rPr>
              <w:t>(2)</w:t>
            </w:r>
          </w:p>
        </w:tc>
        <w:tc>
          <w:tcPr>
            <w:tcW w:w="954" w:type="dxa"/>
            <w:tcBorders>
              <w:top w:val="single" w:sz="2" w:space="0" w:color="auto"/>
              <w:bottom w:val="single" w:sz="2" w:space="0" w:color="auto"/>
            </w:tcBorders>
            <w:noWrap/>
            <w:vAlign w:val="center"/>
          </w:tcPr>
          <w:p w14:paraId="4EB689C1" w14:textId="77777777" w:rsidR="009A7B5F" w:rsidRPr="00B02459" w:rsidRDefault="009A7B5F" w:rsidP="009F5DF5">
            <w:pPr>
              <w:spacing w:line="240" w:lineRule="auto"/>
              <w:ind w:firstLine="0"/>
              <w:jc w:val="left"/>
              <w:rPr>
                <w:rFonts w:eastAsia="Times New Roman" w:cstheme="majorBidi"/>
                <w:color w:val="000000"/>
                <w:sz w:val="18"/>
                <w:szCs w:val="18"/>
              </w:rPr>
            </w:pPr>
            <w:r w:rsidRPr="00B02459">
              <w:rPr>
                <w:rFonts w:eastAsia="Times New Roman" w:cstheme="majorBidi"/>
                <w:color w:val="000000"/>
                <w:sz w:val="18"/>
                <w:szCs w:val="18"/>
              </w:rPr>
              <w:t>(3)</w:t>
            </w:r>
          </w:p>
        </w:tc>
        <w:tc>
          <w:tcPr>
            <w:tcW w:w="1041" w:type="dxa"/>
            <w:tcBorders>
              <w:top w:val="single" w:sz="2" w:space="0" w:color="auto"/>
              <w:bottom w:val="single" w:sz="2" w:space="0" w:color="auto"/>
            </w:tcBorders>
            <w:vAlign w:val="center"/>
          </w:tcPr>
          <w:p w14:paraId="4BCF8329" w14:textId="77777777" w:rsidR="009A7B5F" w:rsidRPr="00B02459" w:rsidRDefault="009A7B5F" w:rsidP="009F5DF5">
            <w:pPr>
              <w:spacing w:line="240" w:lineRule="auto"/>
              <w:ind w:firstLine="0"/>
              <w:jc w:val="left"/>
              <w:rPr>
                <w:rFonts w:eastAsia="Times New Roman" w:cstheme="majorBidi"/>
                <w:color w:val="000000"/>
                <w:sz w:val="18"/>
                <w:szCs w:val="18"/>
              </w:rPr>
            </w:pPr>
            <w:r>
              <w:rPr>
                <w:rFonts w:eastAsia="Times New Roman" w:cstheme="majorBidi"/>
                <w:color w:val="000000"/>
                <w:sz w:val="18"/>
                <w:szCs w:val="18"/>
              </w:rPr>
              <w:t>(4)</w:t>
            </w:r>
          </w:p>
        </w:tc>
        <w:tc>
          <w:tcPr>
            <w:tcW w:w="248" w:type="dxa"/>
          </w:tcPr>
          <w:p w14:paraId="72E791C2" w14:textId="77777777" w:rsidR="009A7B5F" w:rsidRPr="00B02459" w:rsidRDefault="009A7B5F" w:rsidP="009F5DF5">
            <w:pPr>
              <w:spacing w:line="240" w:lineRule="auto"/>
              <w:ind w:firstLine="0"/>
              <w:jc w:val="left"/>
              <w:rPr>
                <w:rFonts w:eastAsia="Times New Roman" w:cstheme="majorBidi"/>
                <w:color w:val="000000"/>
                <w:sz w:val="18"/>
                <w:szCs w:val="18"/>
              </w:rPr>
            </w:pPr>
          </w:p>
        </w:tc>
        <w:tc>
          <w:tcPr>
            <w:tcW w:w="1034" w:type="dxa"/>
            <w:tcBorders>
              <w:top w:val="single" w:sz="2" w:space="0" w:color="auto"/>
              <w:bottom w:val="single" w:sz="2" w:space="0" w:color="auto"/>
            </w:tcBorders>
            <w:noWrap/>
            <w:vAlign w:val="center"/>
          </w:tcPr>
          <w:p w14:paraId="38CFC5D3" w14:textId="77777777" w:rsidR="009A7B5F" w:rsidRPr="00B02459" w:rsidRDefault="009A7B5F" w:rsidP="009F5DF5">
            <w:pPr>
              <w:spacing w:line="240" w:lineRule="auto"/>
              <w:ind w:firstLine="0"/>
              <w:jc w:val="left"/>
              <w:rPr>
                <w:rFonts w:eastAsia="Times New Roman" w:cstheme="majorBidi"/>
                <w:color w:val="000000"/>
                <w:sz w:val="18"/>
                <w:szCs w:val="18"/>
              </w:rPr>
            </w:pPr>
            <w:r w:rsidRPr="00B02459">
              <w:rPr>
                <w:rFonts w:eastAsia="Times New Roman" w:cstheme="majorBidi"/>
                <w:color w:val="000000"/>
                <w:sz w:val="18"/>
                <w:szCs w:val="18"/>
              </w:rPr>
              <w:t>(</w:t>
            </w:r>
            <w:r>
              <w:rPr>
                <w:rFonts w:eastAsia="Times New Roman" w:cstheme="majorBidi"/>
                <w:color w:val="000000"/>
                <w:sz w:val="18"/>
                <w:szCs w:val="18"/>
              </w:rPr>
              <w:t>5</w:t>
            </w:r>
            <w:r w:rsidRPr="00B02459">
              <w:rPr>
                <w:rFonts w:eastAsia="Times New Roman" w:cstheme="majorBidi"/>
                <w:color w:val="000000"/>
                <w:sz w:val="18"/>
                <w:szCs w:val="18"/>
              </w:rPr>
              <w:t>)</w:t>
            </w:r>
          </w:p>
        </w:tc>
        <w:tc>
          <w:tcPr>
            <w:tcW w:w="1034" w:type="dxa"/>
            <w:tcBorders>
              <w:top w:val="single" w:sz="2" w:space="0" w:color="auto"/>
              <w:bottom w:val="single" w:sz="2" w:space="0" w:color="auto"/>
            </w:tcBorders>
            <w:noWrap/>
            <w:vAlign w:val="center"/>
          </w:tcPr>
          <w:p w14:paraId="15E4FD5B" w14:textId="77777777" w:rsidR="009A7B5F" w:rsidRPr="00B02459" w:rsidRDefault="009A7B5F" w:rsidP="009F5DF5">
            <w:pPr>
              <w:spacing w:line="240" w:lineRule="auto"/>
              <w:ind w:firstLine="0"/>
              <w:jc w:val="left"/>
              <w:rPr>
                <w:rFonts w:eastAsia="Times New Roman" w:cstheme="majorBidi"/>
                <w:color w:val="000000"/>
                <w:sz w:val="18"/>
                <w:szCs w:val="18"/>
              </w:rPr>
            </w:pPr>
            <w:r w:rsidRPr="00B02459">
              <w:rPr>
                <w:rFonts w:eastAsia="Times New Roman" w:cstheme="majorBidi"/>
                <w:color w:val="000000"/>
                <w:sz w:val="18"/>
                <w:szCs w:val="18"/>
              </w:rPr>
              <w:t>(</w:t>
            </w:r>
            <w:r>
              <w:rPr>
                <w:rFonts w:eastAsia="Times New Roman" w:cstheme="majorBidi"/>
                <w:color w:val="000000"/>
                <w:sz w:val="18"/>
                <w:szCs w:val="18"/>
              </w:rPr>
              <w:t>6</w:t>
            </w:r>
            <w:r w:rsidRPr="00B02459">
              <w:rPr>
                <w:rFonts w:eastAsia="Times New Roman" w:cstheme="majorBidi"/>
                <w:color w:val="000000"/>
                <w:sz w:val="18"/>
                <w:szCs w:val="18"/>
              </w:rPr>
              <w:t>)</w:t>
            </w:r>
          </w:p>
        </w:tc>
        <w:tc>
          <w:tcPr>
            <w:tcW w:w="1034" w:type="dxa"/>
            <w:tcBorders>
              <w:top w:val="single" w:sz="2" w:space="0" w:color="auto"/>
              <w:bottom w:val="single" w:sz="2" w:space="0" w:color="auto"/>
            </w:tcBorders>
            <w:noWrap/>
            <w:vAlign w:val="center"/>
          </w:tcPr>
          <w:p w14:paraId="0CD84D66" w14:textId="77777777" w:rsidR="009A7B5F" w:rsidRPr="00B02459" w:rsidRDefault="009A7B5F" w:rsidP="009F5DF5">
            <w:pPr>
              <w:spacing w:line="240" w:lineRule="auto"/>
              <w:ind w:firstLine="0"/>
              <w:jc w:val="left"/>
              <w:rPr>
                <w:rFonts w:eastAsia="Times New Roman" w:cstheme="majorBidi"/>
                <w:color w:val="000000"/>
                <w:sz w:val="18"/>
                <w:szCs w:val="18"/>
              </w:rPr>
            </w:pPr>
            <w:r w:rsidRPr="00B02459">
              <w:rPr>
                <w:rFonts w:eastAsia="Times New Roman" w:cstheme="majorBidi"/>
                <w:color w:val="000000"/>
                <w:sz w:val="18"/>
                <w:szCs w:val="18"/>
              </w:rPr>
              <w:t>(</w:t>
            </w:r>
            <w:r>
              <w:rPr>
                <w:rFonts w:eastAsia="Times New Roman" w:cstheme="majorBidi"/>
                <w:color w:val="000000"/>
                <w:sz w:val="18"/>
                <w:szCs w:val="18"/>
              </w:rPr>
              <w:t>7</w:t>
            </w:r>
            <w:r w:rsidRPr="00B02459">
              <w:rPr>
                <w:rFonts w:eastAsia="Times New Roman" w:cstheme="majorBidi"/>
                <w:color w:val="000000"/>
                <w:sz w:val="18"/>
                <w:szCs w:val="18"/>
              </w:rPr>
              <w:t>)</w:t>
            </w:r>
          </w:p>
        </w:tc>
        <w:tc>
          <w:tcPr>
            <w:tcW w:w="1034" w:type="dxa"/>
            <w:gridSpan w:val="2"/>
            <w:tcBorders>
              <w:top w:val="single" w:sz="2" w:space="0" w:color="auto"/>
              <w:bottom w:val="single" w:sz="2" w:space="0" w:color="auto"/>
            </w:tcBorders>
            <w:vAlign w:val="center"/>
          </w:tcPr>
          <w:p w14:paraId="611E0484" w14:textId="77777777" w:rsidR="009A7B5F" w:rsidRPr="00B02459" w:rsidRDefault="009A7B5F" w:rsidP="009F5DF5">
            <w:pPr>
              <w:spacing w:line="240" w:lineRule="auto"/>
              <w:ind w:firstLine="0"/>
              <w:jc w:val="left"/>
              <w:rPr>
                <w:rFonts w:eastAsia="Times New Roman" w:cstheme="majorBidi"/>
                <w:color w:val="000000"/>
                <w:sz w:val="18"/>
                <w:szCs w:val="18"/>
              </w:rPr>
            </w:pPr>
            <w:r>
              <w:rPr>
                <w:rFonts w:eastAsia="Times New Roman" w:cstheme="majorBidi"/>
                <w:color w:val="000000"/>
                <w:sz w:val="18"/>
                <w:szCs w:val="18"/>
              </w:rPr>
              <w:t>(8)</w:t>
            </w:r>
          </w:p>
        </w:tc>
      </w:tr>
      <w:tr w:rsidR="006F5B49" w:rsidRPr="0051713D" w14:paraId="4B78EBEA" w14:textId="77777777" w:rsidTr="006F5B49">
        <w:trPr>
          <w:trHeight w:val="84"/>
          <w:jc w:val="center"/>
        </w:trPr>
        <w:tc>
          <w:tcPr>
            <w:tcW w:w="1809" w:type="dxa"/>
            <w:tcBorders>
              <w:top w:val="single" w:sz="2" w:space="0" w:color="auto"/>
            </w:tcBorders>
            <w:noWrap/>
            <w:vAlign w:val="center"/>
            <w:hideMark/>
          </w:tcPr>
          <w:p w14:paraId="341A76CA"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Pay</w:t>
            </w:r>
            <w:r>
              <w:rPr>
                <w:rFonts w:eastAsia="Times New Roman" w:cstheme="majorBidi"/>
                <w:color w:val="000000"/>
                <w:sz w:val="18"/>
                <w:szCs w:val="18"/>
              </w:rPr>
              <w:t xml:space="preserve"> </w:t>
            </w:r>
            <w:r w:rsidRPr="0051713D">
              <w:rPr>
                <w:rFonts w:eastAsia="Times New Roman" w:cstheme="majorBidi"/>
                <w:color w:val="000000"/>
                <w:sz w:val="18"/>
                <w:szCs w:val="18"/>
              </w:rPr>
              <w:t>Inequality</w:t>
            </w:r>
          </w:p>
        </w:tc>
        <w:tc>
          <w:tcPr>
            <w:tcW w:w="944" w:type="dxa"/>
            <w:tcBorders>
              <w:top w:val="single" w:sz="2" w:space="0" w:color="auto"/>
            </w:tcBorders>
            <w:vAlign w:val="center"/>
          </w:tcPr>
          <w:p w14:paraId="764BEFCF"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w:t>
            </w:r>
          </w:p>
        </w:tc>
        <w:tc>
          <w:tcPr>
            <w:tcW w:w="1017" w:type="dxa"/>
            <w:tcBorders>
              <w:top w:val="single" w:sz="2" w:space="0" w:color="auto"/>
            </w:tcBorders>
            <w:noWrap/>
            <w:vAlign w:val="center"/>
            <w:hideMark/>
          </w:tcPr>
          <w:p w14:paraId="5A3BBC87"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-0.346***</w:t>
            </w:r>
          </w:p>
        </w:tc>
        <w:tc>
          <w:tcPr>
            <w:tcW w:w="1041" w:type="dxa"/>
            <w:tcBorders>
              <w:top w:val="single" w:sz="2" w:space="0" w:color="auto"/>
            </w:tcBorders>
            <w:noWrap/>
            <w:vAlign w:val="center"/>
            <w:hideMark/>
          </w:tcPr>
          <w:p w14:paraId="40BC6946"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954" w:type="dxa"/>
            <w:tcBorders>
              <w:top w:val="single" w:sz="2" w:space="0" w:color="auto"/>
            </w:tcBorders>
            <w:noWrap/>
            <w:vAlign w:val="center"/>
            <w:hideMark/>
          </w:tcPr>
          <w:p w14:paraId="171F814B" w14:textId="77777777" w:rsidR="009A7B5F" w:rsidRPr="0051713D" w:rsidRDefault="009A7B5F" w:rsidP="009F5DF5">
            <w:pPr>
              <w:spacing w:line="240" w:lineRule="auto"/>
              <w:ind w:firstLine="0"/>
              <w:jc w:val="left"/>
              <w:rPr>
                <w:rFonts w:eastAsia="Times New Roman" w:cstheme="majorBidi"/>
                <w:sz w:val="18"/>
                <w:szCs w:val="18"/>
              </w:rPr>
            </w:pPr>
          </w:p>
        </w:tc>
        <w:tc>
          <w:tcPr>
            <w:tcW w:w="1041" w:type="dxa"/>
            <w:tcBorders>
              <w:top w:val="single" w:sz="2" w:space="0" w:color="auto"/>
            </w:tcBorders>
            <w:vAlign w:val="center"/>
          </w:tcPr>
          <w:p w14:paraId="2EAFCC13" w14:textId="77777777" w:rsidR="009A7B5F" w:rsidRPr="0051713D" w:rsidRDefault="009A7B5F" w:rsidP="009F5DF5">
            <w:pPr>
              <w:spacing w:line="240" w:lineRule="auto"/>
              <w:ind w:firstLine="0"/>
              <w:jc w:val="left"/>
              <w:rPr>
                <w:rFonts w:eastAsia="Times New Roman" w:cstheme="majorBidi"/>
                <w:sz w:val="18"/>
                <w:szCs w:val="18"/>
              </w:rPr>
            </w:pPr>
          </w:p>
        </w:tc>
        <w:tc>
          <w:tcPr>
            <w:tcW w:w="248" w:type="dxa"/>
          </w:tcPr>
          <w:p w14:paraId="2934C6BA"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34" w:type="dxa"/>
            <w:tcBorders>
              <w:top w:val="single" w:sz="2" w:space="0" w:color="auto"/>
            </w:tcBorders>
            <w:noWrap/>
            <w:vAlign w:val="center"/>
            <w:hideMark/>
          </w:tcPr>
          <w:p w14:paraId="68B88E88"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-0.305***</w:t>
            </w:r>
          </w:p>
        </w:tc>
        <w:tc>
          <w:tcPr>
            <w:tcW w:w="1034" w:type="dxa"/>
            <w:tcBorders>
              <w:top w:val="single" w:sz="2" w:space="0" w:color="auto"/>
            </w:tcBorders>
            <w:noWrap/>
            <w:vAlign w:val="center"/>
            <w:hideMark/>
          </w:tcPr>
          <w:p w14:paraId="0B40E3C2"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34" w:type="dxa"/>
            <w:tcBorders>
              <w:top w:val="single" w:sz="2" w:space="0" w:color="auto"/>
            </w:tcBorders>
            <w:noWrap/>
            <w:vAlign w:val="center"/>
            <w:hideMark/>
          </w:tcPr>
          <w:p w14:paraId="536E2F9D" w14:textId="77777777" w:rsidR="009A7B5F" w:rsidRPr="0051713D" w:rsidRDefault="009A7B5F" w:rsidP="009F5DF5">
            <w:pPr>
              <w:spacing w:line="240" w:lineRule="auto"/>
              <w:ind w:firstLine="0"/>
              <w:jc w:val="left"/>
              <w:rPr>
                <w:rFonts w:eastAsia="Times New Roman" w:cstheme="majorBidi"/>
                <w:sz w:val="18"/>
                <w:szCs w:val="18"/>
              </w:rPr>
            </w:pPr>
          </w:p>
        </w:tc>
        <w:tc>
          <w:tcPr>
            <w:tcW w:w="1034" w:type="dxa"/>
            <w:gridSpan w:val="2"/>
            <w:tcBorders>
              <w:top w:val="single" w:sz="2" w:space="0" w:color="auto"/>
            </w:tcBorders>
            <w:vAlign w:val="center"/>
          </w:tcPr>
          <w:p w14:paraId="45258555" w14:textId="77777777" w:rsidR="009A7B5F" w:rsidRPr="0051713D" w:rsidRDefault="009A7B5F" w:rsidP="009F5DF5">
            <w:pPr>
              <w:spacing w:line="240" w:lineRule="auto"/>
              <w:ind w:firstLine="0"/>
              <w:jc w:val="left"/>
              <w:rPr>
                <w:rFonts w:eastAsia="Times New Roman" w:cstheme="majorBidi"/>
                <w:color w:val="000000"/>
                <w:sz w:val="18"/>
                <w:szCs w:val="18"/>
              </w:rPr>
            </w:pPr>
          </w:p>
        </w:tc>
      </w:tr>
      <w:tr w:rsidR="006F5B49" w:rsidRPr="0051713D" w14:paraId="5A0E179B" w14:textId="77777777" w:rsidTr="006F5B49">
        <w:trPr>
          <w:trHeight w:val="84"/>
          <w:jc w:val="center"/>
        </w:trPr>
        <w:tc>
          <w:tcPr>
            <w:tcW w:w="1809" w:type="dxa"/>
            <w:noWrap/>
            <w:vAlign w:val="center"/>
            <w:hideMark/>
          </w:tcPr>
          <w:p w14:paraId="78FF4845" w14:textId="77777777" w:rsidR="009A7B5F" w:rsidRPr="0051713D" w:rsidRDefault="009A7B5F" w:rsidP="009F5DF5">
            <w:pPr>
              <w:spacing w:line="240" w:lineRule="auto"/>
              <w:ind w:firstLine="0"/>
              <w:jc w:val="left"/>
              <w:rPr>
                <w:rFonts w:eastAsia="Times New Roman" w:cstheme="majorBidi"/>
                <w:sz w:val="18"/>
                <w:szCs w:val="18"/>
              </w:rPr>
            </w:pPr>
          </w:p>
        </w:tc>
        <w:tc>
          <w:tcPr>
            <w:tcW w:w="944" w:type="dxa"/>
            <w:vAlign w:val="center"/>
          </w:tcPr>
          <w:p w14:paraId="74847E38"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19EB0DA0"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(0.0000)</w:t>
            </w:r>
          </w:p>
        </w:tc>
        <w:tc>
          <w:tcPr>
            <w:tcW w:w="1041" w:type="dxa"/>
            <w:noWrap/>
            <w:vAlign w:val="center"/>
            <w:hideMark/>
          </w:tcPr>
          <w:p w14:paraId="69768086"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954" w:type="dxa"/>
            <w:noWrap/>
            <w:vAlign w:val="center"/>
            <w:hideMark/>
          </w:tcPr>
          <w:p w14:paraId="022D86E0"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41" w:type="dxa"/>
            <w:vAlign w:val="center"/>
          </w:tcPr>
          <w:p w14:paraId="279BEBF6" w14:textId="77777777" w:rsidR="009A7B5F" w:rsidRPr="0051713D" w:rsidRDefault="009A7B5F" w:rsidP="009F5DF5">
            <w:pPr>
              <w:spacing w:line="240" w:lineRule="auto"/>
              <w:jc w:val="left"/>
              <w:rPr>
                <w:rFonts w:cstheme="majorBidi"/>
                <w:sz w:val="18"/>
                <w:szCs w:val="18"/>
              </w:rPr>
            </w:pPr>
          </w:p>
        </w:tc>
        <w:tc>
          <w:tcPr>
            <w:tcW w:w="248" w:type="dxa"/>
          </w:tcPr>
          <w:p w14:paraId="23B7F2C5"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62E93519"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(0.0000)</w:t>
            </w:r>
          </w:p>
        </w:tc>
        <w:tc>
          <w:tcPr>
            <w:tcW w:w="1034" w:type="dxa"/>
            <w:noWrap/>
            <w:vAlign w:val="center"/>
            <w:hideMark/>
          </w:tcPr>
          <w:p w14:paraId="27A6EF81"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4A3EDF29"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34" w:type="dxa"/>
            <w:gridSpan w:val="2"/>
            <w:vAlign w:val="center"/>
          </w:tcPr>
          <w:p w14:paraId="690403AE" w14:textId="77777777" w:rsidR="009A7B5F" w:rsidRPr="0051713D" w:rsidRDefault="009A7B5F" w:rsidP="009F5DF5">
            <w:pPr>
              <w:spacing w:line="240" w:lineRule="auto"/>
              <w:ind w:firstLine="0"/>
              <w:jc w:val="left"/>
              <w:rPr>
                <w:rFonts w:eastAsia="Times New Roman" w:cstheme="majorBidi"/>
                <w:color w:val="000000"/>
                <w:sz w:val="18"/>
                <w:szCs w:val="18"/>
              </w:rPr>
            </w:pPr>
          </w:p>
        </w:tc>
      </w:tr>
      <w:tr w:rsidR="006F5B49" w:rsidRPr="0051713D" w14:paraId="7DAD1991" w14:textId="77777777" w:rsidTr="006F5B49">
        <w:trPr>
          <w:trHeight w:val="84"/>
          <w:jc w:val="center"/>
        </w:trPr>
        <w:tc>
          <w:tcPr>
            <w:tcW w:w="1809" w:type="dxa"/>
            <w:noWrap/>
            <w:vAlign w:val="center"/>
            <w:hideMark/>
          </w:tcPr>
          <w:p w14:paraId="69AC76A3"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 xml:space="preserve">Pay </w:t>
            </w:r>
            <w:r>
              <w:rPr>
                <w:rFonts w:eastAsia="Times New Roman" w:cstheme="majorBidi"/>
                <w:color w:val="000000"/>
                <w:sz w:val="18"/>
                <w:szCs w:val="18"/>
              </w:rPr>
              <w:t>E</w:t>
            </w:r>
            <w:r w:rsidRPr="00964C6C">
              <w:rPr>
                <w:rFonts w:eastAsia="Times New Roman" w:cstheme="majorBidi"/>
                <w:color w:val="000000"/>
                <w:sz w:val="18"/>
                <w:szCs w:val="18"/>
              </w:rPr>
              <w:t>quity</w:t>
            </w:r>
          </w:p>
        </w:tc>
        <w:tc>
          <w:tcPr>
            <w:tcW w:w="944" w:type="dxa"/>
            <w:vAlign w:val="center"/>
          </w:tcPr>
          <w:p w14:paraId="1850498C"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w:t>
            </w:r>
          </w:p>
        </w:tc>
        <w:tc>
          <w:tcPr>
            <w:tcW w:w="1017" w:type="dxa"/>
            <w:noWrap/>
            <w:vAlign w:val="center"/>
            <w:hideMark/>
          </w:tcPr>
          <w:p w14:paraId="5B223CC6"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41" w:type="dxa"/>
            <w:noWrap/>
            <w:vAlign w:val="center"/>
            <w:hideMark/>
          </w:tcPr>
          <w:p w14:paraId="4B826B9E"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-0.295*</w:t>
            </w:r>
          </w:p>
        </w:tc>
        <w:tc>
          <w:tcPr>
            <w:tcW w:w="954" w:type="dxa"/>
            <w:noWrap/>
            <w:vAlign w:val="center"/>
            <w:hideMark/>
          </w:tcPr>
          <w:p w14:paraId="6567779E"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41" w:type="dxa"/>
            <w:vAlign w:val="center"/>
          </w:tcPr>
          <w:p w14:paraId="4D64E5D4"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-0.490***</w:t>
            </w:r>
          </w:p>
        </w:tc>
        <w:tc>
          <w:tcPr>
            <w:tcW w:w="248" w:type="dxa"/>
          </w:tcPr>
          <w:p w14:paraId="32D1D267" w14:textId="77777777" w:rsidR="009A7B5F" w:rsidRPr="00964C6C" w:rsidRDefault="009A7B5F" w:rsidP="009F5DF5">
            <w:pPr>
              <w:spacing w:line="240" w:lineRule="auto"/>
              <w:ind w:firstLine="0"/>
              <w:jc w:val="left"/>
              <w:rPr>
                <w:rFonts w:eastAsia="Times New Roman" w:cstheme="majorBidi"/>
                <w:sz w:val="18"/>
                <w:szCs w:val="18"/>
              </w:rPr>
            </w:pPr>
          </w:p>
        </w:tc>
        <w:tc>
          <w:tcPr>
            <w:tcW w:w="1034" w:type="dxa"/>
            <w:noWrap/>
            <w:vAlign w:val="center"/>
            <w:hideMark/>
          </w:tcPr>
          <w:p w14:paraId="368191D6" w14:textId="77777777" w:rsidR="009A7B5F" w:rsidRPr="00964C6C" w:rsidRDefault="009A7B5F" w:rsidP="009F5DF5">
            <w:pPr>
              <w:spacing w:line="240" w:lineRule="auto"/>
              <w:ind w:firstLine="0"/>
              <w:jc w:val="left"/>
              <w:rPr>
                <w:rFonts w:eastAsia="Times New Roman" w:cstheme="majorBidi"/>
                <w:sz w:val="18"/>
                <w:szCs w:val="18"/>
              </w:rPr>
            </w:pPr>
          </w:p>
        </w:tc>
        <w:tc>
          <w:tcPr>
            <w:tcW w:w="1034" w:type="dxa"/>
            <w:noWrap/>
            <w:vAlign w:val="center"/>
            <w:hideMark/>
          </w:tcPr>
          <w:p w14:paraId="23C47F1C"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-0.101</w:t>
            </w:r>
          </w:p>
        </w:tc>
        <w:tc>
          <w:tcPr>
            <w:tcW w:w="1034" w:type="dxa"/>
            <w:noWrap/>
            <w:vAlign w:val="center"/>
            <w:hideMark/>
          </w:tcPr>
          <w:p w14:paraId="444D09C6"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gridSpan w:val="2"/>
            <w:vAlign w:val="center"/>
          </w:tcPr>
          <w:p w14:paraId="5A7CB809"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-0.283*</w:t>
            </w:r>
          </w:p>
        </w:tc>
      </w:tr>
      <w:tr w:rsidR="006F5B49" w:rsidRPr="0051713D" w14:paraId="32BAF500" w14:textId="77777777" w:rsidTr="006F5B49">
        <w:trPr>
          <w:trHeight w:val="84"/>
          <w:jc w:val="center"/>
        </w:trPr>
        <w:tc>
          <w:tcPr>
            <w:tcW w:w="1809" w:type="dxa"/>
            <w:noWrap/>
            <w:vAlign w:val="center"/>
            <w:hideMark/>
          </w:tcPr>
          <w:p w14:paraId="74BAC9E2" w14:textId="77777777" w:rsidR="009A7B5F" w:rsidRPr="00964C6C" w:rsidRDefault="009A7B5F" w:rsidP="009F5DF5">
            <w:pPr>
              <w:spacing w:line="240" w:lineRule="auto"/>
              <w:ind w:firstLine="0"/>
              <w:jc w:val="left"/>
              <w:rPr>
                <w:rFonts w:eastAsia="Times New Roman" w:cstheme="majorBidi"/>
                <w:sz w:val="18"/>
                <w:szCs w:val="18"/>
              </w:rPr>
            </w:pPr>
          </w:p>
        </w:tc>
        <w:tc>
          <w:tcPr>
            <w:tcW w:w="944" w:type="dxa"/>
            <w:vAlign w:val="center"/>
          </w:tcPr>
          <w:p w14:paraId="3CDFC6D5"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6FDBAA39"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41" w:type="dxa"/>
            <w:noWrap/>
            <w:vAlign w:val="center"/>
            <w:hideMark/>
          </w:tcPr>
          <w:p w14:paraId="591E4C89"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(0.0821)</w:t>
            </w:r>
          </w:p>
        </w:tc>
        <w:tc>
          <w:tcPr>
            <w:tcW w:w="954" w:type="dxa"/>
            <w:noWrap/>
            <w:vAlign w:val="center"/>
            <w:hideMark/>
          </w:tcPr>
          <w:p w14:paraId="7A6AF91C"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41" w:type="dxa"/>
            <w:vAlign w:val="center"/>
          </w:tcPr>
          <w:p w14:paraId="74E3A31A"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(0.0032)</w:t>
            </w:r>
          </w:p>
        </w:tc>
        <w:tc>
          <w:tcPr>
            <w:tcW w:w="248" w:type="dxa"/>
          </w:tcPr>
          <w:p w14:paraId="5BF50711"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621D034C"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0E145893"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(0.5355)</w:t>
            </w:r>
          </w:p>
        </w:tc>
        <w:tc>
          <w:tcPr>
            <w:tcW w:w="1034" w:type="dxa"/>
            <w:noWrap/>
            <w:vAlign w:val="center"/>
            <w:hideMark/>
          </w:tcPr>
          <w:p w14:paraId="3D96AA56"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gridSpan w:val="2"/>
            <w:vAlign w:val="center"/>
          </w:tcPr>
          <w:p w14:paraId="58118227"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(0.0726)</w:t>
            </w:r>
          </w:p>
        </w:tc>
      </w:tr>
      <w:tr w:rsidR="006F5B49" w:rsidRPr="0051713D" w14:paraId="71FE53C0" w14:textId="77777777" w:rsidTr="006F5B49">
        <w:trPr>
          <w:trHeight w:val="84"/>
          <w:jc w:val="center"/>
        </w:trPr>
        <w:tc>
          <w:tcPr>
            <w:tcW w:w="1809" w:type="dxa"/>
            <w:noWrap/>
            <w:vAlign w:val="center"/>
            <w:hideMark/>
          </w:tcPr>
          <w:p w14:paraId="4955CAE1"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Pay Inequity</w:t>
            </w:r>
          </w:p>
        </w:tc>
        <w:tc>
          <w:tcPr>
            <w:tcW w:w="944" w:type="dxa"/>
            <w:vAlign w:val="center"/>
          </w:tcPr>
          <w:p w14:paraId="7B54F752"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w:t>
            </w:r>
          </w:p>
        </w:tc>
        <w:tc>
          <w:tcPr>
            <w:tcW w:w="1017" w:type="dxa"/>
            <w:noWrap/>
            <w:vAlign w:val="center"/>
            <w:hideMark/>
          </w:tcPr>
          <w:p w14:paraId="05A0FFFA"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41" w:type="dxa"/>
            <w:noWrap/>
            <w:vAlign w:val="center"/>
            <w:hideMark/>
          </w:tcPr>
          <w:p w14:paraId="0C88BE9D" w14:textId="77777777" w:rsidR="009A7B5F" w:rsidRPr="00964C6C" w:rsidRDefault="009A7B5F" w:rsidP="009F5DF5">
            <w:pPr>
              <w:spacing w:line="240" w:lineRule="auto"/>
              <w:ind w:firstLine="0"/>
              <w:jc w:val="left"/>
              <w:rPr>
                <w:rFonts w:eastAsia="Times New Roman" w:cstheme="majorBidi"/>
                <w:sz w:val="18"/>
                <w:szCs w:val="18"/>
              </w:rPr>
            </w:pPr>
          </w:p>
        </w:tc>
        <w:tc>
          <w:tcPr>
            <w:tcW w:w="954" w:type="dxa"/>
            <w:noWrap/>
            <w:vAlign w:val="center"/>
            <w:hideMark/>
          </w:tcPr>
          <w:p w14:paraId="750547A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-0.309***</w:t>
            </w:r>
          </w:p>
        </w:tc>
        <w:tc>
          <w:tcPr>
            <w:tcW w:w="1041" w:type="dxa"/>
            <w:vAlign w:val="center"/>
          </w:tcPr>
          <w:p w14:paraId="6699C6F9"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-0.345***</w:t>
            </w:r>
          </w:p>
        </w:tc>
        <w:tc>
          <w:tcPr>
            <w:tcW w:w="248" w:type="dxa"/>
          </w:tcPr>
          <w:p w14:paraId="3473366B"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42FB794B"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44690498" w14:textId="77777777" w:rsidR="009A7B5F" w:rsidRPr="00964C6C" w:rsidRDefault="009A7B5F" w:rsidP="009F5DF5">
            <w:pPr>
              <w:spacing w:line="240" w:lineRule="auto"/>
              <w:ind w:firstLine="0"/>
              <w:jc w:val="left"/>
              <w:rPr>
                <w:rFonts w:eastAsia="Times New Roman" w:cstheme="majorBidi"/>
                <w:sz w:val="18"/>
                <w:szCs w:val="18"/>
              </w:rPr>
            </w:pPr>
          </w:p>
        </w:tc>
        <w:tc>
          <w:tcPr>
            <w:tcW w:w="1034" w:type="dxa"/>
            <w:noWrap/>
            <w:vAlign w:val="center"/>
            <w:hideMark/>
          </w:tcPr>
          <w:p w14:paraId="0BE2069A"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-0.302***</w:t>
            </w:r>
          </w:p>
        </w:tc>
        <w:tc>
          <w:tcPr>
            <w:tcW w:w="1034" w:type="dxa"/>
            <w:gridSpan w:val="2"/>
            <w:vAlign w:val="center"/>
          </w:tcPr>
          <w:p w14:paraId="7923EB14"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-0.323***</w:t>
            </w:r>
          </w:p>
        </w:tc>
      </w:tr>
      <w:tr w:rsidR="006F5B49" w:rsidRPr="0051713D" w14:paraId="381869E0" w14:textId="77777777" w:rsidTr="006F5B49">
        <w:trPr>
          <w:trHeight w:val="84"/>
          <w:jc w:val="center"/>
        </w:trPr>
        <w:tc>
          <w:tcPr>
            <w:tcW w:w="1809" w:type="dxa"/>
            <w:noWrap/>
            <w:vAlign w:val="center"/>
            <w:hideMark/>
          </w:tcPr>
          <w:p w14:paraId="44DFE5C2"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944" w:type="dxa"/>
            <w:vAlign w:val="center"/>
          </w:tcPr>
          <w:p w14:paraId="5C7E2ACD"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6F3CE6D1"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41" w:type="dxa"/>
            <w:noWrap/>
            <w:vAlign w:val="center"/>
            <w:hideMark/>
          </w:tcPr>
          <w:p w14:paraId="0E6FD2CB"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954" w:type="dxa"/>
            <w:noWrap/>
            <w:vAlign w:val="center"/>
            <w:hideMark/>
          </w:tcPr>
          <w:p w14:paraId="72F67AC1"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1041" w:type="dxa"/>
            <w:vAlign w:val="center"/>
          </w:tcPr>
          <w:p w14:paraId="74D0231D"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248" w:type="dxa"/>
          </w:tcPr>
          <w:p w14:paraId="6FE00A0A"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00EE213D"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4A7DE186"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5A41ACA4"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1034" w:type="dxa"/>
            <w:gridSpan w:val="2"/>
            <w:vAlign w:val="center"/>
          </w:tcPr>
          <w:p w14:paraId="24890884"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r>
      <w:tr w:rsidR="006F5B49" w:rsidRPr="0051713D" w14:paraId="2BAC310A" w14:textId="77777777" w:rsidTr="006F5B49">
        <w:trPr>
          <w:trHeight w:val="84"/>
          <w:jc w:val="center"/>
        </w:trPr>
        <w:tc>
          <w:tcPr>
            <w:tcW w:w="1809" w:type="dxa"/>
            <w:noWrap/>
            <w:vAlign w:val="center"/>
            <w:hideMark/>
          </w:tcPr>
          <w:p w14:paraId="1BA27983" w14:textId="77777777" w:rsidR="009A7B5F" w:rsidRPr="00964C6C" w:rsidRDefault="009A7B5F" w:rsidP="009F5DF5">
            <w:pPr>
              <w:spacing w:line="240" w:lineRule="auto"/>
              <w:ind w:firstLine="0"/>
              <w:jc w:val="left"/>
              <w:rPr>
                <w:rFonts w:eastAsia="Times New Roman" w:cstheme="majorBidi"/>
                <w:color w:val="000000"/>
                <w:sz w:val="18"/>
                <w:szCs w:val="18"/>
              </w:rPr>
            </w:pPr>
            <w:proofErr w:type="spellStart"/>
            <w:r w:rsidRPr="00964C6C">
              <w:rPr>
                <w:rFonts w:eastAsia="Times New Roman" w:cstheme="majorBidi"/>
                <w:color w:val="000000"/>
                <w:sz w:val="18"/>
                <w:szCs w:val="18"/>
              </w:rPr>
              <w:t>LnAveEmployeePay</w:t>
            </w:r>
            <w:proofErr w:type="spellEnd"/>
          </w:p>
        </w:tc>
        <w:tc>
          <w:tcPr>
            <w:tcW w:w="944" w:type="dxa"/>
            <w:vAlign w:val="center"/>
          </w:tcPr>
          <w:p w14:paraId="431C66D7"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w:t>
            </w:r>
          </w:p>
        </w:tc>
        <w:tc>
          <w:tcPr>
            <w:tcW w:w="1017" w:type="dxa"/>
            <w:noWrap/>
            <w:vAlign w:val="center"/>
            <w:hideMark/>
          </w:tcPr>
          <w:p w14:paraId="33A20E3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0.150**</w:t>
            </w:r>
          </w:p>
        </w:tc>
        <w:tc>
          <w:tcPr>
            <w:tcW w:w="1041" w:type="dxa"/>
            <w:noWrap/>
            <w:vAlign w:val="center"/>
            <w:hideMark/>
          </w:tcPr>
          <w:p w14:paraId="6B07173C"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0.471***</w:t>
            </w:r>
          </w:p>
        </w:tc>
        <w:tc>
          <w:tcPr>
            <w:tcW w:w="954" w:type="dxa"/>
            <w:noWrap/>
            <w:vAlign w:val="center"/>
            <w:hideMark/>
          </w:tcPr>
          <w:p w14:paraId="0A1343CC"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0.219***</w:t>
            </w:r>
          </w:p>
        </w:tc>
        <w:tc>
          <w:tcPr>
            <w:tcW w:w="1041" w:type="dxa"/>
            <w:vAlign w:val="center"/>
          </w:tcPr>
          <w:p w14:paraId="201CAB46"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0.165**</w:t>
            </w:r>
          </w:p>
        </w:tc>
        <w:tc>
          <w:tcPr>
            <w:tcW w:w="248" w:type="dxa"/>
          </w:tcPr>
          <w:p w14:paraId="06E35ED2"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5BB94F37"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0.343***</w:t>
            </w:r>
          </w:p>
        </w:tc>
        <w:tc>
          <w:tcPr>
            <w:tcW w:w="1034" w:type="dxa"/>
            <w:noWrap/>
            <w:vAlign w:val="center"/>
            <w:hideMark/>
          </w:tcPr>
          <w:p w14:paraId="6F20E24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0.616***</w:t>
            </w:r>
          </w:p>
        </w:tc>
        <w:tc>
          <w:tcPr>
            <w:tcW w:w="1034" w:type="dxa"/>
            <w:noWrap/>
            <w:vAlign w:val="center"/>
            <w:hideMark/>
          </w:tcPr>
          <w:p w14:paraId="5B95637B"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0.358***</w:t>
            </w:r>
          </w:p>
        </w:tc>
        <w:tc>
          <w:tcPr>
            <w:tcW w:w="1034" w:type="dxa"/>
            <w:gridSpan w:val="2"/>
            <w:vAlign w:val="center"/>
          </w:tcPr>
          <w:p w14:paraId="0D164D9D"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0.327***</w:t>
            </w:r>
          </w:p>
        </w:tc>
      </w:tr>
      <w:tr w:rsidR="006F5B49" w:rsidRPr="0051713D" w14:paraId="4C01A235" w14:textId="77777777" w:rsidTr="006F5B49">
        <w:trPr>
          <w:trHeight w:val="84"/>
          <w:jc w:val="center"/>
        </w:trPr>
        <w:tc>
          <w:tcPr>
            <w:tcW w:w="1809" w:type="dxa"/>
            <w:noWrap/>
            <w:vAlign w:val="center"/>
            <w:hideMark/>
          </w:tcPr>
          <w:p w14:paraId="07E21E88"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944" w:type="dxa"/>
            <w:vAlign w:val="center"/>
          </w:tcPr>
          <w:p w14:paraId="08BA0F57"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64EB3E77"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(0.0322)</w:t>
            </w:r>
          </w:p>
        </w:tc>
        <w:tc>
          <w:tcPr>
            <w:tcW w:w="1041" w:type="dxa"/>
            <w:noWrap/>
            <w:vAlign w:val="center"/>
            <w:hideMark/>
          </w:tcPr>
          <w:p w14:paraId="2FC84E79"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954" w:type="dxa"/>
            <w:noWrap/>
            <w:vAlign w:val="center"/>
            <w:hideMark/>
          </w:tcPr>
          <w:p w14:paraId="3277395F"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(0.0041)</w:t>
            </w:r>
          </w:p>
        </w:tc>
        <w:tc>
          <w:tcPr>
            <w:tcW w:w="1041" w:type="dxa"/>
            <w:vAlign w:val="center"/>
          </w:tcPr>
          <w:p w14:paraId="22E0BAF2"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(0.0332)</w:t>
            </w:r>
          </w:p>
        </w:tc>
        <w:tc>
          <w:tcPr>
            <w:tcW w:w="248" w:type="dxa"/>
          </w:tcPr>
          <w:p w14:paraId="227089B1"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525F127B"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1034" w:type="dxa"/>
            <w:noWrap/>
            <w:vAlign w:val="center"/>
            <w:hideMark/>
          </w:tcPr>
          <w:p w14:paraId="2454E7F4"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1034" w:type="dxa"/>
            <w:noWrap/>
            <w:vAlign w:val="center"/>
            <w:hideMark/>
          </w:tcPr>
          <w:p w14:paraId="68534B5D"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1034" w:type="dxa"/>
            <w:gridSpan w:val="2"/>
            <w:vAlign w:val="center"/>
          </w:tcPr>
          <w:p w14:paraId="5E7F12D0"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w:t>
            </w:r>
          </w:p>
        </w:tc>
      </w:tr>
      <w:tr w:rsidR="006F5B49" w:rsidRPr="0051713D" w14:paraId="67B2175E" w14:textId="77777777" w:rsidTr="006F5B49">
        <w:trPr>
          <w:trHeight w:val="84"/>
          <w:jc w:val="center"/>
        </w:trPr>
        <w:tc>
          <w:tcPr>
            <w:tcW w:w="1809" w:type="dxa"/>
            <w:noWrap/>
            <w:vAlign w:val="center"/>
            <w:hideMark/>
          </w:tcPr>
          <w:p w14:paraId="75B8B3A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Education</w:t>
            </w:r>
          </w:p>
        </w:tc>
        <w:tc>
          <w:tcPr>
            <w:tcW w:w="944" w:type="dxa"/>
            <w:vAlign w:val="center"/>
          </w:tcPr>
          <w:p w14:paraId="49D0024D"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w:t>
            </w:r>
          </w:p>
        </w:tc>
        <w:tc>
          <w:tcPr>
            <w:tcW w:w="1017" w:type="dxa"/>
            <w:noWrap/>
            <w:vAlign w:val="center"/>
            <w:hideMark/>
          </w:tcPr>
          <w:p w14:paraId="4BF52381"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-0.011</w:t>
            </w:r>
          </w:p>
        </w:tc>
        <w:tc>
          <w:tcPr>
            <w:tcW w:w="1041" w:type="dxa"/>
            <w:noWrap/>
            <w:vAlign w:val="center"/>
            <w:hideMark/>
          </w:tcPr>
          <w:p w14:paraId="165FFC69"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-0.067</w:t>
            </w:r>
          </w:p>
        </w:tc>
        <w:tc>
          <w:tcPr>
            <w:tcW w:w="954" w:type="dxa"/>
            <w:noWrap/>
            <w:vAlign w:val="center"/>
            <w:hideMark/>
          </w:tcPr>
          <w:p w14:paraId="7B62F4E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-0.100</w:t>
            </w:r>
          </w:p>
        </w:tc>
        <w:tc>
          <w:tcPr>
            <w:tcW w:w="1041" w:type="dxa"/>
            <w:vAlign w:val="center"/>
          </w:tcPr>
          <w:p w14:paraId="1E592013"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-0.057</w:t>
            </w:r>
          </w:p>
        </w:tc>
        <w:tc>
          <w:tcPr>
            <w:tcW w:w="248" w:type="dxa"/>
          </w:tcPr>
          <w:p w14:paraId="5C30458D"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42E92B7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0.053</w:t>
            </w:r>
          </w:p>
        </w:tc>
        <w:tc>
          <w:tcPr>
            <w:tcW w:w="1034" w:type="dxa"/>
            <w:noWrap/>
            <w:vAlign w:val="center"/>
            <w:hideMark/>
          </w:tcPr>
          <w:p w14:paraId="0634FD4D"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-0.041</w:t>
            </w:r>
          </w:p>
        </w:tc>
        <w:tc>
          <w:tcPr>
            <w:tcW w:w="1034" w:type="dxa"/>
            <w:noWrap/>
            <w:vAlign w:val="center"/>
            <w:hideMark/>
          </w:tcPr>
          <w:p w14:paraId="39E625A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-0.057</w:t>
            </w:r>
          </w:p>
        </w:tc>
        <w:tc>
          <w:tcPr>
            <w:tcW w:w="1034" w:type="dxa"/>
            <w:gridSpan w:val="2"/>
            <w:vAlign w:val="center"/>
          </w:tcPr>
          <w:p w14:paraId="4D3E3CDF"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-0.032</w:t>
            </w:r>
          </w:p>
        </w:tc>
      </w:tr>
      <w:tr w:rsidR="006F5B49" w:rsidRPr="0051713D" w14:paraId="68EB789F" w14:textId="77777777" w:rsidTr="006F5B49">
        <w:trPr>
          <w:trHeight w:val="84"/>
          <w:jc w:val="center"/>
        </w:trPr>
        <w:tc>
          <w:tcPr>
            <w:tcW w:w="1809" w:type="dxa"/>
            <w:noWrap/>
            <w:vAlign w:val="center"/>
            <w:hideMark/>
          </w:tcPr>
          <w:p w14:paraId="3637619E"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944" w:type="dxa"/>
            <w:vAlign w:val="center"/>
          </w:tcPr>
          <w:p w14:paraId="05A8B688"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346F218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(0.9101)</w:t>
            </w:r>
          </w:p>
        </w:tc>
        <w:tc>
          <w:tcPr>
            <w:tcW w:w="1041" w:type="dxa"/>
            <w:noWrap/>
            <w:vAlign w:val="center"/>
            <w:hideMark/>
          </w:tcPr>
          <w:p w14:paraId="2664F7C7"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(0.5417)</w:t>
            </w:r>
          </w:p>
        </w:tc>
        <w:tc>
          <w:tcPr>
            <w:tcW w:w="954" w:type="dxa"/>
            <w:noWrap/>
            <w:vAlign w:val="center"/>
            <w:hideMark/>
          </w:tcPr>
          <w:p w14:paraId="0A8263B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(0.3317)</w:t>
            </w:r>
          </w:p>
        </w:tc>
        <w:tc>
          <w:tcPr>
            <w:tcW w:w="1041" w:type="dxa"/>
            <w:vAlign w:val="center"/>
          </w:tcPr>
          <w:p w14:paraId="47371AF9"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(0.5801)</w:t>
            </w:r>
          </w:p>
        </w:tc>
        <w:tc>
          <w:tcPr>
            <w:tcW w:w="248" w:type="dxa"/>
          </w:tcPr>
          <w:p w14:paraId="2812999A"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6C9B65EF"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(0.5899)</w:t>
            </w:r>
          </w:p>
        </w:tc>
        <w:tc>
          <w:tcPr>
            <w:tcW w:w="1034" w:type="dxa"/>
            <w:noWrap/>
            <w:vAlign w:val="center"/>
            <w:hideMark/>
          </w:tcPr>
          <w:p w14:paraId="20A27C7C"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(0.6944)</w:t>
            </w:r>
          </w:p>
        </w:tc>
        <w:tc>
          <w:tcPr>
            <w:tcW w:w="1034" w:type="dxa"/>
            <w:noWrap/>
            <w:vAlign w:val="center"/>
            <w:hideMark/>
          </w:tcPr>
          <w:p w14:paraId="148E61DD"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(0.5655)</w:t>
            </w:r>
          </w:p>
        </w:tc>
        <w:tc>
          <w:tcPr>
            <w:tcW w:w="1034" w:type="dxa"/>
            <w:gridSpan w:val="2"/>
            <w:vAlign w:val="center"/>
          </w:tcPr>
          <w:p w14:paraId="354D1355"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(0.7547)</w:t>
            </w:r>
          </w:p>
        </w:tc>
      </w:tr>
      <w:tr w:rsidR="006F5B49" w:rsidRPr="0051713D" w14:paraId="6F48C4D7" w14:textId="77777777" w:rsidTr="006F5B49">
        <w:trPr>
          <w:trHeight w:val="84"/>
          <w:jc w:val="center"/>
        </w:trPr>
        <w:tc>
          <w:tcPr>
            <w:tcW w:w="1809" w:type="dxa"/>
            <w:noWrap/>
            <w:vAlign w:val="center"/>
            <w:hideMark/>
          </w:tcPr>
          <w:p w14:paraId="2C7F5650" w14:textId="77777777" w:rsidR="009A7B5F" w:rsidRPr="00964C6C" w:rsidRDefault="009A7B5F" w:rsidP="009F5DF5">
            <w:pPr>
              <w:spacing w:line="240" w:lineRule="auto"/>
              <w:ind w:firstLine="0"/>
              <w:jc w:val="left"/>
              <w:rPr>
                <w:rFonts w:eastAsia="Times New Roman" w:cstheme="majorBidi"/>
                <w:color w:val="000000"/>
                <w:sz w:val="18"/>
                <w:szCs w:val="18"/>
              </w:rPr>
            </w:pPr>
            <w:proofErr w:type="spellStart"/>
            <w:r w:rsidRPr="00964C6C">
              <w:rPr>
                <w:rFonts w:eastAsia="Times New Roman" w:cstheme="majorBidi"/>
                <w:color w:val="000000"/>
                <w:sz w:val="18"/>
                <w:szCs w:val="18"/>
              </w:rPr>
              <w:t>PPEIntensity</w:t>
            </w:r>
            <w:proofErr w:type="spellEnd"/>
          </w:p>
        </w:tc>
        <w:tc>
          <w:tcPr>
            <w:tcW w:w="944" w:type="dxa"/>
            <w:vAlign w:val="center"/>
          </w:tcPr>
          <w:p w14:paraId="2C1EF9C7"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w:t>
            </w:r>
          </w:p>
        </w:tc>
        <w:tc>
          <w:tcPr>
            <w:tcW w:w="1017" w:type="dxa"/>
            <w:noWrap/>
            <w:vAlign w:val="center"/>
            <w:hideMark/>
          </w:tcPr>
          <w:p w14:paraId="3B612268"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0.001</w:t>
            </w:r>
          </w:p>
        </w:tc>
        <w:tc>
          <w:tcPr>
            <w:tcW w:w="1041" w:type="dxa"/>
            <w:noWrap/>
            <w:vAlign w:val="center"/>
            <w:hideMark/>
          </w:tcPr>
          <w:p w14:paraId="1871C4D4"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-0.017</w:t>
            </w:r>
          </w:p>
        </w:tc>
        <w:tc>
          <w:tcPr>
            <w:tcW w:w="954" w:type="dxa"/>
            <w:noWrap/>
            <w:vAlign w:val="center"/>
            <w:hideMark/>
          </w:tcPr>
          <w:p w14:paraId="5F98B2B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0.010</w:t>
            </w:r>
          </w:p>
        </w:tc>
        <w:tc>
          <w:tcPr>
            <w:tcW w:w="1041" w:type="dxa"/>
            <w:vAlign w:val="center"/>
          </w:tcPr>
          <w:p w14:paraId="000CC4B7"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-0.009</w:t>
            </w:r>
          </w:p>
        </w:tc>
        <w:tc>
          <w:tcPr>
            <w:tcW w:w="248" w:type="dxa"/>
          </w:tcPr>
          <w:p w14:paraId="04E356BC"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20830AE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0.0630***</w:t>
            </w:r>
          </w:p>
        </w:tc>
        <w:tc>
          <w:tcPr>
            <w:tcW w:w="1034" w:type="dxa"/>
            <w:noWrap/>
            <w:vAlign w:val="center"/>
            <w:hideMark/>
          </w:tcPr>
          <w:p w14:paraId="5E45B4D9"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0.0539***</w:t>
            </w:r>
          </w:p>
        </w:tc>
        <w:tc>
          <w:tcPr>
            <w:tcW w:w="1034" w:type="dxa"/>
            <w:noWrap/>
            <w:vAlign w:val="center"/>
            <w:hideMark/>
          </w:tcPr>
          <w:p w14:paraId="3337BF4D"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0.0724***</w:t>
            </w:r>
          </w:p>
        </w:tc>
        <w:tc>
          <w:tcPr>
            <w:tcW w:w="1034" w:type="dxa"/>
            <w:gridSpan w:val="2"/>
            <w:vAlign w:val="center"/>
          </w:tcPr>
          <w:p w14:paraId="7CB2B7F9"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0.0615***</w:t>
            </w:r>
          </w:p>
        </w:tc>
      </w:tr>
      <w:tr w:rsidR="006F5B49" w:rsidRPr="0051713D" w14:paraId="53AA99B9" w14:textId="77777777" w:rsidTr="006F5B49">
        <w:trPr>
          <w:trHeight w:val="84"/>
          <w:jc w:val="center"/>
        </w:trPr>
        <w:tc>
          <w:tcPr>
            <w:tcW w:w="1809" w:type="dxa"/>
            <w:noWrap/>
            <w:vAlign w:val="center"/>
            <w:hideMark/>
          </w:tcPr>
          <w:p w14:paraId="55B44FD6"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944" w:type="dxa"/>
            <w:vAlign w:val="center"/>
          </w:tcPr>
          <w:p w14:paraId="01679598"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7DE29B51"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(0.8923)</w:t>
            </w:r>
          </w:p>
        </w:tc>
        <w:tc>
          <w:tcPr>
            <w:tcW w:w="1041" w:type="dxa"/>
            <w:noWrap/>
            <w:vAlign w:val="center"/>
            <w:hideMark/>
          </w:tcPr>
          <w:p w14:paraId="796D6DFB"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(0.1942)</w:t>
            </w:r>
          </w:p>
        </w:tc>
        <w:tc>
          <w:tcPr>
            <w:tcW w:w="954" w:type="dxa"/>
            <w:noWrap/>
            <w:vAlign w:val="center"/>
            <w:hideMark/>
          </w:tcPr>
          <w:p w14:paraId="76212FCA"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(0.3583)</w:t>
            </w:r>
          </w:p>
        </w:tc>
        <w:tc>
          <w:tcPr>
            <w:tcW w:w="1041" w:type="dxa"/>
            <w:vAlign w:val="center"/>
          </w:tcPr>
          <w:p w14:paraId="72335117"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(0.4946)</w:t>
            </w:r>
          </w:p>
        </w:tc>
        <w:tc>
          <w:tcPr>
            <w:tcW w:w="248" w:type="dxa"/>
          </w:tcPr>
          <w:p w14:paraId="35BAD12C"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5AF75B86"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1034" w:type="dxa"/>
            <w:noWrap/>
            <w:vAlign w:val="center"/>
            <w:hideMark/>
          </w:tcPr>
          <w:p w14:paraId="5E7F1C03"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(0.0002)</w:t>
            </w:r>
          </w:p>
        </w:tc>
        <w:tc>
          <w:tcPr>
            <w:tcW w:w="1034" w:type="dxa"/>
            <w:noWrap/>
            <w:vAlign w:val="center"/>
            <w:hideMark/>
          </w:tcPr>
          <w:p w14:paraId="4D62945A"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1034" w:type="dxa"/>
            <w:gridSpan w:val="2"/>
            <w:vAlign w:val="center"/>
          </w:tcPr>
          <w:p w14:paraId="59E224CC"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r>
      <w:tr w:rsidR="006F5B49" w:rsidRPr="0051713D" w14:paraId="69B2DAEB" w14:textId="77777777" w:rsidTr="006F5B49">
        <w:trPr>
          <w:trHeight w:val="84"/>
          <w:jc w:val="center"/>
        </w:trPr>
        <w:tc>
          <w:tcPr>
            <w:tcW w:w="1809" w:type="dxa"/>
            <w:noWrap/>
            <w:vAlign w:val="center"/>
            <w:hideMark/>
          </w:tcPr>
          <w:p w14:paraId="52D83276" w14:textId="77777777" w:rsidR="009A7B5F" w:rsidRPr="00964C6C" w:rsidRDefault="009A7B5F" w:rsidP="009F5DF5">
            <w:pPr>
              <w:spacing w:line="240" w:lineRule="auto"/>
              <w:ind w:firstLine="0"/>
              <w:jc w:val="left"/>
              <w:rPr>
                <w:rFonts w:eastAsia="Times New Roman" w:cstheme="majorBidi"/>
                <w:color w:val="000000"/>
                <w:sz w:val="18"/>
                <w:szCs w:val="18"/>
              </w:rPr>
            </w:pPr>
            <w:proofErr w:type="spellStart"/>
            <w:r w:rsidRPr="00964C6C">
              <w:rPr>
                <w:rFonts w:eastAsia="Times New Roman" w:cstheme="majorBidi"/>
                <w:color w:val="000000"/>
                <w:sz w:val="18"/>
                <w:szCs w:val="18"/>
              </w:rPr>
              <w:t>IndConcentration</w:t>
            </w:r>
            <w:proofErr w:type="spellEnd"/>
          </w:p>
        </w:tc>
        <w:tc>
          <w:tcPr>
            <w:tcW w:w="944" w:type="dxa"/>
            <w:vAlign w:val="center"/>
          </w:tcPr>
          <w:p w14:paraId="4B14B40E"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w:t>
            </w:r>
          </w:p>
        </w:tc>
        <w:tc>
          <w:tcPr>
            <w:tcW w:w="1017" w:type="dxa"/>
            <w:noWrap/>
            <w:vAlign w:val="center"/>
            <w:hideMark/>
          </w:tcPr>
          <w:p w14:paraId="744C5918"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1.357*</w:t>
            </w:r>
          </w:p>
        </w:tc>
        <w:tc>
          <w:tcPr>
            <w:tcW w:w="1041" w:type="dxa"/>
            <w:noWrap/>
            <w:vAlign w:val="center"/>
            <w:hideMark/>
          </w:tcPr>
          <w:p w14:paraId="3002F00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1.199</w:t>
            </w:r>
          </w:p>
        </w:tc>
        <w:tc>
          <w:tcPr>
            <w:tcW w:w="954" w:type="dxa"/>
            <w:noWrap/>
            <w:vAlign w:val="center"/>
            <w:hideMark/>
          </w:tcPr>
          <w:p w14:paraId="7BBEC4DB"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1.102</w:t>
            </w:r>
          </w:p>
        </w:tc>
        <w:tc>
          <w:tcPr>
            <w:tcW w:w="1041" w:type="dxa"/>
            <w:vAlign w:val="center"/>
          </w:tcPr>
          <w:p w14:paraId="60930BFA"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0.973</w:t>
            </w:r>
          </w:p>
        </w:tc>
        <w:tc>
          <w:tcPr>
            <w:tcW w:w="248" w:type="dxa"/>
          </w:tcPr>
          <w:p w14:paraId="043F70EE"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10DC1EA6"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1.108***</w:t>
            </w:r>
          </w:p>
        </w:tc>
        <w:tc>
          <w:tcPr>
            <w:tcW w:w="1034" w:type="dxa"/>
            <w:noWrap/>
            <w:vAlign w:val="center"/>
            <w:hideMark/>
          </w:tcPr>
          <w:p w14:paraId="6790850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1.068**</w:t>
            </w:r>
          </w:p>
        </w:tc>
        <w:tc>
          <w:tcPr>
            <w:tcW w:w="1034" w:type="dxa"/>
            <w:noWrap/>
            <w:vAlign w:val="center"/>
            <w:hideMark/>
          </w:tcPr>
          <w:p w14:paraId="2E4BEBEE"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0.933*</w:t>
            </w:r>
          </w:p>
        </w:tc>
        <w:tc>
          <w:tcPr>
            <w:tcW w:w="1034" w:type="dxa"/>
            <w:gridSpan w:val="2"/>
            <w:vAlign w:val="center"/>
          </w:tcPr>
          <w:p w14:paraId="31A6DE81"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0.857*</w:t>
            </w:r>
          </w:p>
        </w:tc>
      </w:tr>
      <w:tr w:rsidR="006F5B49" w:rsidRPr="0051713D" w14:paraId="1E05D621" w14:textId="77777777" w:rsidTr="006F5B49">
        <w:trPr>
          <w:trHeight w:val="84"/>
          <w:jc w:val="center"/>
        </w:trPr>
        <w:tc>
          <w:tcPr>
            <w:tcW w:w="1809" w:type="dxa"/>
            <w:noWrap/>
            <w:vAlign w:val="center"/>
            <w:hideMark/>
          </w:tcPr>
          <w:p w14:paraId="0D856455"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944" w:type="dxa"/>
            <w:vAlign w:val="center"/>
          </w:tcPr>
          <w:p w14:paraId="5166C720"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6EF203F1"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(0.0704)</w:t>
            </w:r>
          </w:p>
        </w:tc>
        <w:tc>
          <w:tcPr>
            <w:tcW w:w="1041" w:type="dxa"/>
            <w:noWrap/>
            <w:vAlign w:val="center"/>
            <w:hideMark/>
          </w:tcPr>
          <w:p w14:paraId="558E3547"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(0.1861)</w:t>
            </w:r>
          </w:p>
        </w:tc>
        <w:tc>
          <w:tcPr>
            <w:tcW w:w="954" w:type="dxa"/>
            <w:noWrap/>
            <w:vAlign w:val="center"/>
            <w:hideMark/>
          </w:tcPr>
          <w:p w14:paraId="4B9EC108"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(0.2416)</w:t>
            </w:r>
          </w:p>
        </w:tc>
        <w:tc>
          <w:tcPr>
            <w:tcW w:w="1041" w:type="dxa"/>
            <w:vAlign w:val="center"/>
          </w:tcPr>
          <w:p w14:paraId="24601A63"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(0.2875)</w:t>
            </w:r>
          </w:p>
        </w:tc>
        <w:tc>
          <w:tcPr>
            <w:tcW w:w="248" w:type="dxa"/>
          </w:tcPr>
          <w:p w14:paraId="15E11093"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76458B4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(0.0033)</w:t>
            </w:r>
          </w:p>
        </w:tc>
        <w:tc>
          <w:tcPr>
            <w:tcW w:w="1034" w:type="dxa"/>
            <w:noWrap/>
            <w:vAlign w:val="center"/>
            <w:hideMark/>
          </w:tcPr>
          <w:p w14:paraId="64FC0AC3"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(0.0287)</w:t>
            </w:r>
          </w:p>
        </w:tc>
        <w:tc>
          <w:tcPr>
            <w:tcW w:w="1034" w:type="dxa"/>
            <w:noWrap/>
            <w:vAlign w:val="center"/>
            <w:hideMark/>
          </w:tcPr>
          <w:p w14:paraId="3435C61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(0.0523)</w:t>
            </w:r>
          </w:p>
        </w:tc>
        <w:tc>
          <w:tcPr>
            <w:tcW w:w="1034" w:type="dxa"/>
            <w:gridSpan w:val="2"/>
            <w:vAlign w:val="center"/>
          </w:tcPr>
          <w:p w14:paraId="0DFC2AE2"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(0.0727)</w:t>
            </w:r>
          </w:p>
        </w:tc>
      </w:tr>
      <w:tr w:rsidR="006F5B49" w:rsidRPr="0051713D" w14:paraId="44F07C52" w14:textId="77777777" w:rsidTr="006F5B49">
        <w:trPr>
          <w:trHeight w:val="84"/>
          <w:jc w:val="center"/>
        </w:trPr>
        <w:tc>
          <w:tcPr>
            <w:tcW w:w="1809" w:type="dxa"/>
            <w:noWrap/>
            <w:vAlign w:val="center"/>
            <w:hideMark/>
          </w:tcPr>
          <w:p w14:paraId="60F4620A"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Union</w:t>
            </w:r>
          </w:p>
        </w:tc>
        <w:tc>
          <w:tcPr>
            <w:tcW w:w="944" w:type="dxa"/>
            <w:vAlign w:val="center"/>
          </w:tcPr>
          <w:p w14:paraId="1A62005D"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w:t>
            </w:r>
          </w:p>
        </w:tc>
        <w:tc>
          <w:tcPr>
            <w:tcW w:w="1017" w:type="dxa"/>
            <w:noWrap/>
            <w:vAlign w:val="center"/>
            <w:hideMark/>
          </w:tcPr>
          <w:p w14:paraId="3CB4A463"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0.0694**</w:t>
            </w:r>
          </w:p>
        </w:tc>
        <w:tc>
          <w:tcPr>
            <w:tcW w:w="1041" w:type="dxa"/>
            <w:noWrap/>
            <w:vAlign w:val="center"/>
            <w:hideMark/>
          </w:tcPr>
          <w:p w14:paraId="79133112"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0.054</w:t>
            </w:r>
          </w:p>
        </w:tc>
        <w:tc>
          <w:tcPr>
            <w:tcW w:w="954" w:type="dxa"/>
            <w:noWrap/>
            <w:vAlign w:val="center"/>
            <w:hideMark/>
          </w:tcPr>
          <w:p w14:paraId="704E67D6"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0.031</w:t>
            </w:r>
          </w:p>
        </w:tc>
        <w:tc>
          <w:tcPr>
            <w:tcW w:w="1041" w:type="dxa"/>
            <w:vAlign w:val="center"/>
          </w:tcPr>
          <w:p w14:paraId="0AF276F4"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0.046</w:t>
            </w:r>
          </w:p>
        </w:tc>
        <w:tc>
          <w:tcPr>
            <w:tcW w:w="248" w:type="dxa"/>
          </w:tcPr>
          <w:p w14:paraId="12CA2C03"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7107197F"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-0.017</w:t>
            </w:r>
          </w:p>
        </w:tc>
        <w:tc>
          <w:tcPr>
            <w:tcW w:w="1034" w:type="dxa"/>
            <w:noWrap/>
            <w:vAlign w:val="center"/>
            <w:hideMark/>
          </w:tcPr>
          <w:p w14:paraId="386A15FF"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-0.026</w:t>
            </w:r>
          </w:p>
        </w:tc>
        <w:tc>
          <w:tcPr>
            <w:tcW w:w="1034" w:type="dxa"/>
            <w:noWrap/>
            <w:vAlign w:val="center"/>
            <w:hideMark/>
          </w:tcPr>
          <w:p w14:paraId="58DAB106"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-0.043</w:t>
            </w:r>
          </w:p>
        </w:tc>
        <w:tc>
          <w:tcPr>
            <w:tcW w:w="1034" w:type="dxa"/>
            <w:gridSpan w:val="2"/>
            <w:vAlign w:val="center"/>
          </w:tcPr>
          <w:p w14:paraId="58C627C4"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-0.034</w:t>
            </w:r>
          </w:p>
        </w:tc>
      </w:tr>
      <w:tr w:rsidR="006F5B49" w:rsidRPr="0051713D" w14:paraId="1D46E521" w14:textId="77777777" w:rsidTr="006F5B49">
        <w:trPr>
          <w:trHeight w:val="84"/>
          <w:jc w:val="center"/>
        </w:trPr>
        <w:tc>
          <w:tcPr>
            <w:tcW w:w="1809" w:type="dxa"/>
            <w:noWrap/>
            <w:vAlign w:val="center"/>
            <w:hideMark/>
          </w:tcPr>
          <w:p w14:paraId="58DE21C4"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944" w:type="dxa"/>
            <w:vAlign w:val="center"/>
          </w:tcPr>
          <w:p w14:paraId="5CC23D15"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22AE4983"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(0.0271)</w:t>
            </w:r>
          </w:p>
        </w:tc>
        <w:tc>
          <w:tcPr>
            <w:tcW w:w="1041" w:type="dxa"/>
            <w:noWrap/>
            <w:vAlign w:val="center"/>
            <w:hideMark/>
          </w:tcPr>
          <w:p w14:paraId="1346FC3C"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(0.14)</w:t>
            </w:r>
          </w:p>
        </w:tc>
        <w:tc>
          <w:tcPr>
            <w:tcW w:w="954" w:type="dxa"/>
            <w:noWrap/>
            <w:vAlign w:val="center"/>
            <w:hideMark/>
          </w:tcPr>
          <w:p w14:paraId="254754E1"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(0.3779)</w:t>
            </w:r>
          </w:p>
        </w:tc>
        <w:tc>
          <w:tcPr>
            <w:tcW w:w="1041" w:type="dxa"/>
            <w:vAlign w:val="center"/>
          </w:tcPr>
          <w:p w14:paraId="3C8FEF5D"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(0.1923)</w:t>
            </w:r>
          </w:p>
        </w:tc>
        <w:tc>
          <w:tcPr>
            <w:tcW w:w="248" w:type="dxa"/>
          </w:tcPr>
          <w:p w14:paraId="78DEA264"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1008CDD8"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(0.5248)</w:t>
            </w:r>
          </w:p>
        </w:tc>
        <w:tc>
          <w:tcPr>
            <w:tcW w:w="1034" w:type="dxa"/>
            <w:noWrap/>
            <w:vAlign w:val="center"/>
            <w:hideMark/>
          </w:tcPr>
          <w:p w14:paraId="3CCD8028"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(0.439)</w:t>
            </w:r>
          </w:p>
        </w:tc>
        <w:tc>
          <w:tcPr>
            <w:tcW w:w="1034" w:type="dxa"/>
            <w:noWrap/>
            <w:vAlign w:val="center"/>
            <w:hideMark/>
          </w:tcPr>
          <w:p w14:paraId="32BA4A36"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(0.1893)</w:t>
            </w:r>
          </w:p>
        </w:tc>
        <w:tc>
          <w:tcPr>
            <w:tcW w:w="1034" w:type="dxa"/>
            <w:gridSpan w:val="2"/>
            <w:vAlign w:val="center"/>
          </w:tcPr>
          <w:p w14:paraId="2FBDBEA1"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(0.2966)</w:t>
            </w:r>
          </w:p>
        </w:tc>
      </w:tr>
      <w:tr w:rsidR="006F5B49" w:rsidRPr="0051713D" w14:paraId="67676D55" w14:textId="77777777" w:rsidTr="006F5B49">
        <w:trPr>
          <w:trHeight w:val="84"/>
          <w:jc w:val="center"/>
        </w:trPr>
        <w:tc>
          <w:tcPr>
            <w:tcW w:w="1809" w:type="dxa"/>
            <w:noWrap/>
            <w:vAlign w:val="center"/>
            <w:hideMark/>
          </w:tcPr>
          <w:p w14:paraId="43D0F722" w14:textId="77777777" w:rsidR="009A7B5F" w:rsidRPr="00964C6C" w:rsidRDefault="009A7B5F" w:rsidP="009F5DF5">
            <w:pPr>
              <w:spacing w:line="240" w:lineRule="auto"/>
              <w:ind w:firstLine="0"/>
              <w:jc w:val="left"/>
              <w:rPr>
                <w:rFonts w:eastAsia="Times New Roman" w:cstheme="majorBidi"/>
                <w:color w:val="000000"/>
                <w:sz w:val="18"/>
                <w:szCs w:val="18"/>
              </w:rPr>
            </w:pPr>
            <w:proofErr w:type="spellStart"/>
            <w:r w:rsidRPr="00964C6C">
              <w:rPr>
                <w:rFonts w:eastAsia="Times New Roman" w:cstheme="majorBidi"/>
                <w:color w:val="000000"/>
                <w:sz w:val="18"/>
                <w:szCs w:val="18"/>
              </w:rPr>
              <w:t>CEOTenure</w:t>
            </w:r>
            <w:proofErr w:type="spellEnd"/>
          </w:p>
        </w:tc>
        <w:tc>
          <w:tcPr>
            <w:tcW w:w="944" w:type="dxa"/>
            <w:vAlign w:val="center"/>
          </w:tcPr>
          <w:p w14:paraId="42A5AC84"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w:t>
            </w:r>
          </w:p>
        </w:tc>
        <w:tc>
          <w:tcPr>
            <w:tcW w:w="1017" w:type="dxa"/>
            <w:noWrap/>
            <w:vAlign w:val="center"/>
            <w:hideMark/>
          </w:tcPr>
          <w:p w14:paraId="68D823A2"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-0.002</w:t>
            </w:r>
          </w:p>
        </w:tc>
        <w:tc>
          <w:tcPr>
            <w:tcW w:w="1041" w:type="dxa"/>
            <w:noWrap/>
            <w:vAlign w:val="center"/>
            <w:hideMark/>
          </w:tcPr>
          <w:p w14:paraId="46DBFC5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0.001</w:t>
            </w:r>
          </w:p>
        </w:tc>
        <w:tc>
          <w:tcPr>
            <w:tcW w:w="954" w:type="dxa"/>
            <w:noWrap/>
            <w:vAlign w:val="center"/>
            <w:hideMark/>
          </w:tcPr>
          <w:p w14:paraId="006C13BD"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0.006</w:t>
            </w:r>
          </w:p>
        </w:tc>
        <w:tc>
          <w:tcPr>
            <w:tcW w:w="1041" w:type="dxa"/>
            <w:vAlign w:val="center"/>
          </w:tcPr>
          <w:p w14:paraId="4D3DD861"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-0.004</w:t>
            </w:r>
          </w:p>
        </w:tc>
        <w:tc>
          <w:tcPr>
            <w:tcW w:w="248" w:type="dxa"/>
          </w:tcPr>
          <w:p w14:paraId="58A2ED36"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7D730C1A"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-0.008</w:t>
            </w:r>
          </w:p>
        </w:tc>
        <w:tc>
          <w:tcPr>
            <w:tcW w:w="1034" w:type="dxa"/>
            <w:noWrap/>
            <w:vAlign w:val="center"/>
            <w:hideMark/>
          </w:tcPr>
          <w:p w14:paraId="41A4395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-0.002</w:t>
            </w:r>
          </w:p>
        </w:tc>
        <w:tc>
          <w:tcPr>
            <w:tcW w:w="1034" w:type="dxa"/>
            <w:noWrap/>
            <w:vAlign w:val="center"/>
            <w:hideMark/>
          </w:tcPr>
          <w:p w14:paraId="54383D5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-0.002</w:t>
            </w:r>
          </w:p>
        </w:tc>
        <w:tc>
          <w:tcPr>
            <w:tcW w:w="1034" w:type="dxa"/>
            <w:gridSpan w:val="2"/>
            <w:vAlign w:val="center"/>
          </w:tcPr>
          <w:p w14:paraId="0C95BC5A"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-0.007</w:t>
            </w:r>
          </w:p>
        </w:tc>
      </w:tr>
      <w:tr w:rsidR="006F5B49" w:rsidRPr="0051713D" w14:paraId="1CE2DB84" w14:textId="77777777" w:rsidTr="006F5B49">
        <w:trPr>
          <w:trHeight w:val="84"/>
          <w:jc w:val="center"/>
        </w:trPr>
        <w:tc>
          <w:tcPr>
            <w:tcW w:w="1809" w:type="dxa"/>
            <w:noWrap/>
            <w:vAlign w:val="center"/>
            <w:hideMark/>
          </w:tcPr>
          <w:p w14:paraId="05DA4F44"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944" w:type="dxa"/>
            <w:vAlign w:val="center"/>
          </w:tcPr>
          <w:p w14:paraId="231FA112"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0F730051"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(0.8632)</w:t>
            </w:r>
          </w:p>
        </w:tc>
        <w:tc>
          <w:tcPr>
            <w:tcW w:w="1041" w:type="dxa"/>
            <w:noWrap/>
            <w:vAlign w:val="center"/>
            <w:hideMark/>
          </w:tcPr>
          <w:p w14:paraId="49DFCF8F"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(0.923)</w:t>
            </w:r>
          </w:p>
        </w:tc>
        <w:tc>
          <w:tcPr>
            <w:tcW w:w="954" w:type="dxa"/>
            <w:noWrap/>
            <w:vAlign w:val="center"/>
            <w:hideMark/>
          </w:tcPr>
          <w:p w14:paraId="2A2A7A44"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(0.6378)</w:t>
            </w:r>
          </w:p>
        </w:tc>
        <w:tc>
          <w:tcPr>
            <w:tcW w:w="1041" w:type="dxa"/>
            <w:vAlign w:val="center"/>
          </w:tcPr>
          <w:p w14:paraId="3AA149F6"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(0.7262)</w:t>
            </w:r>
          </w:p>
        </w:tc>
        <w:tc>
          <w:tcPr>
            <w:tcW w:w="248" w:type="dxa"/>
          </w:tcPr>
          <w:p w14:paraId="589F323D"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6E57402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(0.4779)</w:t>
            </w:r>
          </w:p>
        </w:tc>
        <w:tc>
          <w:tcPr>
            <w:tcW w:w="1034" w:type="dxa"/>
            <w:noWrap/>
            <w:vAlign w:val="center"/>
            <w:hideMark/>
          </w:tcPr>
          <w:p w14:paraId="2443F008"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(0.8751)</w:t>
            </w:r>
          </w:p>
        </w:tc>
        <w:tc>
          <w:tcPr>
            <w:tcW w:w="1034" w:type="dxa"/>
            <w:noWrap/>
            <w:vAlign w:val="center"/>
            <w:hideMark/>
          </w:tcPr>
          <w:p w14:paraId="5D5C25AA"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(0.9004)</w:t>
            </w:r>
          </w:p>
        </w:tc>
        <w:tc>
          <w:tcPr>
            <w:tcW w:w="1034" w:type="dxa"/>
            <w:gridSpan w:val="2"/>
            <w:vAlign w:val="center"/>
          </w:tcPr>
          <w:p w14:paraId="331DE4E4"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(0.5863)</w:t>
            </w:r>
          </w:p>
        </w:tc>
      </w:tr>
      <w:tr w:rsidR="006F5B49" w:rsidRPr="0051713D" w14:paraId="6559003E" w14:textId="77777777" w:rsidTr="006F5B49">
        <w:trPr>
          <w:trHeight w:val="84"/>
          <w:jc w:val="center"/>
        </w:trPr>
        <w:tc>
          <w:tcPr>
            <w:tcW w:w="1809" w:type="dxa"/>
            <w:noWrap/>
            <w:vAlign w:val="center"/>
            <w:hideMark/>
          </w:tcPr>
          <w:p w14:paraId="460C24E1" w14:textId="77777777" w:rsidR="009A7B5F" w:rsidRPr="00964C6C" w:rsidRDefault="009A7B5F" w:rsidP="009F5DF5">
            <w:pPr>
              <w:spacing w:line="240" w:lineRule="auto"/>
              <w:ind w:firstLine="0"/>
              <w:jc w:val="left"/>
              <w:rPr>
                <w:rFonts w:eastAsia="Times New Roman" w:cstheme="majorBidi"/>
                <w:color w:val="000000"/>
                <w:sz w:val="18"/>
                <w:szCs w:val="18"/>
              </w:rPr>
            </w:pPr>
            <w:proofErr w:type="spellStart"/>
            <w:r w:rsidRPr="00964C6C">
              <w:rPr>
                <w:rFonts w:eastAsia="Times New Roman" w:cstheme="majorBidi"/>
                <w:color w:val="000000"/>
                <w:sz w:val="18"/>
                <w:szCs w:val="18"/>
              </w:rPr>
              <w:t>LnRevenue</w:t>
            </w:r>
            <w:proofErr w:type="spellEnd"/>
          </w:p>
        </w:tc>
        <w:tc>
          <w:tcPr>
            <w:tcW w:w="944" w:type="dxa"/>
            <w:vAlign w:val="center"/>
          </w:tcPr>
          <w:p w14:paraId="5AEFA1FB"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w:t>
            </w:r>
          </w:p>
        </w:tc>
        <w:tc>
          <w:tcPr>
            <w:tcW w:w="1017" w:type="dxa"/>
            <w:noWrap/>
            <w:vAlign w:val="center"/>
            <w:hideMark/>
          </w:tcPr>
          <w:p w14:paraId="3625F6A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0.294***</w:t>
            </w:r>
          </w:p>
        </w:tc>
        <w:tc>
          <w:tcPr>
            <w:tcW w:w="1041" w:type="dxa"/>
            <w:noWrap/>
            <w:vAlign w:val="center"/>
            <w:hideMark/>
          </w:tcPr>
          <w:p w14:paraId="6973F753"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0.275***</w:t>
            </w:r>
          </w:p>
        </w:tc>
        <w:tc>
          <w:tcPr>
            <w:tcW w:w="954" w:type="dxa"/>
            <w:noWrap/>
            <w:vAlign w:val="center"/>
            <w:hideMark/>
          </w:tcPr>
          <w:p w14:paraId="20E40DC3"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0.234***</w:t>
            </w:r>
          </w:p>
        </w:tc>
        <w:tc>
          <w:tcPr>
            <w:tcW w:w="1041" w:type="dxa"/>
            <w:vAlign w:val="center"/>
          </w:tcPr>
          <w:p w14:paraId="67F0A6D0"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0.324***</w:t>
            </w:r>
          </w:p>
        </w:tc>
        <w:tc>
          <w:tcPr>
            <w:tcW w:w="248" w:type="dxa"/>
          </w:tcPr>
          <w:p w14:paraId="163C6384"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25C26C49"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0.401***</w:t>
            </w:r>
          </w:p>
        </w:tc>
        <w:tc>
          <w:tcPr>
            <w:tcW w:w="1034" w:type="dxa"/>
            <w:noWrap/>
            <w:vAlign w:val="center"/>
            <w:hideMark/>
          </w:tcPr>
          <w:p w14:paraId="2EC1023D"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0.342***</w:t>
            </w:r>
          </w:p>
        </w:tc>
        <w:tc>
          <w:tcPr>
            <w:tcW w:w="1034" w:type="dxa"/>
            <w:noWrap/>
            <w:vAlign w:val="center"/>
            <w:hideMark/>
          </w:tcPr>
          <w:p w14:paraId="3D7FB03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0.333***</w:t>
            </w:r>
          </w:p>
        </w:tc>
        <w:tc>
          <w:tcPr>
            <w:tcW w:w="1034" w:type="dxa"/>
            <w:gridSpan w:val="2"/>
            <w:vAlign w:val="center"/>
          </w:tcPr>
          <w:p w14:paraId="6697B71F"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0.385***</w:t>
            </w:r>
          </w:p>
        </w:tc>
      </w:tr>
      <w:tr w:rsidR="006F5B49" w:rsidRPr="0051713D" w14:paraId="385EF642" w14:textId="77777777" w:rsidTr="006F5B49">
        <w:trPr>
          <w:trHeight w:val="84"/>
          <w:jc w:val="center"/>
        </w:trPr>
        <w:tc>
          <w:tcPr>
            <w:tcW w:w="1809" w:type="dxa"/>
            <w:noWrap/>
            <w:vAlign w:val="center"/>
            <w:hideMark/>
          </w:tcPr>
          <w:p w14:paraId="226B3E84"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944" w:type="dxa"/>
            <w:vAlign w:val="center"/>
          </w:tcPr>
          <w:p w14:paraId="074A0853"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3E2E1EBC"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1041" w:type="dxa"/>
            <w:noWrap/>
            <w:vAlign w:val="center"/>
            <w:hideMark/>
          </w:tcPr>
          <w:p w14:paraId="0A5DF03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954" w:type="dxa"/>
            <w:noWrap/>
            <w:vAlign w:val="center"/>
            <w:hideMark/>
          </w:tcPr>
          <w:p w14:paraId="50D40567"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1041" w:type="dxa"/>
            <w:vAlign w:val="center"/>
          </w:tcPr>
          <w:p w14:paraId="70E02173"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248" w:type="dxa"/>
          </w:tcPr>
          <w:p w14:paraId="61701B3B"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24D19A5A"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w:t>
            </w:r>
          </w:p>
        </w:tc>
        <w:tc>
          <w:tcPr>
            <w:tcW w:w="1034" w:type="dxa"/>
            <w:noWrap/>
            <w:vAlign w:val="center"/>
            <w:hideMark/>
          </w:tcPr>
          <w:p w14:paraId="181B2219"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w:t>
            </w:r>
          </w:p>
        </w:tc>
        <w:tc>
          <w:tcPr>
            <w:tcW w:w="1034" w:type="dxa"/>
            <w:noWrap/>
            <w:vAlign w:val="center"/>
            <w:hideMark/>
          </w:tcPr>
          <w:p w14:paraId="63F7E3C9"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w:t>
            </w:r>
          </w:p>
        </w:tc>
        <w:tc>
          <w:tcPr>
            <w:tcW w:w="1034" w:type="dxa"/>
            <w:gridSpan w:val="2"/>
            <w:vAlign w:val="center"/>
          </w:tcPr>
          <w:p w14:paraId="37EA7388"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r>
      <w:tr w:rsidR="006F5B49" w:rsidRPr="0051713D" w14:paraId="6EDD41D2" w14:textId="77777777" w:rsidTr="006F5B49">
        <w:trPr>
          <w:trHeight w:val="84"/>
          <w:jc w:val="center"/>
        </w:trPr>
        <w:tc>
          <w:tcPr>
            <w:tcW w:w="1809" w:type="dxa"/>
            <w:noWrap/>
            <w:vAlign w:val="center"/>
            <w:hideMark/>
          </w:tcPr>
          <w:p w14:paraId="2E1A1141"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Leverage</w:t>
            </w:r>
          </w:p>
        </w:tc>
        <w:tc>
          <w:tcPr>
            <w:tcW w:w="944" w:type="dxa"/>
            <w:vAlign w:val="center"/>
          </w:tcPr>
          <w:p w14:paraId="3914A4D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w:t>
            </w:r>
          </w:p>
        </w:tc>
        <w:tc>
          <w:tcPr>
            <w:tcW w:w="1017" w:type="dxa"/>
            <w:noWrap/>
            <w:vAlign w:val="center"/>
            <w:hideMark/>
          </w:tcPr>
          <w:p w14:paraId="68045E63" w14:textId="4C23842F"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-0.011***</w:t>
            </w:r>
          </w:p>
        </w:tc>
        <w:tc>
          <w:tcPr>
            <w:tcW w:w="1041" w:type="dxa"/>
            <w:noWrap/>
            <w:vAlign w:val="center"/>
            <w:hideMark/>
          </w:tcPr>
          <w:p w14:paraId="0AA5E218" w14:textId="1B45498E"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-0.009***</w:t>
            </w:r>
          </w:p>
        </w:tc>
        <w:tc>
          <w:tcPr>
            <w:tcW w:w="954" w:type="dxa"/>
            <w:noWrap/>
            <w:vAlign w:val="center"/>
            <w:hideMark/>
          </w:tcPr>
          <w:p w14:paraId="18DF7C4D" w14:textId="6674B4C2"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-0.01</w:t>
            </w:r>
            <w:r w:rsidR="006F5B49">
              <w:rPr>
                <w:rFonts w:eastAsia="Times New Roman" w:cstheme="majorBidi"/>
                <w:color w:val="000000"/>
                <w:sz w:val="18"/>
                <w:szCs w:val="18"/>
              </w:rPr>
              <w:t>3</w:t>
            </w:r>
            <w:r w:rsidRPr="00964C6C">
              <w:rPr>
                <w:rFonts w:eastAsia="Times New Roman" w:cstheme="majorBidi"/>
                <w:color w:val="000000"/>
                <w:sz w:val="18"/>
                <w:szCs w:val="18"/>
              </w:rPr>
              <w:t>***</w:t>
            </w:r>
          </w:p>
        </w:tc>
        <w:tc>
          <w:tcPr>
            <w:tcW w:w="1041" w:type="dxa"/>
            <w:vAlign w:val="center"/>
          </w:tcPr>
          <w:p w14:paraId="50B057AF" w14:textId="272827AB"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-0.008***</w:t>
            </w:r>
          </w:p>
        </w:tc>
        <w:tc>
          <w:tcPr>
            <w:tcW w:w="248" w:type="dxa"/>
          </w:tcPr>
          <w:p w14:paraId="1820B9E1"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3A87B665"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-0.004</w:t>
            </w:r>
          </w:p>
        </w:tc>
        <w:tc>
          <w:tcPr>
            <w:tcW w:w="1034" w:type="dxa"/>
            <w:noWrap/>
            <w:vAlign w:val="center"/>
            <w:hideMark/>
          </w:tcPr>
          <w:p w14:paraId="036D0960"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-0.002</w:t>
            </w:r>
          </w:p>
        </w:tc>
        <w:tc>
          <w:tcPr>
            <w:tcW w:w="1034" w:type="dxa"/>
            <w:noWrap/>
            <w:vAlign w:val="center"/>
            <w:hideMark/>
          </w:tcPr>
          <w:p w14:paraId="090D62B3"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-0.004</w:t>
            </w:r>
          </w:p>
        </w:tc>
        <w:tc>
          <w:tcPr>
            <w:tcW w:w="1034" w:type="dxa"/>
            <w:gridSpan w:val="2"/>
            <w:vAlign w:val="center"/>
          </w:tcPr>
          <w:p w14:paraId="619010B1"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-0.002</w:t>
            </w:r>
          </w:p>
        </w:tc>
      </w:tr>
      <w:tr w:rsidR="006F5B49" w:rsidRPr="0051713D" w14:paraId="4CA86D03" w14:textId="77777777" w:rsidTr="006F5B49">
        <w:trPr>
          <w:trHeight w:val="84"/>
          <w:jc w:val="center"/>
        </w:trPr>
        <w:tc>
          <w:tcPr>
            <w:tcW w:w="1809" w:type="dxa"/>
            <w:noWrap/>
            <w:vAlign w:val="center"/>
            <w:hideMark/>
          </w:tcPr>
          <w:p w14:paraId="3933083B"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944" w:type="dxa"/>
            <w:vAlign w:val="center"/>
          </w:tcPr>
          <w:p w14:paraId="75CF8B7C"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3626FBE6"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1041" w:type="dxa"/>
            <w:noWrap/>
            <w:vAlign w:val="center"/>
            <w:hideMark/>
          </w:tcPr>
          <w:p w14:paraId="109A771B"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(0.0028)</w:t>
            </w:r>
          </w:p>
        </w:tc>
        <w:tc>
          <w:tcPr>
            <w:tcW w:w="954" w:type="dxa"/>
            <w:noWrap/>
            <w:vAlign w:val="center"/>
            <w:hideMark/>
          </w:tcPr>
          <w:p w14:paraId="10D80467"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(0,0000)</w:t>
            </w:r>
          </w:p>
        </w:tc>
        <w:tc>
          <w:tcPr>
            <w:tcW w:w="1041" w:type="dxa"/>
            <w:vAlign w:val="center"/>
          </w:tcPr>
          <w:p w14:paraId="4A2DA2BB"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(0.0042)</w:t>
            </w:r>
          </w:p>
        </w:tc>
        <w:tc>
          <w:tcPr>
            <w:tcW w:w="248" w:type="dxa"/>
          </w:tcPr>
          <w:p w14:paraId="53C8CC6E" w14:textId="77777777" w:rsidR="009A7B5F" w:rsidRPr="00964C6C"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59577266"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(0.1491)</w:t>
            </w:r>
          </w:p>
        </w:tc>
        <w:tc>
          <w:tcPr>
            <w:tcW w:w="1034" w:type="dxa"/>
            <w:noWrap/>
            <w:vAlign w:val="center"/>
            <w:hideMark/>
          </w:tcPr>
          <w:p w14:paraId="0ACC961D"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(0.4617)</w:t>
            </w:r>
          </w:p>
        </w:tc>
        <w:tc>
          <w:tcPr>
            <w:tcW w:w="1034" w:type="dxa"/>
            <w:noWrap/>
            <w:vAlign w:val="center"/>
            <w:hideMark/>
          </w:tcPr>
          <w:p w14:paraId="65A78EF4" w14:textId="77777777" w:rsidR="009A7B5F" w:rsidRPr="00964C6C" w:rsidRDefault="009A7B5F" w:rsidP="009F5DF5">
            <w:pPr>
              <w:spacing w:line="240" w:lineRule="auto"/>
              <w:ind w:firstLine="0"/>
              <w:jc w:val="left"/>
              <w:rPr>
                <w:rFonts w:eastAsia="Times New Roman" w:cstheme="majorBidi"/>
                <w:color w:val="000000"/>
                <w:sz w:val="18"/>
                <w:szCs w:val="18"/>
              </w:rPr>
            </w:pPr>
            <w:r w:rsidRPr="00964C6C">
              <w:rPr>
                <w:rFonts w:eastAsia="Times New Roman" w:cstheme="majorBidi"/>
                <w:color w:val="000000"/>
                <w:sz w:val="18"/>
                <w:szCs w:val="18"/>
              </w:rPr>
              <w:t>(0.1394)</w:t>
            </w:r>
          </w:p>
        </w:tc>
        <w:tc>
          <w:tcPr>
            <w:tcW w:w="1034" w:type="dxa"/>
            <w:gridSpan w:val="2"/>
            <w:vAlign w:val="center"/>
          </w:tcPr>
          <w:p w14:paraId="68241E39" w14:textId="77777777" w:rsidR="009A7B5F" w:rsidRPr="00964C6C" w:rsidRDefault="009A7B5F" w:rsidP="009F5DF5">
            <w:pPr>
              <w:spacing w:line="240" w:lineRule="auto"/>
              <w:ind w:firstLine="0"/>
              <w:jc w:val="left"/>
              <w:rPr>
                <w:rFonts w:cstheme="majorBidi"/>
                <w:color w:val="000000"/>
                <w:sz w:val="18"/>
                <w:szCs w:val="18"/>
              </w:rPr>
            </w:pPr>
            <w:r w:rsidRPr="00964C6C">
              <w:rPr>
                <w:rFonts w:cstheme="majorBidi"/>
                <w:color w:val="000000"/>
                <w:sz w:val="18"/>
                <w:szCs w:val="18"/>
              </w:rPr>
              <w:t>(0.565)</w:t>
            </w:r>
          </w:p>
        </w:tc>
      </w:tr>
      <w:tr w:rsidR="006F5B49" w:rsidRPr="0051713D" w14:paraId="666DFBBF" w14:textId="77777777" w:rsidTr="006F5B49">
        <w:trPr>
          <w:trHeight w:val="84"/>
          <w:jc w:val="center"/>
        </w:trPr>
        <w:tc>
          <w:tcPr>
            <w:tcW w:w="1809" w:type="dxa"/>
            <w:noWrap/>
            <w:vAlign w:val="center"/>
            <w:hideMark/>
          </w:tcPr>
          <w:p w14:paraId="746AF30A"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Constant</w:t>
            </w:r>
          </w:p>
        </w:tc>
        <w:tc>
          <w:tcPr>
            <w:tcW w:w="944" w:type="dxa"/>
            <w:vAlign w:val="center"/>
          </w:tcPr>
          <w:p w14:paraId="45FAB680"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3E382DAF"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-2.874</w:t>
            </w:r>
          </w:p>
        </w:tc>
        <w:tc>
          <w:tcPr>
            <w:tcW w:w="1041" w:type="dxa"/>
            <w:noWrap/>
            <w:vAlign w:val="center"/>
            <w:hideMark/>
          </w:tcPr>
          <w:p w14:paraId="0C3D5C9B"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-4.565**</w:t>
            </w:r>
          </w:p>
        </w:tc>
        <w:tc>
          <w:tcPr>
            <w:tcW w:w="954" w:type="dxa"/>
            <w:noWrap/>
            <w:vAlign w:val="center"/>
            <w:hideMark/>
          </w:tcPr>
          <w:p w14:paraId="29166B78"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-1.892</w:t>
            </w:r>
          </w:p>
        </w:tc>
        <w:tc>
          <w:tcPr>
            <w:tcW w:w="1041" w:type="dxa"/>
            <w:vAlign w:val="center"/>
          </w:tcPr>
          <w:p w14:paraId="5C25A72B"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-0.799</w:t>
            </w:r>
          </w:p>
        </w:tc>
        <w:tc>
          <w:tcPr>
            <w:tcW w:w="248" w:type="dxa"/>
          </w:tcPr>
          <w:p w14:paraId="2B8B0EE3"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10C6F462"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-0.154</w:t>
            </w:r>
          </w:p>
        </w:tc>
        <w:tc>
          <w:tcPr>
            <w:tcW w:w="1034" w:type="dxa"/>
            <w:noWrap/>
            <w:vAlign w:val="center"/>
            <w:hideMark/>
          </w:tcPr>
          <w:p w14:paraId="3B9A05E1"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-1.214</w:t>
            </w:r>
          </w:p>
        </w:tc>
        <w:tc>
          <w:tcPr>
            <w:tcW w:w="1034" w:type="dxa"/>
            <w:noWrap/>
            <w:vAlign w:val="center"/>
            <w:hideMark/>
          </w:tcPr>
          <w:p w14:paraId="1EE05E02"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1.706</w:t>
            </w:r>
          </w:p>
        </w:tc>
        <w:tc>
          <w:tcPr>
            <w:tcW w:w="1034" w:type="dxa"/>
            <w:gridSpan w:val="2"/>
            <w:vAlign w:val="center"/>
          </w:tcPr>
          <w:p w14:paraId="20834154"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2.339</w:t>
            </w:r>
          </w:p>
        </w:tc>
      </w:tr>
      <w:tr w:rsidR="006F5B49" w:rsidRPr="0051713D" w14:paraId="53570250" w14:textId="77777777" w:rsidTr="006F5B49">
        <w:trPr>
          <w:trHeight w:val="84"/>
          <w:jc w:val="center"/>
        </w:trPr>
        <w:tc>
          <w:tcPr>
            <w:tcW w:w="1809" w:type="dxa"/>
            <w:noWrap/>
            <w:vAlign w:val="center"/>
            <w:hideMark/>
          </w:tcPr>
          <w:p w14:paraId="245FAC20"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944" w:type="dxa"/>
            <w:vAlign w:val="center"/>
          </w:tcPr>
          <w:p w14:paraId="055B0405"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0FB5F6BB"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(0.1414)</w:t>
            </w:r>
          </w:p>
        </w:tc>
        <w:tc>
          <w:tcPr>
            <w:tcW w:w="1041" w:type="dxa"/>
            <w:noWrap/>
            <w:vAlign w:val="center"/>
            <w:hideMark/>
          </w:tcPr>
          <w:p w14:paraId="52C71F47"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(0.0407)</w:t>
            </w:r>
          </w:p>
        </w:tc>
        <w:tc>
          <w:tcPr>
            <w:tcW w:w="954" w:type="dxa"/>
            <w:noWrap/>
            <w:vAlign w:val="center"/>
            <w:hideMark/>
          </w:tcPr>
          <w:p w14:paraId="3C07BB3D"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(0.3911)</w:t>
            </w:r>
          </w:p>
        </w:tc>
        <w:tc>
          <w:tcPr>
            <w:tcW w:w="1041" w:type="dxa"/>
            <w:vAlign w:val="center"/>
          </w:tcPr>
          <w:p w14:paraId="0FA6E1D7"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(0.7192)</w:t>
            </w:r>
          </w:p>
        </w:tc>
        <w:tc>
          <w:tcPr>
            <w:tcW w:w="248" w:type="dxa"/>
          </w:tcPr>
          <w:p w14:paraId="10329DF2"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00E2002B"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(0.9336)</w:t>
            </w:r>
          </w:p>
        </w:tc>
        <w:tc>
          <w:tcPr>
            <w:tcW w:w="1034" w:type="dxa"/>
            <w:noWrap/>
            <w:vAlign w:val="center"/>
            <w:hideMark/>
          </w:tcPr>
          <w:p w14:paraId="792D2E63"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(0.5485)</w:t>
            </w:r>
          </w:p>
        </w:tc>
        <w:tc>
          <w:tcPr>
            <w:tcW w:w="1034" w:type="dxa"/>
            <w:noWrap/>
            <w:vAlign w:val="center"/>
            <w:hideMark/>
          </w:tcPr>
          <w:p w14:paraId="555971B8"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(0.4186)</w:t>
            </w:r>
          </w:p>
        </w:tc>
        <w:tc>
          <w:tcPr>
            <w:tcW w:w="1034" w:type="dxa"/>
            <w:gridSpan w:val="2"/>
            <w:vAlign w:val="center"/>
          </w:tcPr>
          <w:p w14:paraId="636C787B"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(0.2614)</w:t>
            </w:r>
          </w:p>
        </w:tc>
      </w:tr>
      <w:tr w:rsidR="006F5B49" w:rsidRPr="0051713D" w14:paraId="401BD63F" w14:textId="77777777" w:rsidTr="006F5B49">
        <w:trPr>
          <w:trHeight w:val="84"/>
          <w:jc w:val="center"/>
        </w:trPr>
        <w:tc>
          <w:tcPr>
            <w:tcW w:w="1809" w:type="dxa"/>
            <w:noWrap/>
            <w:vAlign w:val="center"/>
            <w:hideMark/>
          </w:tcPr>
          <w:p w14:paraId="4C00AC06"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Observation</w:t>
            </w:r>
          </w:p>
        </w:tc>
        <w:tc>
          <w:tcPr>
            <w:tcW w:w="944" w:type="dxa"/>
            <w:vAlign w:val="center"/>
          </w:tcPr>
          <w:p w14:paraId="50D450C6"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7C2B99A9"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2356</w:t>
            </w:r>
          </w:p>
        </w:tc>
        <w:tc>
          <w:tcPr>
            <w:tcW w:w="1041" w:type="dxa"/>
            <w:noWrap/>
            <w:vAlign w:val="center"/>
            <w:hideMark/>
          </w:tcPr>
          <w:p w14:paraId="2FB2F184"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1932</w:t>
            </w:r>
          </w:p>
        </w:tc>
        <w:tc>
          <w:tcPr>
            <w:tcW w:w="954" w:type="dxa"/>
            <w:noWrap/>
            <w:vAlign w:val="center"/>
            <w:hideMark/>
          </w:tcPr>
          <w:p w14:paraId="7EE81803"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1932</w:t>
            </w:r>
          </w:p>
        </w:tc>
        <w:tc>
          <w:tcPr>
            <w:tcW w:w="1041" w:type="dxa"/>
            <w:vAlign w:val="center"/>
          </w:tcPr>
          <w:p w14:paraId="28EE1ABC"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1932</w:t>
            </w:r>
          </w:p>
        </w:tc>
        <w:tc>
          <w:tcPr>
            <w:tcW w:w="248" w:type="dxa"/>
          </w:tcPr>
          <w:p w14:paraId="51846AA6"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5FFC3FAA"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2364</w:t>
            </w:r>
          </w:p>
        </w:tc>
        <w:tc>
          <w:tcPr>
            <w:tcW w:w="1034" w:type="dxa"/>
            <w:noWrap/>
            <w:vAlign w:val="center"/>
            <w:hideMark/>
          </w:tcPr>
          <w:p w14:paraId="6B234308"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1938</w:t>
            </w:r>
          </w:p>
        </w:tc>
        <w:tc>
          <w:tcPr>
            <w:tcW w:w="1034" w:type="dxa"/>
            <w:noWrap/>
            <w:vAlign w:val="center"/>
            <w:hideMark/>
          </w:tcPr>
          <w:p w14:paraId="42CF87C9"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1938</w:t>
            </w:r>
          </w:p>
        </w:tc>
        <w:tc>
          <w:tcPr>
            <w:tcW w:w="1034" w:type="dxa"/>
            <w:gridSpan w:val="2"/>
            <w:vAlign w:val="center"/>
          </w:tcPr>
          <w:p w14:paraId="2E9909DB"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1938</w:t>
            </w:r>
          </w:p>
        </w:tc>
      </w:tr>
      <w:tr w:rsidR="006F5B49" w:rsidRPr="0051713D" w14:paraId="47196892" w14:textId="77777777" w:rsidTr="006F5B49">
        <w:trPr>
          <w:trHeight w:val="84"/>
          <w:jc w:val="center"/>
        </w:trPr>
        <w:tc>
          <w:tcPr>
            <w:tcW w:w="1809" w:type="dxa"/>
            <w:noWrap/>
            <w:vAlign w:val="center"/>
            <w:hideMark/>
          </w:tcPr>
          <w:p w14:paraId="06F717DD"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Firms</w:t>
            </w:r>
          </w:p>
        </w:tc>
        <w:tc>
          <w:tcPr>
            <w:tcW w:w="944" w:type="dxa"/>
            <w:vAlign w:val="center"/>
          </w:tcPr>
          <w:p w14:paraId="505B3F1E"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579146D3"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409</w:t>
            </w:r>
          </w:p>
        </w:tc>
        <w:tc>
          <w:tcPr>
            <w:tcW w:w="1041" w:type="dxa"/>
            <w:noWrap/>
            <w:vAlign w:val="center"/>
            <w:hideMark/>
          </w:tcPr>
          <w:p w14:paraId="7B570030"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368</w:t>
            </w:r>
          </w:p>
        </w:tc>
        <w:tc>
          <w:tcPr>
            <w:tcW w:w="954" w:type="dxa"/>
            <w:noWrap/>
            <w:vAlign w:val="center"/>
            <w:hideMark/>
          </w:tcPr>
          <w:p w14:paraId="53AF3516"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368</w:t>
            </w:r>
          </w:p>
        </w:tc>
        <w:tc>
          <w:tcPr>
            <w:tcW w:w="1041" w:type="dxa"/>
            <w:vAlign w:val="center"/>
          </w:tcPr>
          <w:p w14:paraId="03946C61"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368.000</w:t>
            </w:r>
          </w:p>
        </w:tc>
        <w:tc>
          <w:tcPr>
            <w:tcW w:w="248" w:type="dxa"/>
          </w:tcPr>
          <w:p w14:paraId="700E817A"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778A2705"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409</w:t>
            </w:r>
          </w:p>
        </w:tc>
        <w:tc>
          <w:tcPr>
            <w:tcW w:w="1034" w:type="dxa"/>
            <w:noWrap/>
            <w:vAlign w:val="center"/>
            <w:hideMark/>
          </w:tcPr>
          <w:p w14:paraId="0A07D4D8"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368</w:t>
            </w:r>
          </w:p>
        </w:tc>
        <w:tc>
          <w:tcPr>
            <w:tcW w:w="1034" w:type="dxa"/>
            <w:noWrap/>
            <w:vAlign w:val="center"/>
            <w:hideMark/>
          </w:tcPr>
          <w:p w14:paraId="697D16D7"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368</w:t>
            </w:r>
          </w:p>
        </w:tc>
        <w:tc>
          <w:tcPr>
            <w:tcW w:w="1034" w:type="dxa"/>
            <w:gridSpan w:val="2"/>
            <w:vAlign w:val="center"/>
          </w:tcPr>
          <w:p w14:paraId="7EE23508"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368</w:t>
            </w:r>
          </w:p>
        </w:tc>
      </w:tr>
      <w:tr w:rsidR="006F5B49" w:rsidRPr="0051713D" w14:paraId="16CE050D" w14:textId="77777777" w:rsidTr="006F5B49">
        <w:trPr>
          <w:trHeight w:val="84"/>
          <w:jc w:val="center"/>
        </w:trPr>
        <w:tc>
          <w:tcPr>
            <w:tcW w:w="1809" w:type="dxa"/>
            <w:noWrap/>
            <w:vAlign w:val="center"/>
            <w:hideMark/>
          </w:tcPr>
          <w:p w14:paraId="34CD7BD6"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Adjusted R2</w:t>
            </w:r>
          </w:p>
        </w:tc>
        <w:tc>
          <w:tcPr>
            <w:tcW w:w="944" w:type="dxa"/>
            <w:vAlign w:val="center"/>
          </w:tcPr>
          <w:p w14:paraId="4A148F91"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17" w:type="dxa"/>
            <w:noWrap/>
            <w:vAlign w:val="center"/>
            <w:hideMark/>
          </w:tcPr>
          <w:p w14:paraId="11D48AD1"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0.442</w:t>
            </w:r>
          </w:p>
        </w:tc>
        <w:tc>
          <w:tcPr>
            <w:tcW w:w="1041" w:type="dxa"/>
            <w:noWrap/>
            <w:vAlign w:val="center"/>
            <w:hideMark/>
          </w:tcPr>
          <w:p w14:paraId="21DE1EF0"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0.441</w:t>
            </w:r>
          </w:p>
        </w:tc>
        <w:tc>
          <w:tcPr>
            <w:tcW w:w="954" w:type="dxa"/>
            <w:noWrap/>
            <w:vAlign w:val="center"/>
            <w:hideMark/>
          </w:tcPr>
          <w:p w14:paraId="61559AB4"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0.462</w:t>
            </w:r>
          </w:p>
        </w:tc>
        <w:tc>
          <w:tcPr>
            <w:tcW w:w="1041" w:type="dxa"/>
            <w:vAlign w:val="center"/>
          </w:tcPr>
          <w:p w14:paraId="2C1CCA1A"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0.469</w:t>
            </w:r>
          </w:p>
        </w:tc>
        <w:tc>
          <w:tcPr>
            <w:tcW w:w="248" w:type="dxa"/>
          </w:tcPr>
          <w:p w14:paraId="678211B2"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03EDDA18"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0.626</w:t>
            </w:r>
          </w:p>
        </w:tc>
        <w:tc>
          <w:tcPr>
            <w:tcW w:w="1034" w:type="dxa"/>
            <w:noWrap/>
            <w:vAlign w:val="center"/>
            <w:hideMark/>
          </w:tcPr>
          <w:p w14:paraId="56D48AEE"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0.585</w:t>
            </w:r>
          </w:p>
        </w:tc>
        <w:tc>
          <w:tcPr>
            <w:tcW w:w="1034" w:type="dxa"/>
            <w:noWrap/>
            <w:vAlign w:val="center"/>
            <w:hideMark/>
          </w:tcPr>
          <w:p w14:paraId="32E2BFDA"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0.604</w:t>
            </w:r>
          </w:p>
        </w:tc>
        <w:tc>
          <w:tcPr>
            <w:tcW w:w="1034" w:type="dxa"/>
            <w:gridSpan w:val="2"/>
            <w:vAlign w:val="center"/>
          </w:tcPr>
          <w:p w14:paraId="3FE6DD8B"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0.606</w:t>
            </w:r>
          </w:p>
        </w:tc>
      </w:tr>
      <w:tr w:rsidR="006F5B49" w:rsidRPr="0051713D" w14:paraId="7DD3F611" w14:textId="77777777" w:rsidTr="006F5B49">
        <w:trPr>
          <w:trHeight w:val="84"/>
          <w:jc w:val="center"/>
        </w:trPr>
        <w:tc>
          <w:tcPr>
            <w:tcW w:w="1809" w:type="dxa"/>
            <w:tcBorders>
              <w:bottom w:val="single" w:sz="4" w:space="0" w:color="auto"/>
            </w:tcBorders>
            <w:noWrap/>
            <w:vAlign w:val="center"/>
            <w:hideMark/>
          </w:tcPr>
          <w:p w14:paraId="78A4783F"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Root MSE</w:t>
            </w:r>
          </w:p>
        </w:tc>
        <w:tc>
          <w:tcPr>
            <w:tcW w:w="944" w:type="dxa"/>
            <w:tcBorders>
              <w:bottom w:val="single" w:sz="4" w:space="0" w:color="auto"/>
            </w:tcBorders>
            <w:vAlign w:val="center"/>
          </w:tcPr>
          <w:p w14:paraId="58A5EF63"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17" w:type="dxa"/>
            <w:tcBorders>
              <w:bottom w:val="single" w:sz="4" w:space="0" w:color="auto"/>
            </w:tcBorders>
            <w:noWrap/>
            <w:vAlign w:val="center"/>
            <w:hideMark/>
          </w:tcPr>
          <w:p w14:paraId="70DD9562"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0.813</w:t>
            </w:r>
          </w:p>
        </w:tc>
        <w:tc>
          <w:tcPr>
            <w:tcW w:w="1041" w:type="dxa"/>
            <w:tcBorders>
              <w:bottom w:val="single" w:sz="4" w:space="0" w:color="auto"/>
            </w:tcBorders>
            <w:noWrap/>
            <w:vAlign w:val="center"/>
            <w:hideMark/>
          </w:tcPr>
          <w:p w14:paraId="7FB8CA6E"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0.815</w:t>
            </w:r>
          </w:p>
        </w:tc>
        <w:tc>
          <w:tcPr>
            <w:tcW w:w="954" w:type="dxa"/>
            <w:tcBorders>
              <w:bottom w:val="single" w:sz="4" w:space="0" w:color="auto"/>
            </w:tcBorders>
            <w:noWrap/>
            <w:vAlign w:val="center"/>
            <w:hideMark/>
          </w:tcPr>
          <w:p w14:paraId="6F3AEBA6"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0.799</w:t>
            </w:r>
          </w:p>
        </w:tc>
        <w:tc>
          <w:tcPr>
            <w:tcW w:w="1041" w:type="dxa"/>
            <w:tcBorders>
              <w:bottom w:val="single" w:sz="4" w:space="0" w:color="auto"/>
            </w:tcBorders>
            <w:vAlign w:val="center"/>
          </w:tcPr>
          <w:p w14:paraId="426F2BBA"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0.794</w:t>
            </w:r>
          </w:p>
        </w:tc>
        <w:tc>
          <w:tcPr>
            <w:tcW w:w="248" w:type="dxa"/>
            <w:tcBorders>
              <w:bottom w:val="single" w:sz="4" w:space="0" w:color="auto"/>
            </w:tcBorders>
          </w:tcPr>
          <w:p w14:paraId="3DED521E" w14:textId="77777777" w:rsidR="009A7B5F" w:rsidRPr="0051713D" w:rsidRDefault="009A7B5F" w:rsidP="009F5DF5">
            <w:pPr>
              <w:spacing w:line="240" w:lineRule="auto"/>
              <w:ind w:firstLine="0"/>
              <w:jc w:val="left"/>
              <w:rPr>
                <w:rFonts w:eastAsia="Times New Roman" w:cstheme="majorBidi"/>
                <w:color w:val="000000"/>
                <w:sz w:val="18"/>
                <w:szCs w:val="18"/>
              </w:rPr>
            </w:pPr>
          </w:p>
        </w:tc>
        <w:tc>
          <w:tcPr>
            <w:tcW w:w="1034" w:type="dxa"/>
            <w:tcBorders>
              <w:bottom w:val="single" w:sz="4" w:space="0" w:color="auto"/>
            </w:tcBorders>
            <w:noWrap/>
            <w:vAlign w:val="center"/>
            <w:hideMark/>
          </w:tcPr>
          <w:p w14:paraId="547410AE"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0.751</w:t>
            </w:r>
          </w:p>
        </w:tc>
        <w:tc>
          <w:tcPr>
            <w:tcW w:w="1034" w:type="dxa"/>
            <w:tcBorders>
              <w:bottom w:val="single" w:sz="4" w:space="0" w:color="auto"/>
            </w:tcBorders>
            <w:noWrap/>
            <w:vAlign w:val="center"/>
            <w:hideMark/>
          </w:tcPr>
          <w:p w14:paraId="03B0BD81"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0.771</w:t>
            </w:r>
          </w:p>
        </w:tc>
        <w:tc>
          <w:tcPr>
            <w:tcW w:w="1034" w:type="dxa"/>
            <w:tcBorders>
              <w:bottom w:val="single" w:sz="4" w:space="0" w:color="auto"/>
            </w:tcBorders>
            <w:noWrap/>
            <w:vAlign w:val="center"/>
            <w:hideMark/>
          </w:tcPr>
          <w:p w14:paraId="2E62AC9F" w14:textId="77777777" w:rsidR="009A7B5F" w:rsidRPr="0051713D" w:rsidRDefault="009A7B5F" w:rsidP="009F5DF5">
            <w:pPr>
              <w:spacing w:line="240" w:lineRule="auto"/>
              <w:ind w:firstLine="0"/>
              <w:jc w:val="left"/>
              <w:rPr>
                <w:rFonts w:eastAsia="Times New Roman" w:cstheme="majorBidi"/>
                <w:color w:val="000000"/>
                <w:sz w:val="18"/>
                <w:szCs w:val="18"/>
              </w:rPr>
            </w:pPr>
            <w:r w:rsidRPr="0051713D">
              <w:rPr>
                <w:rFonts w:eastAsia="Times New Roman" w:cstheme="majorBidi"/>
                <w:color w:val="000000"/>
                <w:sz w:val="18"/>
                <w:szCs w:val="18"/>
              </w:rPr>
              <w:t>0.753</w:t>
            </w:r>
          </w:p>
        </w:tc>
        <w:tc>
          <w:tcPr>
            <w:tcW w:w="1034" w:type="dxa"/>
            <w:gridSpan w:val="2"/>
            <w:tcBorders>
              <w:bottom w:val="single" w:sz="4" w:space="0" w:color="auto"/>
            </w:tcBorders>
            <w:vAlign w:val="center"/>
          </w:tcPr>
          <w:p w14:paraId="1A85106D" w14:textId="77777777" w:rsidR="009A7B5F" w:rsidRPr="0051713D" w:rsidRDefault="009A7B5F" w:rsidP="009F5DF5">
            <w:pPr>
              <w:spacing w:line="240" w:lineRule="auto"/>
              <w:ind w:firstLine="0"/>
              <w:jc w:val="left"/>
              <w:rPr>
                <w:rFonts w:cstheme="majorBidi"/>
                <w:color w:val="000000"/>
                <w:sz w:val="18"/>
                <w:szCs w:val="18"/>
              </w:rPr>
            </w:pPr>
            <w:r w:rsidRPr="0051713D">
              <w:rPr>
                <w:rFonts w:cstheme="majorBidi"/>
                <w:color w:val="000000"/>
                <w:sz w:val="18"/>
                <w:szCs w:val="18"/>
              </w:rPr>
              <w:t>0.751</w:t>
            </w:r>
          </w:p>
        </w:tc>
      </w:tr>
      <w:tr w:rsidR="009A7B5F" w:rsidRPr="0051713D" w14:paraId="41B35497" w14:textId="77777777" w:rsidTr="006F5B49">
        <w:trPr>
          <w:gridAfter w:val="1"/>
          <w:wAfter w:w="13" w:type="dxa"/>
          <w:trHeight w:val="84"/>
          <w:jc w:val="center"/>
        </w:trPr>
        <w:tc>
          <w:tcPr>
            <w:tcW w:w="11179" w:type="dxa"/>
            <w:gridSpan w:val="11"/>
            <w:tcBorders>
              <w:top w:val="single" w:sz="4" w:space="0" w:color="auto"/>
              <w:bottom w:val="single" w:sz="4" w:space="0" w:color="auto"/>
            </w:tcBorders>
            <w:noWrap/>
            <w:vAlign w:val="center"/>
          </w:tcPr>
          <w:p w14:paraId="110C178E" w14:textId="77777777" w:rsidR="009A7B5F" w:rsidRPr="00347923" w:rsidRDefault="009A7B5F" w:rsidP="00347923">
            <w:pPr>
              <w:spacing w:before="160" w:line="240" w:lineRule="auto"/>
              <w:ind w:firstLine="0"/>
              <w:rPr>
                <w:rFonts w:eastAsia="Times New Roman" w:cstheme="majorBidi"/>
                <w:color w:val="000000"/>
                <w:sz w:val="22"/>
              </w:rPr>
            </w:pPr>
            <w:r w:rsidRPr="00347923">
              <w:rPr>
                <w:rFonts w:eastAsia="Times New Roman" w:cstheme="majorBidi"/>
                <w:color w:val="000000"/>
                <w:sz w:val="22"/>
              </w:rPr>
              <w:t xml:space="preserve">*, **, *** Indicate significance at the 10%, 5% and 1% levels, respectively. </w:t>
            </w:r>
          </w:p>
          <w:p w14:paraId="17F06F51" w14:textId="1594E763" w:rsidR="009A7B5F" w:rsidRPr="00347923" w:rsidRDefault="009A7B5F" w:rsidP="009F5DF5">
            <w:pPr>
              <w:spacing w:line="240" w:lineRule="auto"/>
              <w:ind w:firstLine="0"/>
              <w:rPr>
                <w:rFonts w:eastAsia="Times New Roman" w:cstheme="majorBidi"/>
                <w:color w:val="000000"/>
                <w:sz w:val="22"/>
              </w:rPr>
            </w:pPr>
            <w:bookmarkStart w:id="7" w:name="_Hlk84257272"/>
            <w:r w:rsidRPr="00347923">
              <w:rPr>
                <w:rFonts w:eastAsia="Times New Roman" w:cstheme="majorBidi"/>
                <w:color w:val="000000"/>
                <w:sz w:val="22"/>
              </w:rPr>
              <w:t xml:space="preserve">Table 5 reports the relation between pay ratios and employee performance. Employee performance is measured as SLE, the natural log of revenue per employee, and TFP, the residual of industry-specific Cobb–Douglas production functions. Pay Inequality is measured as the natural log of the ratio of total CEO compensation to average employee pay. Pay Equity is the predicted pay inequality in each firm-year and Pay Inequity is the residual of equation 1. Each regression includes region, industry, and year fixed effects. Continuous variables are </w:t>
            </w:r>
            <w:r w:rsidR="00C55BD0">
              <w:rPr>
                <w:rFonts w:eastAsia="Times New Roman" w:cstheme="majorBidi"/>
                <w:color w:val="000000"/>
                <w:sz w:val="22"/>
              </w:rPr>
              <w:t xml:space="preserve">trimmed </w:t>
            </w:r>
            <w:r w:rsidRPr="00347923">
              <w:rPr>
                <w:rFonts w:eastAsia="Times New Roman" w:cstheme="majorBidi"/>
                <w:color w:val="000000"/>
                <w:sz w:val="22"/>
              </w:rPr>
              <w:t xml:space="preserve">at 1 per cent and 99 per cent. P-values are reported in parentheses based on robust standard errors clustered at the firm level. </w:t>
            </w:r>
            <w:bookmarkEnd w:id="7"/>
          </w:p>
          <w:p w14:paraId="7DEB29E6" w14:textId="0F770FD7" w:rsidR="009A7B5F" w:rsidRPr="008B19D3" w:rsidRDefault="009A7B5F" w:rsidP="009F5DF5">
            <w:pPr>
              <w:spacing w:line="240" w:lineRule="auto"/>
              <w:ind w:firstLine="0"/>
              <w:rPr>
                <w:rFonts w:eastAsia="Times New Roman" w:cstheme="majorBidi"/>
                <w:color w:val="000000"/>
                <w:sz w:val="20"/>
                <w:szCs w:val="20"/>
              </w:rPr>
            </w:pPr>
            <w:r w:rsidRPr="00347923">
              <w:rPr>
                <w:rFonts w:eastAsia="Times New Roman" w:cstheme="majorBidi"/>
                <w:color w:val="000000"/>
                <w:sz w:val="22"/>
              </w:rPr>
              <w:t xml:space="preserve">All variables are defined in </w:t>
            </w:r>
            <w:r w:rsidRPr="00347923">
              <w:rPr>
                <w:rFonts w:cstheme="majorBidi"/>
                <w:sz w:val="22"/>
              </w:rPr>
              <w:t>Appendix A</w:t>
            </w:r>
            <w:r w:rsidRPr="00347923">
              <w:rPr>
                <w:rFonts w:eastAsia="Times New Roman" w:cstheme="majorBidi"/>
                <w:color w:val="000000"/>
                <w:sz w:val="22"/>
              </w:rPr>
              <w:t>.</w:t>
            </w:r>
            <w:r w:rsidRPr="008B19D3">
              <w:rPr>
                <w:rFonts w:eastAsia="Times New Roman" w:cstheme="majorBidi"/>
                <w:color w:val="000000"/>
                <w:sz w:val="20"/>
                <w:szCs w:val="20"/>
              </w:rPr>
              <w:t xml:space="preserve"> </w:t>
            </w:r>
          </w:p>
        </w:tc>
      </w:tr>
    </w:tbl>
    <w:p w14:paraId="36A092FC" w14:textId="77777777" w:rsidR="005C6C54" w:rsidRDefault="005C6C54" w:rsidP="005C6C54">
      <w:pPr>
        <w:ind w:firstLine="0"/>
      </w:pPr>
    </w:p>
    <w:p w14:paraId="61EC44DA" w14:textId="77777777" w:rsidR="009A7B5F" w:rsidRDefault="009A7B5F" w:rsidP="005C6C54">
      <w:pPr>
        <w:ind w:firstLine="0"/>
      </w:pPr>
      <w:r>
        <w:t>D</w:t>
      </w:r>
      <w:r w:rsidRPr="00A353DC">
        <w:t xml:space="preserve">ifferent </w:t>
      </w:r>
      <w:r>
        <w:t>models are applied</w:t>
      </w:r>
      <w:r w:rsidRPr="00A353DC">
        <w:t xml:space="preserve"> to alleviate econometric concerns in </w:t>
      </w:r>
      <w:r>
        <w:t>our primary model</w:t>
      </w:r>
      <w:r w:rsidRPr="00A353DC">
        <w:t xml:space="preserve"> (</w:t>
      </w:r>
      <w:r>
        <w:t>see T</w:t>
      </w:r>
      <w:r w:rsidRPr="00A353DC">
        <w:t xml:space="preserve">able </w:t>
      </w:r>
      <w:r>
        <w:t>6</w:t>
      </w:r>
      <w:r w:rsidRPr="00A353DC">
        <w:t>). The first concern may be</w:t>
      </w:r>
      <w:r>
        <w:t xml:space="preserve"> the existence of</w:t>
      </w:r>
      <w:r w:rsidRPr="00A353DC">
        <w:t xml:space="preserve"> firm heterogeneity in our sample. To address </w:t>
      </w:r>
      <w:r>
        <w:t>this issue</w:t>
      </w:r>
      <w:r w:rsidRPr="00A353DC">
        <w:t>, we include firm fixed effects to control for time-invariant firm characteristics that may affect employee performance (reported in column</w:t>
      </w:r>
      <w:r>
        <w:t xml:space="preserve"> FFE</w:t>
      </w:r>
      <w:r w:rsidRPr="00A353DC">
        <w:t xml:space="preserve">). The second and the most critical concern is </w:t>
      </w:r>
      <w:r>
        <w:t xml:space="preserve">the </w:t>
      </w:r>
      <w:r w:rsidRPr="00A353DC">
        <w:t xml:space="preserve">simultaneity </w:t>
      </w:r>
      <w:r>
        <w:t>problem b</w:t>
      </w:r>
      <w:r w:rsidRPr="00A353DC">
        <w:t>ecause compensation decision</w:t>
      </w:r>
      <w:r>
        <w:t>s</w:t>
      </w:r>
      <w:r w:rsidRPr="00A353DC">
        <w:t xml:space="preserve"> and employee performance are jointly determined</w:t>
      </w:r>
      <w:r>
        <w:t>. Therefore,</w:t>
      </w:r>
      <w:r w:rsidRPr="00A353DC">
        <w:t xml:space="preserve"> the causality may run in both directions, from pay </w:t>
      </w:r>
      <w:r>
        <w:t>ratios</w:t>
      </w:r>
      <w:r w:rsidRPr="00A353DC">
        <w:t xml:space="preserve"> to employee performance and vice versa. To </w:t>
      </w:r>
      <w:r>
        <w:t>consider</w:t>
      </w:r>
      <w:r w:rsidRPr="00A353DC">
        <w:t xml:space="preserve"> this issue, we </w:t>
      </w:r>
      <w:r>
        <w:t>use</w:t>
      </w:r>
      <w:r w:rsidRPr="00A353DC">
        <w:t xml:space="preserve"> three additional </w:t>
      </w:r>
      <w:r>
        <w:t>regressions</w:t>
      </w:r>
      <w:r w:rsidRPr="00A353DC">
        <w:t>.</w:t>
      </w:r>
      <w:r>
        <w:t xml:space="preserve"> First,</w:t>
      </w:r>
      <w:r w:rsidRPr="00A353DC">
        <w:t xml:space="preserve"> </w:t>
      </w:r>
      <w:r>
        <w:t>w</w:t>
      </w:r>
      <w:r w:rsidRPr="00A353DC">
        <w:t>e regress employee performance on the first lag of pay ratios</w:t>
      </w:r>
      <w:r>
        <w:t xml:space="preserve"> rather than contemporaneous pay ratios. </w:t>
      </w:r>
      <w:r>
        <w:lastRenderedPageBreak/>
        <w:t>Second, w</w:t>
      </w:r>
      <w:r w:rsidRPr="00A353DC">
        <w:t xml:space="preserve">e </w:t>
      </w:r>
      <w:r>
        <w:t>use</w:t>
      </w:r>
      <w:r w:rsidRPr="00A353DC">
        <w:t xml:space="preserve"> employee performance at year </w:t>
      </w:r>
      <w:r w:rsidRPr="004A3A6A">
        <w:rPr>
          <w:i/>
        </w:rPr>
        <w:t>t+1</w:t>
      </w:r>
      <w:r>
        <w:t xml:space="preserve"> </w:t>
      </w:r>
      <w:r w:rsidRPr="00A353DC">
        <w:t>rather than year</w:t>
      </w:r>
      <w:r>
        <w:t xml:space="preserve"> t.</w:t>
      </w:r>
      <w:r>
        <w:rPr>
          <w:rStyle w:val="FootnoteReference"/>
        </w:rPr>
        <w:footnoteReference w:id="20"/>
      </w:r>
      <w:r>
        <w:t xml:space="preserve"> Third</w:t>
      </w:r>
      <w:r w:rsidRPr="00A353DC">
        <w:t>, we estimate a regression of the change</w:t>
      </w:r>
      <w:r>
        <w:t>s</w:t>
      </w:r>
      <w:r w:rsidRPr="00A353DC">
        <w:t xml:space="preserve"> in employee performance on the change</w:t>
      </w:r>
      <w:r>
        <w:t>s</w:t>
      </w:r>
      <w:r w:rsidRPr="00A353DC">
        <w:t xml:space="preserve"> in pay ratios (reported in</w:t>
      </w:r>
      <w:r>
        <w:t xml:space="preserve"> column Delta</w:t>
      </w:r>
      <w:r w:rsidRPr="00A353DC">
        <w:t xml:space="preserve">). The last concern is omitted-variable bias. </w:t>
      </w:r>
      <w:r>
        <w:t>To cover this problem</w:t>
      </w:r>
      <w:r w:rsidRPr="00A353DC">
        <w:t xml:space="preserve">, we include employee performance at year </w:t>
      </w:r>
      <w:r w:rsidRPr="004A3A6A">
        <w:rPr>
          <w:i/>
        </w:rPr>
        <w:t>t-1</w:t>
      </w:r>
      <w:r w:rsidRPr="00A353DC">
        <w:t xml:space="preserve"> in our model to control omitted variables</w:t>
      </w:r>
      <w:r>
        <w:t xml:space="preserve"> (</w:t>
      </w:r>
      <w:r w:rsidRPr="00A353DC">
        <w:t>reported in</w:t>
      </w:r>
      <w:r>
        <w:t xml:space="preserve"> column Dynamic)</w:t>
      </w:r>
      <w:r w:rsidRPr="00A353DC">
        <w:t xml:space="preserve">. </w:t>
      </w:r>
      <w:r>
        <w:t xml:space="preserve">However, </w:t>
      </w:r>
      <w:r w:rsidRPr="00A353DC">
        <w:t>this method causes autocorrelation and endogeneity problem</w:t>
      </w:r>
      <w:r>
        <w:t>s</w:t>
      </w:r>
      <w:r w:rsidRPr="00A353DC">
        <w:t xml:space="preserve">. </w:t>
      </w:r>
    </w:p>
    <w:p w14:paraId="776BA4D8" w14:textId="77777777" w:rsidR="00B469AE" w:rsidRDefault="009A7B5F" w:rsidP="00B469AE">
      <w:r w:rsidRPr="00BF5615">
        <w:t xml:space="preserve">The appropriate </w:t>
      </w:r>
      <w:r>
        <w:t>way</w:t>
      </w:r>
      <w:r w:rsidRPr="00BF5615">
        <w:t xml:space="preserve"> to control the endogeneity problem arising from reverse causality or a systematic measurement error on the explanatory variables</w:t>
      </w:r>
      <w:r>
        <w:t xml:space="preserve"> is to use instrumental variables that are not subject to reverse causality for the variable of </w:t>
      </w:r>
      <w:r w:rsidRPr="004E0226">
        <w:t>primary interest, pay ratios. Therefore, we address the endogeneity problem as best as we can using the</w:t>
      </w:r>
      <w:r w:rsidR="00C75593" w:rsidRPr="004E0226">
        <w:t xml:space="preserve"> two-step</w:t>
      </w:r>
      <w:r w:rsidRPr="004E0226">
        <w:t xml:space="preserve"> SGMM</w:t>
      </w:r>
      <w:r w:rsidR="00C75593" w:rsidRPr="004E0226">
        <w:t xml:space="preserve"> with robust standard errors</w:t>
      </w:r>
      <w:r w:rsidRPr="004E0226">
        <w:t>. The SGMM estimator also controls unobserved heterogeneity and dynamics in the system by using a lagged dependent variable. SGMM contains both a level equation and a first differences equation that are jointly estimated as a system. For the level equation, lagged first differences of pay ratios and firm-level ratios are used as instruments in our estimation. The level equation also uses the lag</w:t>
      </w:r>
      <w:r w:rsidR="00253D37" w:rsidRPr="004E0226">
        <w:t>ged values</w:t>
      </w:r>
      <w:r w:rsidRPr="004E0226">
        <w:t xml:space="preserve"> of employee compensation, CEO tenure and industry-level and region-level ratios as their instrument</w:t>
      </w:r>
      <w:r w:rsidR="009A3E1E" w:rsidRPr="004E0226">
        <w:t xml:space="preserve">. </w:t>
      </w:r>
      <w:r w:rsidRPr="004E0226">
        <w:t>In contrast, the first differences equation uses the second lagged values of pay ratios and firm-level ratios as instruments. It also uses first differences</w:t>
      </w:r>
      <w:r w:rsidR="00253D37" w:rsidRPr="004E0226">
        <w:t xml:space="preserve"> of second lagged</w:t>
      </w:r>
      <w:r w:rsidRPr="004E0226">
        <w:t xml:space="preserve"> of other regressors as their instrument. The first-order autocorrelation, second-order autocorrelation</w:t>
      </w:r>
      <w:r w:rsidRPr="00BF5615">
        <w:t>, Hansen test of over-identification, and difference-in-Hansen tests of exogeneity of instruments are also reported</w:t>
      </w:r>
      <w:r w:rsidR="009A3E1E" w:rsidRPr="00BF5615">
        <w:t xml:space="preserve">. </w:t>
      </w:r>
      <w:r w:rsidRPr="00BF5615">
        <w:t>The SGMM estimates are most reliable, and our conclusions are based on this.</w:t>
      </w:r>
    </w:p>
    <w:p w14:paraId="701A7E8A" w14:textId="55021584" w:rsidR="009A7B5F" w:rsidRPr="00146CD4" w:rsidRDefault="009A7B5F" w:rsidP="00B469AE">
      <w:pPr>
        <w:jc w:val="center"/>
        <w:rPr>
          <w:rFonts w:ascii="Times New Roman" w:eastAsiaTheme="minorHAnsi" w:hAnsi="Times New Roman" w:cs="Times New Roman"/>
          <w:b/>
          <w:bCs/>
          <w:sz w:val="22"/>
          <w:lang w:eastAsia="en-US"/>
        </w:rPr>
      </w:pPr>
      <w:r w:rsidRPr="00146CD4">
        <w:rPr>
          <w:rFonts w:ascii="Times New Roman" w:eastAsiaTheme="minorHAnsi" w:hAnsi="Times New Roman" w:cs="Times New Roman"/>
          <w:b/>
          <w:bCs/>
          <w:sz w:val="22"/>
          <w:lang w:eastAsia="en-US"/>
        </w:rPr>
        <w:t xml:space="preserve">Table </w:t>
      </w:r>
      <w:r w:rsidRPr="00146CD4">
        <w:rPr>
          <w:rFonts w:ascii="Times New Roman" w:eastAsiaTheme="minorHAnsi" w:hAnsi="Times New Roman" w:cs="Times New Roman"/>
          <w:b/>
          <w:bCs/>
          <w:sz w:val="22"/>
          <w:lang w:eastAsia="en-US"/>
        </w:rPr>
        <w:fldChar w:fldCharType="begin"/>
      </w:r>
      <w:r w:rsidRPr="00146CD4">
        <w:rPr>
          <w:rFonts w:ascii="Times New Roman" w:eastAsiaTheme="minorHAnsi" w:hAnsi="Times New Roman" w:cs="Times New Roman"/>
          <w:b/>
          <w:bCs/>
          <w:sz w:val="22"/>
          <w:lang w:eastAsia="en-US"/>
        </w:rPr>
        <w:instrText xml:space="preserve"> SEQ Table \* ARABIC </w:instrText>
      </w:r>
      <w:r w:rsidRPr="00146CD4">
        <w:rPr>
          <w:rFonts w:ascii="Times New Roman" w:eastAsiaTheme="minorHAnsi" w:hAnsi="Times New Roman" w:cs="Times New Roman"/>
          <w:b/>
          <w:bCs/>
          <w:sz w:val="22"/>
          <w:lang w:eastAsia="en-US"/>
        </w:rPr>
        <w:fldChar w:fldCharType="separate"/>
      </w:r>
      <w:r w:rsidR="00F45684">
        <w:rPr>
          <w:rFonts w:ascii="Times New Roman" w:eastAsiaTheme="minorHAnsi" w:hAnsi="Times New Roman" w:cs="Times New Roman"/>
          <w:b/>
          <w:bCs/>
          <w:noProof/>
          <w:sz w:val="22"/>
          <w:lang w:eastAsia="en-US"/>
        </w:rPr>
        <w:t>6</w:t>
      </w:r>
      <w:r w:rsidRPr="00146CD4">
        <w:rPr>
          <w:rFonts w:ascii="Times New Roman" w:eastAsiaTheme="minorHAnsi" w:hAnsi="Times New Roman" w:cs="Times New Roman"/>
          <w:b/>
          <w:bCs/>
          <w:sz w:val="22"/>
          <w:lang w:eastAsia="en-US"/>
        </w:rPr>
        <w:fldChar w:fldCharType="end"/>
      </w:r>
      <w:r w:rsidRPr="00146CD4">
        <w:rPr>
          <w:rFonts w:ascii="Times New Roman" w:eastAsiaTheme="minorHAnsi" w:hAnsi="Times New Roman" w:cs="Times New Roman"/>
          <w:b/>
          <w:bCs/>
          <w:sz w:val="22"/>
          <w:lang w:eastAsia="en-US"/>
        </w:rPr>
        <w:t>: Pay ratios and employee performance</w:t>
      </w:r>
    </w:p>
    <w:p w14:paraId="43756C2B" w14:textId="4B30E4A2" w:rsidR="009A7B5F" w:rsidRPr="00146CD4" w:rsidRDefault="009A7B5F" w:rsidP="00B469AE">
      <w:pPr>
        <w:tabs>
          <w:tab w:val="left" w:pos="567"/>
        </w:tabs>
        <w:spacing w:line="240" w:lineRule="auto"/>
        <w:ind w:firstLine="0"/>
        <w:rPr>
          <w:rFonts w:ascii="Times New Roman" w:eastAsiaTheme="minorHAnsi" w:hAnsi="Times New Roman" w:cs="Times New Roman"/>
          <w:b/>
          <w:bCs/>
          <w:sz w:val="22"/>
          <w:lang w:eastAsia="en-US"/>
        </w:rPr>
      </w:pPr>
      <w:r w:rsidRPr="00146CD4">
        <w:rPr>
          <w:rFonts w:ascii="Times New Roman" w:eastAsiaTheme="minorHAnsi" w:hAnsi="Times New Roman" w:cs="Times New Roman"/>
          <w:b/>
          <w:bCs/>
          <w:sz w:val="22"/>
          <w:lang w:eastAsia="en-US"/>
        </w:rPr>
        <w:t>Panel A:  Pay inequality and employee performance</w:t>
      </w:r>
    </w:p>
    <w:tbl>
      <w:tblPr>
        <w:tblStyle w:val="TableGrid1"/>
        <w:tblW w:w="11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989"/>
        <w:gridCol w:w="1158"/>
        <w:gridCol w:w="1034"/>
        <w:gridCol w:w="944"/>
        <w:gridCol w:w="222"/>
        <w:gridCol w:w="952"/>
        <w:gridCol w:w="952"/>
        <w:gridCol w:w="952"/>
        <w:gridCol w:w="947"/>
      </w:tblGrid>
      <w:tr w:rsidR="009A7B5F" w:rsidRPr="003172B0" w14:paraId="34B3028F" w14:textId="77777777" w:rsidTr="00EA589B">
        <w:trPr>
          <w:trHeight w:val="206"/>
          <w:jc w:val="center"/>
        </w:trPr>
        <w:tc>
          <w:tcPr>
            <w:tcW w:w="3172" w:type="dxa"/>
            <w:noWrap/>
            <w:vAlign w:val="center"/>
          </w:tcPr>
          <w:p w14:paraId="0AC3872A"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4125" w:type="dxa"/>
            <w:gridSpan w:val="4"/>
            <w:noWrap/>
            <w:vAlign w:val="center"/>
          </w:tcPr>
          <w:p w14:paraId="0A250C0F" w14:textId="77777777" w:rsidR="009A7B5F" w:rsidRPr="003172B0" w:rsidRDefault="009A7B5F" w:rsidP="009F5DF5">
            <w:pPr>
              <w:spacing w:line="240" w:lineRule="auto"/>
              <w:ind w:firstLine="0"/>
              <w:jc w:val="center"/>
              <w:rPr>
                <w:rFonts w:eastAsia="Times New Roman" w:cstheme="majorBidi"/>
                <w:color w:val="000000"/>
                <w:sz w:val="18"/>
                <w:szCs w:val="18"/>
                <w:highlight w:val="yellow"/>
              </w:rPr>
            </w:pPr>
            <w:r w:rsidRPr="003172B0">
              <w:rPr>
                <w:rFonts w:eastAsia="Times New Roman" w:cstheme="majorBidi"/>
                <w:color w:val="000000"/>
                <w:sz w:val="18"/>
                <w:szCs w:val="18"/>
              </w:rPr>
              <w:t>Total factor productivity (TFP)</w:t>
            </w:r>
          </w:p>
        </w:tc>
        <w:tc>
          <w:tcPr>
            <w:tcW w:w="220" w:type="dxa"/>
            <w:vAlign w:val="center"/>
          </w:tcPr>
          <w:p w14:paraId="4A4C5EF6" w14:textId="77777777" w:rsidR="009A7B5F" w:rsidRPr="003172B0" w:rsidRDefault="009A7B5F" w:rsidP="009F5DF5">
            <w:pPr>
              <w:spacing w:line="240" w:lineRule="auto"/>
              <w:ind w:firstLine="0"/>
              <w:jc w:val="center"/>
              <w:rPr>
                <w:rFonts w:eastAsia="Times New Roman" w:cstheme="majorBidi"/>
                <w:color w:val="000000"/>
                <w:sz w:val="18"/>
                <w:szCs w:val="18"/>
                <w:highlight w:val="yellow"/>
              </w:rPr>
            </w:pPr>
          </w:p>
        </w:tc>
        <w:tc>
          <w:tcPr>
            <w:tcW w:w="3803" w:type="dxa"/>
            <w:gridSpan w:val="4"/>
            <w:tcBorders>
              <w:bottom w:val="single" w:sz="4" w:space="0" w:color="auto"/>
            </w:tcBorders>
            <w:noWrap/>
            <w:vAlign w:val="center"/>
          </w:tcPr>
          <w:p w14:paraId="6EE3D017" w14:textId="77777777" w:rsidR="009A7B5F" w:rsidRPr="003172B0" w:rsidRDefault="009A7B5F" w:rsidP="009F5DF5">
            <w:pPr>
              <w:spacing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Ln (revenue per employee) (SLE)</w:t>
            </w:r>
          </w:p>
        </w:tc>
      </w:tr>
      <w:tr w:rsidR="009A7B5F" w:rsidRPr="003172B0" w14:paraId="1F033807" w14:textId="77777777" w:rsidTr="00EA589B">
        <w:trPr>
          <w:trHeight w:val="206"/>
          <w:jc w:val="center"/>
        </w:trPr>
        <w:tc>
          <w:tcPr>
            <w:tcW w:w="3172" w:type="dxa"/>
            <w:tcBorders>
              <w:bottom w:val="single" w:sz="4" w:space="0" w:color="auto"/>
            </w:tcBorders>
            <w:noWrap/>
            <w:vAlign w:val="center"/>
          </w:tcPr>
          <w:p w14:paraId="5275F9B2"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89" w:type="dxa"/>
            <w:tcBorders>
              <w:top w:val="single" w:sz="4" w:space="0" w:color="auto"/>
              <w:bottom w:val="single" w:sz="4" w:space="0" w:color="auto"/>
            </w:tcBorders>
            <w:noWrap/>
            <w:vAlign w:val="center"/>
          </w:tcPr>
          <w:p w14:paraId="12F90206"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FFE</w:t>
            </w:r>
          </w:p>
        </w:tc>
        <w:tc>
          <w:tcPr>
            <w:tcW w:w="1158" w:type="dxa"/>
            <w:tcBorders>
              <w:top w:val="single" w:sz="4" w:space="0" w:color="auto"/>
              <w:bottom w:val="single" w:sz="4" w:space="0" w:color="auto"/>
            </w:tcBorders>
            <w:noWrap/>
            <w:vAlign w:val="center"/>
          </w:tcPr>
          <w:p w14:paraId="75CF6A48"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Delta</w:t>
            </w:r>
          </w:p>
        </w:tc>
        <w:tc>
          <w:tcPr>
            <w:tcW w:w="1034" w:type="dxa"/>
            <w:tcBorders>
              <w:top w:val="single" w:sz="4" w:space="0" w:color="auto"/>
              <w:bottom w:val="single" w:sz="4" w:space="0" w:color="auto"/>
            </w:tcBorders>
            <w:noWrap/>
            <w:vAlign w:val="center"/>
          </w:tcPr>
          <w:p w14:paraId="312D3EA6"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Dynamic</w:t>
            </w:r>
          </w:p>
        </w:tc>
        <w:tc>
          <w:tcPr>
            <w:tcW w:w="942" w:type="dxa"/>
            <w:tcBorders>
              <w:top w:val="single" w:sz="4" w:space="0" w:color="auto"/>
              <w:bottom w:val="single" w:sz="4" w:space="0" w:color="auto"/>
            </w:tcBorders>
            <w:noWrap/>
            <w:vAlign w:val="center"/>
          </w:tcPr>
          <w:p w14:paraId="2FC92EC3"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SGMM</w:t>
            </w:r>
          </w:p>
        </w:tc>
        <w:tc>
          <w:tcPr>
            <w:tcW w:w="220" w:type="dxa"/>
          </w:tcPr>
          <w:p w14:paraId="5413BB1E"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tcBorders>
              <w:top w:val="single" w:sz="4" w:space="0" w:color="auto"/>
              <w:bottom w:val="single" w:sz="4" w:space="0" w:color="auto"/>
            </w:tcBorders>
            <w:noWrap/>
            <w:vAlign w:val="center"/>
          </w:tcPr>
          <w:p w14:paraId="13FE444B"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FFE</w:t>
            </w:r>
          </w:p>
        </w:tc>
        <w:tc>
          <w:tcPr>
            <w:tcW w:w="952" w:type="dxa"/>
            <w:tcBorders>
              <w:top w:val="single" w:sz="4" w:space="0" w:color="auto"/>
              <w:bottom w:val="single" w:sz="4" w:space="0" w:color="auto"/>
            </w:tcBorders>
            <w:noWrap/>
            <w:vAlign w:val="center"/>
          </w:tcPr>
          <w:p w14:paraId="1C8EB549"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Delta</w:t>
            </w:r>
          </w:p>
        </w:tc>
        <w:tc>
          <w:tcPr>
            <w:tcW w:w="952" w:type="dxa"/>
            <w:tcBorders>
              <w:top w:val="single" w:sz="4" w:space="0" w:color="auto"/>
              <w:bottom w:val="single" w:sz="4" w:space="0" w:color="auto"/>
            </w:tcBorders>
            <w:noWrap/>
            <w:vAlign w:val="center"/>
          </w:tcPr>
          <w:p w14:paraId="29CD624D"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Dynamic</w:t>
            </w:r>
          </w:p>
        </w:tc>
        <w:tc>
          <w:tcPr>
            <w:tcW w:w="945" w:type="dxa"/>
            <w:tcBorders>
              <w:top w:val="single" w:sz="4" w:space="0" w:color="auto"/>
              <w:bottom w:val="single" w:sz="4" w:space="0" w:color="auto"/>
            </w:tcBorders>
            <w:noWrap/>
            <w:vAlign w:val="center"/>
          </w:tcPr>
          <w:p w14:paraId="4740E0F7"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SGMM</w:t>
            </w:r>
          </w:p>
        </w:tc>
      </w:tr>
      <w:tr w:rsidR="009A7B5F" w:rsidRPr="003172B0" w14:paraId="44F17E38" w14:textId="77777777" w:rsidTr="00EA589B">
        <w:trPr>
          <w:trHeight w:val="206"/>
          <w:jc w:val="center"/>
        </w:trPr>
        <w:tc>
          <w:tcPr>
            <w:tcW w:w="3172" w:type="dxa"/>
            <w:tcBorders>
              <w:top w:val="single" w:sz="4" w:space="0" w:color="auto"/>
            </w:tcBorders>
            <w:noWrap/>
            <w:vAlign w:val="center"/>
            <w:hideMark/>
          </w:tcPr>
          <w:p w14:paraId="59892548" w14:textId="77777777" w:rsidR="009A7B5F" w:rsidRPr="003172B0" w:rsidRDefault="009A7B5F" w:rsidP="009F5DF5">
            <w:pPr>
              <w:spacing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Lag.TFP</w:t>
            </w:r>
            <w:proofErr w:type="spellEnd"/>
          </w:p>
        </w:tc>
        <w:tc>
          <w:tcPr>
            <w:tcW w:w="989" w:type="dxa"/>
            <w:tcBorders>
              <w:top w:val="single" w:sz="4" w:space="0" w:color="auto"/>
            </w:tcBorders>
            <w:noWrap/>
            <w:vAlign w:val="center"/>
            <w:hideMark/>
          </w:tcPr>
          <w:p w14:paraId="7D681298"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158" w:type="dxa"/>
            <w:tcBorders>
              <w:top w:val="single" w:sz="4" w:space="0" w:color="auto"/>
            </w:tcBorders>
            <w:noWrap/>
            <w:vAlign w:val="center"/>
            <w:hideMark/>
          </w:tcPr>
          <w:p w14:paraId="1C9E5073" w14:textId="77777777" w:rsidR="009A7B5F" w:rsidRPr="003172B0" w:rsidRDefault="009A7B5F" w:rsidP="009F5DF5">
            <w:pPr>
              <w:spacing w:line="240" w:lineRule="auto"/>
              <w:ind w:firstLine="0"/>
              <w:jc w:val="left"/>
              <w:rPr>
                <w:rFonts w:eastAsia="Times New Roman" w:cstheme="majorBidi"/>
                <w:sz w:val="18"/>
                <w:szCs w:val="18"/>
              </w:rPr>
            </w:pPr>
          </w:p>
        </w:tc>
        <w:tc>
          <w:tcPr>
            <w:tcW w:w="1034" w:type="dxa"/>
            <w:tcBorders>
              <w:top w:val="single" w:sz="4" w:space="0" w:color="auto"/>
            </w:tcBorders>
            <w:noWrap/>
            <w:vAlign w:val="center"/>
            <w:hideMark/>
          </w:tcPr>
          <w:p w14:paraId="00810FBE"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0.751***</w:t>
            </w:r>
          </w:p>
        </w:tc>
        <w:tc>
          <w:tcPr>
            <w:tcW w:w="942" w:type="dxa"/>
            <w:tcBorders>
              <w:top w:val="single" w:sz="4" w:space="0" w:color="auto"/>
            </w:tcBorders>
            <w:noWrap/>
            <w:vAlign w:val="center"/>
            <w:hideMark/>
          </w:tcPr>
          <w:p w14:paraId="724595D5"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0.549***</w:t>
            </w:r>
          </w:p>
        </w:tc>
        <w:tc>
          <w:tcPr>
            <w:tcW w:w="220" w:type="dxa"/>
          </w:tcPr>
          <w:p w14:paraId="7291F3DA"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tcBorders>
              <w:top w:val="single" w:sz="4" w:space="0" w:color="auto"/>
            </w:tcBorders>
            <w:noWrap/>
            <w:vAlign w:val="center"/>
            <w:hideMark/>
          </w:tcPr>
          <w:p w14:paraId="6444F817"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tcBorders>
              <w:top w:val="single" w:sz="4" w:space="0" w:color="auto"/>
            </w:tcBorders>
            <w:noWrap/>
            <w:vAlign w:val="center"/>
            <w:hideMark/>
          </w:tcPr>
          <w:p w14:paraId="44EE7AF9" w14:textId="77777777" w:rsidR="009A7B5F" w:rsidRPr="003172B0" w:rsidRDefault="009A7B5F" w:rsidP="009F5DF5">
            <w:pPr>
              <w:spacing w:line="240" w:lineRule="auto"/>
              <w:ind w:firstLine="0"/>
              <w:jc w:val="left"/>
              <w:rPr>
                <w:rFonts w:eastAsia="Times New Roman" w:cstheme="majorBidi"/>
                <w:sz w:val="18"/>
                <w:szCs w:val="18"/>
              </w:rPr>
            </w:pPr>
          </w:p>
        </w:tc>
        <w:tc>
          <w:tcPr>
            <w:tcW w:w="952" w:type="dxa"/>
            <w:tcBorders>
              <w:top w:val="single" w:sz="4" w:space="0" w:color="auto"/>
            </w:tcBorders>
            <w:noWrap/>
            <w:vAlign w:val="center"/>
            <w:hideMark/>
          </w:tcPr>
          <w:p w14:paraId="0BF07C86" w14:textId="77777777" w:rsidR="009A7B5F" w:rsidRPr="003172B0" w:rsidRDefault="009A7B5F" w:rsidP="009F5DF5">
            <w:pPr>
              <w:spacing w:line="240" w:lineRule="auto"/>
              <w:ind w:firstLine="0"/>
              <w:jc w:val="left"/>
              <w:rPr>
                <w:rFonts w:eastAsia="Times New Roman" w:cstheme="majorBidi"/>
                <w:sz w:val="18"/>
                <w:szCs w:val="18"/>
              </w:rPr>
            </w:pPr>
          </w:p>
        </w:tc>
        <w:tc>
          <w:tcPr>
            <w:tcW w:w="945" w:type="dxa"/>
            <w:tcBorders>
              <w:top w:val="single" w:sz="4" w:space="0" w:color="auto"/>
            </w:tcBorders>
            <w:noWrap/>
            <w:vAlign w:val="center"/>
            <w:hideMark/>
          </w:tcPr>
          <w:p w14:paraId="23E5E0E5" w14:textId="77777777" w:rsidR="009A7B5F" w:rsidRPr="003172B0" w:rsidRDefault="009A7B5F" w:rsidP="009F5DF5">
            <w:pPr>
              <w:spacing w:line="240" w:lineRule="auto"/>
              <w:ind w:firstLine="0"/>
              <w:jc w:val="left"/>
              <w:rPr>
                <w:rFonts w:eastAsia="Times New Roman" w:cstheme="majorBidi"/>
                <w:color w:val="000000"/>
                <w:sz w:val="18"/>
                <w:szCs w:val="18"/>
              </w:rPr>
            </w:pPr>
          </w:p>
        </w:tc>
      </w:tr>
      <w:tr w:rsidR="009A7B5F" w:rsidRPr="003172B0" w14:paraId="4F4EBDD9" w14:textId="77777777" w:rsidTr="00EA589B">
        <w:trPr>
          <w:trHeight w:val="206"/>
          <w:jc w:val="center"/>
        </w:trPr>
        <w:tc>
          <w:tcPr>
            <w:tcW w:w="3172" w:type="dxa"/>
            <w:noWrap/>
            <w:vAlign w:val="center"/>
            <w:hideMark/>
          </w:tcPr>
          <w:p w14:paraId="7F83F9B0"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89" w:type="dxa"/>
            <w:noWrap/>
            <w:vAlign w:val="center"/>
            <w:hideMark/>
          </w:tcPr>
          <w:p w14:paraId="050EE2DB" w14:textId="77777777" w:rsidR="009A7B5F" w:rsidRPr="003172B0" w:rsidRDefault="009A7B5F" w:rsidP="009F5DF5">
            <w:pPr>
              <w:spacing w:line="240" w:lineRule="auto"/>
              <w:ind w:firstLine="0"/>
              <w:jc w:val="left"/>
              <w:rPr>
                <w:rFonts w:eastAsia="Times New Roman" w:cstheme="majorBidi"/>
                <w:sz w:val="18"/>
                <w:szCs w:val="18"/>
              </w:rPr>
            </w:pPr>
          </w:p>
        </w:tc>
        <w:tc>
          <w:tcPr>
            <w:tcW w:w="1158" w:type="dxa"/>
            <w:noWrap/>
            <w:vAlign w:val="center"/>
            <w:hideMark/>
          </w:tcPr>
          <w:p w14:paraId="2721A03C" w14:textId="77777777" w:rsidR="009A7B5F" w:rsidRPr="003172B0" w:rsidRDefault="009A7B5F" w:rsidP="009F5DF5">
            <w:pPr>
              <w:spacing w:line="240" w:lineRule="auto"/>
              <w:ind w:firstLine="0"/>
              <w:jc w:val="left"/>
              <w:rPr>
                <w:rFonts w:eastAsia="Times New Roman" w:cstheme="majorBidi"/>
                <w:sz w:val="18"/>
                <w:szCs w:val="18"/>
              </w:rPr>
            </w:pPr>
          </w:p>
        </w:tc>
        <w:tc>
          <w:tcPr>
            <w:tcW w:w="1034" w:type="dxa"/>
            <w:noWrap/>
            <w:vAlign w:val="center"/>
            <w:hideMark/>
          </w:tcPr>
          <w:p w14:paraId="500CEBDF"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942" w:type="dxa"/>
            <w:noWrap/>
            <w:vAlign w:val="center"/>
            <w:hideMark/>
          </w:tcPr>
          <w:p w14:paraId="1AC1AE32"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220" w:type="dxa"/>
          </w:tcPr>
          <w:p w14:paraId="13446206"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417139F3"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2FC8FAD7" w14:textId="77777777" w:rsidR="009A7B5F" w:rsidRPr="003172B0" w:rsidRDefault="009A7B5F" w:rsidP="009F5DF5">
            <w:pPr>
              <w:spacing w:line="240" w:lineRule="auto"/>
              <w:ind w:firstLine="0"/>
              <w:jc w:val="left"/>
              <w:rPr>
                <w:rFonts w:eastAsia="Times New Roman" w:cstheme="majorBidi"/>
                <w:sz w:val="18"/>
                <w:szCs w:val="18"/>
              </w:rPr>
            </w:pPr>
          </w:p>
        </w:tc>
        <w:tc>
          <w:tcPr>
            <w:tcW w:w="952" w:type="dxa"/>
            <w:noWrap/>
            <w:vAlign w:val="center"/>
            <w:hideMark/>
          </w:tcPr>
          <w:p w14:paraId="4C4BE298" w14:textId="77777777" w:rsidR="009A7B5F" w:rsidRPr="003172B0" w:rsidRDefault="009A7B5F" w:rsidP="009F5DF5">
            <w:pPr>
              <w:spacing w:line="240" w:lineRule="auto"/>
              <w:ind w:firstLine="0"/>
              <w:jc w:val="left"/>
              <w:rPr>
                <w:rFonts w:eastAsia="Times New Roman" w:cstheme="majorBidi"/>
                <w:sz w:val="18"/>
                <w:szCs w:val="18"/>
              </w:rPr>
            </w:pPr>
          </w:p>
        </w:tc>
        <w:tc>
          <w:tcPr>
            <w:tcW w:w="945" w:type="dxa"/>
            <w:noWrap/>
            <w:vAlign w:val="center"/>
            <w:hideMark/>
          </w:tcPr>
          <w:p w14:paraId="1640CEEB" w14:textId="77777777" w:rsidR="009A7B5F" w:rsidRPr="003172B0" w:rsidRDefault="009A7B5F" w:rsidP="009F5DF5">
            <w:pPr>
              <w:spacing w:line="240" w:lineRule="auto"/>
              <w:ind w:firstLine="0"/>
              <w:jc w:val="left"/>
              <w:rPr>
                <w:rFonts w:eastAsia="Times New Roman" w:cstheme="majorBidi"/>
                <w:color w:val="000000"/>
                <w:sz w:val="18"/>
                <w:szCs w:val="18"/>
              </w:rPr>
            </w:pPr>
          </w:p>
        </w:tc>
      </w:tr>
      <w:tr w:rsidR="009A7B5F" w:rsidRPr="003172B0" w14:paraId="73036064" w14:textId="77777777" w:rsidTr="00EA589B">
        <w:trPr>
          <w:trHeight w:val="206"/>
          <w:jc w:val="center"/>
        </w:trPr>
        <w:tc>
          <w:tcPr>
            <w:tcW w:w="3172" w:type="dxa"/>
            <w:noWrap/>
            <w:vAlign w:val="center"/>
            <w:hideMark/>
          </w:tcPr>
          <w:p w14:paraId="1AD61BAE" w14:textId="77777777" w:rsidR="009A7B5F" w:rsidRPr="003172B0" w:rsidRDefault="009A7B5F" w:rsidP="009F5DF5">
            <w:pPr>
              <w:spacing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Lag.SLE</w:t>
            </w:r>
            <w:proofErr w:type="spellEnd"/>
          </w:p>
        </w:tc>
        <w:tc>
          <w:tcPr>
            <w:tcW w:w="989" w:type="dxa"/>
            <w:noWrap/>
            <w:vAlign w:val="center"/>
            <w:hideMark/>
          </w:tcPr>
          <w:p w14:paraId="22F0A0A1"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158" w:type="dxa"/>
            <w:noWrap/>
            <w:vAlign w:val="center"/>
            <w:hideMark/>
          </w:tcPr>
          <w:p w14:paraId="044EFFBB" w14:textId="77777777" w:rsidR="009A7B5F" w:rsidRPr="003172B0" w:rsidRDefault="009A7B5F" w:rsidP="009F5DF5">
            <w:pPr>
              <w:spacing w:line="240" w:lineRule="auto"/>
              <w:ind w:firstLine="0"/>
              <w:jc w:val="left"/>
              <w:rPr>
                <w:rFonts w:eastAsia="Times New Roman" w:cstheme="majorBidi"/>
                <w:sz w:val="18"/>
                <w:szCs w:val="18"/>
              </w:rPr>
            </w:pPr>
          </w:p>
        </w:tc>
        <w:tc>
          <w:tcPr>
            <w:tcW w:w="1034" w:type="dxa"/>
            <w:noWrap/>
            <w:vAlign w:val="center"/>
            <w:hideMark/>
          </w:tcPr>
          <w:p w14:paraId="65B56819" w14:textId="77777777" w:rsidR="009A7B5F" w:rsidRPr="003172B0" w:rsidRDefault="009A7B5F" w:rsidP="009F5DF5">
            <w:pPr>
              <w:spacing w:line="240" w:lineRule="auto"/>
              <w:ind w:firstLine="0"/>
              <w:jc w:val="left"/>
              <w:rPr>
                <w:rFonts w:eastAsia="Times New Roman" w:cstheme="majorBidi"/>
                <w:sz w:val="18"/>
                <w:szCs w:val="18"/>
              </w:rPr>
            </w:pPr>
          </w:p>
        </w:tc>
        <w:tc>
          <w:tcPr>
            <w:tcW w:w="942" w:type="dxa"/>
            <w:noWrap/>
            <w:vAlign w:val="center"/>
            <w:hideMark/>
          </w:tcPr>
          <w:p w14:paraId="7B6765A3"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220" w:type="dxa"/>
          </w:tcPr>
          <w:p w14:paraId="48B32742"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1BF5F15C"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45391CDB" w14:textId="77777777" w:rsidR="009A7B5F" w:rsidRPr="003172B0" w:rsidRDefault="009A7B5F" w:rsidP="009F5DF5">
            <w:pPr>
              <w:spacing w:line="240" w:lineRule="auto"/>
              <w:ind w:firstLine="0"/>
              <w:jc w:val="left"/>
              <w:rPr>
                <w:rFonts w:eastAsia="Times New Roman" w:cstheme="majorBidi"/>
                <w:sz w:val="18"/>
                <w:szCs w:val="18"/>
              </w:rPr>
            </w:pPr>
          </w:p>
        </w:tc>
        <w:tc>
          <w:tcPr>
            <w:tcW w:w="952" w:type="dxa"/>
            <w:noWrap/>
            <w:vAlign w:val="center"/>
            <w:hideMark/>
          </w:tcPr>
          <w:p w14:paraId="3B14CD82"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0.631***</w:t>
            </w:r>
          </w:p>
        </w:tc>
        <w:tc>
          <w:tcPr>
            <w:tcW w:w="945" w:type="dxa"/>
            <w:noWrap/>
            <w:vAlign w:val="center"/>
            <w:hideMark/>
          </w:tcPr>
          <w:p w14:paraId="281CC6CD"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0.531***</w:t>
            </w:r>
          </w:p>
        </w:tc>
      </w:tr>
      <w:tr w:rsidR="009A7B5F" w:rsidRPr="003172B0" w14:paraId="1B9A08C8" w14:textId="77777777" w:rsidTr="00EA589B">
        <w:trPr>
          <w:trHeight w:val="206"/>
          <w:jc w:val="center"/>
        </w:trPr>
        <w:tc>
          <w:tcPr>
            <w:tcW w:w="3172" w:type="dxa"/>
            <w:noWrap/>
            <w:vAlign w:val="center"/>
            <w:hideMark/>
          </w:tcPr>
          <w:p w14:paraId="6395C5D3"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89" w:type="dxa"/>
            <w:noWrap/>
            <w:vAlign w:val="center"/>
            <w:hideMark/>
          </w:tcPr>
          <w:p w14:paraId="03D32645" w14:textId="77777777" w:rsidR="009A7B5F" w:rsidRPr="003172B0" w:rsidRDefault="009A7B5F" w:rsidP="009F5DF5">
            <w:pPr>
              <w:spacing w:line="240" w:lineRule="auto"/>
              <w:ind w:firstLine="0"/>
              <w:jc w:val="left"/>
              <w:rPr>
                <w:rFonts w:eastAsia="Times New Roman" w:cstheme="majorBidi"/>
                <w:sz w:val="18"/>
                <w:szCs w:val="18"/>
              </w:rPr>
            </w:pPr>
          </w:p>
        </w:tc>
        <w:tc>
          <w:tcPr>
            <w:tcW w:w="1158" w:type="dxa"/>
            <w:noWrap/>
            <w:vAlign w:val="center"/>
            <w:hideMark/>
          </w:tcPr>
          <w:p w14:paraId="566FC6C8" w14:textId="77777777" w:rsidR="009A7B5F" w:rsidRPr="003172B0" w:rsidRDefault="009A7B5F" w:rsidP="009F5DF5">
            <w:pPr>
              <w:spacing w:line="240" w:lineRule="auto"/>
              <w:ind w:firstLine="0"/>
              <w:jc w:val="left"/>
              <w:rPr>
                <w:rFonts w:eastAsia="Times New Roman" w:cstheme="majorBidi"/>
                <w:sz w:val="18"/>
                <w:szCs w:val="18"/>
              </w:rPr>
            </w:pPr>
          </w:p>
        </w:tc>
        <w:tc>
          <w:tcPr>
            <w:tcW w:w="1034" w:type="dxa"/>
            <w:noWrap/>
            <w:vAlign w:val="center"/>
            <w:hideMark/>
          </w:tcPr>
          <w:p w14:paraId="1929DCD2" w14:textId="77777777" w:rsidR="009A7B5F" w:rsidRPr="003172B0" w:rsidRDefault="009A7B5F" w:rsidP="009F5DF5">
            <w:pPr>
              <w:spacing w:line="240" w:lineRule="auto"/>
              <w:ind w:firstLine="0"/>
              <w:jc w:val="left"/>
              <w:rPr>
                <w:rFonts w:eastAsia="Times New Roman" w:cstheme="majorBidi"/>
                <w:sz w:val="18"/>
                <w:szCs w:val="18"/>
              </w:rPr>
            </w:pPr>
          </w:p>
        </w:tc>
        <w:tc>
          <w:tcPr>
            <w:tcW w:w="942" w:type="dxa"/>
            <w:noWrap/>
            <w:vAlign w:val="center"/>
            <w:hideMark/>
          </w:tcPr>
          <w:p w14:paraId="760928EC"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220" w:type="dxa"/>
          </w:tcPr>
          <w:p w14:paraId="5873CE42"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6DBCA2CC"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78BE70BB" w14:textId="77777777" w:rsidR="009A7B5F" w:rsidRPr="003172B0" w:rsidRDefault="009A7B5F" w:rsidP="009F5DF5">
            <w:pPr>
              <w:spacing w:line="240" w:lineRule="auto"/>
              <w:ind w:firstLine="0"/>
              <w:jc w:val="left"/>
              <w:rPr>
                <w:rFonts w:eastAsia="Times New Roman" w:cstheme="majorBidi"/>
                <w:sz w:val="18"/>
                <w:szCs w:val="18"/>
              </w:rPr>
            </w:pPr>
          </w:p>
        </w:tc>
        <w:tc>
          <w:tcPr>
            <w:tcW w:w="952" w:type="dxa"/>
            <w:noWrap/>
            <w:vAlign w:val="center"/>
            <w:hideMark/>
          </w:tcPr>
          <w:p w14:paraId="3CF7A341"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945" w:type="dxa"/>
            <w:noWrap/>
            <w:vAlign w:val="center"/>
            <w:hideMark/>
          </w:tcPr>
          <w:p w14:paraId="033ECF0E"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r>
      <w:tr w:rsidR="009A7B5F" w:rsidRPr="003172B0" w14:paraId="144360F0" w14:textId="77777777" w:rsidTr="00EA589B">
        <w:trPr>
          <w:trHeight w:val="206"/>
          <w:jc w:val="center"/>
        </w:trPr>
        <w:tc>
          <w:tcPr>
            <w:tcW w:w="3172" w:type="dxa"/>
            <w:noWrap/>
            <w:vAlign w:val="center"/>
            <w:hideMark/>
          </w:tcPr>
          <w:p w14:paraId="7F4F9913"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Pay Inequality</w:t>
            </w:r>
          </w:p>
        </w:tc>
        <w:tc>
          <w:tcPr>
            <w:tcW w:w="989" w:type="dxa"/>
            <w:noWrap/>
            <w:vAlign w:val="center"/>
            <w:hideMark/>
          </w:tcPr>
          <w:p w14:paraId="2BB07C7E"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-0.181***</w:t>
            </w:r>
          </w:p>
        </w:tc>
        <w:tc>
          <w:tcPr>
            <w:tcW w:w="1158" w:type="dxa"/>
            <w:noWrap/>
            <w:vAlign w:val="center"/>
            <w:hideMark/>
          </w:tcPr>
          <w:p w14:paraId="2CA4BABA"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469C39F3"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-0.111***</w:t>
            </w:r>
          </w:p>
        </w:tc>
        <w:tc>
          <w:tcPr>
            <w:tcW w:w="942" w:type="dxa"/>
            <w:noWrap/>
            <w:vAlign w:val="center"/>
            <w:hideMark/>
          </w:tcPr>
          <w:p w14:paraId="72680AF2"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-0.181**</w:t>
            </w:r>
          </w:p>
        </w:tc>
        <w:tc>
          <w:tcPr>
            <w:tcW w:w="220" w:type="dxa"/>
          </w:tcPr>
          <w:p w14:paraId="1C78E6CB"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653ABD68"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-0.144***</w:t>
            </w:r>
          </w:p>
        </w:tc>
        <w:tc>
          <w:tcPr>
            <w:tcW w:w="952" w:type="dxa"/>
            <w:noWrap/>
            <w:vAlign w:val="center"/>
            <w:hideMark/>
          </w:tcPr>
          <w:p w14:paraId="19811972"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08B9FC04"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-0.146***</w:t>
            </w:r>
          </w:p>
        </w:tc>
        <w:tc>
          <w:tcPr>
            <w:tcW w:w="945" w:type="dxa"/>
            <w:noWrap/>
            <w:vAlign w:val="center"/>
            <w:hideMark/>
          </w:tcPr>
          <w:p w14:paraId="6205D182"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-0.224**</w:t>
            </w:r>
          </w:p>
        </w:tc>
      </w:tr>
      <w:tr w:rsidR="009A7B5F" w:rsidRPr="003172B0" w14:paraId="44CE043E" w14:textId="77777777" w:rsidTr="00EA589B">
        <w:trPr>
          <w:trHeight w:val="206"/>
          <w:jc w:val="center"/>
        </w:trPr>
        <w:tc>
          <w:tcPr>
            <w:tcW w:w="3172" w:type="dxa"/>
            <w:noWrap/>
            <w:vAlign w:val="center"/>
            <w:hideMark/>
          </w:tcPr>
          <w:p w14:paraId="77EAA290"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89" w:type="dxa"/>
            <w:noWrap/>
            <w:vAlign w:val="center"/>
            <w:hideMark/>
          </w:tcPr>
          <w:p w14:paraId="7F6B642C"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1158" w:type="dxa"/>
            <w:noWrap/>
            <w:vAlign w:val="center"/>
            <w:hideMark/>
          </w:tcPr>
          <w:p w14:paraId="55EEE18C"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484F918C"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(0.0001)</w:t>
            </w:r>
          </w:p>
        </w:tc>
        <w:tc>
          <w:tcPr>
            <w:tcW w:w="942" w:type="dxa"/>
            <w:noWrap/>
            <w:vAlign w:val="center"/>
            <w:hideMark/>
          </w:tcPr>
          <w:p w14:paraId="2F8F91F6"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(0.0417)</w:t>
            </w:r>
          </w:p>
        </w:tc>
        <w:tc>
          <w:tcPr>
            <w:tcW w:w="220" w:type="dxa"/>
          </w:tcPr>
          <w:p w14:paraId="31DF45A3"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5D7F4BB0"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952" w:type="dxa"/>
            <w:noWrap/>
            <w:vAlign w:val="center"/>
            <w:hideMark/>
          </w:tcPr>
          <w:p w14:paraId="77879818"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27E2C5E9"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945" w:type="dxa"/>
            <w:noWrap/>
            <w:vAlign w:val="center"/>
            <w:hideMark/>
          </w:tcPr>
          <w:p w14:paraId="41CF326B"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(0.0121)</w:t>
            </w:r>
          </w:p>
        </w:tc>
      </w:tr>
      <w:tr w:rsidR="009A7B5F" w:rsidRPr="003172B0" w14:paraId="14B47A97" w14:textId="77777777" w:rsidTr="00EA589B">
        <w:trPr>
          <w:trHeight w:val="206"/>
          <w:jc w:val="center"/>
        </w:trPr>
        <w:tc>
          <w:tcPr>
            <w:tcW w:w="3172" w:type="dxa"/>
            <w:noWrap/>
            <w:vAlign w:val="center"/>
            <w:hideMark/>
          </w:tcPr>
          <w:p w14:paraId="2E85A267"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Changes. Pay Inequality</w:t>
            </w:r>
          </w:p>
        </w:tc>
        <w:tc>
          <w:tcPr>
            <w:tcW w:w="989" w:type="dxa"/>
            <w:noWrap/>
            <w:vAlign w:val="center"/>
            <w:hideMark/>
          </w:tcPr>
          <w:p w14:paraId="57B42820"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158" w:type="dxa"/>
            <w:noWrap/>
            <w:vAlign w:val="center"/>
            <w:hideMark/>
          </w:tcPr>
          <w:p w14:paraId="3574443E"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-0.166***</w:t>
            </w:r>
          </w:p>
        </w:tc>
        <w:tc>
          <w:tcPr>
            <w:tcW w:w="1034" w:type="dxa"/>
            <w:noWrap/>
            <w:vAlign w:val="center"/>
            <w:hideMark/>
          </w:tcPr>
          <w:p w14:paraId="486AD896"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42" w:type="dxa"/>
            <w:noWrap/>
            <w:vAlign w:val="center"/>
            <w:hideMark/>
          </w:tcPr>
          <w:p w14:paraId="4603D912"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220" w:type="dxa"/>
          </w:tcPr>
          <w:p w14:paraId="1CAB5491"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73D80E06"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429EE3BB"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-0.256***</w:t>
            </w:r>
          </w:p>
        </w:tc>
        <w:tc>
          <w:tcPr>
            <w:tcW w:w="952" w:type="dxa"/>
            <w:noWrap/>
            <w:vAlign w:val="center"/>
            <w:hideMark/>
          </w:tcPr>
          <w:p w14:paraId="649357F8"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45" w:type="dxa"/>
            <w:noWrap/>
            <w:vAlign w:val="center"/>
            <w:hideMark/>
          </w:tcPr>
          <w:p w14:paraId="03A2B989" w14:textId="77777777" w:rsidR="009A7B5F" w:rsidRPr="003172B0" w:rsidRDefault="009A7B5F" w:rsidP="009F5DF5">
            <w:pPr>
              <w:spacing w:line="240" w:lineRule="auto"/>
              <w:ind w:firstLine="0"/>
              <w:jc w:val="left"/>
              <w:rPr>
                <w:rFonts w:eastAsia="Times New Roman" w:cstheme="majorBidi"/>
                <w:color w:val="000000"/>
                <w:sz w:val="18"/>
                <w:szCs w:val="18"/>
              </w:rPr>
            </w:pPr>
          </w:p>
        </w:tc>
      </w:tr>
      <w:tr w:rsidR="009A7B5F" w:rsidRPr="003172B0" w14:paraId="5EA48558" w14:textId="77777777" w:rsidTr="00EA589B">
        <w:trPr>
          <w:trHeight w:val="206"/>
          <w:jc w:val="center"/>
        </w:trPr>
        <w:tc>
          <w:tcPr>
            <w:tcW w:w="3172" w:type="dxa"/>
            <w:noWrap/>
            <w:vAlign w:val="center"/>
            <w:hideMark/>
          </w:tcPr>
          <w:p w14:paraId="6ACFA0B6"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89" w:type="dxa"/>
            <w:noWrap/>
            <w:vAlign w:val="center"/>
            <w:hideMark/>
          </w:tcPr>
          <w:p w14:paraId="3A554640"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158" w:type="dxa"/>
            <w:noWrap/>
            <w:vAlign w:val="center"/>
            <w:hideMark/>
          </w:tcPr>
          <w:p w14:paraId="7474E0E2"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1034" w:type="dxa"/>
            <w:noWrap/>
            <w:vAlign w:val="center"/>
            <w:hideMark/>
          </w:tcPr>
          <w:p w14:paraId="42E443EC"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42" w:type="dxa"/>
            <w:noWrap/>
            <w:vAlign w:val="center"/>
            <w:hideMark/>
          </w:tcPr>
          <w:p w14:paraId="4A0E9E75"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220" w:type="dxa"/>
          </w:tcPr>
          <w:p w14:paraId="2DE1D3A9"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4B81B61D"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4A344775"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952" w:type="dxa"/>
            <w:noWrap/>
            <w:vAlign w:val="center"/>
            <w:hideMark/>
          </w:tcPr>
          <w:p w14:paraId="52A633F0"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45" w:type="dxa"/>
            <w:noWrap/>
            <w:vAlign w:val="center"/>
            <w:hideMark/>
          </w:tcPr>
          <w:p w14:paraId="4D234F42" w14:textId="77777777" w:rsidR="009A7B5F" w:rsidRPr="003172B0" w:rsidRDefault="009A7B5F" w:rsidP="009F5DF5">
            <w:pPr>
              <w:spacing w:line="240" w:lineRule="auto"/>
              <w:ind w:firstLine="0"/>
              <w:jc w:val="left"/>
              <w:rPr>
                <w:rFonts w:eastAsia="Times New Roman" w:cstheme="majorBidi"/>
                <w:color w:val="000000"/>
                <w:sz w:val="18"/>
                <w:szCs w:val="18"/>
              </w:rPr>
            </w:pPr>
          </w:p>
        </w:tc>
      </w:tr>
      <w:tr w:rsidR="009A7B5F" w:rsidRPr="003172B0" w14:paraId="35905604" w14:textId="77777777" w:rsidTr="00EA589B">
        <w:trPr>
          <w:trHeight w:val="206"/>
          <w:jc w:val="center"/>
        </w:trPr>
        <w:tc>
          <w:tcPr>
            <w:tcW w:w="3172" w:type="dxa"/>
            <w:noWrap/>
            <w:vAlign w:val="center"/>
            <w:hideMark/>
          </w:tcPr>
          <w:p w14:paraId="689C7029"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Controls</w:t>
            </w:r>
          </w:p>
        </w:tc>
        <w:tc>
          <w:tcPr>
            <w:tcW w:w="989" w:type="dxa"/>
            <w:noWrap/>
            <w:vAlign w:val="center"/>
            <w:hideMark/>
          </w:tcPr>
          <w:p w14:paraId="5487C403"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1158" w:type="dxa"/>
            <w:noWrap/>
            <w:vAlign w:val="center"/>
            <w:hideMark/>
          </w:tcPr>
          <w:p w14:paraId="77778F3D"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1034" w:type="dxa"/>
            <w:noWrap/>
            <w:vAlign w:val="center"/>
            <w:hideMark/>
          </w:tcPr>
          <w:p w14:paraId="40BF036F"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42" w:type="dxa"/>
            <w:noWrap/>
            <w:vAlign w:val="center"/>
            <w:hideMark/>
          </w:tcPr>
          <w:p w14:paraId="7AF37EEE"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220" w:type="dxa"/>
          </w:tcPr>
          <w:p w14:paraId="6A5966D8"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02CB6C60"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52" w:type="dxa"/>
            <w:noWrap/>
            <w:vAlign w:val="center"/>
            <w:hideMark/>
          </w:tcPr>
          <w:p w14:paraId="510954AC"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52" w:type="dxa"/>
            <w:noWrap/>
            <w:vAlign w:val="center"/>
            <w:hideMark/>
          </w:tcPr>
          <w:p w14:paraId="6E02345C"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45" w:type="dxa"/>
            <w:noWrap/>
            <w:vAlign w:val="center"/>
            <w:hideMark/>
          </w:tcPr>
          <w:p w14:paraId="659F9126"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r>
      <w:tr w:rsidR="009A7B5F" w:rsidRPr="003172B0" w14:paraId="4BED1676" w14:textId="77777777" w:rsidTr="00EA589B">
        <w:trPr>
          <w:trHeight w:val="206"/>
          <w:jc w:val="center"/>
        </w:trPr>
        <w:tc>
          <w:tcPr>
            <w:tcW w:w="3172" w:type="dxa"/>
            <w:noWrap/>
            <w:vAlign w:val="center"/>
            <w:hideMark/>
          </w:tcPr>
          <w:p w14:paraId="7D40B0EA"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Observation</w:t>
            </w:r>
          </w:p>
        </w:tc>
        <w:tc>
          <w:tcPr>
            <w:tcW w:w="989" w:type="dxa"/>
            <w:noWrap/>
            <w:vAlign w:val="center"/>
            <w:hideMark/>
          </w:tcPr>
          <w:p w14:paraId="35CFFC91"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2356</w:t>
            </w:r>
          </w:p>
        </w:tc>
        <w:tc>
          <w:tcPr>
            <w:tcW w:w="1158" w:type="dxa"/>
            <w:noWrap/>
            <w:vAlign w:val="center"/>
            <w:hideMark/>
          </w:tcPr>
          <w:p w14:paraId="07190E63"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1924</w:t>
            </w:r>
          </w:p>
        </w:tc>
        <w:tc>
          <w:tcPr>
            <w:tcW w:w="1034" w:type="dxa"/>
            <w:noWrap/>
            <w:vAlign w:val="center"/>
            <w:hideMark/>
          </w:tcPr>
          <w:p w14:paraId="674998EB"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2059</w:t>
            </w:r>
          </w:p>
        </w:tc>
        <w:tc>
          <w:tcPr>
            <w:tcW w:w="942" w:type="dxa"/>
            <w:noWrap/>
            <w:vAlign w:val="center"/>
            <w:hideMark/>
          </w:tcPr>
          <w:p w14:paraId="0D7C6EFA"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1841</w:t>
            </w:r>
          </w:p>
        </w:tc>
        <w:tc>
          <w:tcPr>
            <w:tcW w:w="220" w:type="dxa"/>
          </w:tcPr>
          <w:p w14:paraId="79BA2D1B"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76615F2A"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2364</w:t>
            </w:r>
          </w:p>
        </w:tc>
        <w:tc>
          <w:tcPr>
            <w:tcW w:w="952" w:type="dxa"/>
            <w:noWrap/>
            <w:vAlign w:val="center"/>
            <w:hideMark/>
          </w:tcPr>
          <w:p w14:paraId="108CBFED"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1935</w:t>
            </w:r>
          </w:p>
        </w:tc>
        <w:tc>
          <w:tcPr>
            <w:tcW w:w="952" w:type="dxa"/>
            <w:noWrap/>
            <w:vAlign w:val="center"/>
            <w:hideMark/>
          </w:tcPr>
          <w:p w14:paraId="02ABAFB5"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2074</w:t>
            </w:r>
          </w:p>
        </w:tc>
        <w:tc>
          <w:tcPr>
            <w:tcW w:w="945" w:type="dxa"/>
            <w:noWrap/>
            <w:vAlign w:val="center"/>
            <w:hideMark/>
          </w:tcPr>
          <w:p w14:paraId="0F80669C"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1853</w:t>
            </w:r>
          </w:p>
        </w:tc>
      </w:tr>
      <w:tr w:rsidR="009A7B5F" w:rsidRPr="003172B0" w14:paraId="0E22643D" w14:textId="77777777" w:rsidTr="00EA589B">
        <w:trPr>
          <w:trHeight w:val="206"/>
          <w:jc w:val="center"/>
        </w:trPr>
        <w:tc>
          <w:tcPr>
            <w:tcW w:w="3172" w:type="dxa"/>
            <w:noWrap/>
            <w:vAlign w:val="center"/>
          </w:tcPr>
          <w:p w14:paraId="618388A7"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Firms</w:t>
            </w:r>
          </w:p>
        </w:tc>
        <w:tc>
          <w:tcPr>
            <w:tcW w:w="989" w:type="dxa"/>
            <w:noWrap/>
            <w:vAlign w:val="center"/>
          </w:tcPr>
          <w:p w14:paraId="0E1E5C11"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409</w:t>
            </w:r>
          </w:p>
        </w:tc>
        <w:tc>
          <w:tcPr>
            <w:tcW w:w="1158" w:type="dxa"/>
            <w:noWrap/>
            <w:vAlign w:val="center"/>
          </w:tcPr>
          <w:p w14:paraId="3DBEB325"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361</w:t>
            </w:r>
          </w:p>
        </w:tc>
        <w:tc>
          <w:tcPr>
            <w:tcW w:w="1034" w:type="dxa"/>
            <w:noWrap/>
            <w:vAlign w:val="center"/>
          </w:tcPr>
          <w:p w14:paraId="57EB6A68"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376</w:t>
            </w:r>
          </w:p>
        </w:tc>
        <w:tc>
          <w:tcPr>
            <w:tcW w:w="942" w:type="dxa"/>
            <w:noWrap/>
            <w:vAlign w:val="center"/>
          </w:tcPr>
          <w:p w14:paraId="7D5DFB0F"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348</w:t>
            </w:r>
          </w:p>
        </w:tc>
        <w:tc>
          <w:tcPr>
            <w:tcW w:w="220" w:type="dxa"/>
          </w:tcPr>
          <w:p w14:paraId="19756224"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tcPr>
          <w:p w14:paraId="4742C3F0"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409</w:t>
            </w:r>
          </w:p>
        </w:tc>
        <w:tc>
          <w:tcPr>
            <w:tcW w:w="952" w:type="dxa"/>
            <w:noWrap/>
            <w:vAlign w:val="center"/>
          </w:tcPr>
          <w:p w14:paraId="6763A541"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362</w:t>
            </w:r>
          </w:p>
        </w:tc>
        <w:tc>
          <w:tcPr>
            <w:tcW w:w="952" w:type="dxa"/>
            <w:noWrap/>
            <w:vAlign w:val="center"/>
          </w:tcPr>
          <w:p w14:paraId="74C78AFF"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379</w:t>
            </w:r>
          </w:p>
        </w:tc>
        <w:tc>
          <w:tcPr>
            <w:tcW w:w="945" w:type="dxa"/>
            <w:noWrap/>
            <w:vAlign w:val="center"/>
          </w:tcPr>
          <w:p w14:paraId="262C576B"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350</w:t>
            </w:r>
          </w:p>
        </w:tc>
      </w:tr>
      <w:tr w:rsidR="009A7B5F" w:rsidRPr="003172B0" w14:paraId="767D8AAC" w14:textId="77777777" w:rsidTr="00EA589B">
        <w:trPr>
          <w:trHeight w:val="206"/>
          <w:jc w:val="center"/>
        </w:trPr>
        <w:tc>
          <w:tcPr>
            <w:tcW w:w="3172" w:type="dxa"/>
            <w:noWrap/>
            <w:vAlign w:val="center"/>
            <w:hideMark/>
          </w:tcPr>
          <w:p w14:paraId="586C2CC2"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Adjusted R2</w:t>
            </w:r>
          </w:p>
        </w:tc>
        <w:tc>
          <w:tcPr>
            <w:tcW w:w="989" w:type="dxa"/>
            <w:noWrap/>
            <w:vAlign w:val="center"/>
            <w:hideMark/>
          </w:tcPr>
          <w:p w14:paraId="48FDFBF2"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0.353</w:t>
            </w:r>
          </w:p>
        </w:tc>
        <w:tc>
          <w:tcPr>
            <w:tcW w:w="1158" w:type="dxa"/>
            <w:noWrap/>
            <w:vAlign w:val="center"/>
            <w:hideMark/>
          </w:tcPr>
          <w:p w14:paraId="52B75B37"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0.076</w:t>
            </w:r>
          </w:p>
        </w:tc>
        <w:tc>
          <w:tcPr>
            <w:tcW w:w="1034" w:type="dxa"/>
            <w:noWrap/>
            <w:vAlign w:val="center"/>
            <w:hideMark/>
          </w:tcPr>
          <w:p w14:paraId="5F3320D3"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0.807</w:t>
            </w:r>
          </w:p>
        </w:tc>
        <w:tc>
          <w:tcPr>
            <w:tcW w:w="942" w:type="dxa"/>
            <w:noWrap/>
            <w:vAlign w:val="center"/>
            <w:hideMark/>
          </w:tcPr>
          <w:p w14:paraId="477F224F"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w:t>
            </w:r>
          </w:p>
        </w:tc>
        <w:tc>
          <w:tcPr>
            <w:tcW w:w="220" w:type="dxa"/>
          </w:tcPr>
          <w:p w14:paraId="7353FA80"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77BDFD7A"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0.717</w:t>
            </w:r>
          </w:p>
        </w:tc>
        <w:tc>
          <w:tcPr>
            <w:tcW w:w="952" w:type="dxa"/>
            <w:noWrap/>
            <w:vAlign w:val="center"/>
            <w:hideMark/>
          </w:tcPr>
          <w:p w14:paraId="4EB2309F"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0.101</w:t>
            </w:r>
          </w:p>
        </w:tc>
        <w:tc>
          <w:tcPr>
            <w:tcW w:w="952" w:type="dxa"/>
            <w:noWrap/>
            <w:vAlign w:val="center"/>
            <w:hideMark/>
          </w:tcPr>
          <w:p w14:paraId="250034FB"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0.832</w:t>
            </w:r>
          </w:p>
        </w:tc>
        <w:tc>
          <w:tcPr>
            <w:tcW w:w="945" w:type="dxa"/>
            <w:noWrap/>
            <w:vAlign w:val="center"/>
            <w:hideMark/>
          </w:tcPr>
          <w:p w14:paraId="13FD4645"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w:t>
            </w:r>
          </w:p>
        </w:tc>
      </w:tr>
      <w:tr w:rsidR="009A7B5F" w:rsidRPr="003172B0" w14:paraId="1AB8DFB4" w14:textId="77777777" w:rsidTr="00EA589B">
        <w:trPr>
          <w:trHeight w:val="206"/>
          <w:jc w:val="center"/>
        </w:trPr>
        <w:tc>
          <w:tcPr>
            <w:tcW w:w="3172" w:type="dxa"/>
            <w:noWrap/>
            <w:vAlign w:val="center"/>
            <w:hideMark/>
          </w:tcPr>
          <w:p w14:paraId="493DDEDF"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Root MSE</w:t>
            </w:r>
          </w:p>
        </w:tc>
        <w:tc>
          <w:tcPr>
            <w:tcW w:w="989" w:type="dxa"/>
            <w:noWrap/>
            <w:vAlign w:val="center"/>
            <w:hideMark/>
          </w:tcPr>
          <w:p w14:paraId="659BEA8D"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0.403</w:t>
            </w:r>
          </w:p>
        </w:tc>
        <w:tc>
          <w:tcPr>
            <w:tcW w:w="1158" w:type="dxa"/>
            <w:noWrap/>
            <w:vAlign w:val="center"/>
            <w:hideMark/>
          </w:tcPr>
          <w:p w14:paraId="2981FF63"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0.487</w:t>
            </w:r>
          </w:p>
        </w:tc>
        <w:tc>
          <w:tcPr>
            <w:tcW w:w="1034" w:type="dxa"/>
            <w:noWrap/>
            <w:vAlign w:val="center"/>
            <w:hideMark/>
          </w:tcPr>
          <w:p w14:paraId="7B2F3C79"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0.471</w:t>
            </w:r>
          </w:p>
        </w:tc>
        <w:tc>
          <w:tcPr>
            <w:tcW w:w="942" w:type="dxa"/>
            <w:noWrap/>
            <w:vAlign w:val="center"/>
            <w:hideMark/>
          </w:tcPr>
          <w:p w14:paraId="5E2FE10C"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w:t>
            </w:r>
          </w:p>
        </w:tc>
        <w:tc>
          <w:tcPr>
            <w:tcW w:w="220" w:type="dxa"/>
          </w:tcPr>
          <w:p w14:paraId="6DD96332"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47BF6D33"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0.300</w:t>
            </w:r>
          </w:p>
        </w:tc>
        <w:tc>
          <w:tcPr>
            <w:tcW w:w="952" w:type="dxa"/>
            <w:noWrap/>
            <w:vAlign w:val="center"/>
            <w:hideMark/>
          </w:tcPr>
          <w:p w14:paraId="15CD1712"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0.535</w:t>
            </w:r>
          </w:p>
        </w:tc>
        <w:tc>
          <w:tcPr>
            <w:tcW w:w="952" w:type="dxa"/>
            <w:noWrap/>
            <w:vAlign w:val="center"/>
            <w:hideMark/>
          </w:tcPr>
          <w:p w14:paraId="77FAC356"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0.494</w:t>
            </w:r>
          </w:p>
        </w:tc>
        <w:tc>
          <w:tcPr>
            <w:tcW w:w="945" w:type="dxa"/>
            <w:noWrap/>
            <w:vAlign w:val="center"/>
            <w:hideMark/>
          </w:tcPr>
          <w:p w14:paraId="6A24A41D"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w:t>
            </w:r>
          </w:p>
        </w:tc>
      </w:tr>
      <w:tr w:rsidR="009A7B5F" w:rsidRPr="003172B0" w14:paraId="58651CF1" w14:textId="77777777" w:rsidTr="00EA589B">
        <w:trPr>
          <w:trHeight w:val="206"/>
          <w:jc w:val="center"/>
        </w:trPr>
        <w:tc>
          <w:tcPr>
            <w:tcW w:w="3172" w:type="dxa"/>
            <w:noWrap/>
            <w:vAlign w:val="center"/>
            <w:hideMark/>
          </w:tcPr>
          <w:p w14:paraId="416AB6D6"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Number of </w:t>
            </w:r>
            <w:proofErr w:type="gramStart"/>
            <w:r w:rsidRPr="003172B0">
              <w:rPr>
                <w:rFonts w:eastAsia="Times New Roman" w:cstheme="majorBidi"/>
                <w:color w:val="000000"/>
                <w:sz w:val="18"/>
                <w:szCs w:val="18"/>
              </w:rPr>
              <w:t>Ins</w:t>
            </w:r>
            <w:proofErr w:type="gramEnd"/>
          </w:p>
        </w:tc>
        <w:tc>
          <w:tcPr>
            <w:tcW w:w="989" w:type="dxa"/>
            <w:noWrap/>
            <w:vAlign w:val="center"/>
            <w:hideMark/>
          </w:tcPr>
          <w:p w14:paraId="35F4FD4B"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158" w:type="dxa"/>
            <w:noWrap/>
            <w:vAlign w:val="center"/>
            <w:hideMark/>
          </w:tcPr>
          <w:p w14:paraId="12A60003"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055B3DCC"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42" w:type="dxa"/>
            <w:noWrap/>
            <w:vAlign w:val="center"/>
            <w:hideMark/>
          </w:tcPr>
          <w:p w14:paraId="185E7242"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187</w:t>
            </w:r>
          </w:p>
        </w:tc>
        <w:tc>
          <w:tcPr>
            <w:tcW w:w="220" w:type="dxa"/>
          </w:tcPr>
          <w:p w14:paraId="7A521BD3"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3B02634A"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65A7EE9D"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7679E9FA"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45" w:type="dxa"/>
            <w:noWrap/>
            <w:vAlign w:val="center"/>
            <w:hideMark/>
          </w:tcPr>
          <w:p w14:paraId="3E122012"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187</w:t>
            </w:r>
          </w:p>
        </w:tc>
      </w:tr>
      <w:tr w:rsidR="009A7B5F" w:rsidRPr="003172B0" w14:paraId="3CC67103" w14:textId="77777777" w:rsidTr="00EA589B">
        <w:trPr>
          <w:trHeight w:val="206"/>
          <w:jc w:val="center"/>
        </w:trPr>
        <w:tc>
          <w:tcPr>
            <w:tcW w:w="3172" w:type="dxa"/>
            <w:noWrap/>
            <w:vAlign w:val="center"/>
            <w:hideMark/>
          </w:tcPr>
          <w:p w14:paraId="3A14318D"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Arellano-Bond test for </w:t>
            </w:r>
            <w:proofErr w:type="gramStart"/>
            <w:r w:rsidRPr="003172B0">
              <w:rPr>
                <w:rFonts w:eastAsia="Times New Roman" w:cstheme="majorBidi"/>
                <w:color w:val="000000"/>
                <w:sz w:val="18"/>
                <w:szCs w:val="18"/>
              </w:rPr>
              <w:t>AR(</w:t>
            </w:r>
            <w:proofErr w:type="gramEnd"/>
            <w:r w:rsidRPr="003172B0">
              <w:rPr>
                <w:rFonts w:eastAsia="Times New Roman" w:cstheme="majorBidi"/>
                <w:color w:val="000000"/>
                <w:sz w:val="18"/>
                <w:szCs w:val="18"/>
              </w:rPr>
              <w:t>1)</w:t>
            </w:r>
          </w:p>
        </w:tc>
        <w:tc>
          <w:tcPr>
            <w:tcW w:w="989" w:type="dxa"/>
            <w:noWrap/>
            <w:vAlign w:val="center"/>
            <w:hideMark/>
          </w:tcPr>
          <w:p w14:paraId="33BDCC8F"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158" w:type="dxa"/>
            <w:noWrap/>
            <w:vAlign w:val="center"/>
            <w:hideMark/>
          </w:tcPr>
          <w:p w14:paraId="135D57BA"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034" w:type="dxa"/>
            <w:noWrap/>
            <w:vAlign w:val="center"/>
            <w:hideMark/>
          </w:tcPr>
          <w:p w14:paraId="7EFB42DF"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42" w:type="dxa"/>
            <w:noWrap/>
            <w:vAlign w:val="center"/>
            <w:hideMark/>
          </w:tcPr>
          <w:p w14:paraId="08417015"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220" w:type="dxa"/>
          </w:tcPr>
          <w:p w14:paraId="51758DE6"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25D19A35"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75159B13"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58EB0E1A"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45" w:type="dxa"/>
            <w:noWrap/>
            <w:vAlign w:val="center"/>
            <w:hideMark/>
          </w:tcPr>
          <w:p w14:paraId="4C88F25B"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r>
      <w:tr w:rsidR="009A7B5F" w:rsidRPr="003172B0" w14:paraId="0E42A30E" w14:textId="77777777" w:rsidTr="00EA589B">
        <w:trPr>
          <w:trHeight w:val="206"/>
          <w:jc w:val="center"/>
        </w:trPr>
        <w:tc>
          <w:tcPr>
            <w:tcW w:w="3172" w:type="dxa"/>
            <w:noWrap/>
            <w:vAlign w:val="center"/>
            <w:hideMark/>
          </w:tcPr>
          <w:p w14:paraId="23EA65C5"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Arellano-Bond test for </w:t>
            </w:r>
            <w:proofErr w:type="gramStart"/>
            <w:r w:rsidRPr="003172B0">
              <w:rPr>
                <w:rFonts w:eastAsia="Times New Roman" w:cstheme="majorBidi"/>
                <w:color w:val="000000"/>
                <w:sz w:val="18"/>
                <w:szCs w:val="18"/>
              </w:rPr>
              <w:t>AR(</w:t>
            </w:r>
            <w:proofErr w:type="gramEnd"/>
            <w:r w:rsidRPr="003172B0">
              <w:rPr>
                <w:rFonts w:eastAsia="Times New Roman" w:cstheme="majorBidi"/>
                <w:color w:val="000000"/>
                <w:sz w:val="18"/>
                <w:szCs w:val="18"/>
              </w:rPr>
              <w:t>2)</w:t>
            </w:r>
          </w:p>
        </w:tc>
        <w:tc>
          <w:tcPr>
            <w:tcW w:w="989" w:type="dxa"/>
            <w:noWrap/>
            <w:vAlign w:val="center"/>
            <w:hideMark/>
          </w:tcPr>
          <w:p w14:paraId="724EFCB2"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158" w:type="dxa"/>
            <w:noWrap/>
            <w:vAlign w:val="center"/>
            <w:hideMark/>
          </w:tcPr>
          <w:p w14:paraId="5B413977" w14:textId="77777777" w:rsidR="009A7B5F" w:rsidRPr="003172B0" w:rsidRDefault="009A7B5F" w:rsidP="009F5DF5">
            <w:pPr>
              <w:spacing w:line="240" w:lineRule="auto"/>
              <w:ind w:firstLine="0"/>
              <w:jc w:val="left"/>
              <w:rPr>
                <w:rFonts w:eastAsia="Times New Roman" w:cstheme="majorBidi"/>
                <w:sz w:val="18"/>
                <w:szCs w:val="18"/>
              </w:rPr>
            </w:pPr>
          </w:p>
        </w:tc>
        <w:tc>
          <w:tcPr>
            <w:tcW w:w="1034" w:type="dxa"/>
            <w:noWrap/>
            <w:vAlign w:val="center"/>
            <w:hideMark/>
          </w:tcPr>
          <w:p w14:paraId="70466D5C" w14:textId="77777777" w:rsidR="009A7B5F" w:rsidRPr="003172B0" w:rsidRDefault="009A7B5F" w:rsidP="009F5DF5">
            <w:pPr>
              <w:spacing w:line="240" w:lineRule="auto"/>
              <w:ind w:firstLine="0"/>
              <w:jc w:val="left"/>
              <w:rPr>
                <w:rFonts w:eastAsia="Times New Roman" w:cstheme="majorBidi"/>
                <w:sz w:val="18"/>
                <w:szCs w:val="18"/>
              </w:rPr>
            </w:pPr>
          </w:p>
        </w:tc>
        <w:tc>
          <w:tcPr>
            <w:tcW w:w="942" w:type="dxa"/>
            <w:noWrap/>
            <w:vAlign w:val="center"/>
            <w:hideMark/>
          </w:tcPr>
          <w:p w14:paraId="58DE482C"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0.433</w:t>
            </w:r>
          </w:p>
        </w:tc>
        <w:tc>
          <w:tcPr>
            <w:tcW w:w="220" w:type="dxa"/>
          </w:tcPr>
          <w:p w14:paraId="6283B399"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718DD8D5"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69C464ED" w14:textId="77777777" w:rsidR="009A7B5F" w:rsidRPr="003172B0" w:rsidRDefault="009A7B5F" w:rsidP="009F5DF5">
            <w:pPr>
              <w:spacing w:line="240" w:lineRule="auto"/>
              <w:ind w:firstLine="0"/>
              <w:jc w:val="left"/>
              <w:rPr>
                <w:rFonts w:eastAsia="Times New Roman" w:cstheme="majorBidi"/>
                <w:sz w:val="18"/>
                <w:szCs w:val="18"/>
              </w:rPr>
            </w:pPr>
          </w:p>
        </w:tc>
        <w:tc>
          <w:tcPr>
            <w:tcW w:w="952" w:type="dxa"/>
            <w:noWrap/>
            <w:vAlign w:val="center"/>
            <w:hideMark/>
          </w:tcPr>
          <w:p w14:paraId="2E60DA8D" w14:textId="77777777" w:rsidR="009A7B5F" w:rsidRPr="003172B0" w:rsidRDefault="009A7B5F" w:rsidP="009F5DF5">
            <w:pPr>
              <w:spacing w:line="240" w:lineRule="auto"/>
              <w:ind w:firstLine="0"/>
              <w:jc w:val="left"/>
              <w:rPr>
                <w:rFonts w:eastAsia="Times New Roman" w:cstheme="majorBidi"/>
                <w:sz w:val="18"/>
                <w:szCs w:val="18"/>
              </w:rPr>
            </w:pPr>
          </w:p>
        </w:tc>
        <w:tc>
          <w:tcPr>
            <w:tcW w:w="945" w:type="dxa"/>
            <w:noWrap/>
            <w:vAlign w:val="center"/>
            <w:hideMark/>
          </w:tcPr>
          <w:p w14:paraId="54AD0FC4"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0.543</w:t>
            </w:r>
          </w:p>
        </w:tc>
      </w:tr>
      <w:tr w:rsidR="009A7B5F" w:rsidRPr="003172B0" w14:paraId="4C007406" w14:textId="77777777" w:rsidTr="00EA589B">
        <w:trPr>
          <w:trHeight w:val="206"/>
          <w:jc w:val="center"/>
        </w:trPr>
        <w:tc>
          <w:tcPr>
            <w:tcW w:w="3172" w:type="dxa"/>
            <w:noWrap/>
            <w:vAlign w:val="center"/>
            <w:hideMark/>
          </w:tcPr>
          <w:p w14:paraId="2D760330"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Hansen test of over-identification</w:t>
            </w:r>
          </w:p>
        </w:tc>
        <w:tc>
          <w:tcPr>
            <w:tcW w:w="989" w:type="dxa"/>
            <w:noWrap/>
            <w:vAlign w:val="center"/>
            <w:hideMark/>
          </w:tcPr>
          <w:p w14:paraId="23651DA2"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158" w:type="dxa"/>
            <w:noWrap/>
            <w:vAlign w:val="center"/>
            <w:hideMark/>
          </w:tcPr>
          <w:p w14:paraId="792E977B" w14:textId="77777777" w:rsidR="009A7B5F" w:rsidRPr="003172B0" w:rsidRDefault="009A7B5F" w:rsidP="009F5DF5">
            <w:pPr>
              <w:spacing w:line="240" w:lineRule="auto"/>
              <w:ind w:firstLine="0"/>
              <w:jc w:val="left"/>
              <w:rPr>
                <w:rFonts w:eastAsia="Times New Roman" w:cstheme="majorBidi"/>
                <w:sz w:val="18"/>
                <w:szCs w:val="18"/>
              </w:rPr>
            </w:pPr>
          </w:p>
        </w:tc>
        <w:tc>
          <w:tcPr>
            <w:tcW w:w="1034" w:type="dxa"/>
            <w:noWrap/>
            <w:vAlign w:val="center"/>
            <w:hideMark/>
          </w:tcPr>
          <w:p w14:paraId="0B763C67" w14:textId="77777777" w:rsidR="009A7B5F" w:rsidRPr="003172B0" w:rsidRDefault="009A7B5F" w:rsidP="009F5DF5">
            <w:pPr>
              <w:spacing w:line="240" w:lineRule="auto"/>
              <w:ind w:firstLine="0"/>
              <w:jc w:val="left"/>
              <w:rPr>
                <w:rFonts w:eastAsia="Times New Roman" w:cstheme="majorBidi"/>
                <w:sz w:val="18"/>
                <w:szCs w:val="18"/>
              </w:rPr>
            </w:pPr>
          </w:p>
        </w:tc>
        <w:tc>
          <w:tcPr>
            <w:tcW w:w="942" w:type="dxa"/>
            <w:noWrap/>
            <w:vAlign w:val="center"/>
            <w:hideMark/>
          </w:tcPr>
          <w:p w14:paraId="51F7F27D"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0.246</w:t>
            </w:r>
          </w:p>
        </w:tc>
        <w:tc>
          <w:tcPr>
            <w:tcW w:w="220" w:type="dxa"/>
          </w:tcPr>
          <w:p w14:paraId="301E92A8"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1FED0A6E"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63B5D7CE" w14:textId="77777777" w:rsidR="009A7B5F" w:rsidRPr="003172B0" w:rsidRDefault="009A7B5F" w:rsidP="009F5DF5">
            <w:pPr>
              <w:spacing w:line="240" w:lineRule="auto"/>
              <w:ind w:firstLine="0"/>
              <w:jc w:val="left"/>
              <w:rPr>
                <w:rFonts w:eastAsia="Times New Roman" w:cstheme="majorBidi"/>
                <w:sz w:val="18"/>
                <w:szCs w:val="18"/>
              </w:rPr>
            </w:pPr>
          </w:p>
        </w:tc>
        <w:tc>
          <w:tcPr>
            <w:tcW w:w="952" w:type="dxa"/>
            <w:noWrap/>
            <w:vAlign w:val="center"/>
            <w:hideMark/>
          </w:tcPr>
          <w:p w14:paraId="5224DC5E" w14:textId="77777777" w:rsidR="009A7B5F" w:rsidRPr="003172B0" w:rsidRDefault="009A7B5F" w:rsidP="009F5DF5">
            <w:pPr>
              <w:spacing w:line="240" w:lineRule="auto"/>
              <w:ind w:firstLine="0"/>
              <w:jc w:val="left"/>
              <w:rPr>
                <w:rFonts w:eastAsia="Times New Roman" w:cstheme="majorBidi"/>
                <w:sz w:val="18"/>
                <w:szCs w:val="18"/>
              </w:rPr>
            </w:pPr>
          </w:p>
        </w:tc>
        <w:tc>
          <w:tcPr>
            <w:tcW w:w="945" w:type="dxa"/>
            <w:noWrap/>
            <w:vAlign w:val="center"/>
            <w:hideMark/>
          </w:tcPr>
          <w:p w14:paraId="6B26D684"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0.437</w:t>
            </w:r>
          </w:p>
        </w:tc>
      </w:tr>
      <w:tr w:rsidR="009A7B5F" w:rsidRPr="003172B0" w14:paraId="08DD098B" w14:textId="77777777" w:rsidTr="00EA589B">
        <w:trPr>
          <w:trHeight w:val="206"/>
          <w:jc w:val="center"/>
        </w:trPr>
        <w:tc>
          <w:tcPr>
            <w:tcW w:w="3172" w:type="dxa"/>
            <w:noWrap/>
            <w:vAlign w:val="center"/>
            <w:hideMark/>
          </w:tcPr>
          <w:p w14:paraId="486FDD93"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Difference-in-Hansen tests of exogeneity</w:t>
            </w:r>
          </w:p>
        </w:tc>
        <w:tc>
          <w:tcPr>
            <w:tcW w:w="989" w:type="dxa"/>
            <w:noWrap/>
            <w:vAlign w:val="center"/>
            <w:hideMark/>
          </w:tcPr>
          <w:p w14:paraId="0694309D"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158" w:type="dxa"/>
            <w:noWrap/>
            <w:vAlign w:val="center"/>
            <w:hideMark/>
          </w:tcPr>
          <w:p w14:paraId="7E19B333" w14:textId="77777777" w:rsidR="009A7B5F" w:rsidRPr="003172B0" w:rsidRDefault="009A7B5F" w:rsidP="009F5DF5">
            <w:pPr>
              <w:spacing w:line="240" w:lineRule="auto"/>
              <w:ind w:firstLine="0"/>
              <w:jc w:val="left"/>
              <w:rPr>
                <w:rFonts w:eastAsia="Times New Roman" w:cstheme="majorBidi"/>
                <w:sz w:val="18"/>
                <w:szCs w:val="18"/>
              </w:rPr>
            </w:pPr>
          </w:p>
        </w:tc>
        <w:tc>
          <w:tcPr>
            <w:tcW w:w="1034" w:type="dxa"/>
            <w:noWrap/>
            <w:vAlign w:val="center"/>
            <w:hideMark/>
          </w:tcPr>
          <w:p w14:paraId="3AFCA643" w14:textId="77777777" w:rsidR="009A7B5F" w:rsidRPr="003172B0" w:rsidRDefault="009A7B5F" w:rsidP="009F5DF5">
            <w:pPr>
              <w:spacing w:line="240" w:lineRule="auto"/>
              <w:ind w:firstLine="0"/>
              <w:jc w:val="left"/>
              <w:rPr>
                <w:rFonts w:eastAsia="Times New Roman" w:cstheme="majorBidi"/>
                <w:sz w:val="18"/>
                <w:szCs w:val="18"/>
              </w:rPr>
            </w:pPr>
          </w:p>
        </w:tc>
        <w:tc>
          <w:tcPr>
            <w:tcW w:w="942" w:type="dxa"/>
            <w:noWrap/>
            <w:vAlign w:val="center"/>
            <w:hideMark/>
          </w:tcPr>
          <w:p w14:paraId="09832033"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0.501</w:t>
            </w:r>
          </w:p>
        </w:tc>
        <w:tc>
          <w:tcPr>
            <w:tcW w:w="220" w:type="dxa"/>
          </w:tcPr>
          <w:p w14:paraId="0676FF6D"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1E31A33C"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hideMark/>
          </w:tcPr>
          <w:p w14:paraId="714FF5D5" w14:textId="77777777" w:rsidR="009A7B5F" w:rsidRPr="003172B0" w:rsidRDefault="009A7B5F" w:rsidP="009F5DF5">
            <w:pPr>
              <w:spacing w:line="240" w:lineRule="auto"/>
              <w:ind w:firstLine="0"/>
              <w:jc w:val="left"/>
              <w:rPr>
                <w:rFonts w:eastAsia="Times New Roman" w:cstheme="majorBidi"/>
                <w:sz w:val="18"/>
                <w:szCs w:val="18"/>
              </w:rPr>
            </w:pPr>
          </w:p>
        </w:tc>
        <w:tc>
          <w:tcPr>
            <w:tcW w:w="952" w:type="dxa"/>
            <w:noWrap/>
            <w:vAlign w:val="center"/>
            <w:hideMark/>
          </w:tcPr>
          <w:p w14:paraId="2396DFB2" w14:textId="77777777" w:rsidR="009A7B5F" w:rsidRPr="003172B0" w:rsidRDefault="009A7B5F" w:rsidP="009F5DF5">
            <w:pPr>
              <w:spacing w:line="240" w:lineRule="auto"/>
              <w:ind w:firstLine="0"/>
              <w:jc w:val="left"/>
              <w:rPr>
                <w:rFonts w:eastAsia="Times New Roman" w:cstheme="majorBidi"/>
                <w:sz w:val="18"/>
                <w:szCs w:val="18"/>
              </w:rPr>
            </w:pPr>
          </w:p>
        </w:tc>
        <w:tc>
          <w:tcPr>
            <w:tcW w:w="945" w:type="dxa"/>
            <w:noWrap/>
            <w:vAlign w:val="center"/>
            <w:hideMark/>
          </w:tcPr>
          <w:p w14:paraId="6E10781E"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0.304</w:t>
            </w:r>
          </w:p>
        </w:tc>
      </w:tr>
      <w:tr w:rsidR="009A7B5F" w:rsidRPr="003172B0" w14:paraId="73D3BBE5" w14:textId="77777777" w:rsidTr="00EA589B">
        <w:trPr>
          <w:trHeight w:val="206"/>
          <w:jc w:val="center"/>
        </w:trPr>
        <w:tc>
          <w:tcPr>
            <w:tcW w:w="3172" w:type="dxa"/>
            <w:noWrap/>
            <w:vAlign w:val="center"/>
          </w:tcPr>
          <w:p w14:paraId="22C3C9AD"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89" w:type="dxa"/>
            <w:noWrap/>
            <w:vAlign w:val="center"/>
          </w:tcPr>
          <w:p w14:paraId="4C1CC3D2"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1158" w:type="dxa"/>
            <w:noWrap/>
            <w:vAlign w:val="center"/>
          </w:tcPr>
          <w:p w14:paraId="06911E31" w14:textId="77777777" w:rsidR="009A7B5F" w:rsidRPr="003172B0" w:rsidRDefault="009A7B5F" w:rsidP="009F5DF5">
            <w:pPr>
              <w:spacing w:line="240" w:lineRule="auto"/>
              <w:ind w:firstLine="0"/>
              <w:jc w:val="left"/>
              <w:rPr>
                <w:rFonts w:eastAsia="Times New Roman" w:cstheme="majorBidi"/>
                <w:sz w:val="18"/>
                <w:szCs w:val="18"/>
              </w:rPr>
            </w:pPr>
          </w:p>
        </w:tc>
        <w:tc>
          <w:tcPr>
            <w:tcW w:w="1034" w:type="dxa"/>
            <w:noWrap/>
            <w:vAlign w:val="center"/>
          </w:tcPr>
          <w:p w14:paraId="083FFB8C" w14:textId="77777777" w:rsidR="009A7B5F" w:rsidRPr="003172B0" w:rsidRDefault="009A7B5F" w:rsidP="009F5DF5">
            <w:pPr>
              <w:spacing w:line="240" w:lineRule="auto"/>
              <w:ind w:firstLine="0"/>
              <w:jc w:val="left"/>
              <w:rPr>
                <w:rFonts w:eastAsia="Times New Roman" w:cstheme="majorBidi"/>
                <w:sz w:val="18"/>
                <w:szCs w:val="18"/>
              </w:rPr>
            </w:pPr>
          </w:p>
        </w:tc>
        <w:tc>
          <w:tcPr>
            <w:tcW w:w="942" w:type="dxa"/>
            <w:noWrap/>
            <w:vAlign w:val="center"/>
          </w:tcPr>
          <w:p w14:paraId="19A1D0C0"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220" w:type="dxa"/>
          </w:tcPr>
          <w:p w14:paraId="6FD213A3"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tcPr>
          <w:p w14:paraId="694855C3" w14:textId="77777777" w:rsidR="009A7B5F" w:rsidRPr="003172B0" w:rsidRDefault="009A7B5F" w:rsidP="009F5DF5">
            <w:pPr>
              <w:spacing w:line="240" w:lineRule="auto"/>
              <w:ind w:firstLine="0"/>
              <w:jc w:val="left"/>
              <w:rPr>
                <w:rFonts w:eastAsia="Times New Roman" w:cstheme="majorBidi"/>
                <w:color w:val="000000"/>
                <w:sz w:val="18"/>
                <w:szCs w:val="18"/>
              </w:rPr>
            </w:pPr>
          </w:p>
        </w:tc>
        <w:tc>
          <w:tcPr>
            <w:tcW w:w="952" w:type="dxa"/>
            <w:noWrap/>
            <w:vAlign w:val="center"/>
          </w:tcPr>
          <w:p w14:paraId="170F1C4B" w14:textId="77777777" w:rsidR="009A7B5F" w:rsidRPr="003172B0" w:rsidRDefault="009A7B5F" w:rsidP="009F5DF5">
            <w:pPr>
              <w:spacing w:line="240" w:lineRule="auto"/>
              <w:ind w:firstLine="0"/>
              <w:jc w:val="left"/>
              <w:rPr>
                <w:rFonts w:eastAsia="Times New Roman" w:cstheme="majorBidi"/>
                <w:sz w:val="18"/>
                <w:szCs w:val="18"/>
              </w:rPr>
            </w:pPr>
          </w:p>
        </w:tc>
        <w:tc>
          <w:tcPr>
            <w:tcW w:w="952" w:type="dxa"/>
            <w:noWrap/>
            <w:vAlign w:val="center"/>
          </w:tcPr>
          <w:p w14:paraId="39BD25CA" w14:textId="77777777" w:rsidR="009A7B5F" w:rsidRPr="003172B0" w:rsidRDefault="009A7B5F" w:rsidP="009F5DF5">
            <w:pPr>
              <w:spacing w:line="240" w:lineRule="auto"/>
              <w:ind w:firstLine="0"/>
              <w:jc w:val="left"/>
              <w:rPr>
                <w:rFonts w:eastAsia="Times New Roman" w:cstheme="majorBidi"/>
                <w:sz w:val="18"/>
                <w:szCs w:val="18"/>
              </w:rPr>
            </w:pPr>
          </w:p>
        </w:tc>
        <w:tc>
          <w:tcPr>
            <w:tcW w:w="945" w:type="dxa"/>
            <w:noWrap/>
            <w:vAlign w:val="center"/>
          </w:tcPr>
          <w:p w14:paraId="285F873B" w14:textId="77777777" w:rsidR="009A7B5F" w:rsidRPr="003172B0" w:rsidRDefault="009A7B5F" w:rsidP="009F5DF5">
            <w:pPr>
              <w:spacing w:line="240" w:lineRule="auto"/>
              <w:ind w:firstLine="0"/>
              <w:jc w:val="left"/>
              <w:rPr>
                <w:rFonts w:eastAsia="Times New Roman" w:cstheme="majorBidi"/>
                <w:color w:val="000000"/>
                <w:sz w:val="18"/>
                <w:szCs w:val="18"/>
              </w:rPr>
            </w:pPr>
          </w:p>
        </w:tc>
      </w:tr>
    </w:tbl>
    <w:p w14:paraId="36A54CC9" w14:textId="77777777" w:rsidR="00B469AE" w:rsidRDefault="00B469AE" w:rsidP="00146CD4">
      <w:pPr>
        <w:tabs>
          <w:tab w:val="left" w:pos="567"/>
        </w:tabs>
        <w:spacing w:line="240" w:lineRule="auto"/>
        <w:ind w:firstLine="0"/>
        <w:jc w:val="left"/>
        <w:rPr>
          <w:rFonts w:ascii="Times New Roman" w:eastAsiaTheme="minorHAnsi" w:hAnsi="Times New Roman" w:cs="Times New Roman"/>
          <w:b/>
          <w:bCs/>
          <w:sz w:val="22"/>
          <w:lang w:eastAsia="en-US"/>
        </w:rPr>
      </w:pPr>
    </w:p>
    <w:p w14:paraId="2D293ED9" w14:textId="5F9B1937" w:rsidR="00B469AE" w:rsidRDefault="00B469AE" w:rsidP="00B469AE">
      <w:pPr>
        <w:jc w:val="center"/>
        <w:rPr>
          <w:rFonts w:ascii="Times New Roman" w:eastAsiaTheme="minorHAnsi" w:hAnsi="Times New Roman" w:cs="Times New Roman"/>
          <w:b/>
          <w:bCs/>
          <w:sz w:val="22"/>
          <w:lang w:eastAsia="en-US"/>
        </w:rPr>
      </w:pPr>
      <w:r w:rsidRPr="000643BD">
        <w:rPr>
          <w:rFonts w:ascii="Times New Roman" w:eastAsiaTheme="minorHAnsi" w:hAnsi="Times New Roman" w:cs="Times New Roman"/>
          <w:b/>
          <w:bCs/>
          <w:sz w:val="22"/>
          <w:lang w:eastAsia="en-US"/>
        </w:rPr>
        <w:t>Table 6 (continued)</w:t>
      </w:r>
    </w:p>
    <w:p w14:paraId="1CDC3BC0" w14:textId="5E70EC61" w:rsidR="009A7B5F" w:rsidRPr="00146CD4" w:rsidRDefault="009A7B5F" w:rsidP="00146CD4">
      <w:pPr>
        <w:tabs>
          <w:tab w:val="left" w:pos="567"/>
        </w:tabs>
        <w:spacing w:line="240" w:lineRule="auto"/>
        <w:ind w:firstLine="0"/>
        <w:jc w:val="left"/>
        <w:rPr>
          <w:rFonts w:ascii="Times New Roman" w:eastAsiaTheme="minorHAnsi" w:hAnsi="Times New Roman" w:cs="Times New Roman"/>
          <w:b/>
          <w:bCs/>
          <w:sz w:val="22"/>
          <w:lang w:eastAsia="en-US"/>
        </w:rPr>
      </w:pPr>
      <w:r w:rsidRPr="00146CD4">
        <w:rPr>
          <w:rFonts w:ascii="Times New Roman" w:eastAsiaTheme="minorHAnsi" w:hAnsi="Times New Roman" w:cs="Times New Roman"/>
          <w:b/>
          <w:bCs/>
          <w:sz w:val="22"/>
          <w:lang w:eastAsia="en-US"/>
        </w:rPr>
        <w:t xml:space="preserve">Panel B:  Pay inequity and employee productivity </w:t>
      </w:r>
    </w:p>
    <w:tbl>
      <w:tblPr>
        <w:tblW w:w="11234" w:type="dxa"/>
        <w:jc w:val="center"/>
        <w:tblLook w:val="04A0" w:firstRow="1" w:lastRow="0" w:firstColumn="1" w:lastColumn="0" w:noHBand="0" w:noVBand="1"/>
      </w:tblPr>
      <w:tblGrid>
        <w:gridCol w:w="2949"/>
        <w:gridCol w:w="1086"/>
        <w:gridCol w:w="995"/>
        <w:gridCol w:w="1086"/>
        <w:gridCol w:w="957"/>
        <w:gridCol w:w="222"/>
        <w:gridCol w:w="995"/>
        <w:gridCol w:w="995"/>
        <w:gridCol w:w="995"/>
        <w:gridCol w:w="958"/>
      </w:tblGrid>
      <w:tr w:rsidR="009A7B5F" w:rsidRPr="003172B0" w14:paraId="3C1061AE" w14:textId="77777777" w:rsidTr="00EA589B">
        <w:trPr>
          <w:trHeight w:val="71"/>
          <w:jc w:val="center"/>
        </w:trPr>
        <w:tc>
          <w:tcPr>
            <w:tcW w:w="2949" w:type="dxa"/>
            <w:shd w:val="clear" w:color="auto" w:fill="auto"/>
            <w:noWrap/>
            <w:vAlign w:val="center"/>
          </w:tcPr>
          <w:p w14:paraId="47ECFC75" w14:textId="77777777" w:rsidR="009A7B5F" w:rsidRPr="003172B0" w:rsidRDefault="009A7B5F" w:rsidP="009F5DF5">
            <w:pPr>
              <w:spacing w:after="0" w:line="240" w:lineRule="auto"/>
              <w:ind w:firstLine="0"/>
              <w:jc w:val="left"/>
              <w:rPr>
                <w:rFonts w:eastAsia="Times New Roman" w:cstheme="majorBidi"/>
                <w:sz w:val="18"/>
                <w:szCs w:val="18"/>
              </w:rPr>
            </w:pPr>
          </w:p>
        </w:tc>
        <w:tc>
          <w:tcPr>
            <w:tcW w:w="4124" w:type="dxa"/>
            <w:gridSpan w:val="4"/>
            <w:tcBorders>
              <w:bottom w:val="single" w:sz="4" w:space="0" w:color="auto"/>
            </w:tcBorders>
            <w:shd w:val="clear" w:color="auto" w:fill="auto"/>
            <w:noWrap/>
            <w:vAlign w:val="center"/>
          </w:tcPr>
          <w:p w14:paraId="699DE7D2"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Total factor productivity (TFP)</w:t>
            </w:r>
          </w:p>
        </w:tc>
        <w:tc>
          <w:tcPr>
            <w:tcW w:w="218" w:type="dxa"/>
            <w:vAlign w:val="center"/>
          </w:tcPr>
          <w:p w14:paraId="69D362E4"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3943" w:type="dxa"/>
            <w:gridSpan w:val="4"/>
            <w:tcBorders>
              <w:bottom w:val="single" w:sz="4" w:space="0" w:color="auto"/>
            </w:tcBorders>
            <w:shd w:val="clear" w:color="auto" w:fill="auto"/>
            <w:noWrap/>
            <w:vAlign w:val="center"/>
          </w:tcPr>
          <w:p w14:paraId="6D85AB7A"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Ln (revenue per employee) (SLE)</w:t>
            </w:r>
          </w:p>
        </w:tc>
      </w:tr>
      <w:tr w:rsidR="009A7B5F" w:rsidRPr="003172B0" w14:paraId="19ED6DFB" w14:textId="77777777" w:rsidTr="00EA589B">
        <w:trPr>
          <w:trHeight w:val="71"/>
          <w:jc w:val="center"/>
        </w:trPr>
        <w:tc>
          <w:tcPr>
            <w:tcW w:w="2949" w:type="dxa"/>
            <w:tcBorders>
              <w:bottom w:val="single" w:sz="4" w:space="0" w:color="auto"/>
            </w:tcBorders>
            <w:shd w:val="clear" w:color="auto" w:fill="auto"/>
            <w:noWrap/>
            <w:vAlign w:val="center"/>
          </w:tcPr>
          <w:p w14:paraId="5B801B83" w14:textId="77777777" w:rsidR="009A7B5F" w:rsidRPr="003172B0" w:rsidRDefault="009A7B5F" w:rsidP="009F5DF5">
            <w:pPr>
              <w:spacing w:after="0" w:line="240" w:lineRule="auto"/>
              <w:ind w:firstLine="0"/>
              <w:jc w:val="left"/>
              <w:rPr>
                <w:rFonts w:eastAsia="Times New Roman" w:cstheme="majorBidi"/>
                <w:sz w:val="18"/>
                <w:szCs w:val="18"/>
              </w:rPr>
            </w:pPr>
          </w:p>
        </w:tc>
        <w:tc>
          <w:tcPr>
            <w:tcW w:w="1086" w:type="dxa"/>
            <w:tcBorders>
              <w:top w:val="single" w:sz="4" w:space="0" w:color="auto"/>
              <w:bottom w:val="single" w:sz="4" w:space="0" w:color="auto"/>
            </w:tcBorders>
            <w:shd w:val="clear" w:color="auto" w:fill="auto"/>
            <w:noWrap/>
            <w:vAlign w:val="center"/>
          </w:tcPr>
          <w:p w14:paraId="5CAC5F7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FFE</w:t>
            </w:r>
          </w:p>
        </w:tc>
        <w:tc>
          <w:tcPr>
            <w:tcW w:w="995" w:type="dxa"/>
            <w:tcBorders>
              <w:top w:val="single" w:sz="4" w:space="0" w:color="auto"/>
              <w:bottom w:val="single" w:sz="4" w:space="0" w:color="auto"/>
            </w:tcBorders>
            <w:shd w:val="clear" w:color="auto" w:fill="auto"/>
            <w:noWrap/>
            <w:vAlign w:val="center"/>
          </w:tcPr>
          <w:p w14:paraId="5BD7EB4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Delta</w:t>
            </w:r>
          </w:p>
        </w:tc>
        <w:tc>
          <w:tcPr>
            <w:tcW w:w="1086" w:type="dxa"/>
            <w:tcBorders>
              <w:top w:val="single" w:sz="4" w:space="0" w:color="auto"/>
              <w:bottom w:val="single" w:sz="4" w:space="0" w:color="auto"/>
            </w:tcBorders>
            <w:shd w:val="clear" w:color="auto" w:fill="auto"/>
            <w:noWrap/>
            <w:vAlign w:val="center"/>
          </w:tcPr>
          <w:p w14:paraId="056A6E8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Dynamic</w:t>
            </w:r>
          </w:p>
        </w:tc>
        <w:tc>
          <w:tcPr>
            <w:tcW w:w="956" w:type="dxa"/>
            <w:tcBorders>
              <w:top w:val="single" w:sz="4" w:space="0" w:color="auto"/>
              <w:bottom w:val="single" w:sz="4" w:space="0" w:color="auto"/>
            </w:tcBorders>
            <w:shd w:val="clear" w:color="auto" w:fill="auto"/>
            <w:noWrap/>
            <w:vAlign w:val="center"/>
          </w:tcPr>
          <w:p w14:paraId="5F1EA8B9" w14:textId="2BBD591D"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SGMM</w:t>
            </w:r>
            <w:r w:rsidR="00322525">
              <w:rPr>
                <w:rStyle w:val="FootnoteReference"/>
                <w:rFonts w:eastAsia="Times New Roman" w:cstheme="majorBidi"/>
                <w:color w:val="000000"/>
                <w:sz w:val="18"/>
                <w:szCs w:val="18"/>
              </w:rPr>
              <w:footnoteReference w:id="21"/>
            </w:r>
          </w:p>
        </w:tc>
        <w:tc>
          <w:tcPr>
            <w:tcW w:w="218" w:type="dxa"/>
            <w:vAlign w:val="center"/>
          </w:tcPr>
          <w:p w14:paraId="363BBB31"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tcBorders>
              <w:top w:val="single" w:sz="4" w:space="0" w:color="auto"/>
              <w:bottom w:val="single" w:sz="2" w:space="0" w:color="auto"/>
            </w:tcBorders>
            <w:shd w:val="clear" w:color="auto" w:fill="auto"/>
            <w:noWrap/>
            <w:vAlign w:val="center"/>
          </w:tcPr>
          <w:p w14:paraId="2C89158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FFE</w:t>
            </w:r>
          </w:p>
        </w:tc>
        <w:tc>
          <w:tcPr>
            <w:tcW w:w="995" w:type="dxa"/>
            <w:tcBorders>
              <w:top w:val="single" w:sz="4" w:space="0" w:color="auto"/>
              <w:bottom w:val="single" w:sz="2" w:space="0" w:color="auto"/>
            </w:tcBorders>
            <w:shd w:val="clear" w:color="auto" w:fill="auto"/>
            <w:noWrap/>
            <w:vAlign w:val="center"/>
          </w:tcPr>
          <w:p w14:paraId="220C9864"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Delta</w:t>
            </w:r>
          </w:p>
        </w:tc>
        <w:tc>
          <w:tcPr>
            <w:tcW w:w="995" w:type="dxa"/>
            <w:tcBorders>
              <w:top w:val="single" w:sz="4" w:space="0" w:color="auto"/>
              <w:bottom w:val="single" w:sz="2" w:space="0" w:color="auto"/>
            </w:tcBorders>
            <w:shd w:val="clear" w:color="auto" w:fill="auto"/>
            <w:noWrap/>
            <w:vAlign w:val="center"/>
          </w:tcPr>
          <w:p w14:paraId="583F09D2"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Dynamic</w:t>
            </w:r>
          </w:p>
        </w:tc>
        <w:tc>
          <w:tcPr>
            <w:tcW w:w="955" w:type="dxa"/>
            <w:tcBorders>
              <w:top w:val="single" w:sz="4" w:space="0" w:color="auto"/>
              <w:bottom w:val="single" w:sz="2" w:space="0" w:color="auto"/>
            </w:tcBorders>
            <w:shd w:val="clear" w:color="auto" w:fill="auto"/>
            <w:noWrap/>
            <w:vAlign w:val="center"/>
          </w:tcPr>
          <w:p w14:paraId="0568A0C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SGMM</w:t>
            </w:r>
          </w:p>
        </w:tc>
      </w:tr>
      <w:tr w:rsidR="009A7B5F" w:rsidRPr="003172B0" w14:paraId="60DBF3B6" w14:textId="77777777" w:rsidTr="00EA589B">
        <w:trPr>
          <w:trHeight w:val="71"/>
          <w:jc w:val="center"/>
        </w:trPr>
        <w:tc>
          <w:tcPr>
            <w:tcW w:w="2949" w:type="dxa"/>
            <w:tcBorders>
              <w:top w:val="single" w:sz="4" w:space="0" w:color="auto"/>
            </w:tcBorders>
            <w:shd w:val="clear" w:color="auto" w:fill="auto"/>
            <w:noWrap/>
            <w:vAlign w:val="center"/>
            <w:hideMark/>
          </w:tcPr>
          <w:p w14:paraId="44A0EEAE" w14:textId="77777777" w:rsidR="009A7B5F" w:rsidRPr="003172B0" w:rsidRDefault="009A7B5F" w:rsidP="009F5DF5">
            <w:pPr>
              <w:spacing w:after="0"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Lag.TFP</w:t>
            </w:r>
            <w:proofErr w:type="spellEnd"/>
          </w:p>
        </w:tc>
        <w:tc>
          <w:tcPr>
            <w:tcW w:w="1086" w:type="dxa"/>
            <w:tcBorders>
              <w:top w:val="single" w:sz="4" w:space="0" w:color="auto"/>
            </w:tcBorders>
            <w:shd w:val="clear" w:color="auto" w:fill="auto"/>
            <w:noWrap/>
            <w:vAlign w:val="center"/>
          </w:tcPr>
          <w:p w14:paraId="6CF1616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tcBorders>
              <w:top w:val="single" w:sz="4" w:space="0" w:color="auto"/>
            </w:tcBorders>
            <w:shd w:val="clear" w:color="auto" w:fill="auto"/>
            <w:noWrap/>
            <w:vAlign w:val="center"/>
          </w:tcPr>
          <w:p w14:paraId="03327E3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86" w:type="dxa"/>
            <w:tcBorders>
              <w:top w:val="single" w:sz="4" w:space="0" w:color="auto"/>
            </w:tcBorders>
            <w:shd w:val="clear" w:color="auto" w:fill="auto"/>
            <w:noWrap/>
            <w:vAlign w:val="center"/>
            <w:hideMark/>
          </w:tcPr>
          <w:p w14:paraId="4321D17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0.752***</w:t>
            </w:r>
          </w:p>
        </w:tc>
        <w:tc>
          <w:tcPr>
            <w:tcW w:w="956" w:type="dxa"/>
            <w:tcBorders>
              <w:top w:val="single" w:sz="4" w:space="0" w:color="auto"/>
            </w:tcBorders>
            <w:shd w:val="clear" w:color="auto" w:fill="auto"/>
            <w:noWrap/>
            <w:vAlign w:val="center"/>
            <w:hideMark/>
          </w:tcPr>
          <w:p w14:paraId="036E6E6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0.613***</w:t>
            </w:r>
          </w:p>
        </w:tc>
        <w:tc>
          <w:tcPr>
            <w:tcW w:w="218" w:type="dxa"/>
          </w:tcPr>
          <w:p w14:paraId="3E8DFC32"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6810EC65"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6C49BD8C"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63F9A26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55" w:type="dxa"/>
            <w:shd w:val="clear" w:color="auto" w:fill="auto"/>
            <w:noWrap/>
            <w:vAlign w:val="center"/>
          </w:tcPr>
          <w:p w14:paraId="7AD88E67"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r>
      <w:tr w:rsidR="009A7B5F" w:rsidRPr="003172B0" w14:paraId="0A752DD9" w14:textId="77777777" w:rsidTr="00EA589B">
        <w:trPr>
          <w:trHeight w:val="71"/>
          <w:jc w:val="center"/>
        </w:trPr>
        <w:tc>
          <w:tcPr>
            <w:tcW w:w="2949" w:type="dxa"/>
            <w:shd w:val="clear" w:color="auto" w:fill="auto"/>
            <w:noWrap/>
            <w:vAlign w:val="center"/>
            <w:hideMark/>
          </w:tcPr>
          <w:p w14:paraId="71217557"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86" w:type="dxa"/>
            <w:shd w:val="clear" w:color="auto" w:fill="auto"/>
            <w:noWrap/>
            <w:vAlign w:val="center"/>
          </w:tcPr>
          <w:p w14:paraId="2B9F7DD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20ABAF6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86" w:type="dxa"/>
            <w:shd w:val="clear" w:color="auto" w:fill="auto"/>
            <w:noWrap/>
            <w:vAlign w:val="center"/>
            <w:hideMark/>
          </w:tcPr>
          <w:p w14:paraId="75748D0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956" w:type="dxa"/>
            <w:shd w:val="clear" w:color="auto" w:fill="auto"/>
            <w:noWrap/>
            <w:vAlign w:val="center"/>
            <w:hideMark/>
          </w:tcPr>
          <w:p w14:paraId="13544A59"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218" w:type="dxa"/>
          </w:tcPr>
          <w:p w14:paraId="23B50057"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71DAD26F"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72C7DB71"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783A664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55" w:type="dxa"/>
            <w:shd w:val="clear" w:color="auto" w:fill="auto"/>
            <w:noWrap/>
            <w:vAlign w:val="center"/>
          </w:tcPr>
          <w:p w14:paraId="73727EB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r>
      <w:tr w:rsidR="009A7B5F" w:rsidRPr="003172B0" w14:paraId="3DF5F90F" w14:textId="77777777" w:rsidTr="00EA589B">
        <w:trPr>
          <w:trHeight w:val="71"/>
          <w:jc w:val="center"/>
        </w:trPr>
        <w:tc>
          <w:tcPr>
            <w:tcW w:w="2949" w:type="dxa"/>
            <w:shd w:val="clear" w:color="auto" w:fill="auto"/>
            <w:noWrap/>
            <w:vAlign w:val="center"/>
            <w:hideMark/>
          </w:tcPr>
          <w:p w14:paraId="4C6C83D2" w14:textId="77777777" w:rsidR="009A7B5F" w:rsidRPr="003172B0" w:rsidRDefault="009A7B5F" w:rsidP="009F5DF5">
            <w:pPr>
              <w:spacing w:after="0"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Lag.SLE</w:t>
            </w:r>
            <w:proofErr w:type="spellEnd"/>
          </w:p>
        </w:tc>
        <w:tc>
          <w:tcPr>
            <w:tcW w:w="1086" w:type="dxa"/>
            <w:shd w:val="clear" w:color="auto" w:fill="auto"/>
            <w:noWrap/>
            <w:vAlign w:val="center"/>
          </w:tcPr>
          <w:p w14:paraId="7A09ECA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69C8829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86" w:type="dxa"/>
            <w:shd w:val="clear" w:color="auto" w:fill="auto"/>
            <w:noWrap/>
            <w:vAlign w:val="center"/>
          </w:tcPr>
          <w:p w14:paraId="4C4665B8"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56" w:type="dxa"/>
            <w:shd w:val="clear" w:color="auto" w:fill="auto"/>
            <w:noWrap/>
            <w:vAlign w:val="center"/>
          </w:tcPr>
          <w:p w14:paraId="43B92AA5"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218" w:type="dxa"/>
          </w:tcPr>
          <w:p w14:paraId="31A5DDE0"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433D9D5C"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2DCABB1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55787E67"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0.651***</w:t>
            </w:r>
          </w:p>
        </w:tc>
        <w:tc>
          <w:tcPr>
            <w:tcW w:w="955" w:type="dxa"/>
            <w:shd w:val="clear" w:color="auto" w:fill="auto"/>
            <w:noWrap/>
            <w:vAlign w:val="center"/>
            <w:hideMark/>
          </w:tcPr>
          <w:p w14:paraId="0A962AD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0.602***</w:t>
            </w:r>
          </w:p>
        </w:tc>
      </w:tr>
      <w:tr w:rsidR="009A7B5F" w:rsidRPr="003172B0" w14:paraId="1B7B3D7C" w14:textId="77777777" w:rsidTr="00EA589B">
        <w:trPr>
          <w:trHeight w:val="71"/>
          <w:jc w:val="center"/>
        </w:trPr>
        <w:tc>
          <w:tcPr>
            <w:tcW w:w="2949" w:type="dxa"/>
            <w:shd w:val="clear" w:color="auto" w:fill="auto"/>
            <w:noWrap/>
            <w:vAlign w:val="center"/>
            <w:hideMark/>
          </w:tcPr>
          <w:p w14:paraId="2060797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86" w:type="dxa"/>
            <w:shd w:val="clear" w:color="auto" w:fill="auto"/>
            <w:noWrap/>
            <w:vAlign w:val="center"/>
          </w:tcPr>
          <w:p w14:paraId="30206282"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656FE95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86" w:type="dxa"/>
            <w:shd w:val="clear" w:color="auto" w:fill="auto"/>
            <w:noWrap/>
            <w:vAlign w:val="center"/>
          </w:tcPr>
          <w:p w14:paraId="1158BAA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56" w:type="dxa"/>
            <w:shd w:val="clear" w:color="auto" w:fill="auto"/>
            <w:noWrap/>
            <w:vAlign w:val="center"/>
          </w:tcPr>
          <w:p w14:paraId="13FE5E8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218" w:type="dxa"/>
          </w:tcPr>
          <w:p w14:paraId="207D5F8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04C6628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49BEE6D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3BAB252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955" w:type="dxa"/>
            <w:shd w:val="clear" w:color="auto" w:fill="auto"/>
            <w:noWrap/>
            <w:vAlign w:val="center"/>
            <w:hideMark/>
          </w:tcPr>
          <w:p w14:paraId="2FBDB2A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r>
      <w:tr w:rsidR="009A7B5F" w:rsidRPr="003172B0" w14:paraId="223EAB5C" w14:textId="77777777" w:rsidTr="00EA589B">
        <w:trPr>
          <w:trHeight w:val="71"/>
          <w:jc w:val="center"/>
        </w:trPr>
        <w:tc>
          <w:tcPr>
            <w:tcW w:w="2949" w:type="dxa"/>
            <w:shd w:val="clear" w:color="auto" w:fill="auto"/>
            <w:noWrap/>
            <w:vAlign w:val="center"/>
            <w:hideMark/>
          </w:tcPr>
          <w:p w14:paraId="61F273D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Pay Inequity</w:t>
            </w:r>
          </w:p>
        </w:tc>
        <w:tc>
          <w:tcPr>
            <w:tcW w:w="1086" w:type="dxa"/>
            <w:shd w:val="clear" w:color="auto" w:fill="auto"/>
            <w:noWrap/>
            <w:vAlign w:val="center"/>
            <w:hideMark/>
          </w:tcPr>
          <w:p w14:paraId="2D530F5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-0.122***</w:t>
            </w:r>
          </w:p>
        </w:tc>
        <w:tc>
          <w:tcPr>
            <w:tcW w:w="995" w:type="dxa"/>
            <w:shd w:val="clear" w:color="auto" w:fill="auto"/>
            <w:noWrap/>
            <w:vAlign w:val="center"/>
            <w:hideMark/>
          </w:tcPr>
          <w:p w14:paraId="66806FB1"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86" w:type="dxa"/>
            <w:shd w:val="clear" w:color="auto" w:fill="auto"/>
            <w:noWrap/>
            <w:vAlign w:val="center"/>
            <w:hideMark/>
          </w:tcPr>
          <w:p w14:paraId="6849D980"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-0.0958***</w:t>
            </w:r>
          </w:p>
        </w:tc>
        <w:tc>
          <w:tcPr>
            <w:tcW w:w="956" w:type="dxa"/>
            <w:shd w:val="clear" w:color="auto" w:fill="auto"/>
            <w:noWrap/>
            <w:vAlign w:val="center"/>
            <w:hideMark/>
          </w:tcPr>
          <w:p w14:paraId="7429FB8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-0.134*</w:t>
            </w:r>
          </w:p>
        </w:tc>
        <w:tc>
          <w:tcPr>
            <w:tcW w:w="218" w:type="dxa"/>
          </w:tcPr>
          <w:p w14:paraId="09A3902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62DE4331"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-0.111***</w:t>
            </w:r>
          </w:p>
        </w:tc>
        <w:tc>
          <w:tcPr>
            <w:tcW w:w="995" w:type="dxa"/>
            <w:shd w:val="clear" w:color="auto" w:fill="auto"/>
            <w:noWrap/>
            <w:vAlign w:val="center"/>
            <w:hideMark/>
          </w:tcPr>
          <w:p w14:paraId="03C4A7E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2A69775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-0.136***</w:t>
            </w:r>
          </w:p>
        </w:tc>
        <w:tc>
          <w:tcPr>
            <w:tcW w:w="955" w:type="dxa"/>
            <w:shd w:val="clear" w:color="auto" w:fill="auto"/>
            <w:noWrap/>
            <w:vAlign w:val="center"/>
            <w:hideMark/>
          </w:tcPr>
          <w:p w14:paraId="2B13660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-0.176**</w:t>
            </w:r>
          </w:p>
        </w:tc>
      </w:tr>
      <w:tr w:rsidR="009A7B5F" w:rsidRPr="003172B0" w14:paraId="049ADC6F" w14:textId="77777777" w:rsidTr="00EA589B">
        <w:trPr>
          <w:trHeight w:val="71"/>
          <w:jc w:val="center"/>
        </w:trPr>
        <w:tc>
          <w:tcPr>
            <w:tcW w:w="2949" w:type="dxa"/>
            <w:shd w:val="clear" w:color="auto" w:fill="auto"/>
            <w:noWrap/>
            <w:vAlign w:val="center"/>
            <w:hideMark/>
          </w:tcPr>
          <w:p w14:paraId="5940A975"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86" w:type="dxa"/>
            <w:shd w:val="clear" w:color="auto" w:fill="auto"/>
            <w:noWrap/>
            <w:vAlign w:val="center"/>
            <w:hideMark/>
          </w:tcPr>
          <w:p w14:paraId="20B1E0D2"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(0.0016)</w:t>
            </w:r>
          </w:p>
        </w:tc>
        <w:tc>
          <w:tcPr>
            <w:tcW w:w="995" w:type="dxa"/>
            <w:shd w:val="clear" w:color="auto" w:fill="auto"/>
            <w:noWrap/>
            <w:vAlign w:val="center"/>
            <w:hideMark/>
          </w:tcPr>
          <w:p w14:paraId="630AA0A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86" w:type="dxa"/>
            <w:shd w:val="clear" w:color="auto" w:fill="auto"/>
            <w:noWrap/>
            <w:vAlign w:val="center"/>
            <w:hideMark/>
          </w:tcPr>
          <w:p w14:paraId="29C2ABC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(0.0003)</w:t>
            </w:r>
          </w:p>
        </w:tc>
        <w:tc>
          <w:tcPr>
            <w:tcW w:w="956" w:type="dxa"/>
            <w:shd w:val="clear" w:color="auto" w:fill="auto"/>
            <w:noWrap/>
            <w:vAlign w:val="center"/>
            <w:hideMark/>
          </w:tcPr>
          <w:p w14:paraId="2C45654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(0.0964)</w:t>
            </w:r>
          </w:p>
        </w:tc>
        <w:tc>
          <w:tcPr>
            <w:tcW w:w="218" w:type="dxa"/>
          </w:tcPr>
          <w:p w14:paraId="7D4A7EFF"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2DF6FDA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(0.0001)</w:t>
            </w:r>
          </w:p>
        </w:tc>
        <w:tc>
          <w:tcPr>
            <w:tcW w:w="995" w:type="dxa"/>
            <w:shd w:val="clear" w:color="auto" w:fill="auto"/>
            <w:noWrap/>
            <w:vAlign w:val="center"/>
            <w:hideMark/>
          </w:tcPr>
          <w:p w14:paraId="776E3480"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59E1193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955" w:type="dxa"/>
            <w:shd w:val="clear" w:color="auto" w:fill="auto"/>
            <w:noWrap/>
            <w:vAlign w:val="center"/>
            <w:hideMark/>
          </w:tcPr>
          <w:p w14:paraId="2B9169F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(0.0294)</w:t>
            </w:r>
          </w:p>
        </w:tc>
      </w:tr>
      <w:tr w:rsidR="009A7B5F" w:rsidRPr="003172B0" w14:paraId="420D7A46" w14:textId="77777777" w:rsidTr="00EA589B">
        <w:trPr>
          <w:trHeight w:val="71"/>
          <w:jc w:val="center"/>
        </w:trPr>
        <w:tc>
          <w:tcPr>
            <w:tcW w:w="2949" w:type="dxa"/>
            <w:shd w:val="clear" w:color="auto" w:fill="auto"/>
            <w:noWrap/>
            <w:vAlign w:val="center"/>
            <w:hideMark/>
          </w:tcPr>
          <w:p w14:paraId="44074E8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Changes. Pay Inequity</w:t>
            </w:r>
          </w:p>
        </w:tc>
        <w:tc>
          <w:tcPr>
            <w:tcW w:w="1086" w:type="dxa"/>
            <w:shd w:val="clear" w:color="auto" w:fill="auto"/>
            <w:noWrap/>
            <w:vAlign w:val="center"/>
            <w:hideMark/>
          </w:tcPr>
          <w:p w14:paraId="675CD128"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6ED0E13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-0.211***</w:t>
            </w:r>
          </w:p>
        </w:tc>
        <w:tc>
          <w:tcPr>
            <w:tcW w:w="1086" w:type="dxa"/>
            <w:shd w:val="clear" w:color="auto" w:fill="auto"/>
            <w:noWrap/>
            <w:vAlign w:val="center"/>
            <w:hideMark/>
          </w:tcPr>
          <w:p w14:paraId="5E5DEF13"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56" w:type="dxa"/>
            <w:shd w:val="clear" w:color="auto" w:fill="auto"/>
            <w:noWrap/>
            <w:vAlign w:val="center"/>
            <w:hideMark/>
          </w:tcPr>
          <w:p w14:paraId="54A986F0"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218" w:type="dxa"/>
          </w:tcPr>
          <w:p w14:paraId="06AA99A1"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59D4734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46584B8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-0.307***</w:t>
            </w:r>
          </w:p>
        </w:tc>
        <w:tc>
          <w:tcPr>
            <w:tcW w:w="995" w:type="dxa"/>
            <w:shd w:val="clear" w:color="auto" w:fill="auto"/>
            <w:noWrap/>
            <w:vAlign w:val="center"/>
            <w:hideMark/>
          </w:tcPr>
          <w:p w14:paraId="445766B8"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55" w:type="dxa"/>
            <w:shd w:val="clear" w:color="auto" w:fill="auto"/>
            <w:noWrap/>
            <w:vAlign w:val="center"/>
            <w:hideMark/>
          </w:tcPr>
          <w:p w14:paraId="680C7C67"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r>
      <w:tr w:rsidR="009A7B5F" w:rsidRPr="003172B0" w14:paraId="6920C082" w14:textId="77777777" w:rsidTr="00EA589B">
        <w:trPr>
          <w:trHeight w:val="71"/>
          <w:jc w:val="center"/>
        </w:trPr>
        <w:tc>
          <w:tcPr>
            <w:tcW w:w="2949" w:type="dxa"/>
            <w:shd w:val="clear" w:color="auto" w:fill="auto"/>
            <w:noWrap/>
            <w:vAlign w:val="center"/>
            <w:hideMark/>
          </w:tcPr>
          <w:p w14:paraId="1A1896C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86" w:type="dxa"/>
            <w:shd w:val="clear" w:color="auto" w:fill="auto"/>
            <w:noWrap/>
            <w:vAlign w:val="center"/>
            <w:hideMark/>
          </w:tcPr>
          <w:p w14:paraId="3C5C8DAF"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45B43A0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1086" w:type="dxa"/>
            <w:shd w:val="clear" w:color="auto" w:fill="auto"/>
            <w:noWrap/>
            <w:vAlign w:val="center"/>
            <w:hideMark/>
          </w:tcPr>
          <w:p w14:paraId="2E240FD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56" w:type="dxa"/>
            <w:shd w:val="clear" w:color="auto" w:fill="auto"/>
            <w:noWrap/>
            <w:vAlign w:val="center"/>
            <w:hideMark/>
          </w:tcPr>
          <w:p w14:paraId="388176E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218" w:type="dxa"/>
          </w:tcPr>
          <w:p w14:paraId="59BAC7F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6D9739D5"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5D92830F"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995" w:type="dxa"/>
            <w:shd w:val="clear" w:color="auto" w:fill="auto"/>
            <w:noWrap/>
            <w:vAlign w:val="center"/>
            <w:hideMark/>
          </w:tcPr>
          <w:p w14:paraId="58BAB8D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55" w:type="dxa"/>
            <w:shd w:val="clear" w:color="auto" w:fill="auto"/>
            <w:noWrap/>
            <w:vAlign w:val="center"/>
            <w:hideMark/>
          </w:tcPr>
          <w:p w14:paraId="0E5189D1"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r>
      <w:tr w:rsidR="009A7B5F" w:rsidRPr="003172B0" w14:paraId="720B270C" w14:textId="77777777" w:rsidTr="00EA589B">
        <w:trPr>
          <w:trHeight w:val="71"/>
          <w:jc w:val="center"/>
        </w:trPr>
        <w:tc>
          <w:tcPr>
            <w:tcW w:w="2949" w:type="dxa"/>
            <w:shd w:val="clear" w:color="auto" w:fill="auto"/>
            <w:noWrap/>
            <w:vAlign w:val="center"/>
          </w:tcPr>
          <w:p w14:paraId="2886342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Controls</w:t>
            </w:r>
          </w:p>
        </w:tc>
        <w:tc>
          <w:tcPr>
            <w:tcW w:w="1086" w:type="dxa"/>
            <w:shd w:val="clear" w:color="auto" w:fill="auto"/>
            <w:noWrap/>
            <w:vAlign w:val="center"/>
          </w:tcPr>
          <w:p w14:paraId="3F8BE92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95" w:type="dxa"/>
            <w:shd w:val="clear" w:color="auto" w:fill="auto"/>
            <w:noWrap/>
            <w:vAlign w:val="center"/>
          </w:tcPr>
          <w:p w14:paraId="757D4CD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1086" w:type="dxa"/>
            <w:shd w:val="clear" w:color="auto" w:fill="auto"/>
            <w:noWrap/>
            <w:vAlign w:val="center"/>
          </w:tcPr>
          <w:p w14:paraId="62F9F114"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56" w:type="dxa"/>
            <w:shd w:val="clear" w:color="auto" w:fill="auto"/>
            <w:noWrap/>
            <w:vAlign w:val="center"/>
          </w:tcPr>
          <w:p w14:paraId="29A27AC9"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218" w:type="dxa"/>
          </w:tcPr>
          <w:p w14:paraId="594D47C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04C7D0E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95" w:type="dxa"/>
            <w:shd w:val="clear" w:color="auto" w:fill="auto"/>
            <w:noWrap/>
            <w:vAlign w:val="center"/>
          </w:tcPr>
          <w:p w14:paraId="00A5CA1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95" w:type="dxa"/>
            <w:shd w:val="clear" w:color="auto" w:fill="auto"/>
            <w:noWrap/>
            <w:vAlign w:val="center"/>
          </w:tcPr>
          <w:p w14:paraId="7346B99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55" w:type="dxa"/>
            <w:shd w:val="clear" w:color="auto" w:fill="auto"/>
            <w:noWrap/>
            <w:vAlign w:val="center"/>
          </w:tcPr>
          <w:p w14:paraId="7B4A722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r>
      <w:tr w:rsidR="009A7B5F" w:rsidRPr="003172B0" w14:paraId="5EAE8DB7" w14:textId="77777777" w:rsidTr="00EA589B">
        <w:trPr>
          <w:trHeight w:val="71"/>
          <w:jc w:val="center"/>
        </w:trPr>
        <w:tc>
          <w:tcPr>
            <w:tcW w:w="2949" w:type="dxa"/>
            <w:shd w:val="clear" w:color="auto" w:fill="auto"/>
            <w:noWrap/>
            <w:vAlign w:val="center"/>
          </w:tcPr>
          <w:p w14:paraId="30E5FD8F"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Observation</w:t>
            </w:r>
          </w:p>
        </w:tc>
        <w:tc>
          <w:tcPr>
            <w:tcW w:w="1086" w:type="dxa"/>
            <w:shd w:val="clear" w:color="auto" w:fill="auto"/>
            <w:noWrap/>
            <w:vAlign w:val="center"/>
          </w:tcPr>
          <w:p w14:paraId="023D16B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1932</w:t>
            </w:r>
          </w:p>
        </w:tc>
        <w:tc>
          <w:tcPr>
            <w:tcW w:w="995" w:type="dxa"/>
            <w:shd w:val="clear" w:color="auto" w:fill="auto"/>
            <w:noWrap/>
            <w:vAlign w:val="center"/>
          </w:tcPr>
          <w:p w14:paraId="7C9D340F"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1491</w:t>
            </w:r>
          </w:p>
        </w:tc>
        <w:tc>
          <w:tcPr>
            <w:tcW w:w="1086" w:type="dxa"/>
            <w:shd w:val="clear" w:color="auto" w:fill="auto"/>
            <w:noWrap/>
            <w:vAlign w:val="center"/>
          </w:tcPr>
          <w:p w14:paraId="35E30B87"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1733</w:t>
            </w:r>
          </w:p>
        </w:tc>
        <w:tc>
          <w:tcPr>
            <w:tcW w:w="956" w:type="dxa"/>
            <w:shd w:val="clear" w:color="auto" w:fill="auto"/>
            <w:noWrap/>
            <w:vAlign w:val="center"/>
          </w:tcPr>
          <w:p w14:paraId="623E0FF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1577</w:t>
            </w:r>
          </w:p>
        </w:tc>
        <w:tc>
          <w:tcPr>
            <w:tcW w:w="218" w:type="dxa"/>
          </w:tcPr>
          <w:p w14:paraId="01F81D81"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tcPr>
          <w:p w14:paraId="26908102"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1938</w:t>
            </w:r>
          </w:p>
        </w:tc>
        <w:tc>
          <w:tcPr>
            <w:tcW w:w="995" w:type="dxa"/>
            <w:shd w:val="clear" w:color="auto" w:fill="auto"/>
            <w:noWrap/>
            <w:vAlign w:val="center"/>
          </w:tcPr>
          <w:p w14:paraId="10B1E47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1499</w:t>
            </w:r>
          </w:p>
        </w:tc>
        <w:tc>
          <w:tcPr>
            <w:tcW w:w="995" w:type="dxa"/>
            <w:shd w:val="clear" w:color="auto" w:fill="auto"/>
            <w:noWrap/>
            <w:vAlign w:val="center"/>
          </w:tcPr>
          <w:p w14:paraId="1396D00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1743</w:t>
            </w:r>
          </w:p>
        </w:tc>
        <w:tc>
          <w:tcPr>
            <w:tcW w:w="955" w:type="dxa"/>
            <w:shd w:val="clear" w:color="auto" w:fill="auto"/>
            <w:noWrap/>
            <w:vAlign w:val="center"/>
          </w:tcPr>
          <w:p w14:paraId="1BB7366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1585</w:t>
            </w:r>
          </w:p>
        </w:tc>
      </w:tr>
      <w:tr w:rsidR="009A7B5F" w:rsidRPr="003172B0" w14:paraId="62585E7E" w14:textId="77777777" w:rsidTr="00EA589B">
        <w:trPr>
          <w:trHeight w:val="71"/>
          <w:jc w:val="center"/>
        </w:trPr>
        <w:tc>
          <w:tcPr>
            <w:tcW w:w="2949" w:type="dxa"/>
            <w:shd w:val="clear" w:color="auto" w:fill="auto"/>
            <w:noWrap/>
            <w:vAlign w:val="center"/>
            <w:hideMark/>
          </w:tcPr>
          <w:p w14:paraId="697F9B31"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Firms</w:t>
            </w:r>
          </w:p>
        </w:tc>
        <w:tc>
          <w:tcPr>
            <w:tcW w:w="1086" w:type="dxa"/>
            <w:shd w:val="clear" w:color="auto" w:fill="auto"/>
            <w:noWrap/>
            <w:vAlign w:val="center"/>
            <w:hideMark/>
          </w:tcPr>
          <w:p w14:paraId="5F718E5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368</w:t>
            </w:r>
          </w:p>
        </w:tc>
        <w:tc>
          <w:tcPr>
            <w:tcW w:w="995" w:type="dxa"/>
            <w:shd w:val="clear" w:color="auto" w:fill="auto"/>
            <w:noWrap/>
            <w:vAlign w:val="center"/>
            <w:hideMark/>
          </w:tcPr>
          <w:p w14:paraId="226EED9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305</w:t>
            </w:r>
          </w:p>
        </w:tc>
        <w:tc>
          <w:tcPr>
            <w:tcW w:w="1086" w:type="dxa"/>
            <w:shd w:val="clear" w:color="auto" w:fill="auto"/>
            <w:noWrap/>
            <w:vAlign w:val="center"/>
            <w:hideMark/>
          </w:tcPr>
          <w:p w14:paraId="149D53A2"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342</w:t>
            </w:r>
          </w:p>
        </w:tc>
        <w:tc>
          <w:tcPr>
            <w:tcW w:w="956" w:type="dxa"/>
            <w:shd w:val="clear" w:color="auto" w:fill="auto"/>
            <w:noWrap/>
            <w:vAlign w:val="center"/>
            <w:hideMark/>
          </w:tcPr>
          <w:p w14:paraId="729E33E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317</w:t>
            </w:r>
          </w:p>
        </w:tc>
        <w:tc>
          <w:tcPr>
            <w:tcW w:w="218" w:type="dxa"/>
          </w:tcPr>
          <w:p w14:paraId="3A3A451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687A50D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368</w:t>
            </w:r>
          </w:p>
        </w:tc>
        <w:tc>
          <w:tcPr>
            <w:tcW w:w="995" w:type="dxa"/>
            <w:shd w:val="clear" w:color="auto" w:fill="auto"/>
            <w:noWrap/>
            <w:vAlign w:val="center"/>
            <w:hideMark/>
          </w:tcPr>
          <w:p w14:paraId="377CF44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307</w:t>
            </w:r>
          </w:p>
        </w:tc>
        <w:tc>
          <w:tcPr>
            <w:tcW w:w="995" w:type="dxa"/>
            <w:shd w:val="clear" w:color="auto" w:fill="auto"/>
            <w:noWrap/>
            <w:vAlign w:val="center"/>
            <w:hideMark/>
          </w:tcPr>
          <w:p w14:paraId="4FB3C791"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344</w:t>
            </w:r>
          </w:p>
        </w:tc>
        <w:tc>
          <w:tcPr>
            <w:tcW w:w="955" w:type="dxa"/>
            <w:shd w:val="clear" w:color="auto" w:fill="auto"/>
            <w:noWrap/>
            <w:vAlign w:val="center"/>
            <w:hideMark/>
          </w:tcPr>
          <w:p w14:paraId="3EFBF0F9"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318</w:t>
            </w:r>
          </w:p>
        </w:tc>
      </w:tr>
      <w:tr w:rsidR="009A7B5F" w:rsidRPr="003172B0" w14:paraId="7643A0F8" w14:textId="77777777" w:rsidTr="00EA589B">
        <w:trPr>
          <w:trHeight w:val="71"/>
          <w:jc w:val="center"/>
        </w:trPr>
        <w:tc>
          <w:tcPr>
            <w:tcW w:w="2949" w:type="dxa"/>
            <w:shd w:val="clear" w:color="auto" w:fill="auto"/>
            <w:noWrap/>
            <w:vAlign w:val="center"/>
            <w:hideMark/>
          </w:tcPr>
          <w:p w14:paraId="732DE009"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Adjusted R2</w:t>
            </w:r>
          </w:p>
        </w:tc>
        <w:tc>
          <w:tcPr>
            <w:tcW w:w="1086" w:type="dxa"/>
            <w:shd w:val="clear" w:color="auto" w:fill="auto"/>
            <w:noWrap/>
            <w:vAlign w:val="center"/>
            <w:hideMark/>
          </w:tcPr>
          <w:p w14:paraId="41F8B86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0.369</w:t>
            </w:r>
          </w:p>
        </w:tc>
        <w:tc>
          <w:tcPr>
            <w:tcW w:w="995" w:type="dxa"/>
            <w:shd w:val="clear" w:color="auto" w:fill="auto"/>
            <w:noWrap/>
            <w:vAlign w:val="center"/>
            <w:hideMark/>
          </w:tcPr>
          <w:p w14:paraId="7DC7EA8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0.106</w:t>
            </w:r>
          </w:p>
        </w:tc>
        <w:tc>
          <w:tcPr>
            <w:tcW w:w="1086" w:type="dxa"/>
            <w:shd w:val="clear" w:color="auto" w:fill="auto"/>
            <w:noWrap/>
            <w:vAlign w:val="center"/>
            <w:hideMark/>
          </w:tcPr>
          <w:p w14:paraId="797C9747"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0.816</w:t>
            </w:r>
          </w:p>
        </w:tc>
        <w:tc>
          <w:tcPr>
            <w:tcW w:w="956" w:type="dxa"/>
            <w:shd w:val="clear" w:color="auto" w:fill="auto"/>
            <w:noWrap/>
            <w:vAlign w:val="center"/>
            <w:hideMark/>
          </w:tcPr>
          <w:p w14:paraId="3BC46A04"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w:t>
            </w:r>
          </w:p>
        </w:tc>
        <w:tc>
          <w:tcPr>
            <w:tcW w:w="218" w:type="dxa"/>
          </w:tcPr>
          <w:p w14:paraId="7923F297"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731E9492"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0.706</w:t>
            </w:r>
          </w:p>
        </w:tc>
        <w:tc>
          <w:tcPr>
            <w:tcW w:w="995" w:type="dxa"/>
            <w:shd w:val="clear" w:color="auto" w:fill="auto"/>
            <w:noWrap/>
            <w:vAlign w:val="center"/>
            <w:hideMark/>
          </w:tcPr>
          <w:p w14:paraId="77369FD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0.145</w:t>
            </w:r>
          </w:p>
        </w:tc>
        <w:tc>
          <w:tcPr>
            <w:tcW w:w="995" w:type="dxa"/>
            <w:shd w:val="clear" w:color="auto" w:fill="auto"/>
            <w:noWrap/>
            <w:vAlign w:val="center"/>
            <w:hideMark/>
          </w:tcPr>
          <w:p w14:paraId="059F169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0.834</w:t>
            </w:r>
          </w:p>
        </w:tc>
        <w:tc>
          <w:tcPr>
            <w:tcW w:w="955" w:type="dxa"/>
            <w:shd w:val="clear" w:color="auto" w:fill="auto"/>
            <w:noWrap/>
            <w:vAlign w:val="center"/>
            <w:hideMark/>
          </w:tcPr>
          <w:p w14:paraId="4332285F"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w:t>
            </w:r>
          </w:p>
        </w:tc>
      </w:tr>
      <w:tr w:rsidR="009A7B5F" w:rsidRPr="003172B0" w14:paraId="4814F771" w14:textId="77777777" w:rsidTr="00EA589B">
        <w:trPr>
          <w:trHeight w:val="71"/>
          <w:jc w:val="center"/>
        </w:trPr>
        <w:tc>
          <w:tcPr>
            <w:tcW w:w="2949" w:type="dxa"/>
            <w:shd w:val="clear" w:color="auto" w:fill="auto"/>
            <w:noWrap/>
            <w:vAlign w:val="center"/>
            <w:hideMark/>
          </w:tcPr>
          <w:p w14:paraId="1B834FD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Root MSE</w:t>
            </w:r>
          </w:p>
        </w:tc>
        <w:tc>
          <w:tcPr>
            <w:tcW w:w="1086" w:type="dxa"/>
            <w:shd w:val="clear" w:color="auto" w:fill="auto"/>
            <w:noWrap/>
            <w:vAlign w:val="center"/>
            <w:hideMark/>
          </w:tcPr>
          <w:p w14:paraId="179ACDC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0.380</w:t>
            </w:r>
          </w:p>
        </w:tc>
        <w:tc>
          <w:tcPr>
            <w:tcW w:w="995" w:type="dxa"/>
            <w:shd w:val="clear" w:color="auto" w:fill="auto"/>
            <w:noWrap/>
            <w:vAlign w:val="center"/>
            <w:hideMark/>
          </w:tcPr>
          <w:p w14:paraId="28D57A54"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0.433</w:t>
            </w:r>
          </w:p>
        </w:tc>
        <w:tc>
          <w:tcPr>
            <w:tcW w:w="1086" w:type="dxa"/>
            <w:shd w:val="clear" w:color="auto" w:fill="auto"/>
            <w:noWrap/>
            <w:vAlign w:val="center"/>
            <w:hideMark/>
          </w:tcPr>
          <w:p w14:paraId="20C2A7F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0.459</w:t>
            </w:r>
          </w:p>
        </w:tc>
        <w:tc>
          <w:tcPr>
            <w:tcW w:w="956" w:type="dxa"/>
            <w:shd w:val="clear" w:color="auto" w:fill="auto"/>
            <w:noWrap/>
            <w:vAlign w:val="center"/>
            <w:hideMark/>
          </w:tcPr>
          <w:p w14:paraId="66B31C40"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w:t>
            </w:r>
          </w:p>
        </w:tc>
        <w:tc>
          <w:tcPr>
            <w:tcW w:w="218" w:type="dxa"/>
          </w:tcPr>
          <w:p w14:paraId="004FBBD0"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0DE4D802"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0.282</w:t>
            </w:r>
          </w:p>
        </w:tc>
        <w:tc>
          <w:tcPr>
            <w:tcW w:w="995" w:type="dxa"/>
            <w:shd w:val="clear" w:color="auto" w:fill="auto"/>
            <w:noWrap/>
            <w:vAlign w:val="center"/>
            <w:hideMark/>
          </w:tcPr>
          <w:p w14:paraId="1F3F761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0.463</w:t>
            </w:r>
          </w:p>
        </w:tc>
        <w:tc>
          <w:tcPr>
            <w:tcW w:w="995" w:type="dxa"/>
            <w:shd w:val="clear" w:color="auto" w:fill="auto"/>
            <w:noWrap/>
            <w:vAlign w:val="center"/>
            <w:hideMark/>
          </w:tcPr>
          <w:p w14:paraId="60A2C68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0.481</w:t>
            </w:r>
          </w:p>
        </w:tc>
        <w:tc>
          <w:tcPr>
            <w:tcW w:w="955" w:type="dxa"/>
            <w:shd w:val="clear" w:color="auto" w:fill="auto"/>
            <w:noWrap/>
            <w:vAlign w:val="center"/>
            <w:hideMark/>
          </w:tcPr>
          <w:p w14:paraId="5FA7EBF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w:t>
            </w:r>
          </w:p>
        </w:tc>
      </w:tr>
      <w:tr w:rsidR="009A7B5F" w:rsidRPr="003172B0" w14:paraId="22469FBF" w14:textId="77777777" w:rsidTr="00EA589B">
        <w:trPr>
          <w:trHeight w:val="71"/>
          <w:jc w:val="center"/>
        </w:trPr>
        <w:tc>
          <w:tcPr>
            <w:tcW w:w="2949" w:type="dxa"/>
            <w:shd w:val="clear" w:color="auto" w:fill="auto"/>
            <w:noWrap/>
            <w:vAlign w:val="center"/>
            <w:hideMark/>
          </w:tcPr>
          <w:p w14:paraId="67657C2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Number of </w:t>
            </w:r>
            <w:proofErr w:type="gramStart"/>
            <w:r w:rsidRPr="003172B0">
              <w:rPr>
                <w:rFonts w:eastAsia="Times New Roman" w:cstheme="majorBidi"/>
                <w:color w:val="000000"/>
                <w:sz w:val="18"/>
                <w:szCs w:val="18"/>
              </w:rPr>
              <w:t>Ins</w:t>
            </w:r>
            <w:proofErr w:type="gramEnd"/>
          </w:p>
        </w:tc>
        <w:tc>
          <w:tcPr>
            <w:tcW w:w="1086" w:type="dxa"/>
            <w:shd w:val="clear" w:color="auto" w:fill="auto"/>
            <w:noWrap/>
            <w:vAlign w:val="center"/>
            <w:hideMark/>
          </w:tcPr>
          <w:p w14:paraId="3B5980D2"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73AFD42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86" w:type="dxa"/>
            <w:shd w:val="clear" w:color="auto" w:fill="auto"/>
            <w:noWrap/>
            <w:vAlign w:val="center"/>
            <w:hideMark/>
          </w:tcPr>
          <w:p w14:paraId="3B6AAA2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56" w:type="dxa"/>
            <w:shd w:val="clear" w:color="auto" w:fill="auto"/>
            <w:noWrap/>
            <w:vAlign w:val="center"/>
            <w:hideMark/>
          </w:tcPr>
          <w:p w14:paraId="060F10E9"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179</w:t>
            </w:r>
          </w:p>
        </w:tc>
        <w:tc>
          <w:tcPr>
            <w:tcW w:w="218" w:type="dxa"/>
          </w:tcPr>
          <w:p w14:paraId="0B087398"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5E47437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6EF5183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4BAF7902"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55" w:type="dxa"/>
            <w:shd w:val="clear" w:color="auto" w:fill="auto"/>
            <w:noWrap/>
            <w:vAlign w:val="center"/>
            <w:hideMark/>
          </w:tcPr>
          <w:p w14:paraId="25C2190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183</w:t>
            </w:r>
          </w:p>
        </w:tc>
      </w:tr>
      <w:tr w:rsidR="009A7B5F" w:rsidRPr="003172B0" w14:paraId="7852137E" w14:textId="77777777" w:rsidTr="00EA589B">
        <w:trPr>
          <w:trHeight w:val="71"/>
          <w:jc w:val="center"/>
        </w:trPr>
        <w:tc>
          <w:tcPr>
            <w:tcW w:w="2949" w:type="dxa"/>
            <w:shd w:val="clear" w:color="auto" w:fill="auto"/>
            <w:noWrap/>
            <w:vAlign w:val="center"/>
            <w:hideMark/>
          </w:tcPr>
          <w:p w14:paraId="0A6B2E71"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Arellano-Bond test for </w:t>
            </w:r>
            <w:proofErr w:type="gramStart"/>
            <w:r w:rsidRPr="003172B0">
              <w:rPr>
                <w:rFonts w:eastAsia="Times New Roman" w:cstheme="majorBidi"/>
                <w:color w:val="000000"/>
                <w:sz w:val="18"/>
                <w:szCs w:val="18"/>
              </w:rPr>
              <w:t>AR(</w:t>
            </w:r>
            <w:proofErr w:type="gramEnd"/>
            <w:r w:rsidRPr="003172B0">
              <w:rPr>
                <w:rFonts w:eastAsia="Times New Roman" w:cstheme="majorBidi"/>
                <w:color w:val="000000"/>
                <w:sz w:val="18"/>
                <w:szCs w:val="18"/>
              </w:rPr>
              <w:t>1)</w:t>
            </w:r>
          </w:p>
        </w:tc>
        <w:tc>
          <w:tcPr>
            <w:tcW w:w="1086" w:type="dxa"/>
            <w:shd w:val="clear" w:color="auto" w:fill="auto"/>
            <w:noWrap/>
            <w:vAlign w:val="center"/>
            <w:hideMark/>
          </w:tcPr>
          <w:p w14:paraId="4CE1668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7E278C87" w14:textId="77777777" w:rsidR="009A7B5F" w:rsidRPr="003172B0" w:rsidRDefault="009A7B5F" w:rsidP="009F5DF5">
            <w:pPr>
              <w:spacing w:after="0" w:line="240" w:lineRule="auto"/>
              <w:ind w:firstLine="0"/>
              <w:jc w:val="left"/>
              <w:rPr>
                <w:rFonts w:eastAsia="Times New Roman" w:cstheme="majorBidi"/>
                <w:sz w:val="18"/>
                <w:szCs w:val="18"/>
              </w:rPr>
            </w:pPr>
          </w:p>
        </w:tc>
        <w:tc>
          <w:tcPr>
            <w:tcW w:w="1086" w:type="dxa"/>
            <w:shd w:val="clear" w:color="auto" w:fill="auto"/>
            <w:noWrap/>
            <w:vAlign w:val="center"/>
            <w:hideMark/>
          </w:tcPr>
          <w:p w14:paraId="4E47136C" w14:textId="77777777" w:rsidR="009A7B5F" w:rsidRPr="003172B0" w:rsidRDefault="009A7B5F" w:rsidP="009F5DF5">
            <w:pPr>
              <w:spacing w:after="0" w:line="240" w:lineRule="auto"/>
              <w:ind w:firstLine="0"/>
              <w:jc w:val="left"/>
              <w:rPr>
                <w:rFonts w:eastAsia="Times New Roman" w:cstheme="majorBidi"/>
                <w:sz w:val="18"/>
                <w:szCs w:val="18"/>
              </w:rPr>
            </w:pPr>
          </w:p>
        </w:tc>
        <w:tc>
          <w:tcPr>
            <w:tcW w:w="956" w:type="dxa"/>
            <w:shd w:val="clear" w:color="auto" w:fill="auto"/>
            <w:noWrap/>
            <w:vAlign w:val="center"/>
            <w:hideMark/>
          </w:tcPr>
          <w:p w14:paraId="17C1042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218" w:type="dxa"/>
          </w:tcPr>
          <w:p w14:paraId="62C937E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5C72ED7D"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400DBA50" w14:textId="77777777" w:rsidR="009A7B5F" w:rsidRPr="003172B0" w:rsidRDefault="009A7B5F" w:rsidP="009F5DF5">
            <w:pPr>
              <w:spacing w:after="0" w:line="240" w:lineRule="auto"/>
              <w:ind w:firstLine="0"/>
              <w:jc w:val="left"/>
              <w:rPr>
                <w:rFonts w:eastAsia="Times New Roman" w:cstheme="majorBidi"/>
                <w:sz w:val="18"/>
                <w:szCs w:val="18"/>
              </w:rPr>
            </w:pPr>
          </w:p>
        </w:tc>
        <w:tc>
          <w:tcPr>
            <w:tcW w:w="995" w:type="dxa"/>
            <w:shd w:val="clear" w:color="auto" w:fill="auto"/>
            <w:noWrap/>
            <w:vAlign w:val="center"/>
            <w:hideMark/>
          </w:tcPr>
          <w:p w14:paraId="69B16A19" w14:textId="77777777" w:rsidR="009A7B5F" w:rsidRPr="003172B0" w:rsidRDefault="009A7B5F" w:rsidP="009F5DF5">
            <w:pPr>
              <w:spacing w:after="0" w:line="240" w:lineRule="auto"/>
              <w:ind w:firstLine="0"/>
              <w:jc w:val="left"/>
              <w:rPr>
                <w:rFonts w:eastAsia="Times New Roman" w:cstheme="majorBidi"/>
                <w:sz w:val="18"/>
                <w:szCs w:val="18"/>
              </w:rPr>
            </w:pPr>
          </w:p>
        </w:tc>
        <w:tc>
          <w:tcPr>
            <w:tcW w:w="955" w:type="dxa"/>
            <w:shd w:val="clear" w:color="auto" w:fill="auto"/>
            <w:noWrap/>
            <w:vAlign w:val="center"/>
            <w:hideMark/>
          </w:tcPr>
          <w:p w14:paraId="5640358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r>
      <w:tr w:rsidR="009A7B5F" w:rsidRPr="003172B0" w14:paraId="06C600E3" w14:textId="77777777" w:rsidTr="00EA589B">
        <w:trPr>
          <w:trHeight w:val="71"/>
          <w:jc w:val="center"/>
        </w:trPr>
        <w:tc>
          <w:tcPr>
            <w:tcW w:w="2949" w:type="dxa"/>
            <w:shd w:val="clear" w:color="auto" w:fill="auto"/>
            <w:noWrap/>
            <w:vAlign w:val="center"/>
            <w:hideMark/>
          </w:tcPr>
          <w:p w14:paraId="7FC2C35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Arellano-Bond test for </w:t>
            </w:r>
            <w:proofErr w:type="gramStart"/>
            <w:r w:rsidRPr="003172B0">
              <w:rPr>
                <w:rFonts w:eastAsia="Times New Roman" w:cstheme="majorBidi"/>
                <w:color w:val="000000"/>
                <w:sz w:val="18"/>
                <w:szCs w:val="18"/>
              </w:rPr>
              <w:t>AR(</w:t>
            </w:r>
            <w:proofErr w:type="gramEnd"/>
            <w:r w:rsidRPr="003172B0">
              <w:rPr>
                <w:rFonts w:eastAsia="Times New Roman" w:cstheme="majorBidi"/>
                <w:color w:val="000000"/>
                <w:sz w:val="18"/>
                <w:szCs w:val="18"/>
              </w:rPr>
              <w:t>2)</w:t>
            </w:r>
          </w:p>
        </w:tc>
        <w:tc>
          <w:tcPr>
            <w:tcW w:w="1086" w:type="dxa"/>
            <w:shd w:val="clear" w:color="auto" w:fill="auto"/>
            <w:noWrap/>
            <w:vAlign w:val="center"/>
            <w:hideMark/>
          </w:tcPr>
          <w:p w14:paraId="6DCD5A30"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7A09E56F" w14:textId="77777777" w:rsidR="009A7B5F" w:rsidRPr="003172B0" w:rsidRDefault="009A7B5F" w:rsidP="009F5DF5">
            <w:pPr>
              <w:spacing w:after="0" w:line="240" w:lineRule="auto"/>
              <w:ind w:firstLine="0"/>
              <w:jc w:val="left"/>
              <w:rPr>
                <w:rFonts w:eastAsia="Times New Roman" w:cstheme="majorBidi"/>
                <w:sz w:val="18"/>
                <w:szCs w:val="18"/>
              </w:rPr>
            </w:pPr>
          </w:p>
        </w:tc>
        <w:tc>
          <w:tcPr>
            <w:tcW w:w="1086" w:type="dxa"/>
            <w:shd w:val="clear" w:color="auto" w:fill="auto"/>
            <w:noWrap/>
            <w:vAlign w:val="center"/>
            <w:hideMark/>
          </w:tcPr>
          <w:p w14:paraId="68B3D938" w14:textId="77777777" w:rsidR="009A7B5F" w:rsidRPr="003172B0" w:rsidRDefault="009A7B5F" w:rsidP="009F5DF5">
            <w:pPr>
              <w:spacing w:after="0" w:line="240" w:lineRule="auto"/>
              <w:ind w:firstLine="0"/>
              <w:jc w:val="left"/>
              <w:rPr>
                <w:rFonts w:eastAsia="Times New Roman" w:cstheme="majorBidi"/>
                <w:sz w:val="18"/>
                <w:szCs w:val="18"/>
              </w:rPr>
            </w:pPr>
          </w:p>
        </w:tc>
        <w:tc>
          <w:tcPr>
            <w:tcW w:w="956" w:type="dxa"/>
            <w:shd w:val="clear" w:color="auto" w:fill="auto"/>
            <w:noWrap/>
            <w:vAlign w:val="center"/>
            <w:hideMark/>
          </w:tcPr>
          <w:p w14:paraId="56A129F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0.504</w:t>
            </w:r>
          </w:p>
        </w:tc>
        <w:tc>
          <w:tcPr>
            <w:tcW w:w="218" w:type="dxa"/>
          </w:tcPr>
          <w:p w14:paraId="7FD39C6D"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74250E8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4CAB913C" w14:textId="77777777" w:rsidR="009A7B5F" w:rsidRPr="003172B0" w:rsidRDefault="009A7B5F" w:rsidP="009F5DF5">
            <w:pPr>
              <w:spacing w:after="0" w:line="240" w:lineRule="auto"/>
              <w:ind w:firstLine="0"/>
              <w:jc w:val="left"/>
              <w:rPr>
                <w:rFonts w:eastAsia="Times New Roman" w:cstheme="majorBidi"/>
                <w:sz w:val="18"/>
                <w:szCs w:val="18"/>
              </w:rPr>
            </w:pPr>
          </w:p>
        </w:tc>
        <w:tc>
          <w:tcPr>
            <w:tcW w:w="995" w:type="dxa"/>
            <w:shd w:val="clear" w:color="auto" w:fill="auto"/>
            <w:noWrap/>
            <w:vAlign w:val="center"/>
            <w:hideMark/>
          </w:tcPr>
          <w:p w14:paraId="6CEF8130" w14:textId="77777777" w:rsidR="009A7B5F" w:rsidRPr="003172B0" w:rsidRDefault="009A7B5F" w:rsidP="009F5DF5">
            <w:pPr>
              <w:spacing w:after="0" w:line="240" w:lineRule="auto"/>
              <w:ind w:firstLine="0"/>
              <w:jc w:val="left"/>
              <w:rPr>
                <w:rFonts w:eastAsia="Times New Roman" w:cstheme="majorBidi"/>
                <w:sz w:val="18"/>
                <w:szCs w:val="18"/>
              </w:rPr>
            </w:pPr>
          </w:p>
        </w:tc>
        <w:tc>
          <w:tcPr>
            <w:tcW w:w="955" w:type="dxa"/>
            <w:shd w:val="clear" w:color="auto" w:fill="auto"/>
            <w:noWrap/>
            <w:vAlign w:val="center"/>
            <w:hideMark/>
          </w:tcPr>
          <w:p w14:paraId="3B3BF8D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0.928</w:t>
            </w:r>
          </w:p>
        </w:tc>
      </w:tr>
      <w:tr w:rsidR="009A7B5F" w:rsidRPr="003172B0" w14:paraId="02A09A56" w14:textId="77777777" w:rsidTr="00EA589B">
        <w:trPr>
          <w:trHeight w:val="71"/>
          <w:jc w:val="center"/>
        </w:trPr>
        <w:tc>
          <w:tcPr>
            <w:tcW w:w="2949" w:type="dxa"/>
            <w:shd w:val="clear" w:color="auto" w:fill="auto"/>
            <w:noWrap/>
            <w:vAlign w:val="center"/>
            <w:hideMark/>
          </w:tcPr>
          <w:p w14:paraId="751CC174"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Hansen test of over-identification</w:t>
            </w:r>
          </w:p>
        </w:tc>
        <w:tc>
          <w:tcPr>
            <w:tcW w:w="1086" w:type="dxa"/>
            <w:shd w:val="clear" w:color="auto" w:fill="auto"/>
            <w:noWrap/>
            <w:vAlign w:val="center"/>
            <w:hideMark/>
          </w:tcPr>
          <w:p w14:paraId="6B3679CC"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23EB6E4A" w14:textId="77777777" w:rsidR="009A7B5F" w:rsidRPr="003172B0" w:rsidRDefault="009A7B5F" w:rsidP="009F5DF5">
            <w:pPr>
              <w:spacing w:after="0" w:line="240" w:lineRule="auto"/>
              <w:ind w:firstLine="0"/>
              <w:jc w:val="left"/>
              <w:rPr>
                <w:rFonts w:eastAsia="Times New Roman" w:cstheme="majorBidi"/>
                <w:sz w:val="18"/>
                <w:szCs w:val="18"/>
              </w:rPr>
            </w:pPr>
          </w:p>
        </w:tc>
        <w:tc>
          <w:tcPr>
            <w:tcW w:w="1086" w:type="dxa"/>
            <w:shd w:val="clear" w:color="auto" w:fill="auto"/>
            <w:noWrap/>
            <w:vAlign w:val="center"/>
            <w:hideMark/>
          </w:tcPr>
          <w:p w14:paraId="19F2C502" w14:textId="77777777" w:rsidR="009A7B5F" w:rsidRPr="003172B0" w:rsidRDefault="009A7B5F" w:rsidP="009F5DF5">
            <w:pPr>
              <w:spacing w:after="0" w:line="240" w:lineRule="auto"/>
              <w:ind w:firstLine="0"/>
              <w:jc w:val="left"/>
              <w:rPr>
                <w:rFonts w:eastAsia="Times New Roman" w:cstheme="majorBidi"/>
                <w:sz w:val="18"/>
                <w:szCs w:val="18"/>
              </w:rPr>
            </w:pPr>
          </w:p>
        </w:tc>
        <w:tc>
          <w:tcPr>
            <w:tcW w:w="956" w:type="dxa"/>
            <w:shd w:val="clear" w:color="auto" w:fill="auto"/>
            <w:noWrap/>
            <w:vAlign w:val="center"/>
            <w:hideMark/>
          </w:tcPr>
          <w:p w14:paraId="117C9314"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0.616</w:t>
            </w:r>
          </w:p>
        </w:tc>
        <w:tc>
          <w:tcPr>
            <w:tcW w:w="218" w:type="dxa"/>
          </w:tcPr>
          <w:p w14:paraId="7323265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268249F8"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6F5C86D5" w14:textId="77777777" w:rsidR="009A7B5F" w:rsidRPr="003172B0" w:rsidRDefault="009A7B5F" w:rsidP="009F5DF5">
            <w:pPr>
              <w:spacing w:after="0" w:line="240" w:lineRule="auto"/>
              <w:ind w:firstLine="0"/>
              <w:jc w:val="left"/>
              <w:rPr>
                <w:rFonts w:eastAsia="Times New Roman" w:cstheme="majorBidi"/>
                <w:sz w:val="18"/>
                <w:szCs w:val="18"/>
              </w:rPr>
            </w:pPr>
          </w:p>
        </w:tc>
        <w:tc>
          <w:tcPr>
            <w:tcW w:w="995" w:type="dxa"/>
            <w:shd w:val="clear" w:color="auto" w:fill="auto"/>
            <w:noWrap/>
            <w:vAlign w:val="center"/>
            <w:hideMark/>
          </w:tcPr>
          <w:p w14:paraId="4BAD8E1E" w14:textId="77777777" w:rsidR="009A7B5F" w:rsidRPr="003172B0" w:rsidRDefault="009A7B5F" w:rsidP="009F5DF5">
            <w:pPr>
              <w:spacing w:after="0" w:line="240" w:lineRule="auto"/>
              <w:ind w:firstLine="0"/>
              <w:jc w:val="left"/>
              <w:rPr>
                <w:rFonts w:eastAsia="Times New Roman" w:cstheme="majorBidi"/>
                <w:sz w:val="18"/>
                <w:szCs w:val="18"/>
              </w:rPr>
            </w:pPr>
          </w:p>
        </w:tc>
        <w:tc>
          <w:tcPr>
            <w:tcW w:w="955" w:type="dxa"/>
            <w:shd w:val="clear" w:color="auto" w:fill="auto"/>
            <w:noWrap/>
            <w:vAlign w:val="center"/>
            <w:hideMark/>
          </w:tcPr>
          <w:p w14:paraId="5C31EEB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0.380</w:t>
            </w:r>
          </w:p>
        </w:tc>
      </w:tr>
      <w:tr w:rsidR="009A7B5F" w:rsidRPr="003172B0" w14:paraId="6CAA8433" w14:textId="77777777" w:rsidTr="00EA589B">
        <w:trPr>
          <w:trHeight w:val="71"/>
          <w:jc w:val="center"/>
        </w:trPr>
        <w:tc>
          <w:tcPr>
            <w:tcW w:w="2949" w:type="dxa"/>
            <w:shd w:val="clear" w:color="auto" w:fill="auto"/>
            <w:noWrap/>
            <w:vAlign w:val="center"/>
            <w:hideMark/>
          </w:tcPr>
          <w:p w14:paraId="664D8844"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Difference-in-Hansen tests of exogeneity</w:t>
            </w:r>
          </w:p>
        </w:tc>
        <w:tc>
          <w:tcPr>
            <w:tcW w:w="1086" w:type="dxa"/>
            <w:shd w:val="clear" w:color="auto" w:fill="auto"/>
            <w:noWrap/>
            <w:vAlign w:val="center"/>
            <w:hideMark/>
          </w:tcPr>
          <w:p w14:paraId="47718D4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6A465900" w14:textId="77777777" w:rsidR="009A7B5F" w:rsidRPr="003172B0" w:rsidRDefault="009A7B5F" w:rsidP="009F5DF5">
            <w:pPr>
              <w:spacing w:after="0" w:line="240" w:lineRule="auto"/>
              <w:ind w:firstLine="0"/>
              <w:jc w:val="left"/>
              <w:rPr>
                <w:rFonts w:eastAsia="Times New Roman" w:cstheme="majorBidi"/>
                <w:sz w:val="18"/>
                <w:szCs w:val="18"/>
              </w:rPr>
            </w:pPr>
          </w:p>
        </w:tc>
        <w:tc>
          <w:tcPr>
            <w:tcW w:w="1086" w:type="dxa"/>
            <w:shd w:val="clear" w:color="auto" w:fill="auto"/>
            <w:noWrap/>
            <w:vAlign w:val="center"/>
            <w:hideMark/>
          </w:tcPr>
          <w:p w14:paraId="27D13E47" w14:textId="77777777" w:rsidR="009A7B5F" w:rsidRPr="003172B0" w:rsidRDefault="009A7B5F" w:rsidP="009F5DF5">
            <w:pPr>
              <w:spacing w:after="0" w:line="240" w:lineRule="auto"/>
              <w:ind w:firstLine="0"/>
              <w:jc w:val="left"/>
              <w:rPr>
                <w:rFonts w:eastAsia="Times New Roman" w:cstheme="majorBidi"/>
                <w:sz w:val="18"/>
                <w:szCs w:val="18"/>
              </w:rPr>
            </w:pPr>
          </w:p>
        </w:tc>
        <w:tc>
          <w:tcPr>
            <w:tcW w:w="956" w:type="dxa"/>
            <w:shd w:val="clear" w:color="auto" w:fill="auto"/>
            <w:noWrap/>
            <w:vAlign w:val="center"/>
            <w:hideMark/>
          </w:tcPr>
          <w:p w14:paraId="214EE52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0.710</w:t>
            </w:r>
          </w:p>
        </w:tc>
        <w:tc>
          <w:tcPr>
            <w:tcW w:w="218" w:type="dxa"/>
          </w:tcPr>
          <w:p w14:paraId="6AB94428"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6078A791"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5" w:type="dxa"/>
            <w:shd w:val="clear" w:color="auto" w:fill="auto"/>
            <w:noWrap/>
            <w:vAlign w:val="center"/>
            <w:hideMark/>
          </w:tcPr>
          <w:p w14:paraId="0FC15B3E" w14:textId="77777777" w:rsidR="009A7B5F" w:rsidRPr="003172B0" w:rsidRDefault="009A7B5F" w:rsidP="009F5DF5">
            <w:pPr>
              <w:spacing w:after="0" w:line="240" w:lineRule="auto"/>
              <w:ind w:firstLine="0"/>
              <w:jc w:val="left"/>
              <w:rPr>
                <w:rFonts w:eastAsia="Times New Roman" w:cstheme="majorBidi"/>
                <w:sz w:val="18"/>
                <w:szCs w:val="18"/>
              </w:rPr>
            </w:pPr>
          </w:p>
        </w:tc>
        <w:tc>
          <w:tcPr>
            <w:tcW w:w="995" w:type="dxa"/>
            <w:shd w:val="clear" w:color="auto" w:fill="auto"/>
            <w:noWrap/>
            <w:vAlign w:val="center"/>
            <w:hideMark/>
          </w:tcPr>
          <w:p w14:paraId="07D60CC7" w14:textId="77777777" w:rsidR="009A7B5F" w:rsidRPr="003172B0" w:rsidRDefault="009A7B5F" w:rsidP="009F5DF5">
            <w:pPr>
              <w:spacing w:after="0" w:line="240" w:lineRule="auto"/>
              <w:ind w:firstLine="0"/>
              <w:jc w:val="left"/>
              <w:rPr>
                <w:rFonts w:eastAsia="Times New Roman" w:cstheme="majorBidi"/>
                <w:sz w:val="18"/>
                <w:szCs w:val="18"/>
              </w:rPr>
            </w:pPr>
          </w:p>
        </w:tc>
        <w:tc>
          <w:tcPr>
            <w:tcW w:w="955" w:type="dxa"/>
            <w:shd w:val="clear" w:color="auto" w:fill="auto"/>
            <w:noWrap/>
            <w:vAlign w:val="center"/>
            <w:hideMark/>
          </w:tcPr>
          <w:p w14:paraId="39B4EB0F"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0.551</w:t>
            </w:r>
          </w:p>
        </w:tc>
      </w:tr>
    </w:tbl>
    <w:p w14:paraId="649E8BFD" w14:textId="77777777" w:rsidR="009A7B5F" w:rsidRDefault="009A7B5F" w:rsidP="009A7B5F">
      <w:pPr>
        <w:ind w:firstLine="0"/>
        <w:rPr>
          <w:highlight w:val="yellow"/>
        </w:rPr>
      </w:pPr>
    </w:p>
    <w:p w14:paraId="6208AD52" w14:textId="77777777" w:rsidR="009A7B5F" w:rsidRPr="00146CD4" w:rsidRDefault="009A7B5F" w:rsidP="00146CD4">
      <w:pPr>
        <w:tabs>
          <w:tab w:val="left" w:pos="567"/>
        </w:tabs>
        <w:spacing w:line="240" w:lineRule="auto"/>
        <w:ind w:firstLine="0"/>
        <w:jc w:val="left"/>
        <w:rPr>
          <w:rFonts w:ascii="Times New Roman" w:eastAsiaTheme="minorHAnsi" w:hAnsi="Times New Roman" w:cs="Times New Roman"/>
          <w:b/>
          <w:bCs/>
          <w:sz w:val="22"/>
          <w:lang w:eastAsia="en-US"/>
        </w:rPr>
      </w:pPr>
      <w:r w:rsidRPr="00146CD4">
        <w:rPr>
          <w:rFonts w:ascii="Times New Roman" w:eastAsiaTheme="minorHAnsi" w:hAnsi="Times New Roman" w:cs="Times New Roman"/>
          <w:b/>
          <w:bCs/>
          <w:sz w:val="22"/>
          <w:lang w:eastAsia="en-US"/>
        </w:rPr>
        <w:t xml:space="preserve">Panel C:  Pay equity and employee productivity </w:t>
      </w:r>
    </w:p>
    <w:tbl>
      <w:tblPr>
        <w:tblW w:w="11209" w:type="dxa"/>
        <w:jc w:val="center"/>
        <w:tblLook w:val="04A0" w:firstRow="1" w:lastRow="0" w:firstColumn="1" w:lastColumn="0" w:noHBand="0" w:noVBand="1"/>
      </w:tblPr>
      <w:tblGrid>
        <w:gridCol w:w="2751"/>
        <w:gridCol w:w="1062"/>
        <w:gridCol w:w="1062"/>
        <w:gridCol w:w="975"/>
        <w:gridCol w:w="975"/>
        <w:gridCol w:w="223"/>
        <w:gridCol w:w="1062"/>
        <w:gridCol w:w="1062"/>
        <w:gridCol w:w="1062"/>
        <w:gridCol w:w="975"/>
      </w:tblGrid>
      <w:tr w:rsidR="009A7B5F" w:rsidRPr="003172B0" w14:paraId="453912DD" w14:textId="77777777" w:rsidTr="00EA589B">
        <w:trPr>
          <w:trHeight w:val="151"/>
          <w:jc w:val="center"/>
        </w:trPr>
        <w:tc>
          <w:tcPr>
            <w:tcW w:w="2751" w:type="dxa"/>
            <w:tcBorders>
              <w:bottom w:val="single" w:sz="2" w:space="0" w:color="auto"/>
            </w:tcBorders>
            <w:shd w:val="clear" w:color="auto" w:fill="auto"/>
            <w:noWrap/>
            <w:vAlign w:val="center"/>
          </w:tcPr>
          <w:p w14:paraId="01EE0D1E" w14:textId="77777777" w:rsidR="009A7B5F" w:rsidRPr="003172B0" w:rsidRDefault="009A7B5F" w:rsidP="009F5DF5">
            <w:pPr>
              <w:spacing w:after="0" w:line="240" w:lineRule="auto"/>
              <w:ind w:firstLine="0"/>
              <w:jc w:val="left"/>
              <w:rPr>
                <w:rFonts w:eastAsia="Times New Roman" w:cstheme="majorBidi"/>
                <w:sz w:val="18"/>
                <w:szCs w:val="18"/>
              </w:rPr>
            </w:pPr>
          </w:p>
        </w:tc>
        <w:tc>
          <w:tcPr>
            <w:tcW w:w="1062" w:type="dxa"/>
            <w:tcBorders>
              <w:top w:val="single" w:sz="2" w:space="0" w:color="auto"/>
              <w:bottom w:val="single" w:sz="2" w:space="0" w:color="auto"/>
            </w:tcBorders>
            <w:shd w:val="clear" w:color="auto" w:fill="auto"/>
            <w:noWrap/>
            <w:vAlign w:val="center"/>
          </w:tcPr>
          <w:p w14:paraId="2479E1B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FFE</w:t>
            </w:r>
          </w:p>
        </w:tc>
        <w:tc>
          <w:tcPr>
            <w:tcW w:w="1062" w:type="dxa"/>
            <w:tcBorders>
              <w:top w:val="single" w:sz="2" w:space="0" w:color="auto"/>
              <w:bottom w:val="single" w:sz="2" w:space="0" w:color="auto"/>
            </w:tcBorders>
            <w:shd w:val="clear" w:color="auto" w:fill="auto"/>
            <w:noWrap/>
            <w:vAlign w:val="center"/>
          </w:tcPr>
          <w:p w14:paraId="72D4C43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Delta</w:t>
            </w:r>
          </w:p>
        </w:tc>
        <w:tc>
          <w:tcPr>
            <w:tcW w:w="975" w:type="dxa"/>
            <w:tcBorders>
              <w:top w:val="single" w:sz="2" w:space="0" w:color="auto"/>
              <w:bottom w:val="single" w:sz="2" w:space="0" w:color="auto"/>
            </w:tcBorders>
            <w:shd w:val="clear" w:color="auto" w:fill="auto"/>
            <w:noWrap/>
            <w:vAlign w:val="center"/>
          </w:tcPr>
          <w:p w14:paraId="6778F65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Dynamic</w:t>
            </w:r>
          </w:p>
        </w:tc>
        <w:tc>
          <w:tcPr>
            <w:tcW w:w="975" w:type="dxa"/>
            <w:tcBorders>
              <w:top w:val="single" w:sz="2" w:space="0" w:color="auto"/>
              <w:bottom w:val="single" w:sz="2" w:space="0" w:color="auto"/>
            </w:tcBorders>
            <w:shd w:val="clear" w:color="auto" w:fill="auto"/>
            <w:noWrap/>
            <w:vAlign w:val="center"/>
          </w:tcPr>
          <w:p w14:paraId="268FE2B1"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SGMM</w:t>
            </w:r>
          </w:p>
        </w:tc>
        <w:tc>
          <w:tcPr>
            <w:tcW w:w="223" w:type="dxa"/>
            <w:vAlign w:val="center"/>
          </w:tcPr>
          <w:p w14:paraId="78F86DC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tcBorders>
              <w:top w:val="single" w:sz="2" w:space="0" w:color="auto"/>
              <w:bottom w:val="single" w:sz="2" w:space="0" w:color="auto"/>
            </w:tcBorders>
            <w:shd w:val="clear" w:color="auto" w:fill="auto"/>
            <w:noWrap/>
            <w:vAlign w:val="center"/>
          </w:tcPr>
          <w:p w14:paraId="6D983E1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FFE</w:t>
            </w:r>
          </w:p>
        </w:tc>
        <w:tc>
          <w:tcPr>
            <w:tcW w:w="1062" w:type="dxa"/>
            <w:tcBorders>
              <w:top w:val="single" w:sz="2" w:space="0" w:color="auto"/>
              <w:bottom w:val="single" w:sz="2" w:space="0" w:color="auto"/>
            </w:tcBorders>
            <w:shd w:val="clear" w:color="auto" w:fill="auto"/>
            <w:noWrap/>
            <w:vAlign w:val="center"/>
          </w:tcPr>
          <w:p w14:paraId="0492C742"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Delta</w:t>
            </w:r>
          </w:p>
        </w:tc>
        <w:tc>
          <w:tcPr>
            <w:tcW w:w="1062" w:type="dxa"/>
            <w:tcBorders>
              <w:top w:val="single" w:sz="2" w:space="0" w:color="auto"/>
              <w:bottom w:val="single" w:sz="2" w:space="0" w:color="auto"/>
            </w:tcBorders>
            <w:shd w:val="clear" w:color="auto" w:fill="auto"/>
            <w:noWrap/>
            <w:vAlign w:val="center"/>
          </w:tcPr>
          <w:p w14:paraId="0DF2ECC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Dynamic</w:t>
            </w:r>
          </w:p>
        </w:tc>
        <w:tc>
          <w:tcPr>
            <w:tcW w:w="975" w:type="dxa"/>
            <w:tcBorders>
              <w:top w:val="single" w:sz="2" w:space="0" w:color="auto"/>
              <w:bottom w:val="single" w:sz="2" w:space="0" w:color="auto"/>
            </w:tcBorders>
            <w:shd w:val="clear" w:color="auto" w:fill="auto"/>
            <w:noWrap/>
            <w:vAlign w:val="center"/>
          </w:tcPr>
          <w:p w14:paraId="3B72FBF7"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SGMM</w:t>
            </w:r>
          </w:p>
        </w:tc>
      </w:tr>
      <w:tr w:rsidR="009A7B5F" w:rsidRPr="003172B0" w14:paraId="7C5D72FD" w14:textId="77777777" w:rsidTr="00EA589B">
        <w:trPr>
          <w:trHeight w:val="151"/>
          <w:jc w:val="center"/>
        </w:trPr>
        <w:tc>
          <w:tcPr>
            <w:tcW w:w="2751" w:type="dxa"/>
            <w:shd w:val="clear" w:color="auto" w:fill="auto"/>
            <w:noWrap/>
            <w:vAlign w:val="center"/>
            <w:hideMark/>
          </w:tcPr>
          <w:p w14:paraId="399583D9" w14:textId="77777777" w:rsidR="009A7B5F" w:rsidRPr="003172B0" w:rsidRDefault="009A7B5F" w:rsidP="009F5DF5">
            <w:pPr>
              <w:spacing w:after="0"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Lag.TFP</w:t>
            </w:r>
            <w:proofErr w:type="spellEnd"/>
          </w:p>
        </w:tc>
        <w:tc>
          <w:tcPr>
            <w:tcW w:w="1062" w:type="dxa"/>
            <w:shd w:val="clear" w:color="auto" w:fill="auto"/>
            <w:noWrap/>
            <w:vAlign w:val="center"/>
          </w:tcPr>
          <w:p w14:paraId="37EFF453"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0B7CDB7D"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4FFCFAE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0.760***</w:t>
            </w:r>
          </w:p>
        </w:tc>
        <w:tc>
          <w:tcPr>
            <w:tcW w:w="975" w:type="dxa"/>
            <w:shd w:val="clear" w:color="auto" w:fill="auto"/>
            <w:noWrap/>
            <w:vAlign w:val="center"/>
            <w:hideMark/>
          </w:tcPr>
          <w:p w14:paraId="3731C450"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0.727***</w:t>
            </w:r>
          </w:p>
        </w:tc>
        <w:tc>
          <w:tcPr>
            <w:tcW w:w="223" w:type="dxa"/>
            <w:vAlign w:val="center"/>
          </w:tcPr>
          <w:p w14:paraId="0B44EF7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6EA400EC"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24C4434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18553FF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tcPr>
          <w:p w14:paraId="19841D1C"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r>
      <w:tr w:rsidR="009A7B5F" w:rsidRPr="003172B0" w14:paraId="7261C9CE" w14:textId="77777777" w:rsidTr="00EA589B">
        <w:trPr>
          <w:trHeight w:val="151"/>
          <w:jc w:val="center"/>
        </w:trPr>
        <w:tc>
          <w:tcPr>
            <w:tcW w:w="2751" w:type="dxa"/>
            <w:shd w:val="clear" w:color="auto" w:fill="auto"/>
            <w:noWrap/>
            <w:vAlign w:val="center"/>
            <w:hideMark/>
          </w:tcPr>
          <w:p w14:paraId="2811607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3DAEF8D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7C8E409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7851399F"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975" w:type="dxa"/>
            <w:shd w:val="clear" w:color="auto" w:fill="auto"/>
            <w:noWrap/>
            <w:vAlign w:val="center"/>
            <w:hideMark/>
          </w:tcPr>
          <w:p w14:paraId="5F1C755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223" w:type="dxa"/>
            <w:vAlign w:val="center"/>
          </w:tcPr>
          <w:p w14:paraId="61CE1F5C"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3B95F253"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027E3532"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3ECB66E0"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tcPr>
          <w:p w14:paraId="1C36838F"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r>
      <w:tr w:rsidR="009A7B5F" w:rsidRPr="003172B0" w14:paraId="5D306682" w14:textId="77777777" w:rsidTr="00EA589B">
        <w:trPr>
          <w:trHeight w:val="151"/>
          <w:jc w:val="center"/>
        </w:trPr>
        <w:tc>
          <w:tcPr>
            <w:tcW w:w="2751" w:type="dxa"/>
            <w:shd w:val="clear" w:color="auto" w:fill="auto"/>
            <w:noWrap/>
            <w:vAlign w:val="center"/>
            <w:hideMark/>
          </w:tcPr>
          <w:p w14:paraId="2C87E144" w14:textId="77777777" w:rsidR="009A7B5F" w:rsidRPr="003172B0" w:rsidRDefault="009A7B5F" w:rsidP="009F5DF5">
            <w:pPr>
              <w:spacing w:after="0"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Lag.SLE</w:t>
            </w:r>
            <w:proofErr w:type="spellEnd"/>
          </w:p>
        </w:tc>
        <w:tc>
          <w:tcPr>
            <w:tcW w:w="1062" w:type="dxa"/>
            <w:shd w:val="clear" w:color="auto" w:fill="auto"/>
            <w:noWrap/>
            <w:vAlign w:val="center"/>
          </w:tcPr>
          <w:p w14:paraId="73D9CA3D"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05306C8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tcPr>
          <w:p w14:paraId="2DBFBC3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tcPr>
          <w:p w14:paraId="2FA4C05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223" w:type="dxa"/>
            <w:vAlign w:val="center"/>
          </w:tcPr>
          <w:p w14:paraId="5E74413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2CF7CDB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399C291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36E247D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0.664***</w:t>
            </w:r>
          </w:p>
        </w:tc>
        <w:tc>
          <w:tcPr>
            <w:tcW w:w="975" w:type="dxa"/>
            <w:shd w:val="clear" w:color="auto" w:fill="auto"/>
            <w:noWrap/>
            <w:vAlign w:val="center"/>
            <w:hideMark/>
          </w:tcPr>
          <w:p w14:paraId="21EB5BE0"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0.592***</w:t>
            </w:r>
          </w:p>
        </w:tc>
      </w:tr>
      <w:tr w:rsidR="009A7B5F" w:rsidRPr="003172B0" w14:paraId="4DEF1AC4" w14:textId="77777777" w:rsidTr="00EA589B">
        <w:trPr>
          <w:trHeight w:val="151"/>
          <w:jc w:val="center"/>
        </w:trPr>
        <w:tc>
          <w:tcPr>
            <w:tcW w:w="2751" w:type="dxa"/>
            <w:shd w:val="clear" w:color="auto" w:fill="auto"/>
            <w:noWrap/>
            <w:vAlign w:val="center"/>
            <w:hideMark/>
          </w:tcPr>
          <w:p w14:paraId="24D963A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42D153D0"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73893158"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tcPr>
          <w:p w14:paraId="7136F48D"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tcPr>
          <w:p w14:paraId="6450C187"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223" w:type="dxa"/>
            <w:vAlign w:val="center"/>
          </w:tcPr>
          <w:p w14:paraId="091D3F13"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42096603"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7D9B5E13"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C74E8B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975" w:type="dxa"/>
            <w:shd w:val="clear" w:color="auto" w:fill="auto"/>
            <w:noWrap/>
            <w:vAlign w:val="center"/>
            <w:hideMark/>
          </w:tcPr>
          <w:p w14:paraId="3C10072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r>
      <w:tr w:rsidR="009A7B5F" w:rsidRPr="003172B0" w14:paraId="4FA85AEC" w14:textId="77777777" w:rsidTr="00EA589B">
        <w:trPr>
          <w:trHeight w:val="151"/>
          <w:jc w:val="center"/>
        </w:trPr>
        <w:tc>
          <w:tcPr>
            <w:tcW w:w="2751" w:type="dxa"/>
            <w:shd w:val="clear" w:color="auto" w:fill="auto"/>
            <w:noWrap/>
            <w:vAlign w:val="center"/>
            <w:hideMark/>
          </w:tcPr>
          <w:p w14:paraId="68E2A280"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Pay equity</w:t>
            </w:r>
          </w:p>
        </w:tc>
        <w:tc>
          <w:tcPr>
            <w:tcW w:w="1062" w:type="dxa"/>
            <w:shd w:val="clear" w:color="auto" w:fill="auto"/>
            <w:noWrap/>
            <w:vAlign w:val="center"/>
            <w:hideMark/>
          </w:tcPr>
          <w:p w14:paraId="5980E569"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-0.339*</w:t>
            </w:r>
          </w:p>
        </w:tc>
        <w:tc>
          <w:tcPr>
            <w:tcW w:w="1062" w:type="dxa"/>
            <w:shd w:val="clear" w:color="auto" w:fill="auto"/>
            <w:noWrap/>
            <w:vAlign w:val="center"/>
            <w:hideMark/>
          </w:tcPr>
          <w:p w14:paraId="40EDCFF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7E5073B2"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-0.173***</w:t>
            </w:r>
          </w:p>
        </w:tc>
        <w:tc>
          <w:tcPr>
            <w:tcW w:w="975" w:type="dxa"/>
            <w:shd w:val="clear" w:color="auto" w:fill="auto"/>
            <w:noWrap/>
            <w:vAlign w:val="center"/>
            <w:hideMark/>
          </w:tcPr>
          <w:p w14:paraId="6F73779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-0.690***</w:t>
            </w:r>
          </w:p>
        </w:tc>
        <w:tc>
          <w:tcPr>
            <w:tcW w:w="223" w:type="dxa"/>
            <w:vAlign w:val="center"/>
          </w:tcPr>
          <w:p w14:paraId="3BC096E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666AFAA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0.029</w:t>
            </w:r>
          </w:p>
        </w:tc>
        <w:tc>
          <w:tcPr>
            <w:tcW w:w="1062" w:type="dxa"/>
            <w:shd w:val="clear" w:color="auto" w:fill="auto"/>
            <w:noWrap/>
            <w:vAlign w:val="center"/>
            <w:hideMark/>
          </w:tcPr>
          <w:p w14:paraId="311EE2D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08F1037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-0.131</w:t>
            </w:r>
          </w:p>
        </w:tc>
        <w:tc>
          <w:tcPr>
            <w:tcW w:w="975" w:type="dxa"/>
            <w:shd w:val="clear" w:color="auto" w:fill="auto"/>
            <w:noWrap/>
            <w:vAlign w:val="center"/>
            <w:hideMark/>
          </w:tcPr>
          <w:p w14:paraId="211F7A6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-0.389</w:t>
            </w:r>
          </w:p>
        </w:tc>
      </w:tr>
      <w:tr w:rsidR="009A7B5F" w:rsidRPr="003172B0" w14:paraId="275C1377" w14:textId="77777777" w:rsidTr="00EA589B">
        <w:trPr>
          <w:trHeight w:val="151"/>
          <w:jc w:val="center"/>
        </w:trPr>
        <w:tc>
          <w:tcPr>
            <w:tcW w:w="2751" w:type="dxa"/>
            <w:shd w:val="clear" w:color="auto" w:fill="auto"/>
            <w:noWrap/>
            <w:vAlign w:val="center"/>
            <w:hideMark/>
          </w:tcPr>
          <w:p w14:paraId="08B4F9D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21E1420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(0.0643)</w:t>
            </w:r>
          </w:p>
        </w:tc>
        <w:tc>
          <w:tcPr>
            <w:tcW w:w="1062" w:type="dxa"/>
            <w:shd w:val="clear" w:color="auto" w:fill="auto"/>
            <w:noWrap/>
            <w:vAlign w:val="center"/>
            <w:hideMark/>
          </w:tcPr>
          <w:p w14:paraId="59AE3A91"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0C099F7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(0.0081)</w:t>
            </w:r>
          </w:p>
        </w:tc>
        <w:tc>
          <w:tcPr>
            <w:tcW w:w="975" w:type="dxa"/>
            <w:shd w:val="clear" w:color="auto" w:fill="auto"/>
            <w:noWrap/>
            <w:vAlign w:val="center"/>
            <w:hideMark/>
          </w:tcPr>
          <w:p w14:paraId="6837B3C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(0.0085)</w:t>
            </w:r>
          </w:p>
        </w:tc>
        <w:tc>
          <w:tcPr>
            <w:tcW w:w="223" w:type="dxa"/>
            <w:vAlign w:val="center"/>
          </w:tcPr>
          <w:p w14:paraId="3BF8DCC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553B291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(0.8284)</w:t>
            </w:r>
          </w:p>
        </w:tc>
        <w:tc>
          <w:tcPr>
            <w:tcW w:w="1062" w:type="dxa"/>
            <w:shd w:val="clear" w:color="auto" w:fill="auto"/>
            <w:noWrap/>
            <w:vAlign w:val="center"/>
            <w:hideMark/>
          </w:tcPr>
          <w:p w14:paraId="59A547C7"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34BF7C01"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(0.1013)</w:t>
            </w:r>
          </w:p>
        </w:tc>
        <w:tc>
          <w:tcPr>
            <w:tcW w:w="975" w:type="dxa"/>
            <w:shd w:val="clear" w:color="auto" w:fill="auto"/>
            <w:noWrap/>
            <w:vAlign w:val="center"/>
            <w:hideMark/>
          </w:tcPr>
          <w:p w14:paraId="3104FC9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(0.1477)</w:t>
            </w:r>
          </w:p>
        </w:tc>
      </w:tr>
      <w:tr w:rsidR="009A7B5F" w:rsidRPr="003172B0" w14:paraId="0906061F" w14:textId="77777777" w:rsidTr="00EA589B">
        <w:trPr>
          <w:trHeight w:val="151"/>
          <w:jc w:val="center"/>
        </w:trPr>
        <w:tc>
          <w:tcPr>
            <w:tcW w:w="2751" w:type="dxa"/>
            <w:shd w:val="clear" w:color="auto" w:fill="auto"/>
            <w:noWrap/>
            <w:vAlign w:val="center"/>
            <w:hideMark/>
          </w:tcPr>
          <w:p w14:paraId="12637C72" w14:textId="77777777" w:rsidR="009A7B5F" w:rsidRPr="003172B0" w:rsidRDefault="009A7B5F" w:rsidP="009F5DF5">
            <w:pPr>
              <w:spacing w:after="0"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Lag.Pay</w:t>
            </w:r>
            <w:proofErr w:type="spellEnd"/>
            <w:r w:rsidRPr="003172B0">
              <w:rPr>
                <w:rFonts w:eastAsia="Times New Roman" w:cstheme="majorBidi"/>
                <w:color w:val="000000"/>
                <w:sz w:val="18"/>
                <w:szCs w:val="18"/>
              </w:rPr>
              <w:t xml:space="preserve"> equity</w:t>
            </w:r>
          </w:p>
        </w:tc>
        <w:tc>
          <w:tcPr>
            <w:tcW w:w="1062" w:type="dxa"/>
            <w:shd w:val="clear" w:color="auto" w:fill="auto"/>
            <w:noWrap/>
            <w:vAlign w:val="center"/>
            <w:hideMark/>
          </w:tcPr>
          <w:p w14:paraId="0DA9EE72"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B2D346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2040149C"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55635932"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223" w:type="dxa"/>
            <w:vAlign w:val="center"/>
          </w:tcPr>
          <w:p w14:paraId="5F61B9A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31C9B2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3B7A072F"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537256E3"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647C20DF"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r>
      <w:tr w:rsidR="009A7B5F" w:rsidRPr="003172B0" w14:paraId="5925E79D" w14:textId="77777777" w:rsidTr="00EA589B">
        <w:trPr>
          <w:trHeight w:val="151"/>
          <w:jc w:val="center"/>
        </w:trPr>
        <w:tc>
          <w:tcPr>
            <w:tcW w:w="2751" w:type="dxa"/>
            <w:shd w:val="clear" w:color="auto" w:fill="auto"/>
            <w:noWrap/>
            <w:vAlign w:val="center"/>
            <w:hideMark/>
          </w:tcPr>
          <w:p w14:paraId="47259772"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082FD57F"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2E1E1DE3"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546D6282"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0368F54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223" w:type="dxa"/>
            <w:vAlign w:val="center"/>
          </w:tcPr>
          <w:p w14:paraId="6C96C61C"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6F3B2325"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AC02FC3"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9F52647"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5CCA54D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r>
      <w:tr w:rsidR="009A7B5F" w:rsidRPr="003172B0" w14:paraId="68541139" w14:textId="77777777" w:rsidTr="00EA589B">
        <w:trPr>
          <w:trHeight w:val="151"/>
          <w:jc w:val="center"/>
        </w:trPr>
        <w:tc>
          <w:tcPr>
            <w:tcW w:w="2751" w:type="dxa"/>
            <w:shd w:val="clear" w:color="auto" w:fill="auto"/>
            <w:noWrap/>
            <w:vAlign w:val="center"/>
            <w:hideMark/>
          </w:tcPr>
          <w:p w14:paraId="1E3369A0" w14:textId="77777777" w:rsidR="009A7B5F" w:rsidRPr="003172B0" w:rsidRDefault="009A7B5F" w:rsidP="009F5DF5">
            <w:pPr>
              <w:spacing w:after="0"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Changes.Pay</w:t>
            </w:r>
            <w:proofErr w:type="spellEnd"/>
            <w:r w:rsidRPr="003172B0">
              <w:rPr>
                <w:rFonts w:eastAsia="Times New Roman" w:cstheme="majorBidi"/>
                <w:color w:val="000000"/>
                <w:sz w:val="18"/>
                <w:szCs w:val="18"/>
              </w:rPr>
              <w:t xml:space="preserve"> equity</w:t>
            </w:r>
          </w:p>
        </w:tc>
        <w:tc>
          <w:tcPr>
            <w:tcW w:w="1062" w:type="dxa"/>
            <w:shd w:val="clear" w:color="auto" w:fill="auto"/>
            <w:noWrap/>
            <w:vAlign w:val="center"/>
            <w:hideMark/>
          </w:tcPr>
          <w:p w14:paraId="3567CEB5"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6A71B657"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0.408**</w:t>
            </w:r>
          </w:p>
        </w:tc>
        <w:tc>
          <w:tcPr>
            <w:tcW w:w="975" w:type="dxa"/>
            <w:shd w:val="clear" w:color="auto" w:fill="auto"/>
            <w:noWrap/>
            <w:vAlign w:val="center"/>
            <w:hideMark/>
          </w:tcPr>
          <w:p w14:paraId="276D177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1F2A5E11"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223" w:type="dxa"/>
            <w:vAlign w:val="center"/>
          </w:tcPr>
          <w:p w14:paraId="3767753D"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17096E71"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5FDEB140"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0.431*</w:t>
            </w:r>
          </w:p>
        </w:tc>
        <w:tc>
          <w:tcPr>
            <w:tcW w:w="1062" w:type="dxa"/>
            <w:shd w:val="clear" w:color="auto" w:fill="auto"/>
            <w:noWrap/>
            <w:vAlign w:val="center"/>
            <w:hideMark/>
          </w:tcPr>
          <w:p w14:paraId="7D42DA0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08B379C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r>
      <w:tr w:rsidR="009A7B5F" w:rsidRPr="003172B0" w14:paraId="6B3E9BB2" w14:textId="77777777" w:rsidTr="00EA589B">
        <w:trPr>
          <w:trHeight w:val="151"/>
          <w:jc w:val="center"/>
        </w:trPr>
        <w:tc>
          <w:tcPr>
            <w:tcW w:w="2751" w:type="dxa"/>
            <w:shd w:val="clear" w:color="auto" w:fill="auto"/>
            <w:noWrap/>
            <w:vAlign w:val="center"/>
            <w:hideMark/>
          </w:tcPr>
          <w:p w14:paraId="7C25A58C"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B4CF700"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62ACA0A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(0.0125)</w:t>
            </w:r>
          </w:p>
        </w:tc>
        <w:tc>
          <w:tcPr>
            <w:tcW w:w="975" w:type="dxa"/>
            <w:shd w:val="clear" w:color="auto" w:fill="auto"/>
            <w:noWrap/>
            <w:vAlign w:val="center"/>
            <w:hideMark/>
          </w:tcPr>
          <w:p w14:paraId="139CF95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08167F6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223" w:type="dxa"/>
            <w:vAlign w:val="center"/>
          </w:tcPr>
          <w:p w14:paraId="62229BD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64C13F8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64AEEF4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(0.0683)</w:t>
            </w:r>
          </w:p>
        </w:tc>
        <w:tc>
          <w:tcPr>
            <w:tcW w:w="1062" w:type="dxa"/>
            <w:shd w:val="clear" w:color="auto" w:fill="auto"/>
            <w:noWrap/>
            <w:vAlign w:val="center"/>
            <w:hideMark/>
          </w:tcPr>
          <w:p w14:paraId="261DD9A6"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75" w:type="dxa"/>
            <w:shd w:val="clear" w:color="auto" w:fill="auto"/>
            <w:noWrap/>
            <w:vAlign w:val="center"/>
            <w:hideMark/>
          </w:tcPr>
          <w:p w14:paraId="623375E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r>
      <w:tr w:rsidR="009A7B5F" w:rsidRPr="003172B0" w14:paraId="632629FB" w14:textId="77777777" w:rsidTr="00EA589B">
        <w:trPr>
          <w:trHeight w:val="151"/>
          <w:jc w:val="center"/>
        </w:trPr>
        <w:tc>
          <w:tcPr>
            <w:tcW w:w="2751" w:type="dxa"/>
            <w:shd w:val="clear" w:color="auto" w:fill="auto"/>
            <w:noWrap/>
            <w:vAlign w:val="center"/>
          </w:tcPr>
          <w:p w14:paraId="5BE7DCC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Controls</w:t>
            </w:r>
          </w:p>
        </w:tc>
        <w:tc>
          <w:tcPr>
            <w:tcW w:w="1062" w:type="dxa"/>
            <w:shd w:val="clear" w:color="auto" w:fill="auto"/>
            <w:noWrap/>
            <w:vAlign w:val="center"/>
          </w:tcPr>
          <w:p w14:paraId="690D5AF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1062" w:type="dxa"/>
            <w:shd w:val="clear" w:color="auto" w:fill="auto"/>
            <w:noWrap/>
            <w:vAlign w:val="center"/>
          </w:tcPr>
          <w:p w14:paraId="40688B8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75" w:type="dxa"/>
            <w:shd w:val="clear" w:color="auto" w:fill="auto"/>
            <w:noWrap/>
            <w:vAlign w:val="center"/>
          </w:tcPr>
          <w:p w14:paraId="05BE92C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75" w:type="dxa"/>
            <w:shd w:val="clear" w:color="auto" w:fill="auto"/>
            <w:noWrap/>
            <w:vAlign w:val="center"/>
          </w:tcPr>
          <w:p w14:paraId="7B121EC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223" w:type="dxa"/>
            <w:vAlign w:val="center"/>
          </w:tcPr>
          <w:p w14:paraId="0134B35C"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tcPr>
          <w:p w14:paraId="5DD180E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1062" w:type="dxa"/>
            <w:shd w:val="clear" w:color="auto" w:fill="auto"/>
            <w:noWrap/>
            <w:vAlign w:val="center"/>
          </w:tcPr>
          <w:p w14:paraId="494AE567"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1062" w:type="dxa"/>
            <w:shd w:val="clear" w:color="auto" w:fill="auto"/>
            <w:noWrap/>
            <w:vAlign w:val="center"/>
          </w:tcPr>
          <w:p w14:paraId="594F6A4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c>
          <w:tcPr>
            <w:tcW w:w="975" w:type="dxa"/>
            <w:shd w:val="clear" w:color="auto" w:fill="auto"/>
            <w:noWrap/>
            <w:vAlign w:val="center"/>
          </w:tcPr>
          <w:p w14:paraId="56ADC332"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Yes</w:t>
            </w:r>
          </w:p>
        </w:tc>
      </w:tr>
      <w:tr w:rsidR="009A7B5F" w:rsidRPr="003172B0" w14:paraId="1A8347FB" w14:textId="77777777" w:rsidTr="00EA589B">
        <w:trPr>
          <w:trHeight w:val="151"/>
          <w:jc w:val="center"/>
        </w:trPr>
        <w:tc>
          <w:tcPr>
            <w:tcW w:w="2751" w:type="dxa"/>
            <w:shd w:val="clear" w:color="auto" w:fill="auto"/>
            <w:noWrap/>
            <w:vAlign w:val="center"/>
            <w:hideMark/>
          </w:tcPr>
          <w:p w14:paraId="4A2573B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Observation</w:t>
            </w:r>
          </w:p>
        </w:tc>
        <w:tc>
          <w:tcPr>
            <w:tcW w:w="1062" w:type="dxa"/>
            <w:shd w:val="clear" w:color="auto" w:fill="auto"/>
            <w:noWrap/>
            <w:vAlign w:val="center"/>
            <w:hideMark/>
          </w:tcPr>
          <w:p w14:paraId="19D47AF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1932</w:t>
            </w:r>
          </w:p>
        </w:tc>
        <w:tc>
          <w:tcPr>
            <w:tcW w:w="1062" w:type="dxa"/>
            <w:shd w:val="clear" w:color="auto" w:fill="auto"/>
            <w:noWrap/>
            <w:vAlign w:val="center"/>
            <w:hideMark/>
          </w:tcPr>
          <w:p w14:paraId="077EF10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1491</w:t>
            </w:r>
          </w:p>
        </w:tc>
        <w:tc>
          <w:tcPr>
            <w:tcW w:w="975" w:type="dxa"/>
            <w:shd w:val="clear" w:color="auto" w:fill="auto"/>
            <w:noWrap/>
            <w:vAlign w:val="center"/>
            <w:hideMark/>
          </w:tcPr>
          <w:p w14:paraId="2BF1B7C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1733</w:t>
            </w:r>
          </w:p>
        </w:tc>
        <w:tc>
          <w:tcPr>
            <w:tcW w:w="975" w:type="dxa"/>
            <w:shd w:val="clear" w:color="auto" w:fill="auto"/>
            <w:noWrap/>
            <w:vAlign w:val="center"/>
            <w:hideMark/>
          </w:tcPr>
          <w:p w14:paraId="7324B232"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1577</w:t>
            </w:r>
          </w:p>
        </w:tc>
        <w:tc>
          <w:tcPr>
            <w:tcW w:w="223" w:type="dxa"/>
            <w:vAlign w:val="center"/>
          </w:tcPr>
          <w:p w14:paraId="61D524F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8F915C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1938</w:t>
            </w:r>
          </w:p>
        </w:tc>
        <w:tc>
          <w:tcPr>
            <w:tcW w:w="1062" w:type="dxa"/>
            <w:shd w:val="clear" w:color="auto" w:fill="auto"/>
            <w:noWrap/>
            <w:vAlign w:val="center"/>
            <w:hideMark/>
          </w:tcPr>
          <w:p w14:paraId="16C5C75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1499</w:t>
            </w:r>
          </w:p>
        </w:tc>
        <w:tc>
          <w:tcPr>
            <w:tcW w:w="1062" w:type="dxa"/>
            <w:shd w:val="clear" w:color="auto" w:fill="auto"/>
            <w:noWrap/>
            <w:vAlign w:val="center"/>
            <w:hideMark/>
          </w:tcPr>
          <w:p w14:paraId="3C7D301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1743</w:t>
            </w:r>
          </w:p>
        </w:tc>
        <w:tc>
          <w:tcPr>
            <w:tcW w:w="975" w:type="dxa"/>
            <w:shd w:val="clear" w:color="auto" w:fill="auto"/>
            <w:noWrap/>
            <w:vAlign w:val="center"/>
            <w:hideMark/>
          </w:tcPr>
          <w:p w14:paraId="29AADA3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1585</w:t>
            </w:r>
          </w:p>
        </w:tc>
      </w:tr>
      <w:tr w:rsidR="009A7B5F" w:rsidRPr="003172B0" w14:paraId="52FC289E" w14:textId="77777777" w:rsidTr="00EA589B">
        <w:trPr>
          <w:trHeight w:val="151"/>
          <w:jc w:val="center"/>
        </w:trPr>
        <w:tc>
          <w:tcPr>
            <w:tcW w:w="2751" w:type="dxa"/>
            <w:shd w:val="clear" w:color="auto" w:fill="auto"/>
            <w:noWrap/>
            <w:vAlign w:val="center"/>
            <w:hideMark/>
          </w:tcPr>
          <w:p w14:paraId="396D184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Firms</w:t>
            </w:r>
          </w:p>
        </w:tc>
        <w:tc>
          <w:tcPr>
            <w:tcW w:w="1062" w:type="dxa"/>
            <w:shd w:val="clear" w:color="auto" w:fill="auto"/>
            <w:noWrap/>
            <w:vAlign w:val="center"/>
            <w:hideMark/>
          </w:tcPr>
          <w:p w14:paraId="294999E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368</w:t>
            </w:r>
          </w:p>
        </w:tc>
        <w:tc>
          <w:tcPr>
            <w:tcW w:w="1062" w:type="dxa"/>
            <w:shd w:val="clear" w:color="auto" w:fill="auto"/>
            <w:noWrap/>
            <w:vAlign w:val="center"/>
            <w:hideMark/>
          </w:tcPr>
          <w:p w14:paraId="07A16C7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305</w:t>
            </w:r>
          </w:p>
        </w:tc>
        <w:tc>
          <w:tcPr>
            <w:tcW w:w="975" w:type="dxa"/>
            <w:shd w:val="clear" w:color="auto" w:fill="auto"/>
            <w:noWrap/>
            <w:vAlign w:val="center"/>
            <w:hideMark/>
          </w:tcPr>
          <w:p w14:paraId="56CBB4C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342</w:t>
            </w:r>
          </w:p>
        </w:tc>
        <w:tc>
          <w:tcPr>
            <w:tcW w:w="975" w:type="dxa"/>
            <w:shd w:val="clear" w:color="auto" w:fill="auto"/>
            <w:noWrap/>
            <w:vAlign w:val="center"/>
            <w:hideMark/>
          </w:tcPr>
          <w:p w14:paraId="5FE30710"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317</w:t>
            </w:r>
          </w:p>
        </w:tc>
        <w:tc>
          <w:tcPr>
            <w:tcW w:w="223" w:type="dxa"/>
            <w:vAlign w:val="center"/>
          </w:tcPr>
          <w:p w14:paraId="2392E9AD"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561B44C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368</w:t>
            </w:r>
          </w:p>
        </w:tc>
        <w:tc>
          <w:tcPr>
            <w:tcW w:w="1062" w:type="dxa"/>
            <w:shd w:val="clear" w:color="auto" w:fill="auto"/>
            <w:noWrap/>
            <w:vAlign w:val="center"/>
            <w:hideMark/>
          </w:tcPr>
          <w:p w14:paraId="6F2B33B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307</w:t>
            </w:r>
          </w:p>
        </w:tc>
        <w:tc>
          <w:tcPr>
            <w:tcW w:w="1062" w:type="dxa"/>
            <w:shd w:val="clear" w:color="auto" w:fill="auto"/>
            <w:noWrap/>
            <w:vAlign w:val="center"/>
            <w:hideMark/>
          </w:tcPr>
          <w:p w14:paraId="676C5CC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344</w:t>
            </w:r>
          </w:p>
        </w:tc>
        <w:tc>
          <w:tcPr>
            <w:tcW w:w="975" w:type="dxa"/>
            <w:shd w:val="clear" w:color="auto" w:fill="auto"/>
            <w:noWrap/>
            <w:vAlign w:val="center"/>
            <w:hideMark/>
          </w:tcPr>
          <w:p w14:paraId="43313CF4"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318</w:t>
            </w:r>
          </w:p>
        </w:tc>
      </w:tr>
      <w:tr w:rsidR="009A7B5F" w:rsidRPr="003172B0" w14:paraId="39FA206F" w14:textId="77777777" w:rsidTr="00EA589B">
        <w:trPr>
          <w:trHeight w:val="151"/>
          <w:jc w:val="center"/>
        </w:trPr>
        <w:tc>
          <w:tcPr>
            <w:tcW w:w="2751" w:type="dxa"/>
            <w:shd w:val="clear" w:color="auto" w:fill="auto"/>
            <w:noWrap/>
            <w:vAlign w:val="center"/>
            <w:hideMark/>
          </w:tcPr>
          <w:p w14:paraId="2EAF164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Adjusted R2</w:t>
            </w:r>
          </w:p>
        </w:tc>
        <w:tc>
          <w:tcPr>
            <w:tcW w:w="1062" w:type="dxa"/>
            <w:shd w:val="clear" w:color="auto" w:fill="auto"/>
            <w:noWrap/>
            <w:vAlign w:val="center"/>
            <w:hideMark/>
          </w:tcPr>
          <w:p w14:paraId="0DF69CA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0.365</w:t>
            </w:r>
          </w:p>
        </w:tc>
        <w:tc>
          <w:tcPr>
            <w:tcW w:w="1062" w:type="dxa"/>
            <w:shd w:val="clear" w:color="auto" w:fill="auto"/>
            <w:noWrap/>
            <w:vAlign w:val="center"/>
            <w:hideMark/>
          </w:tcPr>
          <w:p w14:paraId="48E56E7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0.057</w:t>
            </w:r>
          </w:p>
        </w:tc>
        <w:tc>
          <w:tcPr>
            <w:tcW w:w="975" w:type="dxa"/>
            <w:shd w:val="clear" w:color="auto" w:fill="auto"/>
            <w:noWrap/>
            <w:vAlign w:val="center"/>
            <w:hideMark/>
          </w:tcPr>
          <w:p w14:paraId="24CCA2D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0.815</w:t>
            </w:r>
          </w:p>
        </w:tc>
        <w:tc>
          <w:tcPr>
            <w:tcW w:w="975" w:type="dxa"/>
            <w:shd w:val="clear" w:color="auto" w:fill="auto"/>
            <w:noWrap/>
            <w:vAlign w:val="center"/>
            <w:hideMark/>
          </w:tcPr>
          <w:p w14:paraId="59905F2F"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w:t>
            </w:r>
          </w:p>
        </w:tc>
        <w:tc>
          <w:tcPr>
            <w:tcW w:w="223" w:type="dxa"/>
            <w:vAlign w:val="center"/>
          </w:tcPr>
          <w:p w14:paraId="12A06DB0"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2F9CA3B9"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0.701</w:t>
            </w:r>
          </w:p>
        </w:tc>
        <w:tc>
          <w:tcPr>
            <w:tcW w:w="1062" w:type="dxa"/>
            <w:shd w:val="clear" w:color="auto" w:fill="auto"/>
            <w:noWrap/>
            <w:vAlign w:val="center"/>
            <w:hideMark/>
          </w:tcPr>
          <w:p w14:paraId="2741BF2F"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0.040</w:t>
            </w:r>
          </w:p>
        </w:tc>
        <w:tc>
          <w:tcPr>
            <w:tcW w:w="1062" w:type="dxa"/>
            <w:shd w:val="clear" w:color="auto" w:fill="auto"/>
            <w:noWrap/>
            <w:vAlign w:val="center"/>
            <w:hideMark/>
          </w:tcPr>
          <w:p w14:paraId="205032C9"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0.831</w:t>
            </w:r>
          </w:p>
        </w:tc>
        <w:tc>
          <w:tcPr>
            <w:tcW w:w="975" w:type="dxa"/>
            <w:shd w:val="clear" w:color="auto" w:fill="auto"/>
            <w:noWrap/>
            <w:vAlign w:val="center"/>
            <w:hideMark/>
          </w:tcPr>
          <w:p w14:paraId="3FB9122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w:t>
            </w:r>
          </w:p>
        </w:tc>
      </w:tr>
      <w:tr w:rsidR="009A7B5F" w:rsidRPr="003172B0" w14:paraId="563CA0E2" w14:textId="77777777" w:rsidTr="00EA589B">
        <w:trPr>
          <w:trHeight w:val="151"/>
          <w:jc w:val="center"/>
        </w:trPr>
        <w:tc>
          <w:tcPr>
            <w:tcW w:w="2751" w:type="dxa"/>
            <w:shd w:val="clear" w:color="auto" w:fill="auto"/>
            <w:noWrap/>
            <w:vAlign w:val="center"/>
            <w:hideMark/>
          </w:tcPr>
          <w:p w14:paraId="4BBB19F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Root MSE</w:t>
            </w:r>
          </w:p>
        </w:tc>
        <w:tc>
          <w:tcPr>
            <w:tcW w:w="1062" w:type="dxa"/>
            <w:shd w:val="clear" w:color="auto" w:fill="auto"/>
            <w:noWrap/>
            <w:vAlign w:val="center"/>
            <w:hideMark/>
          </w:tcPr>
          <w:p w14:paraId="63E0ECA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0.382</w:t>
            </w:r>
          </w:p>
        </w:tc>
        <w:tc>
          <w:tcPr>
            <w:tcW w:w="1062" w:type="dxa"/>
            <w:shd w:val="clear" w:color="auto" w:fill="auto"/>
            <w:noWrap/>
            <w:vAlign w:val="center"/>
            <w:hideMark/>
          </w:tcPr>
          <w:p w14:paraId="46E4AD0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0.444</w:t>
            </w:r>
          </w:p>
        </w:tc>
        <w:tc>
          <w:tcPr>
            <w:tcW w:w="975" w:type="dxa"/>
            <w:shd w:val="clear" w:color="auto" w:fill="auto"/>
            <w:noWrap/>
            <w:vAlign w:val="center"/>
            <w:hideMark/>
          </w:tcPr>
          <w:p w14:paraId="4DCE828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0.461</w:t>
            </w:r>
          </w:p>
        </w:tc>
        <w:tc>
          <w:tcPr>
            <w:tcW w:w="975" w:type="dxa"/>
            <w:shd w:val="clear" w:color="auto" w:fill="auto"/>
            <w:noWrap/>
            <w:vAlign w:val="center"/>
            <w:hideMark/>
          </w:tcPr>
          <w:p w14:paraId="0672CD4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w:t>
            </w:r>
          </w:p>
        </w:tc>
        <w:tc>
          <w:tcPr>
            <w:tcW w:w="223" w:type="dxa"/>
            <w:vAlign w:val="center"/>
          </w:tcPr>
          <w:p w14:paraId="7D3A4B9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07323DE"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0.285</w:t>
            </w:r>
          </w:p>
        </w:tc>
        <w:tc>
          <w:tcPr>
            <w:tcW w:w="1062" w:type="dxa"/>
            <w:shd w:val="clear" w:color="auto" w:fill="auto"/>
            <w:noWrap/>
            <w:vAlign w:val="center"/>
            <w:hideMark/>
          </w:tcPr>
          <w:p w14:paraId="1C33DC1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0.490</w:t>
            </w:r>
          </w:p>
        </w:tc>
        <w:tc>
          <w:tcPr>
            <w:tcW w:w="1062" w:type="dxa"/>
            <w:shd w:val="clear" w:color="auto" w:fill="auto"/>
            <w:noWrap/>
            <w:vAlign w:val="center"/>
            <w:hideMark/>
          </w:tcPr>
          <w:p w14:paraId="0C8EE2B4"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0.486</w:t>
            </w:r>
          </w:p>
        </w:tc>
        <w:tc>
          <w:tcPr>
            <w:tcW w:w="975" w:type="dxa"/>
            <w:shd w:val="clear" w:color="auto" w:fill="auto"/>
            <w:noWrap/>
            <w:vAlign w:val="center"/>
            <w:hideMark/>
          </w:tcPr>
          <w:p w14:paraId="609BDB6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w:t>
            </w:r>
          </w:p>
        </w:tc>
      </w:tr>
      <w:tr w:rsidR="009A7B5F" w:rsidRPr="003172B0" w14:paraId="73D22905" w14:textId="77777777" w:rsidTr="00EA589B">
        <w:trPr>
          <w:trHeight w:val="151"/>
          <w:jc w:val="center"/>
        </w:trPr>
        <w:tc>
          <w:tcPr>
            <w:tcW w:w="2751" w:type="dxa"/>
            <w:shd w:val="clear" w:color="auto" w:fill="auto"/>
            <w:noWrap/>
            <w:vAlign w:val="center"/>
            <w:hideMark/>
          </w:tcPr>
          <w:p w14:paraId="6EF4ED3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Number of </w:t>
            </w:r>
            <w:proofErr w:type="gramStart"/>
            <w:r w:rsidRPr="003172B0">
              <w:rPr>
                <w:rFonts w:eastAsia="Times New Roman" w:cstheme="majorBidi"/>
                <w:color w:val="000000"/>
                <w:sz w:val="18"/>
                <w:szCs w:val="18"/>
              </w:rPr>
              <w:t>Ins</w:t>
            </w:r>
            <w:proofErr w:type="gramEnd"/>
          </w:p>
        </w:tc>
        <w:tc>
          <w:tcPr>
            <w:tcW w:w="1062" w:type="dxa"/>
            <w:shd w:val="clear" w:color="auto" w:fill="auto"/>
            <w:noWrap/>
            <w:vAlign w:val="center"/>
            <w:hideMark/>
          </w:tcPr>
          <w:p w14:paraId="453D657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5F6B7F31"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39FB74A3"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7EB6520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183</w:t>
            </w:r>
          </w:p>
        </w:tc>
        <w:tc>
          <w:tcPr>
            <w:tcW w:w="223" w:type="dxa"/>
            <w:vAlign w:val="center"/>
          </w:tcPr>
          <w:p w14:paraId="3375B4F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5ABC962"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6A599F26" w14:textId="77777777" w:rsidR="009A7B5F" w:rsidRPr="003172B0" w:rsidRDefault="009A7B5F" w:rsidP="009F5DF5">
            <w:pPr>
              <w:spacing w:after="0" w:line="240" w:lineRule="auto"/>
              <w:ind w:firstLine="0"/>
              <w:jc w:val="left"/>
              <w:rPr>
                <w:rFonts w:eastAsia="Times New Roman" w:cstheme="majorBidi"/>
                <w:sz w:val="18"/>
                <w:szCs w:val="18"/>
              </w:rPr>
            </w:pPr>
          </w:p>
        </w:tc>
        <w:tc>
          <w:tcPr>
            <w:tcW w:w="1062" w:type="dxa"/>
            <w:shd w:val="clear" w:color="auto" w:fill="auto"/>
            <w:noWrap/>
            <w:vAlign w:val="center"/>
            <w:hideMark/>
          </w:tcPr>
          <w:p w14:paraId="0B3B59E3"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7EF40E3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183</w:t>
            </w:r>
          </w:p>
        </w:tc>
      </w:tr>
      <w:tr w:rsidR="009A7B5F" w:rsidRPr="003172B0" w14:paraId="55AC5A48" w14:textId="77777777" w:rsidTr="00EA589B">
        <w:trPr>
          <w:trHeight w:val="151"/>
          <w:jc w:val="center"/>
        </w:trPr>
        <w:tc>
          <w:tcPr>
            <w:tcW w:w="2751" w:type="dxa"/>
            <w:shd w:val="clear" w:color="auto" w:fill="auto"/>
            <w:noWrap/>
            <w:vAlign w:val="center"/>
            <w:hideMark/>
          </w:tcPr>
          <w:p w14:paraId="607CAB50"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Arellano-Bond test for </w:t>
            </w:r>
            <w:proofErr w:type="gramStart"/>
            <w:r w:rsidRPr="003172B0">
              <w:rPr>
                <w:rFonts w:eastAsia="Times New Roman" w:cstheme="majorBidi"/>
                <w:color w:val="000000"/>
                <w:sz w:val="18"/>
                <w:szCs w:val="18"/>
              </w:rPr>
              <w:t>AR(</w:t>
            </w:r>
            <w:proofErr w:type="gramEnd"/>
            <w:r w:rsidRPr="003172B0">
              <w:rPr>
                <w:rFonts w:eastAsia="Times New Roman" w:cstheme="majorBidi"/>
                <w:color w:val="000000"/>
                <w:sz w:val="18"/>
                <w:szCs w:val="18"/>
              </w:rPr>
              <w:t>1)</w:t>
            </w:r>
          </w:p>
        </w:tc>
        <w:tc>
          <w:tcPr>
            <w:tcW w:w="1062" w:type="dxa"/>
            <w:shd w:val="clear" w:color="auto" w:fill="auto"/>
            <w:noWrap/>
            <w:vAlign w:val="center"/>
            <w:hideMark/>
          </w:tcPr>
          <w:p w14:paraId="29C4F7B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045F6D7D"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5BF8179F"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57AF05F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c>
          <w:tcPr>
            <w:tcW w:w="223" w:type="dxa"/>
            <w:vAlign w:val="center"/>
          </w:tcPr>
          <w:p w14:paraId="70853224"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0E1859D"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26CFBFAA" w14:textId="77777777" w:rsidR="009A7B5F" w:rsidRPr="003172B0" w:rsidRDefault="009A7B5F" w:rsidP="009F5DF5">
            <w:pPr>
              <w:spacing w:after="0" w:line="240" w:lineRule="auto"/>
              <w:ind w:firstLine="0"/>
              <w:jc w:val="left"/>
              <w:rPr>
                <w:rFonts w:eastAsia="Times New Roman" w:cstheme="majorBidi"/>
                <w:sz w:val="18"/>
                <w:szCs w:val="18"/>
              </w:rPr>
            </w:pPr>
          </w:p>
        </w:tc>
        <w:tc>
          <w:tcPr>
            <w:tcW w:w="1062" w:type="dxa"/>
            <w:shd w:val="clear" w:color="auto" w:fill="auto"/>
            <w:noWrap/>
            <w:vAlign w:val="center"/>
            <w:hideMark/>
          </w:tcPr>
          <w:p w14:paraId="0AF89841"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7DF5B1A1"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0.000</w:t>
            </w:r>
          </w:p>
        </w:tc>
      </w:tr>
      <w:tr w:rsidR="009A7B5F" w:rsidRPr="003172B0" w14:paraId="3D97BBC3" w14:textId="77777777" w:rsidTr="00EA589B">
        <w:trPr>
          <w:trHeight w:val="151"/>
          <w:jc w:val="center"/>
        </w:trPr>
        <w:tc>
          <w:tcPr>
            <w:tcW w:w="2751" w:type="dxa"/>
            <w:shd w:val="clear" w:color="auto" w:fill="auto"/>
            <w:noWrap/>
            <w:vAlign w:val="center"/>
            <w:hideMark/>
          </w:tcPr>
          <w:p w14:paraId="5010727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Arellano-Bond test for </w:t>
            </w:r>
            <w:proofErr w:type="gramStart"/>
            <w:r w:rsidRPr="003172B0">
              <w:rPr>
                <w:rFonts w:eastAsia="Times New Roman" w:cstheme="majorBidi"/>
                <w:color w:val="000000"/>
                <w:sz w:val="18"/>
                <w:szCs w:val="18"/>
              </w:rPr>
              <w:t>AR(</w:t>
            </w:r>
            <w:proofErr w:type="gramEnd"/>
            <w:r w:rsidRPr="003172B0">
              <w:rPr>
                <w:rFonts w:eastAsia="Times New Roman" w:cstheme="majorBidi"/>
                <w:color w:val="000000"/>
                <w:sz w:val="18"/>
                <w:szCs w:val="18"/>
              </w:rPr>
              <w:t>2)</w:t>
            </w:r>
          </w:p>
        </w:tc>
        <w:tc>
          <w:tcPr>
            <w:tcW w:w="1062" w:type="dxa"/>
            <w:shd w:val="clear" w:color="auto" w:fill="auto"/>
            <w:noWrap/>
            <w:vAlign w:val="center"/>
            <w:hideMark/>
          </w:tcPr>
          <w:p w14:paraId="2204382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16EB838B"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64222EA1"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0E63CD1A"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0.631</w:t>
            </w:r>
          </w:p>
        </w:tc>
        <w:tc>
          <w:tcPr>
            <w:tcW w:w="223" w:type="dxa"/>
            <w:vAlign w:val="center"/>
          </w:tcPr>
          <w:p w14:paraId="25C02687"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5792D8D7"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37959B1B" w14:textId="77777777" w:rsidR="009A7B5F" w:rsidRPr="003172B0" w:rsidRDefault="009A7B5F" w:rsidP="009F5DF5">
            <w:pPr>
              <w:spacing w:after="0" w:line="240" w:lineRule="auto"/>
              <w:ind w:firstLine="0"/>
              <w:jc w:val="left"/>
              <w:rPr>
                <w:rFonts w:eastAsia="Times New Roman" w:cstheme="majorBidi"/>
                <w:sz w:val="18"/>
                <w:szCs w:val="18"/>
              </w:rPr>
            </w:pPr>
          </w:p>
        </w:tc>
        <w:tc>
          <w:tcPr>
            <w:tcW w:w="1062" w:type="dxa"/>
            <w:shd w:val="clear" w:color="auto" w:fill="auto"/>
            <w:noWrap/>
            <w:vAlign w:val="center"/>
            <w:hideMark/>
          </w:tcPr>
          <w:p w14:paraId="016C1CF9"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2BA03ED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0.930</w:t>
            </w:r>
          </w:p>
        </w:tc>
      </w:tr>
      <w:tr w:rsidR="009A7B5F" w:rsidRPr="003172B0" w14:paraId="7041E306" w14:textId="77777777" w:rsidTr="00EA589B">
        <w:trPr>
          <w:trHeight w:val="151"/>
          <w:jc w:val="center"/>
        </w:trPr>
        <w:tc>
          <w:tcPr>
            <w:tcW w:w="2751" w:type="dxa"/>
            <w:shd w:val="clear" w:color="auto" w:fill="auto"/>
            <w:noWrap/>
            <w:vAlign w:val="center"/>
            <w:hideMark/>
          </w:tcPr>
          <w:p w14:paraId="010AFE4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Hansen test of over-identification</w:t>
            </w:r>
          </w:p>
        </w:tc>
        <w:tc>
          <w:tcPr>
            <w:tcW w:w="1062" w:type="dxa"/>
            <w:shd w:val="clear" w:color="auto" w:fill="auto"/>
            <w:noWrap/>
            <w:vAlign w:val="center"/>
            <w:hideMark/>
          </w:tcPr>
          <w:p w14:paraId="1DC977B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55031288"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71EAC953"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573A7C79"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0.395</w:t>
            </w:r>
          </w:p>
        </w:tc>
        <w:tc>
          <w:tcPr>
            <w:tcW w:w="223" w:type="dxa"/>
            <w:vAlign w:val="center"/>
          </w:tcPr>
          <w:p w14:paraId="79C60997"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3D6AEBAE"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9E03592" w14:textId="77777777" w:rsidR="009A7B5F" w:rsidRPr="003172B0" w:rsidRDefault="009A7B5F" w:rsidP="009F5DF5">
            <w:pPr>
              <w:spacing w:after="0" w:line="240" w:lineRule="auto"/>
              <w:ind w:firstLine="0"/>
              <w:jc w:val="left"/>
              <w:rPr>
                <w:rFonts w:eastAsia="Times New Roman" w:cstheme="majorBidi"/>
                <w:sz w:val="18"/>
                <w:szCs w:val="18"/>
              </w:rPr>
            </w:pPr>
          </w:p>
        </w:tc>
        <w:tc>
          <w:tcPr>
            <w:tcW w:w="1062" w:type="dxa"/>
            <w:shd w:val="clear" w:color="auto" w:fill="auto"/>
            <w:noWrap/>
            <w:vAlign w:val="center"/>
            <w:hideMark/>
          </w:tcPr>
          <w:p w14:paraId="39740731"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3344C4E2"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0.622</w:t>
            </w:r>
          </w:p>
        </w:tc>
      </w:tr>
      <w:tr w:rsidR="009A7B5F" w:rsidRPr="003172B0" w14:paraId="0B34FFE8" w14:textId="77777777" w:rsidTr="00EA589B">
        <w:trPr>
          <w:trHeight w:val="151"/>
          <w:jc w:val="center"/>
        </w:trPr>
        <w:tc>
          <w:tcPr>
            <w:tcW w:w="2751" w:type="dxa"/>
            <w:shd w:val="clear" w:color="auto" w:fill="auto"/>
            <w:noWrap/>
            <w:vAlign w:val="center"/>
            <w:hideMark/>
          </w:tcPr>
          <w:p w14:paraId="2AAF3D9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Difference-in-Hansen tests of exogeneity</w:t>
            </w:r>
          </w:p>
        </w:tc>
        <w:tc>
          <w:tcPr>
            <w:tcW w:w="1062" w:type="dxa"/>
            <w:shd w:val="clear" w:color="auto" w:fill="auto"/>
            <w:noWrap/>
            <w:vAlign w:val="center"/>
            <w:hideMark/>
          </w:tcPr>
          <w:p w14:paraId="1FDB812F"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42F7B70C"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3436326F"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1E39957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0.431</w:t>
            </w:r>
          </w:p>
        </w:tc>
        <w:tc>
          <w:tcPr>
            <w:tcW w:w="223" w:type="dxa"/>
            <w:vAlign w:val="center"/>
          </w:tcPr>
          <w:p w14:paraId="222767C5"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5CC4C83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1062" w:type="dxa"/>
            <w:shd w:val="clear" w:color="auto" w:fill="auto"/>
            <w:noWrap/>
            <w:vAlign w:val="center"/>
            <w:hideMark/>
          </w:tcPr>
          <w:p w14:paraId="04426D35" w14:textId="77777777" w:rsidR="009A7B5F" w:rsidRPr="003172B0" w:rsidRDefault="009A7B5F" w:rsidP="009F5DF5">
            <w:pPr>
              <w:spacing w:after="0" w:line="240" w:lineRule="auto"/>
              <w:ind w:firstLine="0"/>
              <w:jc w:val="left"/>
              <w:rPr>
                <w:rFonts w:eastAsia="Times New Roman" w:cstheme="majorBidi"/>
                <w:sz w:val="18"/>
                <w:szCs w:val="18"/>
              </w:rPr>
            </w:pPr>
          </w:p>
        </w:tc>
        <w:tc>
          <w:tcPr>
            <w:tcW w:w="1062" w:type="dxa"/>
            <w:shd w:val="clear" w:color="auto" w:fill="auto"/>
            <w:noWrap/>
            <w:vAlign w:val="center"/>
            <w:hideMark/>
          </w:tcPr>
          <w:p w14:paraId="036441B4" w14:textId="77777777" w:rsidR="009A7B5F" w:rsidRPr="003172B0" w:rsidRDefault="009A7B5F" w:rsidP="009F5DF5">
            <w:pPr>
              <w:spacing w:after="0" w:line="240" w:lineRule="auto"/>
              <w:ind w:firstLine="0"/>
              <w:jc w:val="left"/>
              <w:rPr>
                <w:rFonts w:eastAsia="Times New Roman" w:cstheme="majorBidi"/>
                <w:sz w:val="18"/>
                <w:szCs w:val="18"/>
              </w:rPr>
            </w:pPr>
          </w:p>
        </w:tc>
        <w:tc>
          <w:tcPr>
            <w:tcW w:w="975" w:type="dxa"/>
            <w:shd w:val="clear" w:color="auto" w:fill="auto"/>
            <w:noWrap/>
            <w:vAlign w:val="center"/>
            <w:hideMark/>
          </w:tcPr>
          <w:p w14:paraId="383959C1"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0.742</w:t>
            </w:r>
          </w:p>
        </w:tc>
      </w:tr>
    </w:tbl>
    <w:p w14:paraId="514C6E7B" w14:textId="77777777" w:rsidR="00B469AE" w:rsidRDefault="00B469AE" w:rsidP="00146CD4">
      <w:pPr>
        <w:tabs>
          <w:tab w:val="left" w:pos="567"/>
        </w:tabs>
        <w:spacing w:line="240" w:lineRule="auto"/>
        <w:ind w:firstLine="0"/>
        <w:jc w:val="left"/>
        <w:rPr>
          <w:rFonts w:ascii="Times New Roman" w:eastAsiaTheme="minorHAnsi" w:hAnsi="Times New Roman" w:cs="Times New Roman"/>
          <w:b/>
          <w:bCs/>
          <w:sz w:val="22"/>
          <w:lang w:eastAsia="en-US"/>
        </w:rPr>
      </w:pPr>
    </w:p>
    <w:p w14:paraId="6DD992B0" w14:textId="77777777" w:rsidR="00B469AE" w:rsidRDefault="00B469AE" w:rsidP="00146CD4">
      <w:pPr>
        <w:tabs>
          <w:tab w:val="left" w:pos="567"/>
        </w:tabs>
        <w:spacing w:line="240" w:lineRule="auto"/>
        <w:ind w:firstLine="0"/>
        <w:jc w:val="left"/>
        <w:rPr>
          <w:rFonts w:ascii="Times New Roman" w:eastAsiaTheme="minorHAnsi" w:hAnsi="Times New Roman" w:cs="Times New Roman"/>
          <w:b/>
          <w:bCs/>
          <w:sz w:val="22"/>
          <w:lang w:eastAsia="en-US"/>
        </w:rPr>
      </w:pPr>
    </w:p>
    <w:p w14:paraId="1AF3AA3B" w14:textId="77777777" w:rsidR="00B469AE" w:rsidRDefault="00B469AE" w:rsidP="00146CD4">
      <w:pPr>
        <w:tabs>
          <w:tab w:val="left" w:pos="567"/>
        </w:tabs>
        <w:spacing w:line="240" w:lineRule="auto"/>
        <w:ind w:firstLine="0"/>
        <w:jc w:val="left"/>
        <w:rPr>
          <w:rFonts w:ascii="Times New Roman" w:eastAsiaTheme="minorHAnsi" w:hAnsi="Times New Roman" w:cs="Times New Roman"/>
          <w:b/>
          <w:bCs/>
          <w:sz w:val="22"/>
          <w:lang w:eastAsia="en-US"/>
        </w:rPr>
      </w:pPr>
    </w:p>
    <w:p w14:paraId="097F2ABE" w14:textId="77777777" w:rsidR="00B469AE" w:rsidRDefault="00B469AE" w:rsidP="00146CD4">
      <w:pPr>
        <w:tabs>
          <w:tab w:val="left" w:pos="567"/>
        </w:tabs>
        <w:spacing w:line="240" w:lineRule="auto"/>
        <w:ind w:firstLine="0"/>
        <w:jc w:val="left"/>
        <w:rPr>
          <w:rFonts w:ascii="Times New Roman" w:eastAsiaTheme="minorHAnsi" w:hAnsi="Times New Roman" w:cs="Times New Roman"/>
          <w:b/>
          <w:bCs/>
          <w:sz w:val="22"/>
          <w:lang w:eastAsia="en-US"/>
        </w:rPr>
      </w:pPr>
    </w:p>
    <w:p w14:paraId="0B4A2301" w14:textId="10D654C8" w:rsidR="009A7B5F" w:rsidRPr="00146CD4" w:rsidRDefault="009A7B5F" w:rsidP="00146CD4">
      <w:pPr>
        <w:tabs>
          <w:tab w:val="left" w:pos="567"/>
        </w:tabs>
        <w:spacing w:line="240" w:lineRule="auto"/>
        <w:ind w:firstLine="0"/>
        <w:jc w:val="left"/>
        <w:rPr>
          <w:rFonts w:ascii="Times New Roman" w:eastAsiaTheme="minorHAnsi" w:hAnsi="Times New Roman" w:cs="Times New Roman"/>
          <w:b/>
          <w:bCs/>
          <w:sz w:val="22"/>
          <w:lang w:eastAsia="en-US"/>
        </w:rPr>
      </w:pPr>
      <w:r w:rsidRPr="00146CD4">
        <w:rPr>
          <w:rFonts w:ascii="Times New Roman" w:eastAsiaTheme="minorHAnsi" w:hAnsi="Times New Roman" w:cs="Times New Roman"/>
          <w:b/>
          <w:bCs/>
          <w:sz w:val="22"/>
          <w:lang w:eastAsia="en-US"/>
        </w:rPr>
        <w:t xml:space="preserve">Panel D:  Pay inequity and pay equity and employee productivity </w:t>
      </w:r>
    </w:p>
    <w:tbl>
      <w:tblPr>
        <w:tblW w:w="11218" w:type="dxa"/>
        <w:tblInd w:w="-993" w:type="dxa"/>
        <w:tblLayout w:type="fixed"/>
        <w:tblLook w:val="04A0" w:firstRow="1" w:lastRow="0" w:firstColumn="1" w:lastColumn="0" w:noHBand="0" w:noVBand="1"/>
      </w:tblPr>
      <w:tblGrid>
        <w:gridCol w:w="3191"/>
        <w:gridCol w:w="999"/>
        <w:gridCol w:w="945"/>
        <w:gridCol w:w="909"/>
        <w:gridCol w:w="913"/>
        <w:gridCol w:w="236"/>
        <w:gridCol w:w="985"/>
        <w:gridCol w:w="998"/>
        <w:gridCol w:w="998"/>
        <w:gridCol w:w="1035"/>
        <w:gridCol w:w="9"/>
      </w:tblGrid>
      <w:tr w:rsidR="009A7B5F" w:rsidRPr="003172B0" w14:paraId="4D99684A" w14:textId="77777777" w:rsidTr="00EA589B">
        <w:trPr>
          <w:gridAfter w:val="1"/>
          <w:wAfter w:w="9" w:type="dxa"/>
          <w:trHeight w:val="75"/>
        </w:trPr>
        <w:tc>
          <w:tcPr>
            <w:tcW w:w="3191" w:type="dxa"/>
            <w:tcBorders>
              <w:bottom w:val="single" w:sz="2" w:space="0" w:color="auto"/>
            </w:tcBorders>
            <w:shd w:val="clear" w:color="auto" w:fill="auto"/>
            <w:noWrap/>
            <w:vAlign w:val="center"/>
            <w:hideMark/>
          </w:tcPr>
          <w:p w14:paraId="362D87EC"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99" w:type="dxa"/>
            <w:tcBorders>
              <w:top w:val="single" w:sz="2" w:space="0" w:color="auto"/>
              <w:bottom w:val="single" w:sz="2" w:space="0" w:color="auto"/>
            </w:tcBorders>
            <w:shd w:val="clear" w:color="auto" w:fill="auto"/>
            <w:noWrap/>
            <w:vAlign w:val="center"/>
            <w:hideMark/>
          </w:tcPr>
          <w:p w14:paraId="0BC4492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FFE</w:t>
            </w:r>
          </w:p>
        </w:tc>
        <w:tc>
          <w:tcPr>
            <w:tcW w:w="945" w:type="dxa"/>
            <w:tcBorders>
              <w:top w:val="single" w:sz="2" w:space="0" w:color="auto"/>
              <w:bottom w:val="single" w:sz="2" w:space="0" w:color="auto"/>
            </w:tcBorders>
            <w:shd w:val="clear" w:color="auto" w:fill="auto"/>
            <w:noWrap/>
            <w:vAlign w:val="center"/>
            <w:hideMark/>
          </w:tcPr>
          <w:p w14:paraId="0437C7B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Delta</w:t>
            </w:r>
          </w:p>
        </w:tc>
        <w:tc>
          <w:tcPr>
            <w:tcW w:w="909" w:type="dxa"/>
            <w:tcBorders>
              <w:top w:val="single" w:sz="2" w:space="0" w:color="auto"/>
              <w:bottom w:val="single" w:sz="2" w:space="0" w:color="auto"/>
            </w:tcBorders>
            <w:shd w:val="clear" w:color="auto" w:fill="auto"/>
            <w:noWrap/>
            <w:vAlign w:val="center"/>
            <w:hideMark/>
          </w:tcPr>
          <w:p w14:paraId="6AF4BFA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Dynamic</w:t>
            </w:r>
          </w:p>
        </w:tc>
        <w:tc>
          <w:tcPr>
            <w:tcW w:w="913" w:type="dxa"/>
            <w:tcBorders>
              <w:top w:val="single" w:sz="2" w:space="0" w:color="auto"/>
              <w:bottom w:val="single" w:sz="2" w:space="0" w:color="auto"/>
            </w:tcBorders>
            <w:shd w:val="clear" w:color="auto" w:fill="auto"/>
            <w:noWrap/>
            <w:vAlign w:val="center"/>
            <w:hideMark/>
          </w:tcPr>
          <w:p w14:paraId="4A69F250" w14:textId="392CA078" w:rsidR="009A7B5F" w:rsidRPr="004E0226" w:rsidRDefault="009A7B5F" w:rsidP="009F5DF5">
            <w:pPr>
              <w:spacing w:after="0" w:line="240" w:lineRule="auto"/>
              <w:ind w:firstLine="0"/>
              <w:jc w:val="left"/>
              <w:rPr>
                <w:rFonts w:eastAsia="Times New Roman" w:cstheme="majorBidi"/>
                <w:color w:val="000000"/>
                <w:sz w:val="18"/>
                <w:szCs w:val="18"/>
              </w:rPr>
            </w:pPr>
            <w:r w:rsidRPr="004E0226">
              <w:rPr>
                <w:rFonts w:eastAsia="Times New Roman" w:cstheme="majorBidi"/>
                <w:color w:val="000000"/>
                <w:sz w:val="18"/>
                <w:szCs w:val="18"/>
              </w:rPr>
              <w:t>SGMM</w:t>
            </w:r>
            <w:r w:rsidR="00293798" w:rsidRPr="004E0226">
              <w:rPr>
                <w:rStyle w:val="FootnoteReference"/>
                <w:rFonts w:eastAsia="Times New Roman" w:cstheme="majorBidi"/>
                <w:color w:val="000000"/>
                <w:sz w:val="18"/>
                <w:szCs w:val="18"/>
              </w:rPr>
              <w:footnoteReference w:id="22"/>
            </w:r>
          </w:p>
        </w:tc>
        <w:tc>
          <w:tcPr>
            <w:tcW w:w="236" w:type="dxa"/>
          </w:tcPr>
          <w:p w14:paraId="5D81D62E" w14:textId="77777777" w:rsidR="009A7B5F" w:rsidRPr="004E0226" w:rsidRDefault="009A7B5F" w:rsidP="009F5DF5">
            <w:pPr>
              <w:spacing w:after="0" w:line="240" w:lineRule="auto"/>
              <w:ind w:firstLine="0"/>
              <w:jc w:val="center"/>
              <w:rPr>
                <w:rFonts w:eastAsia="Times New Roman" w:cstheme="majorBidi"/>
                <w:color w:val="000000"/>
                <w:sz w:val="18"/>
                <w:szCs w:val="18"/>
              </w:rPr>
            </w:pPr>
          </w:p>
        </w:tc>
        <w:tc>
          <w:tcPr>
            <w:tcW w:w="985" w:type="dxa"/>
            <w:tcBorders>
              <w:top w:val="single" w:sz="2" w:space="0" w:color="auto"/>
              <w:bottom w:val="single" w:sz="2" w:space="0" w:color="auto"/>
            </w:tcBorders>
            <w:shd w:val="clear" w:color="auto" w:fill="auto"/>
            <w:noWrap/>
            <w:vAlign w:val="center"/>
            <w:hideMark/>
          </w:tcPr>
          <w:p w14:paraId="59028ADC"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FFE</w:t>
            </w:r>
          </w:p>
        </w:tc>
        <w:tc>
          <w:tcPr>
            <w:tcW w:w="998" w:type="dxa"/>
            <w:tcBorders>
              <w:top w:val="single" w:sz="2" w:space="0" w:color="auto"/>
              <w:bottom w:val="single" w:sz="2" w:space="0" w:color="auto"/>
            </w:tcBorders>
            <w:shd w:val="clear" w:color="auto" w:fill="auto"/>
            <w:noWrap/>
            <w:vAlign w:val="center"/>
            <w:hideMark/>
          </w:tcPr>
          <w:p w14:paraId="51960631"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Delta</w:t>
            </w:r>
          </w:p>
        </w:tc>
        <w:tc>
          <w:tcPr>
            <w:tcW w:w="998" w:type="dxa"/>
            <w:tcBorders>
              <w:top w:val="single" w:sz="2" w:space="0" w:color="auto"/>
              <w:bottom w:val="single" w:sz="2" w:space="0" w:color="auto"/>
            </w:tcBorders>
            <w:shd w:val="clear" w:color="auto" w:fill="auto"/>
            <w:noWrap/>
            <w:vAlign w:val="center"/>
            <w:hideMark/>
          </w:tcPr>
          <w:p w14:paraId="037871B4"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Dynamic</w:t>
            </w:r>
          </w:p>
        </w:tc>
        <w:tc>
          <w:tcPr>
            <w:tcW w:w="1035" w:type="dxa"/>
            <w:tcBorders>
              <w:top w:val="single" w:sz="2" w:space="0" w:color="auto"/>
              <w:bottom w:val="single" w:sz="2" w:space="0" w:color="auto"/>
            </w:tcBorders>
            <w:shd w:val="clear" w:color="auto" w:fill="auto"/>
            <w:noWrap/>
            <w:vAlign w:val="center"/>
            <w:hideMark/>
          </w:tcPr>
          <w:p w14:paraId="3EAEA915"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SGMM</w:t>
            </w:r>
          </w:p>
        </w:tc>
      </w:tr>
      <w:tr w:rsidR="009A7B5F" w:rsidRPr="003172B0" w14:paraId="0AF76788" w14:textId="77777777" w:rsidTr="00EA589B">
        <w:trPr>
          <w:gridAfter w:val="1"/>
          <w:wAfter w:w="9" w:type="dxa"/>
          <w:trHeight w:val="75"/>
        </w:trPr>
        <w:tc>
          <w:tcPr>
            <w:tcW w:w="3191" w:type="dxa"/>
            <w:shd w:val="clear" w:color="auto" w:fill="auto"/>
            <w:noWrap/>
            <w:vAlign w:val="center"/>
            <w:hideMark/>
          </w:tcPr>
          <w:p w14:paraId="1142BAAC" w14:textId="77777777" w:rsidR="009A7B5F" w:rsidRPr="003172B0" w:rsidRDefault="009A7B5F" w:rsidP="009F5DF5">
            <w:pPr>
              <w:spacing w:after="0"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Lag.TFP</w:t>
            </w:r>
            <w:proofErr w:type="spellEnd"/>
          </w:p>
        </w:tc>
        <w:tc>
          <w:tcPr>
            <w:tcW w:w="999" w:type="dxa"/>
            <w:shd w:val="clear" w:color="auto" w:fill="auto"/>
            <w:noWrap/>
            <w:vAlign w:val="center"/>
            <w:hideMark/>
          </w:tcPr>
          <w:p w14:paraId="48001F84"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45" w:type="dxa"/>
            <w:shd w:val="clear" w:color="auto" w:fill="auto"/>
            <w:noWrap/>
            <w:vAlign w:val="center"/>
            <w:hideMark/>
          </w:tcPr>
          <w:p w14:paraId="47C5EC49"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09" w:type="dxa"/>
            <w:shd w:val="clear" w:color="auto" w:fill="auto"/>
            <w:noWrap/>
            <w:vAlign w:val="center"/>
            <w:hideMark/>
          </w:tcPr>
          <w:p w14:paraId="0F06847D"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0.748***</w:t>
            </w:r>
          </w:p>
        </w:tc>
        <w:tc>
          <w:tcPr>
            <w:tcW w:w="913" w:type="dxa"/>
            <w:shd w:val="clear" w:color="auto" w:fill="auto"/>
            <w:noWrap/>
            <w:vAlign w:val="center"/>
            <w:hideMark/>
          </w:tcPr>
          <w:p w14:paraId="08156C55"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0.611***</w:t>
            </w:r>
          </w:p>
        </w:tc>
        <w:tc>
          <w:tcPr>
            <w:tcW w:w="236" w:type="dxa"/>
          </w:tcPr>
          <w:p w14:paraId="38E99FD8"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75A5E653"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7881FB94"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98" w:type="dxa"/>
            <w:shd w:val="clear" w:color="auto" w:fill="auto"/>
            <w:noWrap/>
            <w:vAlign w:val="center"/>
            <w:hideMark/>
          </w:tcPr>
          <w:p w14:paraId="2D9D5FAB" w14:textId="77777777" w:rsidR="009A7B5F" w:rsidRPr="003172B0" w:rsidRDefault="009A7B5F" w:rsidP="009F5DF5">
            <w:pPr>
              <w:spacing w:after="0" w:line="240" w:lineRule="auto"/>
              <w:ind w:firstLine="0"/>
              <w:jc w:val="center"/>
              <w:rPr>
                <w:rFonts w:eastAsia="Times New Roman" w:cstheme="majorBidi"/>
                <w:sz w:val="18"/>
                <w:szCs w:val="18"/>
              </w:rPr>
            </w:pPr>
          </w:p>
        </w:tc>
        <w:tc>
          <w:tcPr>
            <w:tcW w:w="1035" w:type="dxa"/>
            <w:shd w:val="clear" w:color="auto" w:fill="auto"/>
            <w:noWrap/>
            <w:vAlign w:val="center"/>
            <w:hideMark/>
          </w:tcPr>
          <w:p w14:paraId="096BE330"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 </w:t>
            </w:r>
          </w:p>
        </w:tc>
      </w:tr>
      <w:tr w:rsidR="009A7B5F" w:rsidRPr="003172B0" w14:paraId="244F52D9" w14:textId="77777777" w:rsidTr="00EA589B">
        <w:trPr>
          <w:gridAfter w:val="1"/>
          <w:wAfter w:w="9" w:type="dxa"/>
          <w:trHeight w:val="75"/>
        </w:trPr>
        <w:tc>
          <w:tcPr>
            <w:tcW w:w="3191" w:type="dxa"/>
            <w:shd w:val="clear" w:color="auto" w:fill="auto"/>
            <w:noWrap/>
            <w:vAlign w:val="center"/>
            <w:hideMark/>
          </w:tcPr>
          <w:p w14:paraId="504B7DA2"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9" w:type="dxa"/>
            <w:shd w:val="clear" w:color="auto" w:fill="auto"/>
            <w:noWrap/>
            <w:vAlign w:val="center"/>
            <w:hideMark/>
          </w:tcPr>
          <w:p w14:paraId="7B1F96A6"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45" w:type="dxa"/>
            <w:shd w:val="clear" w:color="auto" w:fill="auto"/>
            <w:noWrap/>
            <w:vAlign w:val="center"/>
            <w:hideMark/>
          </w:tcPr>
          <w:p w14:paraId="05E3669A"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09" w:type="dxa"/>
            <w:shd w:val="clear" w:color="auto" w:fill="auto"/>
            <w:noWrap/>
            <w:vAlign w:val="center"/>
            <w:hideMark/>
          </w:tcPr>
          <w:p w14:paraId="7FE3E501"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(0.0000)</w:t>
            </w:r>
          </w:p>
        </w:tc>
        <w:tc>
          <w:tcPr>
            <w:tcW w:w="913" w:type="dxa"/>
            <w:shd w:val="clear" w:color="auto" w:fill="auto"/>
            <w:noWrap/>
            <w:vAlign w:val="center"/>
            <w:hideMark/>
          </w:tcPr>
          <w:p w14:paraId="64D54701"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(0.0000)</w:t>
            </w:r>
          </w:p>
        </w:tc>
        <w:tc>
          <w:tcPr>
            <w:tcW w:w="236" w:type="dxa"/>
          </w:tcPr>
          <w:p w14:paraId="6511E414"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7A67B09F"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76EFD066"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98" w:type="dxa"/>
            <w:shd w:val="clear" w:color="auto" w:fill="auto"/>
            <w:noWrap/>
            <w:vAlign w:val="center"/>
            <w:hideMark/>
          </w:tcPr>
          <w:p w14:paraId="691AD702" w14:textId="77777777" w:rsidR="009A7B5F" w:rsidRPr="003172B0" w:rsidRDefault="009A7B5F" w:rsidP="009F5DF5">
            <w:pPr>
              <w:spacing w:after="0" w:line="240" w:lineRule="auto"/>
              <w:ind w:firstLine="0"/>
              <w:jc w:val="center"/>
              <w:rPr>
                <w:rFonts w:eastAsia="Times New Roman" w:cstheme="majorBidi"/>
                <w:sz w:val="18"/>
                <w:szCs w:val="18"/>
              </w:rPr>
            </w:pPr>
          </w:p>
        </w:tc>
        <w:tc>
          <w:tcPr>
            <w:tcW w:w="1035" w:type="dxa"/>
            <w:shd w:val="clear" w:color="auto" w:fill="auto"/>
            <w:noWrap/>
            <w:vAlign w:val="center"/>
            <w:hideMark/>
          </w:tcPr>
          <w:p w14:paraId="45B74E9A"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 </w:t>
            </w:r>
          </w:p>
        </w:tc>
      </w:tr>
      <w:tr w:rsidR="009A7B5F" w:rsidRPr="003172B0" w14:paraId="1983C019" w14:textId="77777777" w:rsidTr="00EA589B">
        <w:trPr>
          <w:gridAfter w:val="1"/>
          <w:wAfter w:w="9" w:type="dxa"/>
          <w:trHeight w:val="75"/>
        </w:trPr>
        <w:tc>
          <w:tcPr>
            <w:tcW w:w="3191" w:type="dxa"/>
            <w:shd w:val="clear" w:color="auto" w:fill="auto"/>
            <w:noWrap/>
            <w:vAlign w:val="center"/>
            <w:hideMark/>
          </w:tcPr>
          <w:p w14:paraId="122A0DB3" w14:textId="77777777" w:rsidR="009A7B5F" w:rsidRPr="003172B0" w:rsidRDefault="009A7B5F" w:rsidP="009F5DF5">
            <w:pPr>
              <w:spacing w:after="0"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Lag.SLE</w:t>
            </w:r>
            <w:proofErr w:type="spellEnd"/>
          </w:p>
        </w:tc>
        <w:tc>
          <w:tcPr>
            <w:tcW w:w="999" w:type="dxa"/>
            <w:shd w:val="clear" w:color="auto" w:fill="auto"/>
            <w:noWrap/>
            <w:vAlign w:val="center"/>
            <w:hideMark/>
          </w:tcPr>
          <w:p w14:paraId="725C4EB6"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45" w:type="dxa"/>
            <w:shd w:val="clear" w:color="auto" w:fill="auto"/>
            <w:noWrap/>
            <w:vAlign w:val="center"/>
            <w:hideMark/>
          </w:tcPr>
          <w:p w14:paraId="5A448F48"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09" w:type="dxa"/>
            <w:shd w:val="clear" w:color="auto" w:fill="auto"/>
            <w:noWrap/>
            <w:vAlign w:val="center"/>
            <w:hideMark/>
          </w:tcPr>
          <w:p w14:paraId="13399E0B"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13" w:type="dxa"/>
            <w:shd w:val="clear" w:color="auto" w:fill="auto"/>
            <w:noWrap/>
            <w:vAlign w:val="center"/>
            <w:hideMark/>
          </w:tcPr>
          <w:p w14:paraId="2470BA27"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 </w:t>
            </w:r>
          </w:p>
        </w:tc>
        <w:tc>
          <w:tcPr>
            <w:tcW w:w="236" w:type="dxa"/>
          </w:tcPr>
          <w:p w14:paraId="13A23FD0"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5276D9A4"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34884291"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98" w:type="dxa"/>
            <w:shd w:val="clear" w:color="auto" w:fill="auto"/>
            <w:noWrap/>
            <w:vAlign w:val="center"/>
            <w:hideMark/>
          </w:tcPr>
          <w:p w14:paraId="6A6E9448"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0.649***</w:t>
            </w:r>
          </w:p>
        </w:tc>
        <w:tc>
          <w:tcPr>
            <w:tcW w:w="1035" w:type="dxa"/>
            <w:shd w:val="clear" w:color="auto" w:fill="auto"/>
            <w:noWrap/>
            <w:vAlign w:val="center"/>
            <w:hideMark/>
          </w:tcPr>
          <w:p w14:paraId="2F3B85AB"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0.576***</w:t>
            </w:r>
          </w:p>
        </w:tc>
      </w:tr>
      <w:tr w:rsidR="009A7B5F" w:rsidRPr="003172B0" w14:paraId="7DCAD2B6" w14:textId="77777777" w:rsidTr="00EA589B">
        <w:trPr>
          <w:gridAfter w:val="1"/>
          <w:wAfter w:w="9" w:type="dxa"/>
          <w:trHeight w:val="75"/>
        </w:trPr>
        <w:tc>
          <w:tcPr>
            <w:tcW w:w="3191" w:type="dxa"/>
            <w:shd w:val="clear" w:color="auto" w:fill="auto"/>
            <w:noWrap/>
            <w:vAlign w:val="center"/>
            <w:hideMark/>
          </w:tcPr>
          <w:p w14:paraId="6E6D43C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9" w:type="dxa"/>
            <w:shd w:val="clear" w:color="auto" w:fill="auto"/>
            <w:noWrap/>
            <w:vAlign w:val="center"/>
            <w:hideMark/>
          </w:tcPr>
          <w:p w14:paraId="70CE8BE0"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45" w:type="dxa"/>
            <w:shd w:val="clear" w:color="auto" w:fill="auto"/>
            <w:noWrap/>
            <w:vAlign w:val="center"/>
            <w:hideMark/>
          </w:tcPr>
          <w:p w14:paraId="3ED8F501"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09" w:type="dxa"/>
            <w:shd w:val="clear" w:color="auto" w:fill="auto"/>
            <w:noWrap/>
            <w:vAlign w:val="center"/>
            <w:hideMark/>
          </w:tcPr>
          <w:p w14:paraId="243BFF1B"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13" w:type="dxa"/>
            <w:shd w:val="clear" w:color="auto" w:fill="auto"/>
            <w:noWrap/>
            <w:vAlign w:val="center"/>
            <w:hideMark/>
          </w:tcPr>
          <w:p w14:paraId="2CB67D2F"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 </w:t>
            </w:r>
          </w:p>
        </w:tc>
        <w:tc>
          <w:tcPr>
            <w:tcW w:w="236" w:type="dxa"/>
          </w:tcPr>
          <w:p w14:paraId="6FED4DC3"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7DCD1BEF"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40B5A7D2"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98" w:type="dxa"/>
            <w:shd w:val="clear" w:color="auto" w:fill="auto"/>
            <w:noWrap/>
            <w:vAlign w:val="center"/>
            <w:hideMark/>
          </w:tcPr>
          <w:p w14:paraId="13F3F0D8"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(0.0000)</w:t>
            </w:r>
          </w:p>
        </w:tc>
        <w:tc>
          <w:tcPr>
            <w:tcW w:w="1035" w:type="dxa"/>
            <w:shd w:val="clear" w:color="auto" w:fill="auto"/>
            <w:noWrap/>
            <w:vAlign w:val="center"/>
            <w:hideMark/>
          </w:tcPr>
          <w:p w14:paraId="106B41DF"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(0.0000)</w:t>
            </w:r>
          </w:p>
        </w:tc>
      </w:tr>
      <w:tr w:rsidR="009A7B5F" w:rsidRPr="003172B0" w14:paraId="2D325BC6" w14:textId="77777777" w:rsidTr="00EA589B">
        <w:trPr>
          <w:gridAfter w:val="1"/>
          <w:wAfter w:w="9" w:type="dxa"/>
          <w:trHeight w:val="75"/>
        </w:trPr>
        <w:tc>
          <w:tcPr>
            <w:tcW w:w="3191" w:type="dxa"/>
            <w:shd w:val="clear" w:color="auto" w:fill="auto"/>
            <w:noWrap/>
            <w:vAlign w:val="center"/>
            <w:hideMark/>
          </w:tcPr>
          <w:p w14:paraId="690293FD"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Pay equity</w:t>
            </w:r>
          </w:p>
        </w:tc>
        <w:tc>
          <w:tcPr>
            <w:tcW w:w="999" w:type="dxa"/>
            <w:shd w:val="clear" w:color="auto" w:fill="auto"/>
            <w:noWrap/>
            <w:vAlign w:val="center"/>
            <w:hideMark/>
          </w:tcPr>
          <w:p w14:paraId="22F44520"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-0.442**</w:t>
            </w:r>
          </w:p>
        </w:tc>
        <w:tc>
          <w:tcPr>
            <w:tcW w:w="945" w:type="dxa"/>
            <w:shd w:val="clear" w:color="auto" w:fill="auto"/>
            <w:noWrap/>
            <w:vAlign w:val="center"/>
            <w:hideMark/>
          </w:tcPr>
          <w:p w14:paraId="100CABE7"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09" w:type="dxa"/>
            <w:shd w:val="clear" w:color="auto" w:fill="auto"/>
            <w:noWrap/>
            <w:vAlign w:val="center"/>
            <w:hideMark/>
          </w:tcPr>
          <w:p w14:paraId="512B7723"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-0.244***</w:t>
            </w:r>
          </w:p>
        </w:tc>
        <w:tc>
          <w:tcPr>
            <w:tcW w:w="913" w:type="dxa"/>
            <w:shd w:val="clear" w:color="auto" w:fill="auto"/>
            <w:noWrap/>
            <w:vAlign w:val="center"/>
            <w:hideMark/>
          </w:tcPr>
          <w:p w14:paraId="0B8658BA"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-0.555***</w:t>
            </w:r>
          </w:p>
        </w:tc>
        <w:tc>
          <w:tcPr>
            <w:tcW w:w="236" w:type="dxa"/>
          </w:tcPr>
          <w:p w14:paraId="3C069756"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63E887D2"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-0.053</w:t>
            </w:r>
          </w:p>
        </w:tc>
        <w:tc>
          <w:tcPr>
            <w:tcW w:w="998" w:type="dxa"/>
            <w:shd w:val="clear" w:color="auto" w:fill="auto"/>
            <w:noWrap/>
            <w:vAlign w:val="center"/>
            <w:hideMark/>
          </w:tcPr>
          <w:p w14:paraId="6AAF6B5D"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66B6B416"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-0.222***</w:t>
            </w:r>
          </w:p>
        </w:tc>
        <w:tc>
          <w:tcPr>
            <w:tcW w:w="1035" w:type="dxa"/>
            <w:shd w:val="clear" w:color="auto" w:fill="auto"/>
            <w:noWrap/>
            <w:vAlign w:val="center"/>
            <w:hideMark/>
          </w:tcPr>
          <w:p w14:paraId="0A27A003"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-0.472*</w:t>
            </w:r>
          </w:p>
        </w:tc>
      </w:tr>
      <w:tr w:rsidR="009A7B5F" w:rsidRPr="003172B0" w14:paraId="1E545E19" w14:textId="77777777" w:rsidTr="00EA589B">
        <w:trPr>
          <w:gridAfter w:val="1"/>
          <w:wAfter w:w="9" w:type="dxa"/>
          <w:trHeight w:val="75"/>
        </w:trPr>
        <w:tc>
          <w:tcPr>
            <w:tcW w:w="3191" w:type="dxa"/>
            <w:shd w:val="clear" w:color="auto" w:fill="auto"/>
            <w:noWrap/>
            <w:vAlign w:val="center"/>
            <w:hideMark/>
          </w:tcPr>
          <w:p w14:paraId="7FF775BF"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9" w:type="dxa"/>
            <w:shd w:val="clear" w:color="auto" w:fill="auto"/>
            <w:noWrap/>
            <w:vAlign w:val="center"/>
            <w:hideMark/>
          </w:tcPr>
          <w:p w14:paraId="536D10C7"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(0.0155)</w:t>
            </w:r>
          </w:p>
        </w:tc>
        <w:tc>
          <w:tcPr>
            <w:tcW w:w="945" w:type="dxa"/>
            <w:shd w:val="clear" w:color="auto" w:fill="auto"/>
            <w:noWrap/>
            <w:vAlign w:val="center"/>
            <w:hideMark/>
          </w:tcPr>
          <w:p w14:paraId="1A298DD1"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09" w:type="dxa"/>
            <w:shd w:val="clear" w:color="auto" w:fill="auto"/>
            <w:noWrap/>
            <w:vAlign w:val="center"/>
            <w:hideMark/>
          </w:tcPr>
          <w:p w14:paraId="47325781"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(0.0005)</w:t>
            </w:r>
          </w:p>
        </w:tc>
        <w:tc>
          <w:tcPr>
            <w:tcW w:w="913" w:type="dxa"/>
            <w:shd w:val="clear" w:color="auto" w:fill="auto"/>
            <w:noWrap/>
            <w:vAlign w:val="center"/>
            <w:hideMark/>
          </w:tcPr>
          <w:p w14:paraId="7153BBC3"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(0.0096)</w:t>
            </w:r>
          </w:p>
        </w:tc>
        <w:tc>
          <w:tcPr>
            <w:tcW w:w="236" w:type="dxa"/>
          </w:tcPr>
          <w:p w14:paraId="3457281E"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0EAADF8B"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(0.6872)</w:t>
            </w:r>
          </w:p>
        </w:tc>
        <w:tc>
          <w:tcPr>
            <w:tcW w:w="998" w:type="dxa"/>
            <w:shd w:val="clear" w:color="auto" w:fill="auto"/>
            <w:noWrap/>
            <w:vAlign w:val="center"/>
            <w:hideMark/>
          </w:tcPr>
          <w:p w14:paraId="4C4E8667"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7B86EC04"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(0.0081)</w:t>
            </w:r>
          </w:p>
        </w:tc>
        <w:tc>
          <w:tcPr>
            <w:tcW w:w="1035" w:type="dxa"/>
            <w:shd w:val="clear" w:color="auto" w:fill="auto"/>
            <w:noWrap/>
            <w:vAlign w:val="center"/>
            <w:hideMark/>
          </w:tcPr>
          <w:p w14:paraId="0219440D"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(0.0724)</w:t>
            </w:r>
          </w:p>
        </w:tc>
      </w:tr>
      <w:tr w:rsidR="009A7B5F" w:rsidRPr="003172B0" w14:paraId="45C8302C" w14:textId="77777777" w:rsidTr="00EA589B">
        <w:trPr>
          <w:gridAfter w:val="1"/>
          <w:wAfter w:w="9" w:type="dxa"/>
          <w:trHeight w:val="75"/>
        </w:trPr>
        <w:tc>
          <w:tcPr>
            <w:tcW w:w="3191" w:type="dxa"/>
            <w:shd w:val="clear" w:color="auto" w:fill="auto"/>
            <w:noWrap/>
            <w:vAlign w:val="center"/>
            <w:hideMark/>
          </w:tcPr>
          <w:p w14:paraId="25AAA17A" w14:textId="77777777" w:rsidR="009A7B5F" w:rsidRPr="003172B0" w:rsidRDefault="009A7B5F" w:rsidP="009F5DF5">
            <w:pPr>
              <w:spacing w:after="0"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PayInequity</w:t>
            </w:r>
            <w:proofErr w:type="spellEnd"/>
          </w:p>
        </w:tc>
        <w:tc>
          <w:tcPr>
            <w:tcW w:w="999" w:type="dxa"/>
            <w:shd w:val="clear" w:color="auto" w:fill="auto"/>
            <w:noWrap/>
            <w:vAlign w:val="center"/>
            <w:hideMark/>
          </w:tcPr>
          <w:p w14:paraId="1E019F3D"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-0.144***</w:t>
            </w:r>
          </w:p>
        </w:tc>
        <w:tc>
          <w:tcPr>
            <w:tcW w:w="945" w:type="dxa"/>
            <w:shd w:val="clear" w:color="auto" w:fill="auto"/>
            <w:noWrap/>
            <w:vAlign w:val="center"/>
            <w:hideMark/>
          </w:tcPr>
          <w:p w14:paraId="3F469970"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09" w:type="dxa"/>
            <w:shd w:val="clear" w:color="auto" w:fill="auto"/>
            <w:noWrap/>
            <w:vAlign w:val="center"/>
            <w:hideMark/>
          </w:tcPr>
          <w:p w14:paraId="127932F6"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-0.117***</w:t>
            </w:r>
          </w:p>
        </w:tc>
        <w:tc>
          <w:tcPr>
            <w:tcW w:w="913" w:type="dxa"/>
            <w:shd w:val="clear" w:color="auto" w:fill="auto"/>
            <w:noWrap/>
            <w:vAlign w:val="center"/>
            <w:hideMark/>
          </w:tcPr>
          <w:p w14:paraId="4EA4AF9A"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-0.180**</w:t>
            </w:r>
          </w:p>
        </w:tc>
        <w:tc>
          <w:tcPr>
            <w:tcW w:w="236" w:type="dxa"/>
          </w:tcPr>
          <w:p w14:paraId="1EF1958B"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3502ACDE"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-0.114***</w:t>
            </w:r>
          </w:p>
        </w:tc>
        <w:tc>
          <w:tcPr>
            <w:tcW w:w="998" w:type="dxa"/>
            <w:shd w:val="clear" w:color="auto" w:fill="auto"/>
            <w:noWrap/>
            <w:vAlign w:val="center"/>
            <w:hideMark/>
          </w:tcPr>
          <w:p w14:paraId="42AEA367"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40BF8FB1"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-0.154***</w:t>
            </w:r>
          </w:p>
        </w:tc>
        <w:tc>
          <w:tcPr>
            <w:tcW w:w="1035" w:type="dxa"/>
            <w:shd w:val="clear" w:color="auto" w:fill="auto"/>
            <w:noWrap/>
            <w:vAlign w:val="center"/>
            <w:hideMark/>
          </w:tcPr>
          <w:p w14:paraId="0FF85B03"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-0.227***</w:t>
            </w:r>
          </w:p>
        </w:tc>
      </w:tr>
      <w:tr w:rsidR="009A7B5F" w:rsidRPr="003172B0" w14:paraId="548C6577" w14:textId="77777777" w:rsidTr="00EA589B">
        <w:trPr>
          <w:gridAfter w:val="1"/>
          <w:wAfter w:w="9" w:type="dxa"/>
          <w:trHeight w:val="75"/>
        </w:trPr>
        <w:tc>
          <w:tcPr>
            <w:tcW w:w="3191" w:type="dxa"/>
            <w:shd w:val="clear" w:color="auto" w:fill="auto"/>
            <w:noWrap/>
            <w:vAlign w:val="center"/>
            <w:hideMark/>
          </w:tcPr>
          <w:p w14:paraId="2BECD6A9"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9" w:type="dxa"/>
            <w:shd w:val="clear" w:color="auto" w:fill="auto"/>
            <w:noWrap/>
            <w:vAlign w:val="center"/>
            <w:hideMark/>
          </w:tcPr>
          <w:p w14:paraId="37F3E098"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(0.0002)</w:t>
            </w:r>
          </w:p>
        </w:tc>
        <w:tc>
          <w:tcPr>
            <w:tcW w:w="945" w:type="dxa"/>
            <w:shd w:val="clear" w:color="auto" w:fill="auto"/>
            <w:noWrap/>
            <w:vAlign w:val="center"/>
            <w:hideMark/>
          </w:tcPr>
          <w:p w14:paraId="21FC00D6"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09" w:type="dxa"/>
            <w:shd w:val="clear" w:color="auto" w:fill="auto"/>
            <w:noWrap/>
            <w:vAlign w:val="center"/>
            <w:hideMark/>
          </w:tcPr>
          <w:p w14:paraId="5BB8CE82" w14:textId="77777777" w:rsidR="009A7B5F" w:rsidRPr="00AE49BB" w:rsidRDefault="009A7B5F" w:rsidP="009F5DF5">
            <w:pPr>
              <w:spacing w:after="0" w:line="240" w:lineRule="auto"/>
              <w:ind w:firstLine="0"/>
              <w:jc w:val="center"/>
              <w:rPr>
                <w:rFonts w:eastAsia="Times New Roman" w:cstheme="majorBidi"/>
                <w:color w:val="000000"/>
                <w:sz w:val="18"/>
                <w:szCs w:val="18"/>
              </w:rPr>
            </w:pPr>
            <w:r>
              <w:rPr>
                <w:rFonts w:eastAsia="Times New Roman" w:cstheme="majorBidi"/>
                <w:color w:val="000000"/>
                <w:sz w:val="18"/>
                <w:szCs w:val="18"/>
              </w:rPr>
              <w:t>(0,000)</w:t>
            </w:r>
          </w:p>
        </w:tc>
        <w:tc>
          <w:tcPr>
            <w:tcW w:w="913" w:type="dxa"/>
            <w:shd w:val="clear" w:color="auto" w:fill="auto"/>
            <w:noWrap/>
            <w:vAlign w:val="center"/>
            <w:hideMark/>
          </w:tcPr>
          <w:p w14:paraId="5BD736FA"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(0.0188)</w:t>
            </w:r>
          </w:p>
        </w:tc>
        <w:tc>
          <w:tcPr>
            <w:tcW w:w="236" w:type="dxa"/>
          </w:tcPr>
          <w:p w14:paraId="6A650848"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40FBAED6"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(0.0000)</w:t>
            </w:r>
          </w:p>
        </w:tc>
        <w:tc>
          <w:tcPr>
            <w:tcW w:w="998" w:type="dxa"/>
            <w:shd w:val="clear" w:color="auto" w:fill="auto"/>
            <w:noWrap/>
            <w:vAlign w:val="center"/>
            <w:hideMark/>
          </w:tcPr>
          <w:p w14:paraId="126F2B2D"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4DD8123F"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(0.0000)</w:t>
            </w:r>
          </w:p>
        </w:tc>
        <w:tc>
          <w:tcPr>
            <w:tcW w:w="1035" w:type="dxa"/>
            <w:shd w:val="clear" w:color="auto" w:fill="auto"/>
            <w:noWrap/>
            <w:vAlign w:val="center"/>
            <w:hideMark/>
          </w:tcPr>
          <w:p w14:paraId="7540DDDD"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(0.0021)</w:t>
            </w:r>
          </w:p>
        </w:tc>
      </w:tr>
      <w:tr w:rsidR="009A7B5F" w:rsidRPr="003172B0" w14:paraId="5487EC00" w14:textId="77777777" w:rsidTr="00EA589B">
        <w:trPr>
          <w:gridAfter w:val="1"/>
          <w:wAfter w:w="9" w:type="dxa"/>
          <w:trHeight w:val="75"/>
        </w:trPr>
        <w:tc>
          <w:tcPr>
            <w:tcW w:w="3191" w:type="dxa"/>
            <w:shd w:val="clear" w:color="auto" w:fill="auto"/>
            <w:noWrap/>
            <w:vAlign w:val="center"/>
            <w:hideMark/>
          </w:tcPr>
          <w:p w14:paraId="291D5B93" w14:textId="77777777" w:rsidR="009A7B5F" w:rsidRPr="003172B0" w:rsidRDefault="009A7B5F" w:rsidP="009F5DF5">
            <w:pPr>
              <w:spacing w:after="0"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Changes.Pay</w:t>
            </w:r>
            <w:proofErr w:type="spellEnd"/>
            <w:r w:rsidRPr="003172B0">
              <w:rPr>
                <w:rFonts w:eastAsia="Times New Roman" w:cstheme="majorBidi"/>
                <w:color w:val="000000"/>
                <w:sz w:val="18"/>
                <w:szCs w:val="18"/>
              </w:rPr>
              <w:t xml:space="preserve"> equity</w:t>
            </w:r>
          </w:p>
        </w:tc>
        <w:tc>
          <w:tcPr>
            <w:tcW w:w="999" w:type="dxa"/>
            <w:shd w:val="clear" w:color="auto" w:fill="auto"/>
            <w:noWrap/>
            <w:vAlign w:val="center"/>
            <w:hideMark/>
          </w:tcPr>
          <w:p w14:paraId="664EEBF8"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45" w:type="dxa"/>
            <w:shd w:val="clear" w:color="auto" w:fill="auto"/>
            <w:noWrap/>
            <w:vAlign w:val="center"/>
            <w:hideMark/>
          </w:tcPr>
          <w:p w14:paraId="7CBF7390"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0.273*</w:t>
            </w:r>
          </w:p>
        </w:tc>
        <w:tc>
          <w:tcPr>
            <w:tcW w:w="909" w:type="dxa"/>
            <w:shd w:val="clear" w:color="auto" w:fill="auto"/>
            <w:noWrap/>
            <w:vAlign w:val="center"/>
            <w:hideMark/>
          </w:tcPr>
          <w:p w14:paraId="57C15FC9"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13" w:type="dxa"/>
            <w:shd w:val="clear" w:color="auto" w:fill="auto"/>
            <w:noWrap/>
            <w:vAlign w:val="center"/>
            <w:hideMark/>
          </w:tcPr>
          <w:p w14:paraId="30848141"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236" w:type="dxa"/>
          </w:tcPr>
          <w:p w14:paraId="665F6F48"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763D00BC"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1D521580"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0.232</w:t>
            </w:r>
          </w:p>
        </w:tc>
        <w:tc>
          <w:tcPr>
            <w:tcW w:w="998" w:type="dxa"/>
            <w:shd w:val="clear" w:color="auto" w:fill="auto"/>
            <w:noWrap/>
            <w:vAlign w:val="center"/>
            <w:hideMark/>
          </w:tcPr>
          <w:p w14:paraId="710F83DF"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1035" w:type="dxa"/>
            <w:shd w:val="clear" w:color="auto" w:fill="auto"/>
            <w:noWrap/>
            <w:vAlign w:val="center"/>
            <w:hideMark/>
          </w:tcPr>
          <w:p w14:paraId="7B4300F0"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 </w:t>
            </w:r>
          </w:p>
        </w:tc>
      </w:tr>
      <w:tr w:rsidR="009A7B5F" w:rsidRPr="003172B0" w14:paraId="3B7B70F6" w14:textId="77777777" w:rsidTr="00EA589B">
        <w:trPr>
          <w:gridAfter w:val="1"/>
          <w:wAfter w:w="9" w:type="dxa"/>
          <w:trHeight w:val="75"/>
        </w:trPr>
        <w:tc>
          <w:tcPr>
            <w:tcW w:w="3191" w:type="dxa"/>
            <w:shd w:val="clear" w:color="auto" w:fill="auto"/>
            <w:noWrap/>
            <w:vAlign w:val="center"/>
            <w:hideMark/>
          </w:tcPr>
          <w:p w14:paraId="7D759CBB"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9" w:type="dxa"/>
            <w:shd w:val="clear" w:color="auto" w:fill="auto"/>
            <w:noWrap/>
            <w:vAlign w:val="center"/>
            <w:hideMark/>
          </w:tcPr>
          <w:p w14:paraId="240A9EE2"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45" w:type="dxa"/>
            <w:shd w:val="clear" w:color="auto" w:fill="auto"/>
            <w:noWrap/>
            <w:vAlign w:val="center"/>
            <w:hideMark/>
          </w:tcPr>
          <w:p w14:paraId="467DFBC6"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(0.0827)</w:t>
            </w:r>
          </w:p>
        </w:tc>
        <w:tc>
          <w:tcPr>
            <w:tcW w:w="909" w:type="dxa"/>
            <w:shd w:val="clear" w:color="auto" w:fill="auto"/>
            <w:noWrap/>
            <w:vAlign w:val="center"/>
            <w:hideMark/>
          </w:tcPr>
          <w:p w14:paraId="6A30B331"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13" w:type="dxa"/>
            <w:shd w:val="clear" w:color="auto" w:fill="auto"/>
            <w:noWrap/>
            <w:vAlign w:val="center"/>
            <w:hideMark/>
          </w:tcPr>
          <w:p w14:paraId="69575DF4"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236" w:type="dxa"/>
          </w:tcPr>
          <w:p w14:paraId="57BC3CD8"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6B771730"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52C17BC8"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(0.3237)</w:t>
            </w:r>
          </w:p>
        </w:tc>
        <w:tc>
          <w:tcPr>
            <w:tcW w:w="998" w:type="dxa"/>
            <w:shd w:val="clear" w:color="auto" w:fill="auto"/>
            <w:noWrap/>
            <w:vAlign w:val="center"/>
            <w:hideMark/>
          </w:tcPr>
          <w:p w14:paraId="63B67E7F"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1035" w:type="dxa"/>
            <w:shd w:val="clear" w:color="auto" w:fill="auto"/>
            <w:noWrap/>
            <w:vAlign w:val="center"/>
            <w:hideMark/>
          </w:tcPr>
          <w:p w14:paraId="6B1FBBFB"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 </w:t>
            </w:r>
          </w:p>
        </w:tc>
      </w:tr>
      <w:tr w:rsidR="009A7B5F" w:rsidRPr="003172B0" w14:paraId="63DC2EBB" w14:textId="77777777" w:rsidTr="00EA589B">
        <w:trPr>
          <w:gridAfter w:val="1"/>
          <w:wAfter w:w="9" w:type="dxa"/>
          <w:trHeight w:val="75"/>
        </w:trPr>
        <w:tc>
          <w:tcPr>
            <w:tcW w:w="3191" w:type="dxa"/>
            <w:shd w:val="clear" w:color="auto" w:fill="auto"/>
            <w:noWrap/>
            <w:vAlign w:val="center"/>
            <w:hideMark/>
          </w:tcPr>
          <w:p w14:paraId="09A9730C" w14:textId="77777777" w:rsidR="009A7B5F" w:rsidRPr="003172B0" w:rsidRDefault="009A7B5F" w:rsidP="009F5DF5">
            <w:pPr>
              <w:spacing w:after="0" w:line="240" w:lineRule="auto"/>
              <w:ind w:firstLine="0"/>
              <w:jc w:val="left"/>
              <w:rPr>
                <w:rFonts w:eastAsia="Times New Roman" w:cstheme="majorBidi"/>
                <w:color w:val="000000"/>
                <w:sz w:val="18"/>
                <w:szCs w:val="18"/>
              </w:rPr>
            </w:pPr>
            <w:proofErr w:type="spellStart"/>
            <w:r w:rsidRPr="003172B0">
              <w:rPr>
                <w:rFonts w:eastAsia="Times New Roman" w:cstheme="majorBidi"/>
                <w:color w:val="000000"/>
                <w:sz w:val="18"/>
                <w:szCs w:val="18"/>
              </w:rPr>
              <w:t>Changes.PayInequity</w:t>
            </w:r>
            <w:proofErr w:type="spellEnd"/>
          </w:p>
        </w:tc>
        <w:tc>
          <w:tcPr>
            <w:tcW w:w="999" w:type="dxa"/>
            <w:shd w:val="clear" w:color="auto" w:fill="auto"/>
            <w:noWrap/>
            <w:vAlign w:val="center"/>
            <w:hideMark/>
          </w:tcPr>
          <w:p w14:paraId="44AF597E"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45" w:type="dxa"/>
            <w:shd w:val="clear" w:color="auto" w:fill="auto"/>
            <w:noWrap/>
            <w:vAlign w:val="center"/>
            <w:hideMark/>
          </w:tcPr>
          <w:p w14:paraId="16091137"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-0.197***</w:t>
            </w:r>
          </w:p>
        </w:tc>
        <w:tc>
          <w:tcPr>
            <w:tcW w:w="909" w:type="dxa"/>
            <w:shd w:val="clear" w:color="auto" w:fill="auto"/>
            <w:noWrap/>
            <w:vAlign w:val="center"/>
            <w:hideMark/>
          </w:tcPr>
          <w:p w14:paraId="74E627AB"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13" w:type="dxa"/>
            <w:shd w:val="clear" w:color="auto" w:fill="auto"/>
            <w:noWrap/>
            <w:vAlign w:val="center"/>
            <w:hideMark/>
          </w:tcPr>
          <w:p w14:paraId="3C8CD045"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236" w:type="dxa"/>
          </w:tcPr>
          <w:p w14:paraId="011EB85E"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1293A4B3"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4522237F"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-0.294***</w:t>
            </w:r>
          </w:p>
        </w:tc>
        <w:tc>
          <w:tcPr>
            <w:tcW w:w="998" w:type="dxa"/>
            <w:shd w:val="clear" w:color="auto" w:fill="auto"/>
            <w:noWrap/>
            <w:vAlign w:val="center"/>
            <w:hideMark/>
          </w:tcPr>
          <w:p w14:paraId="49B89484" w14:textId="77777777" w:rsidR="009A7B5F" w:rsidRPr="00AE49BB" w:rsidRDefault="009A7B5F" w:rsidP="009F5DF5">
            <w:pPr>
              <w:spacing w:after="0" w:line="240" w:lineRule="auto"/>
              <w:ind w:firstLine="0"/>
              <w:jc w:val="center"/>
              <w:rPr>
                <w:rFonts w:eastAsia="Times New Roman" w:cstheme="majorBidi"/>
                <w:color w:val="000000"/>
                <w:sz w:val="18"/>
                <w:szCs w:val="18"/>
              </w:rPr>
            </w:pPr>
          </w:p>
        </w:tc>
        <w:tc>
          <w:tcPr>
            <w:tcW w:w="1035" w:type="dxa"/>
            <w:shd w:val="clear" w:color="auto" w:fill="auto"/>
            <w:noWrap/>
            <w:vAlign w:val="center"/>
            <w:hideMark/>
          </w:tcPr>
          <w:p w14:paraId="49267826" w14:textId="77777777" w:rsidR="009A7B5F" w:rsidRPr="00AE49BB" w:rsidRDefault="009A7B5F" w:rsidP="009F5DF5">
            <w:pPr>
              <w:spacing w:after="0" w:line="240" w:lineRule="auto"/>
              <w:ind w:firstLine="0"/>
              <w:jc w:val="center"/>
              <w:rPr>
                <w:rFonts w:eastAsia="Times New Roman" w:cstheme="majorBidi"/>
                <w:color w:val="000000"/>
                <w:sz w:val="18"/>
                <w:szCs w:val="18"/>
              </w:rPr>
            </w:pPr>
            <w:r w:rsidRPr="00AE49BB">
              <w:rPr>
                <w:rFonts w:eastAsia="Times New Roman" w:cstheme="majorBidi"/>
                <w:color w:val="000000"/>
                <w:sz w:val="18"/>
                <w:szCs w:val="18"/>
              </w:rPr>
              <w:t> </w:t>
            </w:r>
          </w:p>
        </w:tc>
      </w:tr>
      <w:tr w:rsidR="009A7B5F" w:rsidRPr="003172B0" w14:paraId="437613BA" w14:textId="77777777" w:rsidTr="00EA589B">
        <w:trPr>
          <w:gridAfter w:val="1"/>
          <w:wAfter w:w="9" w:type="dxa"/>
          <w:trHeight w:val="75"/>
        </w:trPr>
        <w:tc>
          <w:tcPr>
            <w:tcW w:w="3191" w:type="dxa"/>
            <w:shd w:val="clear" w:color="auto" w:fill="auto"/>
            <w:noWrap/>
            <w:vAlign w:val="center"/>
            <w:hideMark/>
          </w:tcPr>
          <w:p w14:paraId="10F9AF7A" w14:textId="77777777" w:rsidR="009A7B5F" w:rsidRPr="003172B0" w:rsidRDefault="009A7B5F" w:rsidP="009F5DF5">
            <w:pPr>
              <w:spacing w:after="0" w:line="240" w:lineRule="auto"/>
              <w:ind w:firstLine="0"/>
              <w:jc w:val="left"/>
              <w:rPr>
                <w:rFonts w:eastAsia="Times New Roman" w:cstheme="majorBidi"/>
                <w:color w:val="000000"/>
                <w:sz w:val="18"/>
                <w:szCs w:val="18"/>
              </w:rPr>
            </w:pPr>
          </w:p>
        </w:tc>
        <w:tc>
          <w:tcPr>
            <w:tcW w:w="999" w:type="dxa"/>
            <w:shd w:val="clear" w:color="auto" w:fill="auto"/>
            <w:noWrap/>
            <w:vAlign w:val="center"/>
            <w:hideMark/>
          </w:tcPr>
          <w:p w14:paraId="55CD923E"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45" w:type="dxa"/>
            <w:shd w:val="clear" w:color="auto" w:fill="auto"/>
            <w:noWrap/>
            <w:vAlign w:val="center"/>
            <w:hideMark/>
          </w:tcPr>
          <w:p w14:paraId="4A7033D5"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(0.0000)</w:t>
            </w:r>
          </w:p>
        </w:tc>
        <w:tc>
          <w:tcPr>
            <w:tcW w:w="909" w:type="dxa"/>
            <w:shd w:val="clear" w:color="auto" w:fill="auto"/>
            <w:noWrap/>
            <w:vAlign w:val="center"/>
            <w:hideMark/>
          </w:tcPr>
          <w:p w14:paraId="4D814E04"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13" w:type="dxa"/>
            <w:shd w:val="clear" w:color="auto" w:fill="auto"/>
            <w:noWrap/>
            <w:vAlign w:val="center"/>
            <w:hideMark/>
          </w:tcPr>
          <w:p w14:paraId="749ACEE9"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236" w:type="dxa"/>
          </w:tcPr>
          <w:p w14:paraId="7200AA37"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1E8EFDA3"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6EA52137"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(0.0000)</w:t>
            </w:r>
          </w:p>
        </w:tc>
        <w:tc>
          <w:tcPr>
            <w:tcW w:w="998" w:type="dxa"/>
            <w:shd w:val="clear" w:color="auto" w:fill="auto"/>
            <w:noWrap/>
            <w:vAlign w:val="center"/>
            <w:hideMark/>
          </w:tcPr>
          <w:p w14:paraId="4FF8345D"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1035" w:type="dxa"/>
            <w:shd w:val="clear" w:color="auto" w:fill="auto"/>
            <w:noWrap/>
            <w:vAlign w:val="center"/>
            <w:hideMark/>
          </w:tcPr>
          <w:p w14:paraId="7FFDB783"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 </w:t>
            </w:r>
          </w:p>
        </w:tc>
      </w:tr>
      <w:tr w:rsidR="009A7B5F" w:rsidRPr="003172B0" w14:paraId="6B524F56" w14:textId="77777777" w:rsidTr="00EA589B">
        <w:trPr>
          <w:gridAfter w:val="1"/>
          <w:wAfter w:w="9" w:type="dxa"/>
          <w:trHeight w:val="75"/>
        </w:trPr>
        <w:tc>
          <w:tcPr>
            <w:tcW w:w="3191" w:type="dxa"/>
            <w:shd w:val="clear" w:color="auto" w:fill="auto"/>
            <w:noWrap/>
            <w:vAlign w:val="center"/>
          </w:tcPr>
          <w:p w14:paraId="23DF993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Controls</w:t>
            </w:r>
          </w:p>
        </w:tc>
        <w:tc>
          <w:tcPr>
            <w:tcW w:w="999" w:type="dxa"/>
            <w:shd w:val="clear" w:color="auto" w:fill="auto"/>
            <w:noWrap/>
            <w:vAlign w:val="center"/>
          </w:tcPr>
          <w:p w14:paraId="5405BA3B"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Yes</w:t>
            </w:r>
          </w:p>
        </w:tc>
        <w:tc>
          <w:tcPr>
            <w:tcW w:w="945" w:type="dxa"/>
            <w:shd w:val="clear" w:color="auto" w:fill="auto"/>
            <w:noWrap/>
            <w:vAlign w:val="center"/>
          </w:tcPr>
          <w:p w14:paraId="7AC64ECF"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Yes</w:t>
            </w:r>
          </w:p>
        </w:tc>
        <w:tc>
          <w:tcPr>
            <w:tcW w:w="909" w:type="dxa"/>
            <w:shd w:val="clear" w:color="auto" w:fill="auto"/>
            <w:noWrap/>
            <w:vAlign w:val="center"/>
          </w:tcPr>
          <w:p w14:paraId="24CA5230"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Yes</w:t>
            </w:r>
          </w:p>
        </w:tc>
        <w:tc>
          <w:tcPr>
            <w:tcW w:w="913" w:type="dxa"/>
            <w:shd w:val="clear" w:color="auto" w:fill="auto"/>
            <w:noWrap/>
            <w:vAlign w:val="center"/>
          </w:tcPr>
          <w:p w14:paraId="00BFC000"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Yes</w:t>
            </w:r>
          </w:p>
        </w:tc>
        <w:tc>
          <w:tcPr>
            <w:tcW w:w="236" w:type="dxa"/>
          </w:tcPr>
          <w:p w14:paraId="57357B31"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tcPr>
          <w:p w14:paraId="39C3F3AC"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Yes</w:t>
            </w:r>
          </w:p>
        </w:tc>
        <w:tc>
          <w:tcPr>
            <w:tcW w:w="998" w:type="dxa"/>
            <w:shd w:val="clear" w:color="auto" w:fill="auto"/>
            <w:noWrap/>
            <w:vAlign w:val="center"/>
          </w:tcPr>
          <w:p w14:paraId="2D67EFDE"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Yes</w:t>
            </w:r>
          </w:p>
        </w:tc>
        <w:tc>
          <w:tcPr>
            <w:tcW w:w="998" w:type="dxa"/>
            <w:shd w:val="clear" w:color="auto" w:fill="auto"/>
            <w:noWrap/>
            <w:vAlign w:val="center"/>
          </w:tcPr>
          <w:p w14:paraId="0769DE16"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Yes</w:t>
            </w:r>
          </w:p>
        </w:tc>
        <w:tc>
          <w:tcPr>
            <w:tcW w:w="1035" w:type="dxa"/>
            <w:shd w:val="clear" w:color="auto" w:fill="auto"/>
            <w:noWrap/>
            <w:vAlign w:val="center"/>
          </w:tcPr>
          <w:p w14:paraId="03799B95"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Yes</w:t>
            </w:r>
          </w:p>
        </w:tc>
      </w:tr>
      <w:tr w:rsidR="009A7B5F" w:rsidRPr="003172B0" w14:paraId="01CC92D8" w14:textId="77777777" w:rsidTr="00EA589B">
        <w:trPr>
          <w:gridAfter w:val="1"/>
          <w:wAfter w:w="9" w:type="dxa"/>
          <w:trHeight w:val="75"/>
        </w:trPr>
        <w:tc>
          <w:tcPr>
            <w:tcW w:w="3191" w:type="dxa"/>
            <w:shd w:val="clear" w:color="auto" w:fill="auto"/>
            <w:noWrap/>
            <w:vAlign w:val="center"/>
            <w:hideMark/>
          </w:tcPr>
          <w:p w14:paraId="4FBA7686"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Observation</w:t>
            </w:r>
          </w:p>
        </w:tc>
        <w:tc>
          <w:tcPr>
            <w:tcW w:w="999" w:type="dxa"/>
            <w:shd w:val="clear" w:color="auto" w:fill="auto"/>
            <w:noWrap/>
            <w:vAlign w:val="center"/>
            <w:hideMark/>
          </w:tcPr>
          <w:p w14:paraId="3F61DC41"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1932</w:t>
            </w:r>
          </w:p>
        </w:tc>
        <w:tc>
          <w:tcPr>
            <w:tcW w:w="945" w:type="dxa"/>
            <w:shd w:val="clear" w:color="auto" w:fill="auto"/>
            <w:noWrap/>
            <w:vAlign w:val="center"/>
            <w:hideMark/>
          </w:tcPr>
          <w:p w14:paraId="284B80D5"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1491</w:t>
            </w:r>
          </w:p>
        </w:tc>
        <w:tc>
          <w:tcPr>
            <w:tcW w:w="909" w:type="dxa"/>
            <w:shd w:val="clear" w:color="auto" w:fill="auto"/>
            <w:noWrap/>
            <w:vAlign w:val="center"/>
            <w:hideMark/>
          </w:tcPr>
          <w:p w14:paraId="739A2F56"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1733</w:t>
            </w:r>
          </w:p>
        </w:tc>
        <w:tc>
          <w:tcPr>
            <w:tcW w:w="913" w:type="dxa"/>
            <w:shd w:val="clear" w:color="auto" w:fill="auto"/>
            <w:noWrap/>
            <w:vAlign w:val="center"/>
            <w:hideMark/>
          </w:tcPr>
          <w:p w14:paraId="7D16ECC6"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1577</w:t>
            </w:r>
          </w:p>
        </w:tc>
        <w:tc>
          <w:tcPr>
            <w:tcW w:w="236" w:type="dxa"/>
          </w:tcPr>
          <w:p w14:paraId="738675EA"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08669A4E"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1938</w:t>
            </w:r>
          </w:p>
        </w:tc>
        <w:tc>
          <w:tcPr>
            <w:tcW w:w="998" w:type="dxa"/>
            <w:shd w:val="clear" w:color="auto" w:fill="auto"/>
            <w:noWrap/>
            <w:vAlign w:val="center"/>
            <w:hideMark/>
          </w:tcPr>
          <w:p w14:paraId="633A6565"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1499</w:t>
            </w:r>
          </w:p>
        </w:tc>
        <w:tc>
          <w:tcPr>
            <w:tcW w:w="998" w:type="dxa"/>
            <w:shd w:val="clear" w:color="auto" w:fill="auto"/>
            <w:noWrap/>
            <w:vAlign w:val="center"/>
            <w:hideMark/>
          </w:tcPr>
          <w:p w14:paraId="5250C355"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1743</w:t>
            </w:r>
          </w:p>
        </w:tc>
        <w:tc>
          <w:tcPr>
            <w:tcW w:w="1035" w:type="dxa"/>
            <w:shd w:val="clear" w:color="auto" w:fill="auto"/>
            <w:noWrap/>
            <w:vAlign w:val="center"/>
            <w:hideMark/>
          </w:tcPr>
          <w:p w14:paraId="7F628671"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1585</w:t>
            </w:r>
          </w:p>
        </w:tc>
      </w:tr>
      <w:tr w:rsidR="009A7B5F" w:rsidRPr="003172B0" w14:paraId="3030FD94" w14:textId="77777777" w:rsidTr="00EA589B">
        <w:trPr>
          <w:gridAfter w:val="1"/>
          <w:wAfter w:w="9" w:type="dxa"/>
          <w:trHeight w:val="75"/>
        </w:trPr>
        <w:tc>
          <w:tcPr>
            <w:tcW w:w="3191" w:type="dxa"/>
            <w:shd w:val="clear" w:color="auto" w:fill="auto"/>
            <w:noWrap/>
            <w:vAlign w:val="center"/>
            <w:hideMark/>
          </w:tcPr>
          <w:p w14:paraId="202A0A44"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Firms</w:t>
            </w:r>
          </w:p>
        </w:tc>
        <w:tc>
          <w:tcPr>
            <w:tcW w:w="999" w:type="dxa"/>
            <w:shd w:val="clear" w:color="auto" w:fill="auto"/>
            <w:noWrap/>
            <w:vAlign w:val="center"/>
            <w:hideMark/>
          </w:tcPr>
          <w:p w14:paraId="07D8831D"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368</w:t>
            </w:r>
          </w:p>
        </w:tc>
        <w:tc>
          <w:tcPr>
            <w:tcW w:w="945" w:type="dxa"/>
            <w:shd w:val="clear" w:color="auto" w:fill="auto"/>
            <w:noWrap/>
            <w:vAlign w:val="center"/>
            <w:hideMark/>
          </w:tcPr>
          <w:p w14:paraId="182AA0B1"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305</w:t>
            </w:r>
          </w:p>
        </w:tc>
        <w:tc>
          <w:tcPr>
            <w:tcW w:w="909" w:type="dxa"/>
            <w:shd w:val="clear" w:color="auto" w:fill="auto"/>
            <w:noWrap/>
            <w:vAlign w:val="center"/>
            <w:hideMark/>
          </w:tcPr>
          <w:p w14:paraId="36635FC6"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342</w:t>
            </w:r>
          </w:p>
        </w:tc>
        <w:tc>
          <w:tcPr>
            <w:tcW w:w="913" w:type="dxa"/>
            <w:shd w:val="clear" w:color="auto" w:fill="auto"/>
            <w:noWrap/>
            <w:vAlign w:val="center"/>
            <w:hideMark/>
          </w:tcPr>
          <w:p w14:paraId="1D5DEE9F"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 </w:t>
            </w:r>
          </w:p>
        </w:tc>
        <w:tc>
          <w:tcPr>
            <w:tcW w:w="236" w:type="dxa"/>
          </w:tcPr>
          <w:p w14:paraId="37980C60"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5F1F84B5"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368</w:t>
            </w:r>
          </w:p>
        </w:tc>
        <w:tc>
          <w:tcPr>
            <w:tcW w:w="998" w:type="dxa"/>
            <w:shd w:val="clear" w:color="auto" w:fill="auto"/>
            <w:noWrap/>
            <w:vAlign w:val="center"/>
            <w:hideMark/>
          </w:tcPr>
          <w:p w14:paraId="5732F8AE"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307</w:t>
            </w:r>
          </w:p>
        </w:tc>
        <w:tc>
          <w:tcPr>
            <w:tcW w:w="998" w:type="dxa"/>
            <w:shd w:val="clear" w:color="auto" w:fill="auto"/>
            <w:noWrap/>
            <w:vAlign w:val="center"/>
            <w:hideMark/>
          </w:tcPr>
          <w:p w14:paraId="597B1EC0"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344</w:t>
            </w:r>
          </w:p>
        </w:tc>
        <w:tc>
          <w:tcPr>
            <w:tcW w:w="1035" w:type="dxa"/>
            <w:shd w:val="clear" w:color="auto" w:fill="auto"/>
            <w:noWrap/>
            <w:vAlign w:val="center"/>
            <w:hideMark/>
          </w:tcPr>
          <w:p w14:paraId="63578909"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 </w:t>
            </w:r>
          </w:p>
        </w:tc>
      </w:tr>
      <w:tr w:rsidR="009A7B5F" w:rsidRPr="003172B0" w14:paraId="7B2D207A" w14:textId="77777777" w:rsidTr="00EA589B">
        <w:trPr>
          <w:gridAfter w:val="1"/>
          <w:wAfter w:w="9" w:type="dxa"/>
          <w:trHeight w:val="75"/>
        </w:trPr>
        <w:tc>
          <w:tcPr>
            <w:tcW w:w="3191" w:type="dxa"/>
            <w:shd w:val="clear" w:color="auto" w:fill="auto"/>
            <w:noWrap/>
            <w:vAlign w:val="center"/>
            <w:hideMark/>
          </w:tcPr>
          <w:p w14:paraId="627CF267"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Adjusted R2</w:t>
            </w:r>
          </w:p>
        </w:tc>
        <w:tc>
          <w:tcPr>
            <w:tcW w:w="999" w:type="dxa"/>
            <w:shd w:val="clear" w:color="auto" w:fill="auto"/>
            <w:noWrap/>
            <w:vAlign w:val="center"/>
            <w:hideMark/>
          </w:tcPr>
          <w:p w14:paraId="6E6C38E0"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0.376</w:t>
            </w:r>
          </w:p>
        </w:tc>
        <w:tc>
          <w:tcPr>
            <w:tcW w:w="945" w:type="dxa"/>
            <w:shd w:val="clear" w:color="auto" w:fill="auto"/>
            <w:noWrap/>
            <w:vAlign w:val="center"/>
            <w:hideMark/>
          </w:tcPr>
          <w:p w14:paraId="48CED2F3"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0.114</w:t>
            </w:r>
          </w:p>
        </w:tc>
        <w:tc>
          <w:tcPr>
            <w:tcW w:w="909" w:type="dxa"/>
            <w:shd w:val="clear" w:color="auto" w:fill="auto"/>
            <w:noWrap/>
            <w:vAlign w:val="center"/>
            <w:hideMark/>
          </w:tcPr>
          <w:p w14:paraId="417F8B92"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0.818</w:t>
            </w:r>
          </w:p>
        </w:tc>
        <w:tc>
          <w:tcPr>
            <w:tcW w:w="913" w:type="dxa"/>
            <w:shd w:val="clear" w:color="auto" w:fill="auto"/>
            <w:noWrap/>
            <w:vAlign w:val="center"/>
            <w:hideMark/>
          </w:tcPr>
          <w:p w14:paraId="551A2AF7"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 </w:t>
            </w:r>
          </w:p>
        </w:tc>
        <w:tc>
          <w:tcPr>
            <w:tcW w:w="236" w:type="dxa"/>
          </w:tcPr>
          <w:p w14:paraId="67EF3825"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5F49CB4A"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0.706</w:t>
            </w:r>
          </w:p>
        </w:tc>
        <w:tc>
          <w:tcPr>
            <w:tcW w:w="998" w:type="dxa"/>
            <w:shd w:val="clear" w:color="auto" w:fill="auto"/>
            <w:noWrap/>
            <w:vAlign w:val="center"/>
            <w:hideMark/>
          </w:tcPr>
          <w:p w14:paraId="2D08CCA5"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0.150</w:t>
            </w:r>
          </w:p>
        </w:tc>
        <w:tc>
          <w:tcPr>
            <w:tcW w:w="998" w:type="dxa"/>
            <w:shd w:val="clear" w:color="auto" w:fill="auto"/>
            <w:noWrap/>
            <w:vAlign w:val="center"/>
            <w:hideMark/>
          </w:tcPr>
          <w:p w14:paraId="459FABF6"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0.835</w:t>
            </w:r>
          </w:p>
        </w:tc>
        <w:tc>
          <w:tcPr>
            <w:tcW w:w="1035" w:type="dxa"/>
            <w:shd w:val="clear" w:color="auto" w:fill="auto"/>
            <w:noWrap/>
            <w:vAlign w:val="center"/>
            <w:hideMark/>
          </w:tcPr>
          <w:p w14:paraId="1994C3ED"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 </w:t>
            </w:r>
          </w:p>
        </w:tc>
      </w:tr>
      <w:tr w:rsidR="009A7B5F" w:rsidRPr="003172B0" w14:paraId="7C4A9E42" w14:textId="77777777" w:rsidTr="00EA589B">
        <w:trPr>
          <w:gridAfter w:val="1"/>
          <w:wAfter w:w="9" w:type="dxa"/>
          <w:trHeight w:val="75"/>
        </w:trPr>
        <w:tc>
          <w:tcPr>
            <w:tcW w:w="3191" w:type="dxa"/>
            <w:shd w:val="clear" w:color="auto" w:fill="auto"/>
            <w:noWrap/>
            <w:vAlign w:val="center"/>
            <w:hideMark/>
          </w:tcPr>
          <w:p w14:paraId="0D43F02B"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Root MSE</w:t>
            </w:r>
          </w:p>
        </w:tc>
        <w:tc>
          <w:tcPr>
            <w:tcW w:w="999" w:type="dxa"/>
            <w:shd w:val="clear" w:color="auto" w:fill="auto"/>
            <w:noWrap/>
            <w:vAlign w:val="center"/>
            <w:hideMark/>
          </w:tcPr>
          <w:p w14:paraId="0261613D"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0.378</w:t>
            </w:r>
          </w:p>
        </w:tc>
        <w:tc>
          <w:tcPr>
            <w:tcW w:w="945" w:type="dxa"/>
            <w:shd w:val="clear" w:color="auto" w:fill="auto"/>
            <w:noWrap/>
            <w:vAlign w:val="center"/>
            <w:hideMark/>
          </w:tcPr>
          <w:p w14:paraId="6CDC1CCD"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0.431</w:t>
            </w:r>
          </w:p>
        </w:tc>
        <w:tc>
          <w:tcPr>
            <w:tcW w:w="909" w:type="dxa"/>
            <w:shd w:val="clear" w:color="auto" w:fill="auto"/>
            <w:noWrap/>
            <w:vAlign w:val="center"/>
            <w:hideMark/>
          </w:tcPr>
          <w:p w14:paraId="5349D4CB"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0.457</w:t>
            </w:r>
          </w:p>
        </w:tc>
        <w:tc>
          <w:tcPr>
            <w:tcW w:w="913" w:type="dxa"/>
            <w:shd w:val="clear" w:color="auto" w:fill="auto"/>
            <w:noWrap/>
            <w:vAlign w:val="center"/>
            <w:hideMark/>
          </w:tcPr>
          <w:p w14:paraId="527544F0"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 </w:t>
            </w:r>
          </w:p>
        </w:tc>
        <w:tc>
          <w:tcPr>
            <w:tcW w:w="236" w:type="dxa"/>
          </w:tcPr>
          <w:p w14:paraId="77E2992E"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4B1B6C6D"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0.282</w:t>
            </w:r>
          </w:p>
        </w:tc>
        <w:tc>
          <w:tcPr>
            <w:tcW w:w="998" w:type="dxa"/>
            <w:shd w:val="clear" w:color="auto" w:fill="auto"/>
            <w:noWrap/>
            <w:vAlign w:val="center"/>
            <w:hideMark/>
          </w:tcPr>
          <w:p w14:paraId="761B6F08"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0.461</w:t>
            </w:r>
          </w:p>
        </w:tc>
        <w:tc>
          <w:tcPr>
            <w:tcW w:w="998" w:type="dxa"/>
            <w:shd w:val="clear" w:color="auto" w:fill="auto"/>
            <w:noWrap/>
            <w:vAlign w:val="center"/>
            <w:hideMark/>
          </w:tcPr>
          <w:p w14:paraId="157F7328"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0.479</w:t>
            </w:r>
          </w:p>
        </w:tc>
        <w:tc>
          <w:tcPr>
            <w:tcW w:w="1035" w:type="dxa"/>
            <w:shd w:val="clear" w:color="auto" w:fill="auto"/>
            <w:noWrap/>
            <w:vAlign w:val="center"/>
            <w:hideMark/>
          </w:tcPr>
          <w:p w14:paraId="557172B6"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 </w:t>
            </w:r>
          </w:p>
        </w:tc>
      </w:tr>
      <w:tr w:rsidR="009A7B5F" w:rsidRPr="003172B0" w14:paraId="5613BC83" w14:textId="77777777" w:rsidTr="00EA589B">
        <w:trPr>
          <w:gridAfter w:val="1"/>
          <w:wAfter w:w="9" w:type="dxa"/>
          <w:trHeight w:val="75"/>
        </w:trPr>
        <w:tc>
          <w:tcPr>
            <w:tcW w:w="3191" w:type="dxa"/>
            <w:shd w:val="clear" w:color="auto" w:fill="auto"/>
            <w:noWrap/>
            <w:vAlign w:val="center"/>
            <w:hideMark/>
          </w:tcPr>
          <w:p w14:paraId="55A64AA1"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Number of </w:t>
            </w:r>
            <w:proofErr w:type="gramStart"/>
            <w:r w:rsidRPr="003172B0">
              <w:rPr>
                <w:rFonts w:eastAsia="Times New Roman" w:cstheme="majorBidi"/>
                <w:color w:val="000000"/>
                <w:sz w:val="18"/>
                <w:szCs w:val="18"/>
              </w:rPr>
              <w:t>Ins</w:t>
            </w:r>
            <w:proofErr w:type="gramEnd"/>
          </w:p>
        </w:tc>
        <w:tc>
          <w:tcPr>
            <w:tcW w:w="999" w:type="dxa"/>
            <w:shd w:val="clear" w:color="auto" w:fill="auto"/>
            <w:noWrap/>
            <w:vAlign w:val="center"/>
            <w:hideMark/>
          </w:tcPr>
          <w:p w14:paraId="6789D7AE"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45" w:type="dxa"/>
            <w:shd w:val="clear" w:color="auto" w:fill="auto"/>
            <w:noWrap/>
            <w:vAlign w:val="center"/>
            <w:hideMark/>
          </w:tcPr>
          <w:p w14:paraId="2E241C35"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09" w:type="dxa"/>
            <w:shd w:val="clear" w:color="auto" w:fill="auto"/>
            <w:noWrap/>
            <w:vAlign w:val="center"/>
            <w:hideMark/>
          </w:tcPr>
          <w:p w14:paraId="3A5AE99B"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13" w:type="dxa"/>
            <w:shd w:val="clear" w:color="auto" w:fill="auto"/>
            <w:noWrap/>
            <w:vAlign w:val="center"/>
            <w:hideMark/>
          </w:tcPr>
          <w:p w14:paraId="4CC0BCAB"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203</w:t>
            </w:r>
          </w:p>
        </w:tc>
        <w:tc>
          <w:tcPr>
            <w:tcW w:w="236" w:type="dxa"/>
          </w:tcPr>
          <w:p w14:paraId="1912D267"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021E6A93"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63EB42DF"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98" w:type="dxa"/>
            <w:shd w:val="clear" w:color="auto" w:fill="auto"/>
            <w:noWrap/>
            <w:vAlign w:val="center"/>
            <w:hideMark/>
          </w:tcPr>
          <w:p w14:paraId="53714B11" w14:textId="77777777" w:rsidR="009A7B5F" w:rsidRPr="003172B0" w:rsidRDefault="009A7B5F" w:rsidP="009F5DF5">
            <w:pPr>
              <w:spacing w:after="0" w:line="240" w:lineRule="auto"/>
              <w:ind w:firstLine="0"/>
              <w:jc w:val="center"/>
              <w:rPr>
                <w:rFonts w:eastAsia="Times New Roman" w:cstheme="majorBidi"/>
                <w:sz w:val="18"/>
                <w:szCs w:val="18"/>
              </w:rPr>
            </w:pPr>
          </w:p>
        </w:tc>
        <w:tc>
          <w:tcPr>
            <w:tcW w:w="1035" w:type="dxa"/>
            <w:shd w:val="clear" w:color="auto" w:fill="auto"/>
            <w:noWrap/>
            <w:vAlign w:val="center"/>
            <w:hideMark/>
          </w:tcPr>
          <w:p w14:paraId="3C59A4CA"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207</w:t>
            </w:r>
          </w:p>
        </w:tc>
      </w:tr>
      <w:tr w:rsidR="009A7B5F" w:rsidRPr="003172B0" w14:paraId="7A61C8ED" w14:textId="77777777" w:rsidTr="00EA589B">
        <w:trPr>
          <w:gridAfter w:val="1"/>
          <w:wAfter w:w="9" w:type="dxa"/>
          <w:trHeight w:val="75"/>
        </w:trPr>
        <w:tc>
          <w:tcPr>
            <w:tcW w:w="3191" w:type="dxa"/>
            <w:shd w:val="clear" w:color="auto" w:fill="auto"/>
            <w:noWrap/>
            <w:vAlign w:val="center"/>
            <w:hideMark/>
          </w:tcPr>
          <w:p w14:paraId="4E33D35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Arellano-Bond test for </w:t>
            </w:r>
            <w:proofErr w:type="gramStart"/>
            <w:r w:rsidRPr="003172B0">
              <w:rPr>
                <w:rFonts w:eastAsia="Times New Roman" w:cstheme="majorBidi"/>
                <w:color w:val="000000"/>
                <w:sz w:val="18"/>
                <w:szCs w:val="18"/>
              </w:rPr>
              <w:t>AR(</w:t>
            </w:r>
            <w:proofErr w:type="gramEnd"/>
            <w:r w:rsidRPr="003172B0">
              <w:rPr>
                <w:rFonts w:eastAsia="Times New Roman" w:cstheme="majorBidi"/>
                <w:color w:val="000000"/>
                <w:sz w:val="18"/>
                <w:szCs w:val="18"/>
              </w:rPr>
              <w:t>1)</w:t>
            </w:r>
          </w:p>
        </w:tc>
        <w:tc>
          <w:tcPr>
            <w:tcW w:w="999" w:type="dxa"/>
            <w:shd w:val="clear" w:color="auto" w:fill="auto"/>
            <w:noWrap/>
            <w:vAlign w:val="center"/>
            <w:hideMark/>
          </w:tcPr>
          <w:p w14:paraId="353FA412"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45" w:type="dxa"/>
            <w:shd w:val="clear" w:color="auto" w:fill="auto"/>
            <w:noWrap/>
            <w:vAlign w:val="center"/>
            <w:hideMark/>
          </w:tcPr>
          <w:p w14:paraId="65861CDB"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09" w:type="dxa"/>
            <w:shd w:val="clear" w:color="auto" w:fill="auto"/>
            <w:noWrap/>
            <w:vAlign w:val="center"/>
            <w:hideMark/>
          </w:tcPr>
          <w:p w14:paraId="650DE0FD"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13" w:type="dxa"/>
            <w:shd w:val="clear" w:color="auto" w:fill="auto"/>
            <w:noWrap/>
            <w:vAlign w:val="center"/>
            <w:hideMark/>
          </w:tcPr>
          <w:p w14:paraId="607D252C"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0.000</w:t>
            </w:r>
          </w:p>
        </w:tc>
        <w:tc>
          <w:tcPr>
            <w:tcW w:w="236" w:type="dxa"/>
          </w:tcPr>
          <w:p w14:paraId="3C07EBF7"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16F43A8D"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3276E234"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98" w:type="dxa"/>
            <w:shd w:val="clear" w:color="auto" w:fill="auto"/>
            <w:noWrap/>
            <w:vAlign w:val="center"/>
            <w:hideMark/>
          </w:tcPr>
          <w:p w14:paraId="15D0BA76" w14:textId="77777777" w:rsidR="009A7B5F" w:rsidRPr="003172B0" w:rsidRDefault="009A7B5F" w:rsidP="009F5DF5">
            <w:pPr>
              <w:spacing w:after="0" w:line="240" w:lineRule="auto"/>
              <w:ind w:firstLine="0"/>
              <w:jc w:val="center"/>
              <w:rPr>
                <w:rFonts w:eastAsia="Times New Roman" w:cstheme="majorBidi"/>
                <w:sz w:val="18"/>
                <w:szCs w:val="18"/>
              </w:rPr>
            </w:pPr>
          </w:p>
        </w:tc>
        <w:tc>
          <w:tcPr>
            <w:tcW w:w="1035" w:type="dxa"/>
            <w:shd w:val="clear" w:color="auto" w:fill="auto"/>
            <w:noWrap/>
            <w:vAlign w:val="center"/>
            <w:hideMark/>
          </w:tcPr>
          <w:p w14:paraId="038E04FB"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0.000</w:t>
            </w:r>
          </w:p>
        </w:tc>
      </w:tr>
      <w:tr w:rsidR="009A7B5F" w:rsidRPr="003172B0" w14:paraId="27E3CC3B" w14:textId="77777777" w:rsidTr="00EA589B">
        <w:trPr>
          <w:gridAfter w:val="1"/>
          <w:wAfter w:w="9" w:type="dxa"/>
          <w:trHeight w:val="75"/>
        </w:trPr>
        <w:tc>
          <w:tcPr>
            <w:tcW w:w="3191" w:type="dxa"/>
            <w:shd w:val="clear" w:color="auto" w:fill="auto"/>
            <w:noWrap/>
            <w:vAlign w:val="center"/>
            <w:hideMark/>
          </w:tcPr>
          <w:p w14:paraId="146631B3"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 xml:space="preserve">Arellano-Bond test for </w:t>
            </w:r>
            <w:proofErr w:type="gramStart"/>
            <w:r w:rsidRPr="003172B0">
              <w:rPr>
                <w:rFonts w:eastAsia="Times New Roman" w:cstheme="majorBidi"/>
                <w:color w:val="000000"/>
                <w:sz w:val="18"/>
                <w:szCs w:val="18"/>
              </w:rPr>
              <w:t>AR(</w:t>
            </w:r>
            <w:proofErr w:type="gramEnd"/>
            <w:r w:rsidRPr="003172B0">
              <w:rPr>
                <w:rFonts w:eastAsia="Times New Roman" w:cstheme="majorBidi"/>
                <w:color w:val="000000"/>
                <w:sz w:val="18"/>
                <w:szCs w:val="18"/>
              </w:rPr>
              <w:t>2)</w:t>
            </w:r>
          </w:p>
        </w:tc>
        <w:tc>
          <w:tcPr>
            <w:tcW w:w="999" w:type="dxa"/>
            <w:shd w:val="clear" w:color="auto" w:fill="auto"/>
            <w:noWrap/>
            <w:vAlign w:val="center"/>
            <w:hideMark/>
          </w:tcPr>
          <w:p w14:paraId="2F8D4E69"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45" w:type="dxa"/>
            <w:shd w:val="clear" w:color="auto" w:fill="auto"/>
            <w:noWrap/>
            <w:vAlign w:val="center"/>
            <w:hideMark/>
          </w:tcPr>
          <w:p w14:paraId="5B05D654"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09" w:type="dxa"/>
            <w:shd w:val="clear" w:color="auto" w:fill="auto"/>
            <w:noWrap/>
            <w:vAlign w:val="center"/>
            <w:hideMark/>
          </w:tcPr>
          <w:p w14:paraId="09FC3999"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13" w:type="dxa"/>
            <w:shd w:val="clear" w:color="auto" w:fill="auto"/>
            <w:noWrap/>
            <w:vAlign w:val="center"/>
            <w:hideMark/>
          </w:tcPr>
          <w:p w14:paraId="2C3A5755"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0.552</w:t>
            </w:r>
          </w:p>
        </w:tc>
        <w:tc>
          <w:tcPr>
            <w:tcW w:w="236" w:type="dxa"/>
          </w:tcPr>
          <w:p w14:paraId="55352CEC"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740939CA"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20FAF558"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98" w:type="dxa"/>
            <w:shd w:val="clear" w:color="auto" w:fill="auto"/>
            <w:noWrap/>
            <w:vAlign w:val="center"/>
            <w:hideMark/>
          </w:tcPr>
          <w:p w14:paraId="56A2E74A" w14:textId="77777777" w:rsidR="009A7B5F" w:rsidRPr="003172B0" w:rsidRDefault="009A7B5F" w:rsidP="009F5DF5">
            <w:pPr>
              <w:spacing w:after="0" w:line="240" w:lineRule="auto"/>
              <w:ind w:firstLine="0"/>
              <w:jc w:val="center"/>
              <w:rPr>
                <w:rFonts w:eastAsia="Times New Roman" w:cstheme="majorBidi"/>
                <w:sz w:val="18"/>
                <w:szCs w:val="18"/>
              </w:rPr>
            </w:pPr>
          </w:p>
        </w:tc>
        <w:tc>
          <w:tcPr>
            <w:tcW w:w="1035" w:type="dxa"/>
            <w:shd w:val="clear" w:color="auto" w:fill="auto"/>
            <w:noWrap/>
            <w:vAlign w:val="center"/>
            <w:hideMark/>
          </w:tcPr>
          <w:p w14:paraId="428FF62C"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1.000</w:t>
            </w:r>
          </w:p>
        </w:tc>
      </w:tr>
      <w:tr w:rsidR="009A7B5F" w:rsidRPr="003172B0" w14:paraId="1807D670" w14:textId="77777777" w:rsidTr="00EA589B">
        <w:trPr>
          <w:gridAfter w:val="1"/>
          <w:wAfter w:w="9" w:type="dxa"/>
          <w:trHeight w:val="75"/>
        </w:trPr>
        <w:tc>
          <w:tcPr>
            <w:tcW w:w="3191" w:type="dxa"/>
            <w:shd w:val="clear" w:color="auto" w:fill="auto"/>
            <w:noWrap/>
            <w:vAlign w:val="center"/>
            <w:hideMark/>
          </w:tcPr>
          <w:p w14:paraId="691EA988" w14:textId="77777777" w:rsidR="009A7B5F" w:rsidRPr="003172B0" w:rsidRDefault="009A7B5F" w:rsidP="009F5DF5">
            <w:pPr>
              <w:spacing w:after="0"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Hansen test of over-identification</w:t>
            </w:r>
          </w:p>
        </w:tc>
        <w:tc>
          <w:tcPr>
            <w:tcW w:w="999" w:type="dxa"/>
            <w:shd w:val="clear" w:color="auto" w:fill="auto"/>
            <w:noWrap/>
            <w:vAlign w:val="center"/>
            <w:hideMark/>
          </w:tcPr>
          <w:p w14:paraId="585AA5CA"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45" w:type="dxa"/>
            <w:shd w:val="clear" w:color="auto" w:fill="auto"/>
            <w:noWrap/>
            <w:vAlign w:val="center"/>
            <w:hideMark/>
          </w:tcPr>
          <w:p w14:paraId="289718FD"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09" w:type="dxa"/>
            <w:shd w:val="clear" w:color="auto" w:fill="auto"/>
            <w:noWrap/>
            <w:vAlign w:val="center"/>
            <w:hideMark/>
          </w:tcPr>
          <w:p w14:paraId="47A67D3F"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13" w:type="dxa"/>
            <w:shd w:val="clear" w:color="auto" w:fill="auto"/>
            <w:noWrap/>
            <w:vAlign w:val="center"/>
            <w:hideMark/>
          </w:tcPr>
          <w:p w14:paraId="591FC3D6"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0.580</w:t>
            </w:r>
          </w:p>
        </w:tc>
        <w:tc>
          <w:tcPr>
            <w:tcW w:w="236" w:type="dxa"/>
          </w:tcPr>
          <w:p w14:paraId="32A8BC70"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0E51EA69"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779A69D3"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98" w:type="dxa"/>
            <w:shd w:val="clear" w:color="auto" w:fill="auto"/>
            <w:noWrap/>
            <w:vAlign w:val="center"/>
            <w:hideMark/>
          </w:tcPr>
          <w:p w14:paraId="79DABFE1" w14:textId="77777777" w:rsidR="009A7B5F" w:rsidRPr="003172B0" w:rsidRDefault="009A7B5F" w:rsidP="009F5DF5">
            <w:pPr>
              <w:spacing w:after="0" w:line="240" w:lineRule="auto"/>
              <w:ind w:firstLine="0"/>
              <w:jc w:val="center"/>
              <w:rPr>
                <w:rFonts w:eastAsia="Times New Roman" w:cstheme="majorBidi"/>
                <w:sz w:val="18"/>
                <w:szCs w:val="18"/>
              </w:rPr>
            </w:pPr>
          </w:p>
        </w:tc>
        <w:tc>
          <w:tcPr>
            <w:tcW w:w="1035" w:type="dxa"/>
            <w:shd w:val="clear" w:color="auto" w:fill="auto"/>
            <w:noWrap/>
            <w:vAlign w:val="center"/>
            <w:hideMark/>
          </w:tcPr>
          <w:p w14:paraId="5800213C"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0.577</w:t>
            </w:r>
          </w:p>
        </w:tc>
      </w:tr>
      <w:tr w:rsidR="009A7B5F" w:rsidRPr="003172B0" w14:paraId="35D4AC0F" w14:textId="77777777" w:rsidTr="00EA589B">
        <w:trPr>
          <w:gridAfter w:val="1"/>
          <w:wAfter w:w="9" w:type="dxa"/>
          <w:trHeight w:val="75"/>
        </w:trPr>
        <w:tc>
          <w:tcPr>
            <w:tcW w:w="3191" w:type="dxa"/>
            <w:tcBorders>
              <w:bottom w:val="single" w:sz="4" w:space="0" w:color="auto"/>
            </w:tcBorders>
            <w:shd w:val="clear" w:color="auto" w:fill="auto"/>
            <w:noWrap/>
            <w:vAlign w:val="center"/>
            <w:hideMark/>
          </w:tcPr>
          <w:p w14:paraId="7FBA3FC8" w14:textId="77777777" w:rsidR="009A7B5F" w:rsidRPr="003172B0" w:rsidRDefault="009A7B5F" w:rsidP="009F5DF5">
            <w:pPr>
              <w:spacing w:line="240" w:lineRule="auto"/>
              <w:ind w:firstLine="0"/>
              <w:jc w:val="left"/>
              <w:rPr>
                <w:rFonts w:eastAsia="Times New Roman" w:cstheme="majorBidi"/>
                <w:color w:val="000000"/>
                <w:sz w:val="18"/>
                <w:szCs w:val="18"/>
              </w:rPr>
            </w:pPr>
            <w:r w:rsidRPr="003172B0">
              <w:rPr>
                <w:rFonts w:eastAsia="Times New Roman" w:cstheme="majorBidi"/>
                <w:color w:val="000000"/>
                <w:sz w:val="18"/>
                <w:szCs w:val="18"/>
              </w:rPr>
              <w:t>Difference-in-Hansen tests of exogeneity</w:t>
            </w:r>
          </w:p>
        </w:tc>
        <w:tc>
          <w:tcPr>
            <w:tcW w:w="999" w:type="dxa"/>
            <w:shd w:val="clear" w:color="auto" w:fill="auto"/>
            <w:noWrap/>
            <w:vAlign w:val="center"/>
            <w:hideMark/>
          </w:tcPr>
          <w:p w14:paraId="272DC53B"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45" w:type="dxa"/>
            <w:shd w:val="clear" w:color="auto" w:fill="auto"/>
            <w:noWrap/>
            <w:vAlign w:val="center"/>
            <w:hideMark/>
          </w:tcPr>
          <w:p w14:paraId="21F43FBA"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09" w:type="dxa"/>
            <w:shd w:val="clear" w:color="auto" w:fill="auto"/>
            <w:noWrap/>
            <w:vAlign w:val="center"/>
            <w:hideMark/>
          </w:tcPr>
          <w:p w14:paraId="323D8D80"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13" w:type="dxa"/>
            <w:shd w:val="clear" w:color="auto" w:fill="auto"/>
            <w:noWrap/>
            <w:vAlign w:val="center"/>
            <w:hideMark/>
          </w:tcPr>
          <w:p w14:paraId="7E6A338C"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0.475</w:t>
            </w:r>
          </w:p>
        </w:tc>
        <w:tc>
          <w:tcPr>
            <w:tcW w:w="236" w:type="dxa"/>
          </w:tcPr>
          <w:p w14:paraId="4B489013"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85" w:type="dxa"/>
            <w:shd w:val="clear" w:color="auto" w:fill="auto"/>
            <w:noWrap/>
            <w:vAlign w:val="center"/>
            <w:hideMark/>
          </w:tcPr>
          <w:p w14:paraId="39CBF973" w14:textId="77777777" w:rsidR="009A7B5F" w:rsidRPr="003172B0" w:rsidRDefault="009A7B5F" w:rsidP="009F5DF5">
            <w:pPr>
              <w:spacing w:after="0" w:line="240" w:lineRule="auto"/>
              <w:ind w:firstLine="0"/>
              <w:jc w:val="center"/>
              <w:rPr>
                <w:rFonts w:eastAsia="Times New Roman" w:cstheme="majorBidi"/>
                <w:color w:val="000000"/>
                <w:sz w:val="18"/>
                <w:szCs w:val="18"/>
              </w:rPr>
            </w:pPr>
          </w:p>
        </w:tc>
        <w:tc>
          <w:tcPr>
            <w:tcW w:w="998" w:type="dxa"/>
            <w:shd w:val="clear" w:color="auto" w:fill="auto"/>
            <w:noWrap/>
            <w:vAlign w:val="center"/>
            <w:hideMark/>
          </w:tcPr>
          <w:p w14:paraId="612D94BB" w14:textId="77777777" w:rsidR="009A7B5F" w:rsidRPr="003172B0" w:rsidRDefault="009A7B5F" w:rsidP="009F5DF5">
            <w:pPr>
              <w:spacing w:after="0" w:line="240" w:lineRule="auto"/>
              <w:ind w:firstLine="0"/>
              <w:jc w:val="center"/>
              <w:rPr>
                <w:rFonts w:eastAsia="Times New Roman" w:cstheme="majorBidi"/>
                <w:sz w:val="18"/>
                <w:szCs w:val="18"/>
              </w:rPr>
            </w:pPr>
          </w:p>
        </w:tc>
        <w:tc>
          <w:tcPr>
            <w:tcW w:w="998" w:type="dxa"/>
            <w:shd w:val="clear" w:color="auto" w:fill="auto"/>
            <w:noWrap/>
            <w:vAlign w:val="center"/>
            <w:hideMark/>
          </w:tcPr>
          <w:p w14:paraId="2CAFAF9D" w14:textId="77777777" w:rsidR="009A7B5F" w:rsidRPr="003172B0" w:rsidRDefault="009A7B5F" w:rsidP="009F5DF5">
            <w:pPr>
              <w:spacing w:after="0" w:line="240" w:lineRule="auto"/>
              <w:ind w:firstLine="0"/>
              <w:jc w:val="center"/>
              <w:rPr>
                <w:rFonts w:eastAsia="Times New Roman" w:cstheme="majorBidi"/>
                <w:sz w:val="18"/>
                <w:szCs w:val="18"/>
              </w:rPr>
            </w:pPr>
          </w:p>
        </w:tc>
        <w:tc>
          <w:tcPr>
            <w:tcW w:w="1035" w:type="dxa"/>
            <w:shd w:val="clear" w:color="auto" w:fill="auto"/>
            <w:noWrap/>
            <w:vAlign w:val="center"/>
            <w:hideMark/>
          </w:tcPr>
          <w:p w14:paraId="6AF0E02A" w14:textId="77777777" w:rsidR="009A7B5F" w:rsidRPr="003172B0" w:rsidRDefault="009A7B5F" w:rsidP="009F5DF5">
            <w:pPr>
              <w:spacing w:after="0" w:line="240" w:lineRule="auto"/>
              <w:ind w:firstLine="0"/>
              <w:jc w:val="center"/>
              <w:rPr>
                <w:rFonts w:eastAsia="Times New Roman" w:cstheme="majorBidi"/>
                <w:color w:val="000000"/>
                <w:sz w:val="18"/>
                <w:szCs w:val="18"/>
              </w:rPr>
            </w:pPr>
            <w:r w:rsidRPr="003172B0">
              <w:rPr>
                <w:rFonts w:eastAsia="Times New Roman" w:cstheme="majorBidi"/>
                <w:color w:val="000000"/>
                <w:sz w:val="18"/>
                <w:szCs w:val="18"/>
              </w:rPr>
              <w:t>0.819</w:t>
            </w:r>
          </w:p>
        </w:tc>
      </w:tr>
      <w:tr w:rsidR="009A7B5F" w:rsidRPr="003172B0" w14:paraId="1603CF31" w14:textId="77777777" w:rsidTr="00EA589B">
        <w:trPr>
          <w:trHeight w:val="75"/>
        </w:trPr>
        <w:tc>
          <w:tcPr>
            <w:tcW w:w="11218" w:type="dxa"/>
            <w:gridSpan w:val="11"/>
            <w:tcBorders>
              <w:bottom w:val="single" w:sz="2" w:space="0" w:color="auto"/>
            </w:tcBorders>
            <w:shd w:val="clear" w:color="auto" w:fill="auto"/>
            <w:noWrap/>
            <w:vAlign w:val="center"/>
          </w:tcPr>
          <w:p w14:paraId="3AD99E94" w14:textId="6844B644" w:rsidR="009A7B5F" w:rsidRPr="000643BD" w:rsidRDefault="009A7B5F" w:rsidP="000643BD">
            <w:pPr>
              <w:spacing w:before="160" w:after="0" w:line="240" w:lineRule="auto"/>
              <w:ind w:firstLine="0"/>
              <w:rPr>
                <w:rFonts w:eastAsia="Times New Roman" w:cstheme="majorBidi"/>
                <w:color w:val="000000"/>
                <w:sz w:val="22"/>
              </w:rPr>
            </w:pPr>
            <w:r w:rsidRPr="000643BD">
              <w:rPr>
                <w:rFonts w:eastAsia="Times New Roman" w:cstheme="majorBidi"/>
                <w:color w:val="000000"/>
                <w:sz w:val="22"/>
              </w:rPr>
              <w:t>*, *</w:t>
            </w:r>
            <w:r w:rsidR="005C6C54" w:rsidRPr="000643BD">
              <w:rPr>
                <w:rFonts w:eastAsia="Times New Roman" w:cstheme="majorBidi"/>
                <w:color w:val="000000"/>
                <w:sz w:val="22"/>
              </w:rPr>
              <w:t>*, *</w:t>
            </w:r>
            <w:r w:rsidRPr="000643BD">
              <w:rPr>
                <w:rFonts w:eastAsia="Times New Roman" w:cstheme="majorBidi"/>
                <w:color w:val="000000"/>
                <w:sz w:val="22"/>
              </w:rPr>
              <w:t xml:space="preserve">** indicate significance at the 10%, 5% and 1% level, respectively. </w:t>
            </w:r>
          </w:p>
          <w:p w14:paraId="49A57985" w14:textId="23314810" w:rsidR="009A7B5F" w:rsidRPr="000643BD" w:rsidRDefault="009A7B5F" w:rsidP="009F5DF5">
            <w:pPr>
              <w:autoSpaceDE w:val="0"/>
              <w:autoSpaceDN w:val="0"/>
              <w:adjustRightInd w:val="0"/>
              <w:spacing w:after="0" w:line="240" w:lineRule="auto"/>
              <w:ind w:firstLine="0"/>
              <w:rPr>
                <w:rFonts w:eastAsia="Times New Roman" w:cstheme="majorBidi"/>
                <w:color w:val="000000"/>
                <w:sz w:val="22"/>
              </w:rPr>
            </w:pPr>
            <w:r w:rsidRPr="000643BD">
              <w:rPr>
                <w:rFonts w:eastAsia="Times New Roman" w:cstheme="majorBidi"/>
                <w:color w:val="000000"/>
                <w:sz w:val="22"/>
              </w:rPr>
              <w:t xml:space="preserve">Table 6 present the impact of pay ratios on employee performance. Employee performance is measured as SLE, the natural log of revenue per employee, and TFP, the residual of industry-specific Cobb–Douglas production functions. Panel A shows the impact of pay inequality on employee </w:t>
            </w:r>
            <w:proofErr w:type="spellStart"/>
            <w:r w:rsidRPr="000643BD">
              <w:rPr>
                <w:rFonts w:eastAsia="Times New Roman" w:cstheme="majorBidi"/>
                <w:color w:val="000000"/>
                <w:sz w:val="22"/>
              </w:rPr>
              <w:t>perfromance</w:t>
            </w:r>
            <w:proofErr w:type="spellEnd"/>
            <w:r w:rsidRPr="000643BD">
              <w:rPr>
                <w:rFonts w:eastAsia="Times New Roman" w:cstheme="majorBidi"/>
                <w:color w:val="000000"/>
                <w:sz w:val="22"/>
              </w:rPr>
              <w:t xml:space="preserve">. Pay Inequality is measured as the natural log of the ratio of total CEO compensation to average employee pay. Panel B shows the impact of pay inequity on employee performance. Pay Inequity is the residual of equation 1. Panel C shows the impact of Pay Equity on employee performance. Pay Equity is the predicted pay inequality in each firm-year according to equation 1. Panel D shows the impact of pay inequity and pay equity on employee performance. The regression in all but the FFE column includes region, industry, and year fixed effects. The regression in the FFE column includes firm fixed effect and year fixed effects. In column Delta we regress the changes in TFP or SLE on changes in pay ratios. In column Dynamic we add the lag of TFP or SLE into our model. In the SGMM column the result of SGMM estimation is reported. Continuous variables are </w:t>
            </w:r>
            <w:r w:rsidR="00C55BD0">
              <w:rPr>
                <w:rFonts w:eastAsia="Times New Roman" w:cstheme="majorBidi"/>
                <w:color w:val="000000"/>
                <w:sz w:val="22"/>
              </w:rPr>
              <w:t>trimmed</w:t>
            </w:r>
            <w:r w:rsidRPr="000643BD">
              <w:rPr>
                <w:rFonts w:eastAsia="Times New Roman" w:cstheme="majorBidi"/>
                <w:color w:val="000000"/>
                <w:sz w:val="22"/>
              </w:rPr>
              <w:t xml:space="preserve"> at 1 per cent and 99 per cent. P-values are reported in parentheses based on robust standard errors clustered at the firm level. </w:t>
            </w:r>
          </w:p>
          <w:p w14:paraId="6C33B06A" w14:textId="116B4F7C" w:rsidR="009A7B5F" w:rsidRPr="003172B0" w:rsidRDefault="009A7B5F" w:rsidP="009F5DF5">
            <w:pPr>
              <w:autoSpaceDE w:val="0"/>
              <w:autoSpaceDN w:val="0"/>
              <w:adjustRightInd w:val="0"/>
              <w:spacing w:after="0" w:line="240" w:lineRule="auto"/>
              <w:ind w:firstLine="0"/>
              <w:rPr>
                <w:rFonts w:eastAsia="Times New Roman" w:cstheme="majorBidi"/>
                <w:color w:val="000000"/>
                <w:sz w:val="18"/>
                <w:szCs w:val="18"/>
              </w:rPr>
            </w:pPr>
            <w:r w:rsidRPr="000643BD">
              <w:rPr>
                <w:rFonts w:eastAsia="Times New Roman" w:cstheme="majorBidi"/>
                <w:color w:val="000000"/>
                <w:sz w:val="22"/>
              </w:rPr>
              <w:t xml:space="preserve">All variables are defined in </w:t>
            </w:r>
            <w:r w:rsidRPr="000643BD">
              <w:rPr>
                <w:rFonts w:cstheme="majorBidi"/>
                <w:sz w:val="22"/>
              </w:rPr>
              <w:t>Appendix A</w:t>
            </w:r>
            <w:r w:rsidRPr="000643BD">
              <w:rPr>
                <w:rFonts w:eastAsia="Times New Roman" w:cstheme="majorBidi"/>
                <w:color w:val="000000"/>
                <w:sz w:val="22"/>
              </w:rPr>
              <w:t>.</w:t>
            </w:r>
            <w:r w:rsidRPr="005904CC">
              <w:rPr>
                <w:rFonts w:eastAsia="Times New Roman" w:cstheme="majorBidi"/>
                <w:color w:val="000000"/>
                <w:sz w:val="18"/>
                <w:szCs w:val="18"/>
              </w:rPr>
              <w:t xml:space="preserve"> </w:t>
            </w:r>
          </w:p>
        </w:tc>
      </w:tr>
    </w:tbl>
    <w:p w14:paraId="2B3047DE" w14:textId="77777777" w:rsidR="009A7B5F" w:rsidRDefault="009A7B5F" w:rsidP="009A7B5F">
      <w:pPr>
        <w:spacing w:after="0" w:line="240" w:lineRule="auto"/>
        <w:ind w:firstLine="0"/>
        <w:rPr>
          <w:rFonts w:eastAsia="Times New Roman" w:cstheme="majorBidi"/>
          <w:color w:val="000000"/>
          <w:sz w:val="20"/>
          <w:szCs w:val="20"/>
        </w:rPr>
      </w:pPr>
    </w:p>
    <w:p w14:paraId="7641EAE8" w14:textId="5A3F0D6B" w:rsidR="009A7B5F" w:rsidRPr="00FA6A54" w:rsidRDefault="009A7B5F" w:rsidP="003064E0">
      <w:r w:rsidRPr="0038558B">
        <w:rPr>
          <w:color w:val="000000" w:themeColor="text1"/>
        </w:rPr>
        <w:t xml:space="preserve">Table </w:t>
      </w:r>
      <w:r>
        <w:rPr>
          <w:color w:val="000000" w:themeColor="text1"/>
        </w:rPr>
        <w:t>6,</w:t>
      </w:r>
      <w:r w:rsidRPr="0038558B">
        <w:rPr>
          <w:color w:val="000000" w:themeColor="text1"/>
        </w:rPr>
        <w:t xml:space="preserve"> panel A confirms our prior result</w:t>
      </w:r>
      <w:r>
        <w:rPr>
          <w:color w:val="000000" w:themeColor="text1"/>
        </w:rPr>
        <w:t>s</w:t>
      </w:r>
      <w:r w:rsidRPr="0038558B">
        <w:rPr>
          <w:color w:val="000000" w:themeColor="text1"/>
        </w:rPr>
        <w:t xml:space="preserve"> in column</w:t>
      </w:r>
      <w:r>
        <w:rPr>
          <w:color w:val="000000" w:themeColor="text1"/>
        </w:rPr>
        <w:t>s</w:t>
      </w:r>
      <w:r w:rsidRPr="0038558B">
        <w:rPr>
          <w:color w:val="000000" w:themeColor="text1"/>
        </w:rPr>
        <w:t xml:space="preserve"> (1) and (4) of </w:t>
      </w:r>
      <w:r>
        <w:rPr>
          <w:color w:val="000000" w:themeColor="text1"/>
        </w:rPr>
        <w:t>T</w:t>
      </w:r>
      <w:r w:rsidRPr="0038558B">
        <w:rPr>
          <w:color w:val="000000" w:themeColor="text1"/>
        </w:rPr>
        <w:t xml:space="preserve">able </w:t>
      </w:r>
      <w:r>
        <w:rPr>
          <w:color w:val="000000" w:themeColor="text1"/>
        </w:rPr>
        <w:t>5</w:t>
      </w:r>
      <w:r w:rsidRPr="0038558B">
        <w:rPr>
          <w:color w:val="000000" w:themeColor="text1"/>
        </w:rPr>
        <w:t>. It demonstrates that increasing</w:t>
      </w:r>
      <w:r>
        <w:rPr>
          <w:color w:val="000000" w:themeColor="text1"/>
        </w:rPr>
        <w:t xml:space="preserve"> pay inequality</w:t>
      </w:r>
      <w:r w:rsidRPr="0038558B">
        <w:rPr>
          <w:color w:val="000000" w:themeColor="text1"/>
        </w:rPr>
        <w:t xml:space="preserve"> </w:t>
      </w:r>
      <w:r w:rsidRPr="0038558B">
        <w:t>is perceived as unfair income distribution</w:t>
      </w:r>
      <w:r w:rsidRPr="006B17B6">
        <w:t xml:space="preserve">, </w:t>
      </w:r>
      <w:r>
        <w:t>leading</w:t>
      </w:r>
      <w:r w:rsidRPr="006B17B6">
        <w:t xml:space="preserve"> to a negative </w:t>
      </w:r>
      <w:r>
        <w:t>effect</w:t>
      </w:r>
      <w:r w:rsidRPr="006B17B6">
        <w:t xml:space="preserve"> on employees’ performance. However, </w:t>
      </w:r>
      <w:r>
        <w:t>our</w:t>
      </w:r>
      <w:r w:rsidRPr="006B17B6">
        <w:t xml:space="preserve"> result </w:t>
      </w:r>
      <w:r>
        <w:t xml:space="preserve">contrasts with </w:t>
      </w:r>
      <w:r>
        <w:rPr>
          <w:noProof/>
        </w:rPr>
        <w:t>Faleye et al.’s (</w:t>
      </w:r>
      <w:r w:rsidRPr="006B17B6">
        <w:rPr>
          <w:noProof/>
        </w:rPr>
        <w:t>2013</w:t>
      </w:r>
      <w:r>
        <w:rPr>
          <w:noProof/>
        </w:rPr>
        <w:t xml:space="preserve">) result, with </w:t>
      </w:r>
      <w:r>
        <w:t>no</w:t>
      </w:r>
      <w:r w:rsidRPr="006B17B6">
        <w:t xml:space="preserve"> significant relation</w:t>
      </w:r>
      <w:r>
        <w:t>ship</w:t>
      </w:r>
      <w:r w:rsidRPr="006B17B6">
        <w:t xml:space="preserve"> between </w:t>
      </w:r>
      <w:r w:rsidRPr="006B6D27">
        <w:rPr>
          <w:color w:val="000000" w:themeColor="text1"/>
        </w:rPr>
        <w:t>pay</w:t>
      </w:r>
      <w:r>
        <w:rPr>
          <w:color w:val="000000" w:themeColor="text1"/>
        </w:rPr>
        <w:t xml:space="preserve"> </w:t>
      </w:r>
      <w:r w:rsidRPr="006B6D27">
        <w:rPr>
          <w:color w:val="000000" w:themeColor="text1"/>
        </w:rPr>
        <w:t>inequality</w:t>
      </w:r>
      <w:r w:rsidRPr="0038558B">
        <w:rPr>
          <w:color w:val="000000" w:themeColor="text1"/>
        </w:rPr>
        <w:t xml:space="preserve"> </w:t>
      </w:r>
      <w:r w:rsidRPr="006B17B6">
        <w:t>and employee performance</w:t>
      </w:r>
      <w:r>
        <w:t xml:space="preserve"> in the US</w:t>
      </w:r>
      <w:r w:rsidRPr="006B17B6">
        <w:t>.</w:t>
      </w:r>
      <w:r>
        <w:t xml:space="preserve"> </w:t>
      </w:r>
      <w:r w:rsidRPr="00493EA5">
        <w:t xml:space="preserve">One explanation </w:t>
      </w:r>
      <w:r>
        <w:t>may</w:t>
      </w:r>
      <w:r w:rsidRPr="00493EA5">
        <w:t xml:space="preserve"> be </w:t>
      </w:r>
      <w:r>
        <w:t xml:space="preserve">the difference in </w:t>
      </w:r>
      <w:r w:rsidRPr="00493EA5">
        <w:t>calcul</w:t>
      </w:r>
      <w:r>
        <w:t>ating</w:t>
      </w:r>
      <w:r w:rsidRPr="00493EA5">
        <w:t xml:space="preserve"> </w:t>
      </w:r>
      <w:r>
        <w:t>a</w:t>
      </w:r>
      <w:r w:rsidRPr="00493EA5">
        <w:t xml:space="preserve">verage employee pay. </w:t>
      </w:r>
      <w:r>
        <w:rPr>
          <w:noProof/>
        </w:rPr>
        <w:t>Faleye et al. (</w:t>
      </w:r>
      <w:r w:rsidRPr="006B17B6">
        <w:rPr>
          <w:noProof/>
        </w:rPr>
        <w:t>2013</w:t>
      </w:r>
      <w:r>
        <w:rPr>
          <w:noProof/>
        </w:rPr>
        <w:t>)</w:t>
      </w:r>
      <w:r w:rsidRPr="00493EA5">
        <w:t xml:space="preserve"> </w:t>
      </w:r>
      <w:r>
        <w:t>measure the average employee pay as t</w:t>
      </w:r>
      <w:r w:rsidRPr="00493EA5">
        <w:t>otal labo</w:t>
      </w:r>
      <w:r>
        <w:t>u</w:t>
      </w:r>
      <w:r w:rsidRPr="00493EA5">
        <w:t>r expenses less total exe</w:t>
      </w:r>
      <w:r>
        <w:t>c</w:t>
      </w:r>
      <w:r w:rsidRPr="00493EA5">
        <w:t>utive compensation</w:t>
      </w:r>
      <w:r>
        <w:t xml:space="preserve"> divided by the number of employees</w:t>
      </w:r>
      <w:r w:rsidRPr="00493EA5">
        <w:t xml:space="preserve">. </w:t>
      </w:r>
      <w:r>
        <w:t>In contrast,</w:t>
      </w:r>
      <w:r w:rsidRPr="00493EA5">
        <w:t xml:space="preserve"> </w:t>
      </w:r>
      <w:r>
        <w:t>we calculate it as t</w:t>
      </w:r>
      <w:r w:rsidRPr="00493EA5">
        <w:t xml:space="preserve">otal </w:t>
      </w:r>
      <w:r>
        <w:t>employee</w:t>
      </w:r>
      <w:r w:rsidRPr="00493EA5">
        <w:t xml:space="preserve"> expenses less </w:t>
      </w:r>
      <w:r>
        <w:lastRenderedPageBreak/>
        <w:t xml:space="preserve">total CEO pay divided by the </w:t>
      </w:r>
      <w:r w:rsidRPr="002075FB">
        <w:t>number of employees minus one</w:t>
      </w:r>
      <w:r w:rsidRPr="002075FB">
        <w:rPr>
          <w:rStyle w:val="FootnoteReference"/>
        </w:rPr>
        <w:footnoteReference w:id="23"/>
      </w:r>
      <w:r w:rsidRPr="002075FB">
        <w:t xml:space="preserve">. </w:t>
      </w:r>
      <w:r>
        <w:t>T</w:t>
      </w:r>
      <w:r w:rsidRPr="002075FB">
        <w:t xml:space="preserve">he second explanation </w:t>
      </w:r>
      <w:r>
        <w:t>may</w:t>
      </w:r>
      <w:r w:rsidRPr="002075FB">
        <w:t xml:space="preserve"> be the difference in the context of the experiment. Equity and Relative Deprivation theories assert that the impact of </w:t>
      </w:r>
      <w:r>
        <w:rPr>
          <w:color w:val="000000" w:themeColor="text1"/>
        </w:rPr>
        <w:t xml:space="preserve">pay inequality </w:t>
      </w:r>
      <w:r w:rsidRPr="002075FB">
        <w:t xml:space="preserve">can be different in </w:t>
      </w:r>
      <w:r>
        <w:t>different</w:t>
      </w:r>
      <w:r w:rsidRPr="002075FB">
        <w:t xml:space="preserve"> samples, in which </w:t>
      </w:r>
      <w:r>
        <w:t>employees</w:t>
      </w:r>
      <w:r w:rsidRPr="002075FB">
        <w:t xml:space="preserve"> have</w:t>
      </w:r>
      <w:r>
        <w:t xml:space="preserve"> different norms or values.</w:t>
      </w:r>
      <w:r>
        <w:rPr>
          <w:rStyle w:val="FootnoteReference"/>
        </w:rPr>
        <w:footnoteReference w:id="24"/>
      </w:r>
      <w:r>
        <w:t xml:space="preserve"> </w:t>
      </w:r>
      <w:r w:rsidRPr="004825AB">
        <w:t>Australia is one of the wealthiest countri</w:t>
      </w:r>
      <w:r>
        <w:t>e</w:t>
      </w:r>
      <w:r w:rsidRPr="004825AB">
        <w:t xml:space="preserve">s </w:t>
      </w:r>
      <w:r>
        <w:t>globally</w:t>
      </w:r>
      <w:r w:rsidRPr="004825AB">
        <w:t xml:space="preserve"> </w:t>
      </w:r>
      <w:r w:rsidRPr="004825AB">
        <w:rPr>
          <w:rStyle w:val="FootnoteReference"/>
        </w:rPr>
        <w:footnoteReference w:id="25"/>
      </w:r>
      <w:r>
        <w:t xml:space="preserve">, </w:t>
      </w:r>
      <w:r w:rsidRPr="004825AB">
        <w:t xml:space="preserve">and it is </w:t>
      </w:r>
      <w:r w:rsidRPr="003C7A93">
        <w:t>widely regarded as an egalitarian country</w:t>
      </w:r>
      <w:r w:rsidRPr="004825AB">
        <w:t xml:space="preserve"> </w:t>
      </w:r>
      <w:r w:rsidRPr="003C7A93">
        <w:t xml:space="preserve">where the principle of a </w:t>
      </w:r>
      <w:r w:rsidRPr="004825AB">
        <w:rPr>
          <w:rFonts w:ascii="Times New Roman" w:eastAsia="Times New Roman" w:hAnsi="Times New Roman" w:cs="Times New Roman"/>
        </w:rPr>
        <w:t>“</w:t>
      </w:r>
      <w:r w:rsidRPr="003C7A93">
        <w:t>Fair Go</w:t>
      </w:r>
      <w:r w:rsidRPr="004825AB">
        <w:rPr>
          <w:rFonts w:ascii="Times New Roman" w:eastAsia="Times New Roman" w:hAnsi="Times New Roman" w:cs="Times New Roman"/>
        </w:rPr>
        <w:t>”</w:t>
      </w:r>
      <w:r w:rsidRPr="004825AB">
        <w:t xml:space="preserve"> is strongly supported by </w:t>
      </w:r>
      <w:r w:rsidRPr="003C7A93">
        <w:t>the community and all political parties</w:t>
      </w:r>
      <w:r w:rsidRPr="004825AB">
        <w:t xml:space="preserve"> </w:t>
      </w:r>
      <w:r w:rsidRPr="004825AB">
        <w:fldChar w:fldCharType="begin" w:fldLock="1"/>
      </w:r>
      <w:r w:rsidR="002E5440">
        <w:instrText>ADDIN CSL_CITATION {"citationItems":[{"id":"ITEM-1","itemData":{"DOI":"10.3316/informit.357084817207021","author":[{"dropping-particle":"","family":"Saunders","given":"Peter","non-dropping-particle":"","parse-names":false,"suffix":""},{"dropping-particle":"","family":"Wong","given":"Melissa","non-dropping-particle":"","parse-names":false,"suffix":""}],"container-title":"Journal of Australian Political Economy","id":"ITEM-1","issue":"71","issued":{"date-parts":[["2013"]]},"page":"51-75","title":"Examining Australian attitudes to inequality and redistribution","type":"article-journal"},"uris":["http://www.mendeley.com/documents/?uuid=f6b67f36-22ea-32c8-b070-68186dde49be"]}],"mendeley":{"formattedCitation":"(Saunders &amp; Wong, 2013)","plainTextFormattedCitation":"(Saunders &amp; Wong, 2013)","previouslyFormattedCitation":"(Saunders &amp; Wong, 2013)"},"properties":{"noteIndex":0},"schema":"https://github.com/citation-style-language/schema/raw/master/csl-citation.json"}</w:instrText>
      </w:r>
      <w:r w:rsidRPr="004825AB">
        <w:fldChar w:fldCharType="separate"/>
      </w:r>
      <w:r w:rsidR="009D2930" w:rsidRPr="009D2930">
        <w:rPr>
          <w:noProof/>
        </w:rPr>
        <w:t>(Saunders &amp; Wong, 2013)</w:t>
      </w:r>
      <w:r w:rsidRPr="004825AB">
        <w:fldChar w:fldCharType="end"/>
      </w:r>
      <w:r w:rsidRPr="003C7A93">
        <w:t>.</w:t>
      </w:r>
      <w:r w:rsidRPr="004825AB">
        <w:t xml:space="preserve"> The </w:t>
      </w:r>
      <w:r>
        <w:t>L</w:t>
      </w:r>
      <w:r w:rsidRPr="004825AB">
        <w:t xml:space="preserve">abour </w:t>
      </w:r>
      <w:r>
        <w:t>P</w:t>
      </w:r>
      <w:r w:rsidRPr="004825AB">
        <w:t>arty is Australia’s oldest political party, established federally in 1901. Aus</w:t>
      </w:r>
      <w:r>
        <w:t>t</w:t>
      </w:r>
      <w:r w:rsidRPr="004825AB">
        <w:t>ralian political leaders continue to stress the importance</w:t>
      </w:r>
      <w:r w:rsidRPr="003C7A93">
        <w:t xml:space="preserve"> of the </w:t>
      </w:r>
      <w:r w:rsidRPr="004825AB">
        <w:rPr>
          <w:rFonts w:ascii="Times New Roman" w:eastAsia="Times New Roman" w:hAnsi="Times New Roman" w:cs="Times New Roman"/>
        </w:rPr>
        <w:t>“</w:t>
      </w:r>
      <w:r w:rsidRPr="003C7A93">
        <w:t xml:space="preserve">Fair </w:t>
      </w:r>
      <w:r w:rsidRPr="004825AB">
        <w:t>Go</w:t>
      </w:r>
      <w:r w:rsidRPr="004825AB">
        <w:rPr>
          <w:rFonts w:ascii="Times New Roman" w:eastAsia="Times New Roman" w:hAnsi="Times New Roman" w:cs="Times New Roman"/>
        </w:rPr>
        <w:t>”</w:t>
      </w:r>
      <w:r w:rsidRPr="004825AB">
        <w:t xml:space="preserve"> in defining what Australia stands for as </w:t>
      </w:r>
      <w:proofErr w:type="gramStart"/>
      <w:r w:rsidRPr="004825AB">
        <w:t>a  nation</w:t>
      </w:r>
      <w:proofErr w:type="gramEnd"/>
      <w:r>
        <w:t xml:space="preserve">. </w:t>
      </w:r>
      <w:r w:rsidRPr="004825AB">
        <w:t xml:space="preserve">Moreover, </w:t>
      </w:r>
      <w:r>
        <w:t>several</w:t>
      </w:r>
      <w:r w:rsidRPr="007E439A">
        <w:t xml:space="preserve"> studies</w:t>
      </w:r>
      <w:r w:rsidRPr="004825AB">
        <w:t xml:space="preserve"> </w:t>
      </w:r>
      <w:r w:rsidRPr="004825AB">
        <w:fldChar w:fldCharType="begin" w:fldLock="1"/>
      </w:r>
      <w:r w:rsidR="002E5440">
        <w:instrText>ADDIN CSL_CITATION {"citationItems":[{"id":"ITEM-1","itemData":{"ISBN":"9781921693168","author":[{"dropping-particle":"","family":"Chesters","given":"Jenny","non-dropping-particle":"","parse-names":false,"suffix":""},{"dropping-particle":"","family":"John Stuart","given":"Western","non-dropping-particle":"","parse-names":false,"suffix":""}],"id":"ITEM-1","issued":{"date-parts":[["2010"]]},"publisher":"Centre for Economic Policy Research","title":"Evidence and Perceptions of Inequality in Australia","type":"book","volume":"635"},"uris":["http://www.mendeley.com/documents/?uuid=2c2d282f-6f80-3f34-97ab-fc9ffdab3eea"]},{"id":"ITEM-2","itemData":{"DOI":"10.3316/informit.435297195557099","abstract":"Australia s national income has doubled since 1987. Survey evidence indicates that Australians have registered better economic times, with 80 per cent of Australians saying they were proud of Australia s economic achievements in 2003 compared with 48 per cent in 1995 (Goot and Watson, 2003). However, the strong period of economic growth since the end of the recession of 1990-91 has been accompanied by increasing inequality in the distribution of income. The meaning of poverty has also been hotly debated (Saunders, 2005), as have the roles of work and welfare in redressing it (Carney, 2007; Mendes, 2008). Stronger growth has complex effects on how much we think about and tolerate inequality. When growth is weak and unemployment high, critics have little trouble convincing a public that big structures are the cause of inequalities. But how does the public respond to inequality when growth is robust and continuous, unemployment lower and opportunities greater? Does the public begin to see inequality as a collection of individual failings or worry less about it, believing a rising tide lifts all boats ? Following an examination of trends in income and labour market inequality over the last fifteen years, we explore how Australians have responded to the widening income gap. Drawing on data collected in major national and international surveys of social and political attitudes over twenty years, we examine how attitudes to inequality and redistribution change in a time of headline prosperity. The public s response to inequality depends on how fair they perceive unequal outcomes to be, and how much of a role they see for government","author":[{"dropping-particle":"","family":"Meagher","given":"Gabrielle","non-dropping-particle":"","parse-names":false,"suffix":""},{"dropping-particle":"","family":"Wilson","given":"Shaun","non-dropping-particle":"","parse-names":false,"suffix":""}],"container-title":"Journal of Australian Political Economy","id":"ITEM-2","issue":"61","issued":{"date-parts":[["2008"]]},"page":"220-243","title":"Richer, but more unequal: Perceptions of inequality in Australia 1987-2005","type":"article-journal"},"uris":["http://www.mendeley.com/documents/?uuid=75b074f4-c574-37e0-896b-f70c38c0f7e0"]}],"mendeley":{"formattedCitation":"(Chesters &amp; John Stuart, 2010; Meagher &amp; Wilson, 2008)","manualFormatting":"(e.g., Chesters, 2010; Meagher &amp; Wilson, n.d.)","plainTextFormattedCitation":"(Chesters &amp; John Stuart, 2010; Meagher &amp; Wilson, 2008)","previouslyFormattedCitation":"(Chesters &amp; John Stuart, 2010; Meagher &amp; Wilson, 2008)"},"properties":{"noteIndex":0},"schema":"https://github.com/citation-style-language/schema/raw/master/csl-citation.json"}</w:instrText>
      </w:r>
      <w:r w:rsidRPr="004825AB">
        <w:fldChar w:fldCharType="separate"/>
      </w:r>
      <w:r w:rsidRPr="004825AB">
        <w:rPr>
          <w:noProof/>
        </w:rPr>
        <w:t>(e.g., Chesters, 2010; Meagher &amp; Wilson, n.d.)</w:t>
      </w:r>
      <w:r w:rsidRPr="004825AB">
        <w:fldChar w:fldCharType="end"/>
      </w:r>
      <w:r>
        <w:t xml:space="preserve"> examined Australian attitudes towards income inequality and found that most Australians belie</w:t>
      </w:r>
      <w:r w:rsidRPr="004825AB">
        <w:t xml:space="preserve">ve that income inequality between the lowest and </w:t>
      </w:r>
      <w:r>
        <w:t xml:space="preserve">highest </w:t>
      </w:r>
      <w:r w:rsidRPr="004825AB">
        <w:t>income level</w:t>
      </w:r>
      <w:r>
        <w:t>s</w:t>
      </w:r>
      <w:r w:rsidRPr="004825AB">
        <w:t xml:space="preserve"> is </w:t>
      </w:r>
      <w:r>
        <w:t>significant</w:t>
      </w:r>
      <w:r w:rsidRPr="004825AB">
        <w:t>. Therefore, it would be anticipated that the sociological perspective is more domina</w:t>
      </w:r>
      <w:r>
        <w:t>nt</w:t>
      </w:r>
      <w:r w:rsidRPr="004825AB">
        <w:t xml:space="preserve"> in Australia.</w:t>
      </w:r>
      <w:r>
        <w:t xml:space="preserve"> </w:t>
      </w:r>
      <w:r w:rsidRPr="004C57E0">
        <w:t xml:space="preserve"> </w:t>
      </w:r>
    </w:p>
    <w:p w14:paraId="59DDCFA0" w14:textId="77777777" w:rsidR="009A7B5F" w:rsidRDefault="009A7B5F" w:rsidP="003064E0">
      <w:pPr>
        <w:rPr>
          <w:lang w:val="af-ZA" w:bidi="fa-IR"/>
        </w:rPr>
      </w:pPr>
      <w:r w:rsidRPr="00FF7E5E">
        <w:t xml:space="preserve">Table </w:t>
      </w:r>
      <w:r>
        <w:t>6</w:t>
      </w:r>
      <w:r w:rsidRPr="00FF7E5E">
        <w:t xml:space="preserve"> panel B </w:t>
      </w:r>
      <w:r>
        <w:t>provides</w:t>
      </w:r>
      <w:r w:rsidRPr="00FF7E5E">
        <w:t xml:space="preserve"> further evidence </w:t>
      </w:r>
      <w:r w:rsidRPr="00FF7E5E">
        <w:rPr>
          <w:lang w:val="af-ZA" w:bidi="fa-IR"/>
        </w:rPr>
        <w:t>o</w:t>
      </w:r>
      <w:r>
        <w:rPr>
          <w:lang w:val="af-ZA" w:bidi="fa-IR"/>
        </w:rPr>
        <w:t>f the negative and significant relationship between</w:t>
      </w:r>
      <w:r w:rsidRPr="00FF7E5E">
        <w:rPr>
          <w:lang w:val="af-ZA" w:bidi="fa-IR"/>
        </w:rPr>
        <w:t xml:space="preserve"> </w:t>
      </w:r>
      <w:r w:rsidRPr="006B6D27">
        <w:rPr>
          <w:lang w:val="af-ZA" w:bidi="fa-IR"/>
        </w:rPr>
        <w:t>pay</w:t>
      </w:r>
      <w:r>
        <w:rPr>
          <w:lang w:val="af-ZA" w:bidi="fa-IR"/>
        </w:rPr>
        <w:t xml:space="preserve"> </w:t>
      </w:r>
      <w:r w:rsidRPr="006B6D27">
        <w:rPr>
          <w:lang w:val="af-ZA" w:bidi="fa-IR"/>
        </w:rPr>
        <w:t>inequity</w:t>
      </w:r>
      <w:r w:rsidRPr="00FF7E5E">
        <w:rPr>
          <w:lang w:val="af-ZA" w:bidi="fa-IR"/>
        </w:rPr>
        <w:t xml:space="preserve"> and employee performance, consistent with our </w:t>
      </w:r>
      <w:r w:rsidRPr="00E662CC">
        <w:rPr>
          <w:lang w:val="af-ZA" w:bidi="fa-IR"/>
        </w:rPr>
        <w:t>hypothesis. It means</w:t>
      </w:r>
      <w:r w:rsidRPr="00C14920">
        <w:rPr>
          <w:lang w:val="af-ZA" w:bidi="fa-IR"/>
        </w:rPr>
        <w:t xml:space="preserve"> that employees negatively (positively) react to </w:t>
      </w:r>
      <w:r w:rsidRPr="006B6D27">
        <w:rPr>
          <w:lang w:val="af-ZA" w:bidi="fa-IR"/>
        </w:rPr>
        <w:t>pay</w:t>
      </w:r>
      <w:r>
        <w:rPr>
          <w:lang w:val="af-ZA" w:bidi="fa-IR"/>
        </w:rPr>
        <w:t xml:space="preserve"> </w:t>
      </w:r>
      <w:r w:rsidRPr="006B6D27">
        <w:rPr>
          <w:lang w:val="af-ZA" w:bidi="fa-IR"/>
        </w:rPr>
        <w:t>inequity</w:t>
      </w:r>
      <w:r w:rsidRPr="00C14920">
        <w:rPr>
          <w:lang w:val="af-ZA" w:bidi="fa-IR"/>
        </w:rPr>
        <w:t>, which is higher (lower) than reasonable pay inequality</w:t>
      </w:r>
      <w:r>
        <w:rPr>
          <w:lang w:val="af-ZA" w:bidi="fa-IR"/>
        </w:rPr>
        <w:t xml:space="preserve">. </w:t>
      </w:r>
      <w:r w:rsidRPr="00E662CC">
        <w:rPr>
          <w:lang w:val="af-ZA" w:bidi="fa-IR"/>
        </w:rPr>
        <w:t xml:space="preserve">It shows that employees </w:t>
      </w:r>
      <w:r w:rsidRPr="009563BD">
        <w:rPr>
          <w:lang w:val="af-ZA" w:bidi="fa-IR"/>
        </w:rPr>
        <w:t xml:space="preserve">respond differently </w:t>
      </w:r>
      <w:r w:rsidRPr="006B6D27">
        <w:rPr>
          <w:lang w:val="af-ZA" w:bidi="fa-IR"/>
        </w:rPr>
        <w:t>to pay inequity</w:t>
      </w:r>
      <w:r>
        <w:rPr>
          <w:i/>
          <w:iCs/>
          <w:lang w:val="af-ZA" w:bidi="fa-IR"/>
        </w:rPr>
        <w:t xml:space="preserve"> </w:t>
      </w:r>
      <w:r>
        <w:rPr>
          <w:iCs/>
          <w:lang w:val="af-ZA" w:bidi="fa-IR"/>
        </w:rPr>
        <w:t>that</w:t>
      </w:r>
      <w:r w:rsidRPr="009563BD">
        <w:rPr>
          <w:lang w:val="af-ZA" w:bidi="fa-IR"/>
        </w:rPr>
        <w:t xml:space="preserve"> is in their favour than </w:t>
      </w:r>
      <w:r>
        <w:rPr>
          <w:lang w:val="af-ZA" w:bidi="fa-IR"/>
        </w:rPr>
        <w:t>that which is</w:t>
      </w:r>
      <w:r w:rsidRPr="009563BD">
        <w:rPr>
          <w:lang w:val="af-ZA" w:bidi="fa-IR"/>
        </w:rPr>
        <w:t xml:space="preserve"> not. To clarify, employees perceive negative </w:t>
      </w:r>
      <w:r w:rsidRPr="006B6D27">
        <w:rPr>
          <w:lang w:val="af-ZA" w:bidi="fa-IR"/>
        </w:rPr>
        <w:t>pay inequity</w:t>
      </w:r>
      <w:r w:rsidRPr="009563BD">
        <w:rPr>
          <w:i/>
          <w:iCs/>
          <w:lang w:val="af-ZA" w:bidi="fa-IR"/>
        </w:rPr>
        <w:t xml:space="preserve"> </w:t>
      </w:r>
      <w:r w:rsidRPr="009563BD">
        <w:rPr>
          <w:lang w:val="af-ZA" w:bidi="fa-IR"/>
        </w:rPr>
        <w:t xml:space="preserve">as favourable pay inequality because the pay inequality is less than </w:t>
      </w:r>
      <w:r>
        <w:rPr>
          <w:lang w:val="af-ZA" w:bidi="fa-IR"/>
        </w:rPr>
        <w:t>a</w:t>
      </w:r>
      <w:r w:rsidRPr="009563BD">
        <w:rPr>
          <w:lang w:val="af-ZA" w:bidi="fa-IR"/>
        </w:rPr>
        <w:t xml:space="preserve"> reasonable amount. So, the negative coefficient of </w:t>
      </w:r>
      <w:r w:rsidRPr="006B6D27">
        <w:rPr>
          <w:lang w:val="af-ZA" w:bidi="fa-IR"/>
        </w:rPr>
        <w:t>pay inequity</w:t>
      </w:r>
      <w:r w:rsidRPr="009563BD">
        <w:rPr>
          <w:lang w:val="af-ZA" w:bidi="fa-IR"/>
        </w:rPr>
        <w:t xml:space="preserve"> illustrates that moving from favourable pay inequality to </w:t>
      </w:r>
      <w:r>
        <w:rPr>
          <w:lang w:val="af-ZA" w:bidi="fa-IR"/>
        </w:rPr>
        <w:t>reasonable</w:t>
      </w:r>
      <w:r w:rsidRPr="009563BD">
        <w:rPr>
          <w:lang w:val="af-ZA" w:bidi="fa-IR"/>
        </w:rPr>
        <w:t xml:space="preserve"> pay inequality decreases employees</w:t>
      </w:r>
      <w:r>
        <w:rPr>
          <w:lang w:val="af-ZA" w:bidi="fa-IR"/>
        </w:rPr>
        <w:t>’</w:t>
      </w:r>
      <w:r w:rsidRPr="009563BD">
        <w:rPr>
          <w:lang w:val="af-ZA" w:bidi="fa-IR"/>
        </w:rPr>
        <w:t xml:space="preserve"> performance. In contrast, positive</w:t>
      </w:r>
      <w:r>
        <w:rPr>
          <w:lang w:val="af-ZA" w:bidi="fa-IR"/>
        </w:rPr>
        <w:t xml:space="preserve"> </w:t>
      </w:r>
      <w:r w:rsidRPr="006B6D27">
        <w:rPr>
          <w:lang w:val="af-ZA" w:bidi="fa-IR"/>
        </w:rPr>
        <w:t>pay inequity</w:t>
      </w:r>
      <w:r w:rsidRPr="009563BD">
        <w:rPr>
          <w:i/>
          <w:iCs/>
          <w:lang w:val="af-ZA" w:bidi="fa-IR"/>
        </w:rPr>
        <w:t xml:space="preserve"> </w:t>
      </w:r>
      <w:r w:rsidRPr="009563BD">
        <w:rPr>
          <w:lang w:val="af-ZA" w:bidi="fa-IR"/>
        </w:rPr>
        <w:t>is interpreted as</w:t>
      </w:r>
      <w:r w:rsidRPr="009563BD">
        <w:rPr>
          <w:i/>
          <w:iCs/>
          <w:lang w:val="af-ZA" w:bidi="fa-IR"/>
        </w:rPr>
        <w:t xml:space="preserve"> </w:t>
      </w:r>
      <w:r w:rsidRPr="009563BD">
        <w:rPr>
          <w:lang w:val="af-ZA" w:bidi="fa-IR"/>
        </w:rPr>
        <w:t xml:space="preserve">unfavourable pay inequality since the pay inequality is more than </w:t>
      </w:r>
      <w:r>
        <w:rPr>
          <w:lang w:val="af-ZA" w:bidi="fa-IR"/>
        </w:rPr>
        <w:t>a</w:t>
      </w:r>
      <w:r w:rsidRPr="009563BD">
        <w:rPr>
          <w:lang w:val="af-ZA" w:bidi="fa-IR"/>
        </w:rPr>
        <w:t xml:space="preserve"> reasonable amount. In this situation,  </w:t>
      </w:r>
      <w:r>
        <w:rPr>
          <w:lang w:val="af-ZA" w:bidi="fa-IR"/>
        </w:rPr>
        <w:t>i</w:t>
      </w:r>
      <w:r w:rsidRPr="009563BD">
        <w:rPr>
          <w:lang w:val="af-ZA" w:bidi="fa-IR"/>
        </w:rPr>
        <w:t xml:space="preserve">ncreasing </w:t>
      </w:r>
      <w:r w:rsidRPr="006B6D27">
        <w:rPr>
          <w:lang w:val="af-ZA" w:bidi="fa-IR"/>
        </w:rPr>
        <w:t>pay inequity</w:t>
      </w:r>
      <w:r w:rsidRPr="009563BD">
        <w:rPr>
          <w:lang w:val="af-ZA" w:bidi="fa-IR"/>
        </w:rPr>
        <w:t xml:space="preserve"> from zero to a positive amount leads to </w:t>
      </w:r>
      <w:r>
        <w:rPr>
          <w:lang w:val="af-ZA" w:bidi="fa-IR"/>
        </w:rPr>
        <w:t>reduced</w:t>
      </w:r>
      <w:r w:rsidRPr="009563BD">
        <w:rPr>
          <w:lang w:val="af-ZA" w:bidi="fa-IR"/>
        </w:rPr>
        <w:t xml:space="preserve"> employee performance. Hence, employees have higher performance in the presence of favourable </w:t>
      </w:r>
      <w:r w:rsidRPr="006B6D27">
        <w:rPr>
          <w:lang w:val="af-ZA" w:bidi="fa-IR"/>
        </w:rPr>
        <w:t>pay inequity</w:t>
      </w:r>
      <w:r w:rsidRPr="009563BD">
        <w:rPr>
          <w:lang w:val="af-ZA" w:bidi="fa-IR"/>
        </w:rPr>
        <w:t xml:space="preserve"> rather than unfavourable </w:t>
      </w:r>
      <w:r w:rsidRPr="006B6D27">
        <w:rPr>
          <w:lang w:val="af-ZA" w:bidi="fa-IR"/>
        </w:rPr>
        <w:t>pay inequity</w:t>
      </w:r>
      <w:r w:rsidRPr="009563BD">
        <w:rPr>
          <w:lang w:val="af-ZA" w:bidi="fa-IR"/>
        </w:rPr>
        <w:t>.</w:t>
      </w:r>
    </w:p>
    <w:p w14:paraId="2D730504" w14:textId="6E976355" w:rsidR="009A7B5F" w:rsidRDefault="009A7B5F" w:rsidP="003064E0">
      <w:r>
        <w:t xml:space="preserve">Table 6, panel C shows mixed results for the association between </w:t>
      </w:r>
      <w:r w:rsidRPr="00AE49BB">
        <w:t>pay equity</w:t>
      </w:r>
      <w:r>
        <w:t xml:space="preserve"> and employee performance.  Regarding </w:t>
      </w:r>
      <w:r w:rsidRPr="00AE49BB">
        <w:t xml:space="preserve">TFP </w:t>
      </w:r>
      <w:r>
        <w:t>as a proxy of employee performance,</w:t>
      </w:r>
      <w:r w:rsidRPr="003B319E">
        <w:t xml:space="preserve"> </w:t>
      </w:r>
      <w:r>
        <w:t xml:space="preserve">the coefficient of </w:t>
      </w:r>
      <w:r w:rsidRPr="00AE49BB">
        <w:t>pay equity</w:t>
      </w:r>
      <w:r>
        <w:t xml:space="preserve"> is either highly significantly negative (Lag, Lead, Dynamic, SGMM) or highly significantly positive (Delta). Focusing on </w:t>
      </w:r>
      <w:r w:rsidRPr="003040DB">
        <w:rPr>
          <w:i/>
          <w:iCs/>
        </w:rPr>
        <w:t>SLE</w:t>
      </w:r>
      <w:r>
        <w:t xml:space="preserve"> as a measure of employee performance, we cannot find a significant impact of pay equity on employee performance in the system GMM model. </w:t>
      </w:r>
      <w:r w:rsidRPr="0080162F">
        <w:t xml:space="preserve">Therefore, the impact of </w:t>
      </w:r>
      <w:r w:rsidRPr="00AE49BB">
        <w:t>pay equity</w:t>
      </w:r>
      <w:r w:rsidRPr="0080162F">
        <w:t xml:space="preserve"> on employee performance is ambiguous.</w:t>
      </w:r>
      <w:r>
        <w:t xml:space="preserve">  In addition, Table 6 panel D shows the further examination of </w:t>
      </w:r>
      <w:r w:rsidRPr="00A353DC">
        <w:t xml:space="preserve">our regression </w:t>
      </w:r>
      <w:r>
        <w:t xml:space="preserve">when </w:t>
      </w:r>
      <w:r w:rsidRPr="00A353DC">
        <w:t xml:space="preserve">both </w:t>
      </w:r>
      <w:r>
        <w:t>p</w:t>
      </w:r>
      <w:r w:rsidRPr="00AE49BB">
        <w:t>ay equity</w:t>
      </w:r>
      <w:r w:rsidRPr="00A353DC">
        <w:t xml:space="preserve"> and </w:t>
      </w:r>
      <w:r w:rsidRPr="00AE49BB">
        <w:t>pay</w:t>
      </w:r>
      <w:r>
        <w:t xml:space="preserve"> </w:t>
      </w:r>
      <w:r w:rsidRPr="00AE49BB">
        <w:t>in</w:t>
      </w:r>
      <w:r>
        <w:t>e</w:t>
      </w:r>
      <w:r w:rsidRPr="00AE49BB">
        <w:t>quity</w:t>
      </w:r>
      <w:r w:rsidRPr="00A353DC">
        <w:t xml:space="preserve"> </w:t>
      </w:r>
      <w:r>
        <w:t>are included. In all columns, there is a negative and significant relation between pay inequity and employee performance. However, the relationship between p</w:t>
      </w:r>
      <w:r w:rsidRPr="00AE49BB">
        <w:t>ay equity</w:t>
      </w:r>
      <w:r>
        <w:t xml:space="preserve"> and employee performance remains unclear. </w:t>
      </w:r>
    </w:p>
    <w:p w14:paraId="40CAA971" w14:textId="77777777" w:rsidR="00B469AE" w:rsidRPr="003B319E" w:rsidRDefault="00B469AE" w:rsidP="003064E0"/>
    <w:p w14:paraId="309446C4" w14:textId="72C38F04" w:rsidR="009A7B5F" w:rsidRDefault="003064E0" w:rsidP="00853595">
      <w:pPr>
        <w:pStyle w:val="Heading2"/>
        <w:numPr>
          <w:ilvl w:val="1"/>
          <w:numId w:val="3"/>
        </w:numPr>
      </w:pPr>
      <w:r>
        <w:t xml:space="preserve"> </w:t>
      </w:r>
      <w:r w:rsidR="009A7B5F">
        <w:t xml:space="preserve">Examining a non-linear relationship between </w:t>
      </w:r>
      <w:r w:rsidR="009A7B5F" w:rsidRPr="00565515">
        <w:t>pay equity and employee performance</w:t>
      </w:r>
    </w:p>
    <w:p w14:paraId="436B9EA6" w14:textId="77777777" w:rsidR="009A7B5F" w:rsidRDefault="009A7B5F" w:rsidP="003064E0">
      <w:pPr>
        <w:ind w:firstLine="0"/>
      </w:pPr>
      <w:r>
        <w:t>In the p</w:t>
      </w:r>
      <w:r w:rsidRPr="00AB48B7">
        <w:t xml:space="preserve">revious </w:t>
      </w:r>
      <w:r>
        <w:t xml:space="preserve">section, we examine the linear relation between pay ratios and employee performance. The </w:t>
      </w:r>
      <w:r w:rsidRPr="00AB48B7">
        <w:t xml:space="preserve">analysis </w:t>
      </w:r>
      <w:r>
        <w:t>illustrates</w:t>
      </w:r>
      <w:r w:rsidRPr="00AB48B7">
        <w:t xml:space="preserve"> that </w:t>
      </w:r>
      <w:r w:rsidRPr="00761CAF">
        <w:t>pay inequality and pay inequity</w:t>
      </w:r>
      <w:r w:rsidRPr="00AB48B7">
        <w:t xml:space="preserve"> negatively affect employee performance, while the result </w:t>
      </w:r>
      <w:r w:rsidRPr="00761CAF">
        <w:t>for pay equity is</w:t>
      </w:r>
      <w:r w:rsidRPr="00AB48B7">
        <w:t xml:space="preserve"> unclear. </w:t>
      </w:r>
      <w:r>
        <w:t>As discussed under hypothesis 2, this section investigates whether p</w:t>
      </w:r>
      <w:r w:rsidRPr="00761CAF">
        <w:t>ay equity</w:t>
      </w:r>
      <w:r>
        <w:t xml:space="preserve"> has a non-linear relationship with employee performance, based on Tournament Theory. Table 7 shows that the coefficient estimates of squared </w:t>
      </w:r>
      <w:r w:rsidRPr="00CE14AE">
        <w:t>pay equity and pay</w:t>
      </w:r>
      <w:r>
        <w:rPr>
          <w:i/>
          <w:iCs/>
        </w:rPr>
        <w:t xml:space="preserve"> </w:t>
      </w:r>
      <w:r w:rsidRPr="00CE14AE">
        <w:t>equity</w:t>
      </w:r>
      <w:r>
        <w:t xml:space="preserve"> are significantly negative and positive, creating an inverse U-shaped relation between </w:t>
      </w:r>
      <w:r w:rsidRPr="00CE14AE">
        <w:t>pay equity</w:t>
      </w:r>
      <w:r>
        <w:t xml:space="preserve"> and employee performance. The finding does not change in the system GMM model.</w:t>
      </w:r>
      <w:r>
        <w:rPr>
          <w:rStyle w:val="FootnoteReference"/>
        </w:rPr>
        <w:footnoteReference w:id="26"/>
      </w:r>
      <w:r>
        <w:t xml:space="preserve"> However, the value of the turning point slightly decreases. </w:t>
      </w:r>
      <w:r w:rsidRPr="009B214F">
        <w:t>This result supports the view</w:t>
      </w:r>
      <w:r>
        <w:t xml:space="preserve"> that there is a non-linear relationship </w:t>
      </w:r>
      <w:r w:rsidRPr="009B214F">
        <w:t xml:space="preserve">between </w:t>
      </w:r>
      <w:r>
        <w:t>p</w:t>
      </w:r>
      <w:r w:rsidRPr="00675BD3">
        <w:t>ay equity</w:t>
      </w:r>
      <w:r w:rsidRPr="009B214F">
        <w:t xml:space="preserve"> and </w:t>
      </w:r>
      <w:r>
        <w:t xml:space="preserve">employee performance, and there is an optimum level </w:t>
      </w:r>
      <w:r w:rsidRPr="00AB4F23">
        <w:t>of pay equity.</w:t>
      </w:r>
      <w:r>
        <w:t xml:space="preserve"> Therefore,</w:t>
      </w:r>
      <w:r w:rsidRPr="009B214F">
        <w:t xml:space="preserve"> a </w:t>
      </w:r>
      <w:r>
        <w:t>p</w:t>
      </w:r>
      <w:r w:rsidRPr="00EC74B9">
        <w:t>ay equity</w:t>
      </w:r>
      <w:r w:rsidRPr="009B214F">
        <w:t xml:space="preserve"> level that is too high or too low is </w:t>
      </w:r>
      <w:r>
        <w:t>sub-optimal in terms of employee productivity</w:t>
      </w:r>
      <w:r w:rsidRPr="009B214F">
        <w:t xml:space="preserve">. </w:t>
      </w:r>
      <w:r>
        <w:t xml:space="preserve">This result suggests that a reward system that is linked to individuals’ inputs can increase employee performance. However, the non-linear relationship indicates that increasing pay equity above the turning point may lead to lower employee productivity. Therefore, it is essential for managers to consider the current level of pay equity in their company before deciding to increase it. </w:t>
      </w:r>
    </w:p>
    <w:p w14:paraId="6CB24E03" w14:textId="2F39E691" w:rsidR="009A7B5F" w:rsidRPr="003064E0" w:rsidRDefault="009A7B5F" w:rsidP="003064E0">
      <w:r>
        <w:t>We also</w:t>
      </w:r>
      <w:r w:rsidRPr="00B42B1B">
        <w:t xml:space="preserve"> </w:t>
      </w:r>
      <w:r>
        <w:t>examine</w:t>
      </w:r>
      <w:r w:rsidRPr="00B42B1B">
        <w:t xml:space="preserve"> the non-linear relation</w:t>
      </w:r>
      <w:r>
        <w:t>ship</w:t>
      </w:r>
      <w:r w:rsidRPr="00B42B1B">
        <w:t xml:space="preserve"> between </w:t>
      </w:r>
      <w:r>
        <w:t>two other pay ratios (</w:t>
      </w:r>
      <w:r w:rsidRPr="00761CAF">
        <w:t>pay inequality</w:t>
      </w:r>
      <w:r>
        <w:t xml:space="preserve"> </w:t>
      </w:r>
      <w:r w:rsidRPr="00B42B1B">
        <w:t xml:space="preserve">and </w:t>
      </w:r>
      <w:r w:rsidRPr="00761CAF">
        <w:t>pay inequity</w:t>
      </w:r>
      <w:r>
        <w:t>)</w:t>
      </w:r>
      <w:r w:rsidRPr="00B42B1B">
        <w:t xml:space="preserve"> and employee performance</w:t>
      </w:r>
      <w:r>
        <w:t>.</w:t>
      </w:r>
      <w:r>
        <w:rPr>
          <w:rStyle w:val="FootnoteReference"/>
        </w:rPr>
        <w:footnoteReference w:id="27"/>
      </w:r>
      <w:r>
        <w:t xml:space="preserve"> The results do not indicate a non-linear association between these two ratios and employees’ performance. The coefficient of </w:t>
      </w:r>
      <w:r w:rsidRPr="00761CAF">
        <w:t>pay inequality</w:t>
      </w:r>
      <w:r>
        <w:t xml:space="preserve"> is significantly negative, and the coefficient of the square term of </w:t>
      </w:r>
      <w:r w:rsidRPr="00761CAF">
        <w:t xml:space="preserve">pay </w:t>
      </w:r>
      <w:r w:rsidRPr="00FC61BA">
        <w:t>inequality</w:t>
      </w:r>
      <w:r w:rsidRPr="00FC61BA">
        <w:rPr>
          <w:i/>
          <w:iCs/>
          <w:vertAlign w:val="superscript"/>
        </w:rPr>
        <w:t xml:space="preserve"> </w:t>
      </w:r>
      <w:r w:rsidRPr="00FC61BA">
        <w:t>is significantly positive. However, its turning point (minimum point) exceeds the maximum pay inequality in our sample. Similar to our analysis on pay inequality, the coefficient o</w:t>
      </w:r>
      <w:r>
        <w:t>f</w:t>
      </w:r>
      <w:r w:rsidRPr="00FC61BA">
        <w:t xml:space="preserve"> pay inequity is significantly negative, and the coefficient o</w:t>
      </w:r>
      <w:r>
        <w:t>f</w:t>
      </w:r>
      <w:r w:rsidRPr="00FC61BA">
        <w:t xml:space="preserve"> the square term of pay inequity is significantly positive. Nevertheless, we find that there is an extreme turning point </w:t>
      </w:r>
      <w:r>
        <w:t>at</w:t>
      </w:r>
      <w:r w:rsidRPr="00FC61BA">
        <w:t xml:space="preserve"> the 95</w:t>
      </w:r>
      <w:r>
        <w:t>th</w:t>
      </w:r>
      <w:r w:rsidRPr="00FC61BA">
        <w:t xml:space="preserve"> percentile. Hence, our analysis shows an inverse U-shaped relation</w:t>
      </w:r>
      <w:r>
        <w:t>ship</w:t>
      </w:r>
      <w:r w:rsidRPr="00FC61BA">
        <w:t xml:space="preserve"> between </w:t>
      </w:r>
      <w:r>
        <w:t>p</w:t>
      </w:r>
      <w:r w:rsidRPr="00FC61BA">
        <w:t xml:space="preserve">ay equity and employee performance and </w:t>
      </w:r>
      <w:r>
        <w:t>a</w:t>
      </w:r>
      <w:r w:rsidRPr="00FC61BA">
        <w:t xml:space="preserve"> linear negative relation</w:t>
      </w:r>
      <w:r>
        <w:t>ship</w:t>
      </w:r>
      <w:r w:rsidRPr="00FC61BA">
        <w:t xml:space="preserve"> between other ratios, pay inequality and pay inequity, and employee performance.</w:t>
      </w:r>
    </w:p>
    <w:p w14:paraId="14BCE7F9" w14:textId="77777777" w:rsidR="009A7B5F" w:rsidRDefault="009A7B5F" w:rsidP="009A7B5F">
      <w:pPr>
        <w:ind w:firstLine="0"/>
        <w:sectPr w:rsidR="009A7B5F" w:rsidSect="00726F38">
          <w:pgSz w:w="12240" w:h="15840"/>
          <w:pgMar w:top="1440" w:right="1440" w:bottom="1080" w:left="1440" w:header="720" w:footer="435" w:gutter="0"/>
          <w:cols w:space="720"/>
          <w:docGrid w:linePitch="360"/>
        </w:sectPr>
      </w:pPr>
    </w:p>
    <w:p w14:paraId="2E1BE63E" w14:textId="64C9C60B" w:rsidR="009A7B5F" w:rsidRPr="00107E65" w:rsidRDefault="009A7B5F" w:rsidP="00107E65">
      <w:pPr>
        <w:tabs>
          <w:tab w:val="left" w:pos="567"/>
        </w:tabs>
        <w:spacing w:line="240" w:lineRule="auto"/>
        <w:ind w:firstLine="0"/>
        <w:jc w:val="center"/>
        <w:rPr>
          <w:rFonts w:ascii="Times New Roman" w:eastAsiaTheme="minorHAnsi" w:hAnsi="Times New Roman" w:cs="Times New Roman"/>
          <w:b/>
          <w:bCs/>
          <w:sz w:val="22"/>
          <w:lang w:eastAsia="en-US"/>
        </w:rPr>
      </w:pPr>
      <w:r w:rsidRPr="00107E65">
        <w:rPr>
          <w:rFonts w:ascii="Times New Roman" w:eastAsiaTheme="minorHAnsi" w:hAnsi="Times New Roman" w:cs="Times New Roman"/>
          <w:b/>
          <w:bCs/>
          <w:sz w:val="22"/>
          <w:lang w:eastAsia="en-US"/>
        </w:rPr>
        <w:lastRenderedPageBreak/>
        <w:t xml:space="preserve">Table </w:t>
      </w:r>
      <w:r w:rsidRPr="00107E65">
        <w:rPr>
          <w:rFonts w:ascii="Times New Roman" w:eastAsiaTheme="minorHAnsi" w:hAnsi="Times New Roman" w:cs="Times New Roman"/>
          <w:b/>
          <w:bCs/>
          <w:sz w:val="22"/>
          <w:lang w:eastAsia="en-US"/>
        </w:rPr>
        <w:fldChar w:fldCharType="begin"/>
      </w:r>
      <w:r w:rsidRPr="00107E65">
        <w:rPr>
          <w:rFonts w:ascii="Times New Roman" w:eastAsiaTheme="minorHAnsi" w:hAnsi="Times New Roman" w:cs="Times New Roman"/>
          <w:b/>
          <w:bCs/>
          <w:sz w:val="22"/>
          <w:lang w:eastAsia="en-US"/>
        </w:rPr>
        <w:instrText xml:space="preserve"> SEQ Table \* ARABIC </w:instrText>
      </w:r>
      <w:r w:rsidRPr="00107E65">
        <w:rPr>
          <w:rFonts w:ascii="Times New Roman" w:eastAsiaTheme="minorHAnsi" w:hAnsi="Times New Roman" w:cs="Times New Roman"/>
          <w:b/>
          <w:bCs/>
          <w:sz w:val="22"/>
          <w:lang w:eastAsia="en-US"/>
        </w:rPr>
        <w:fldChar w:fldCharType="separate"/>
      </w:r>
      <w:r w:rsidR="00F45684">
        <w:rPr>
          <w:rFonts w:ascii="Times New Roman" w:eastAsiaTheme="minorHAnsi" w:hAnsi="Times New Roman" w:cs="Times New Roman"/>
          <w:b/>
          <w:bCs/>
          <w:noProof/>
          <w:sz w:val="22"/>
          <w:lang w:eastAsia="en-US"/>
        </w:rPr>
        <w:t>7</w:t>
      </w:r>
      <w:r w:rsidRPr="00107E65">
        <w:rPr>
          <w:rFonts w:ascii="Times New Roman" w:eastAsiaTheme="minorHAnsi" w:hAnsi="Times New Roman" w:cs="Times New Roman"/>
          <w:b/>
          <w:bCs/>
          <w:sz w:val="22"/>
          <w:lang w:eastAsia="en-US"/>
        </w:rPr>
        <w:fldChar w:fldCharType="end"/>
      </w:r>
      <w:r w:rsidRPr="00107E65">
        <w:rPr>
          <w:rFonts w:ascii="Times New Roman" w:eastAsiaTheme="minorHAnsi" w:hAnsi="Times New Roman" w:cs="Times New Roman"/>
          <w:b/>
          <w:bCs/>
          <w:sz w:val="22"/>
          <w:lang w:eastAsia="en-US"/>
        </w:rPr>
        <w:t>: non-linear relationship between pay equity and employee productivity</w:t>
      </w:r>
    </w:p>
    <w:tbl>
      <w:tblPr>
        <w:tblW w:w="11278" w:type="dxa"/>
        <w:jc w:val="center"/>
        <w:tblLayout w:type="fixed"/>
        <w:tblLook w:val="04A0" w:firstRow="1" w:lastRow="0" w:firstColumn="1" w:lastColumn="0" w:noHBand="0" w:noVBand="1"/>
      </w:tblPr>
      <w:tblGrid>
        <w:gridCol w:w="2713"/>
        <w:gridCol w:w="950"/>
        <w:gridCol w:w="1184"/>
        <w:gridCol w:w="912"/>
        <w:gridCol w:w="984"/>
        <w:gridCol w:w="236"/>
        <w:gridCol w:w="1184"/>
        <w:gridCol w:w="1184"/>
        <w:gridCol w:w="957"/>
        <w:gridCol w:w="974"/>
      </w:tblGrid>
      <w:tr w:rsidR="009A7B5F" w:rsidRPr="002B1EAE" w14:paraId="4611C503" w14:textId="77777777" w:rsidTr="006C76E0">
        <w:trPr>
          <w:trHeight w:hRule="exact" w:val="288"/>
          <w:jc w:val="center"/>
        </w:trPr>
        <w:tc>
          <w:tcPr>
            <w:tcW w:w="2714" w:type="dxa"/>
            <w:shd w:val="clear" w:color="auto" w:fill="auto"/>
            <w:noWrap/>
            <w:vAlign w:val="center"/>
          </w:tcPr>
          <w:p w14:paraId="7F5CA77F"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4033" w:type="dxa"/>
            <w:gridSpan w:val="4"/>
            <w:tcBorders>
              <w:bottom w:val="single" w:sz="4" w:space="0" w:color="auto"/>
            </w:tcBorders>
            <w:shd w:val="clear" w:color="auto" w:fill="auto"/>
            <w:noWrap/>
            <w:vAlign w:val="center"/>
          </w:tcPr>
          <w:p w14:paraId="20929E36" w14:textId="77777777" w:rsidR="009A7B5F"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TFP</w:t>
            </w:r>
          </w:p>
        </w:tc>
        <w:tc>
          <w:tcPr>
            <w:tcW w:w="228" w:type="dxa"/>
            <w:vAlign w:val="center"/>
          </w:tcPr>
          <w:p w14:paraId="33CC46D3"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4301" w:type="dxa"/>
            <w:gridSpan w:val="4"/>
            <w:tcBorders>
              <w:bottom w:val="single" w:sz="4" w:space="0" w:color="auto"/>
            </w:tcBorders>
            <w:shd w:val="clear" w:color="auto" w:fill="auto"/>
            <w:noWrap/>
            <w:vAlign w:val="center"/>
          </w:tcPr>
          <w:p w14:paraId="3EC5D1E3"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SLE</w:t>
            </w:r>
          </w:p>
        </w:tc>
      </w:tr>
      <w:tr w:rsidR="009A7B5F" w:rsidRPr="002B1EAE" w14:paraId="66D9E064" w14:textId="77777777" w:rsidTr="006C76E0">
        <w:trPr>
          <w:trHeight w:hRule="exact" w:val="288"/>
          <w:jc w:val="center"/>
        </w:trPr>
        <w:tc>
          <w:tcPr>
            <w:tcW w:w="2714" w:type="dxa"/>
            <w:tcBorders>
              <w:bottom w:val="single" w:sz="4" w:space="0" w:color="auto"/>
            </w:tcBorders>
            <w:shd w:val="clear" w:color="auto" w:fill="auto"/>
            <w:noWrap/>
            <w:vAlign w:val="center"/>
          </w:tcPr>
          <w:p w14:paraId="32BFCBDF"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50" w:type="dxa"/>
            <w:tcBorders>
              <w:top w:val="single" w:sz="4" w:space="0" w:color="auto"/>
              <w:bottom w:val="single" w:sz="4" w:space="0" w:color="auto"/>
            </w:tcBorders>
            <w:shd w:val="clear" w:color="auto" w:fill="auto"/>
            <w:noWrap/>
            <w:vAlign w:val="center"/>
          </w:tcPr>
          <w:p w14:paraId="02FD044E" w14:textId="77777777" w:rsidR="009A7B5F" w:rsidRPr="002536FB" w:rsidRDefault="009A7B5F" w:rsidP="009F5DF5">
            <w:pPr>
              <w:spacing w:after="0" w:line="240" w:lineRule="auto"/>
              <w:ind w:firstLine="0"/>
              <w:jc w:val="center"/>
              <w:rPr>
                <w:rFonts w:eastAsia="Times New Roman" w:cstheme="majorBidi"/>
                <w:sz w:val="16"/>
                <w:szCs w:val="16"/>
              </w:rPr>
            </w:pPr>
            <w:r>
              <w:rPr>
                <w:rFonts w:eastAsia="Times New Roman" w:cstheme="majorBidi"/>
                <w:sz w:val="16"/>
                <w:szCs w:val="16"/>
              </w:rPr>
              <w:t>Primary1</w:t>
            </w:r>
          </w:p>
        </w:tc>
        <w:tc>
          <w:tcPr>
            <w:tcW w:w="1185" w:type="dxa"/>
            <w:tcBorders>
              <w:top w:val="single" w:sz="4" w:space="0" w:color="auto"/>
              <w:bottom w:val="single" w:sz="4" w:space="0" w:color="auto"/>
            </w:tcBorders>
            <w:shd w:val="clear" w:color="auto" w:fill="auto"/>
            <w:noWrap/>
            <w:vAlign w:val="center"/>
          </w:tcPr>
          <w:p w14:paraId="3F9AD317"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SGMM</w:t>
            </w:r>
            <w:r>
              <w:rPr>
                <w:rFonts w:eastAsia="Times New Roman" w:cstheme="majorBidi"/>
                <w:color w:val="000000"/>
                <w:sz w:val="16"/>
                <w:szCs w:val="16"/>
              </w:rPr>
              <w:t>1</w:t>
            </w:r>
          </w:p>
        </w:tc>
        <w:tc>
          <w:tcPr>
            <w:tcW w:w="913" w:type="dxa"/>
            <w:tcBorders>
              <w:top w:val="single" w:sz="4" w:space="0" w:color="auto"/>
              <w:bottom w:val="single" w:sz="4" w:space="0" w:color="auto"/>
            </w:tcBorders>
            <w:vAlign w:val="center"/>
          </w:tcPr>
          <w:p w14:paraId="31A10063"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Primary2</w:t>
            </w:r>
          </w:p>
        </w:tc>
        <w:tc>
          <w:tcPr>
            <w:tcW w:w="984" w:type="dxa"/>
            <w:tcBorders>
              <w:top w:val="single" w:sz="4" w:space="0" w:color="auto"/>
            </w:tcBorders>
            <w:vAlign w:val="center"/>
          </w:tcPr>
          <w:p w14:paraId="08989715" w14:textId="2ABE780C"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SGMM2</w:t>
            </w:r>
            <w:r w:rsidR="009A1B64">
              <w:rPr>
                <w:rStyle w:val="FootnoteReference"/>
                <w:rFonts w:eastAsia="Times New Roman" w:cstheme="majorBidi"/>
                <w:color w:val="000000"/>
                <w:sz w:val="16"/>
                <w:szCs w:val="16"/>
              </w:rPr>
              <w:footnoteReference w:id="28"/>
            </w:r>
          </w:p>
        </w:tc>
        <w:tc>
          <w:tcPr>
            <w:tcW w:w="228" w:type="dxa"/>
            <w:vAlign w:val="center"/>
          </w:tcPr>
          <w:p w14:paraId="60E8AE2F"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tcBorders>
              <w:top w:val="single" w:sz="4" w:space="0" w:color="auto"/>
              <w:bottom w:val="single" w:sz="4" w:space="0" w:color="auto"/>
            </w:tcBorders>
            <w:shd w:val="clear" w:color="auto" w:fill="auto"/>
            <w:noWrap/>
            <w:vAlign w:val="center"/>
          </w:tcPr>
          <w:p w14:paraId="596F2BB2"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sz w:val="16"/>
                <w:szCs w:val="16"/>
              </w:rPr>
              <w:t>Primary3</w:t>
            </w:r>
          </w:p>
        </w:tc>
        <w:tc>
          <w:tcPr>
            <w:tcW w:w="1185" w:type="dxa"/>
            <w:tcBorders>
              <w:top w:val="single" w:sz="4" w:space="0" w:color="auto"/>
              <w:bottom w:val="single" w:sz="4" w:space="0" w:color="auto"/>
            </w:tcBorders>
            <w:shd w:val="clear" w:color="auto" w:fill="auto"/>
            <w:noWrap/>
            <w:vAlign w:val="center"/>
          </w:tcPr>
          <w:p w14:paraId="18EC37B7"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SGMM</w:t>
            </w:r>
            <w:r>
              <w:rPr>
                <w:rFonts w:eastAsia="Times New Roman" w:cstheme="majorBidi"/>
                <w:color w:val="000000"/>
                <w:sz w:val="16"/>
                <w:szCs w:val="16"/>
              </w:rPr>
              <w:t>3</w:t>
            </w:r>
          </w:p>
        </w:tc>
        <w:tc>
          <w:tcPr>
            <w:tcW w:w="958" w:type="dxa"/>
            <w:tcBorders>
              <w:top w:val="single" w:sz="4" w:space="0" w:color="auto"/>
              <w:bottom w:val="single" w:sz="4" w:space="0" w:color="auto"/>
            </w:tcBorders>
            <w:vAlign w:val="center"/>
          </w:tcPr>
          <w:p w14:paraId="3922181C"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sz w:val="16"/>
                <w:szCs w:val="16"/>
              </w:rPr>
              <w:t>Primary3</w:t>
            </w:r>
          </w:p>
        </w:tc>
        <w:tc>
          <w:tcPr>
            <w:tcW w:w="971" w:type="dxa"/>
            <w:tcBorders>
              <w:top w:val="single" w:sz="4" w:space="0" w:color="auto"/>
              <w:bottom w:val="single" w:sz="4" w:space="0" w:color="auto"/>
            </w:tcBorders>
            <w:vAlign w:val="center"/>
          </w:tcPr>
          <w:p w14:paraId="6C03BF96"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4E0226">
              <w:rPr>
                <w:rFonts w:eastAsia="Times New Roman" w:cstheme="majorBidi"/>
                <w:color w:val="000000"/>
                <w:sz w:val="16"/>
                <w:szCs w:val="16"/>
              </w:rPr>
              <w:t>SGMM4</w:t>
            </w:r>
          </w:p>
        </w:tc>
      </w:tr>
      <w:tr w:rsidR="009A7B5F" w:rsidRPr="002B1EAE" w14:paraId="7B16FF69" w14:textId="77777777" w:rsidTr="006C76E0">
        <w:trPr>
          <w:trHeight w:hRule="exact" w:val="288"/>
          <w:jc w:val="center"/>
        </w:trPr>
        <w:tc>
          <w:tcPr>
            <w:tcW w:w="2714" w:type="dxa"/>
            <w:tcBorders>
              <w:top w:val="single" w:sz="4" w:space="0" w:color="auto"/>
            </w:tcBorders>
            <w:shd w:val="clear" w:color="auto" w:fill="auto"/>
            <w:noWrap/>
            <w:vAlign w:val="center"/>
            <w:hideMark/>
          </w:tcPr>
          <w:p w14:paraId="4F8242C1" w14:textId="77777777" w:rsidR="009A7B5F" w:rsidRPr="002536FB" w:rsidRDefault="009A7B5F" w:rsidP="009F5DF5">
            <w:pPr>
              <w:spacing w:after="0" w:line="240" w:lineRule="auto"/>
              <w:ind w:firstLine="0"/>
              <w:jc w:val="left"/>
              <w:rPr>
                <w:rFonts w:eastAsia="Times New Roman" w:cstheme="majorBidi"/>
                <w:color w:val="000000"/>
                <w:sz w:val="16"/>
                <w:szCs w:val="16"/>
              </w:rPr>
            </w:pPr>
            <w:proofErr w:type="spellStart"/>
            <w:r w:rsidRPr="002536FB">
              <w:rPr>
                <w:rFonts w:eastAsia="Times New Roman" w:cstheme="majorBidi"/>
                <w:color w:val="000000"/>
                <w:sz w:val="16"/>
                <w:szCs w:val="16"/>
              </w:rPr>
              <w:t>L</w:t>
            </w:r>
            <w:r>
              <w:rPr>
                <w:rFonts w:eastAsia="Times New Roman" w:cstheme="majorBidi"/>
                <w:color w:val="000000"/>
                <w:sz w:val="16"/>
                <w:szCs w:val="16"/>
              </w:rPr>
              <w:t>ag</w:t>
            </w:r>
            <w:r w:rsidRPr="002536FB">
              <w:rPr>
                <w:rFonts w:eastAsia="Times New Roman" w:cstheme="majorBidi"/>
                <w:color w:val="000000"/>
                <w:sz w:val="16"/>
                <w:szCs w:val="16"/>
              </w:rPr>
              <w:t>.TFP</w:t>
            </w:r>
            <w:proofErr w:type="spellEnd"/>
          </w:p>
        </w:tc>
        <w:tc>
          <w:tcPr>
            <w:tcW w:w="950" w:type="dxa"/>
            <w:tcBorders>
              <w:top w:val="single" w:sz="4" w:space="0" w:color="auto"/>
            </w:tcBorders>
            <w:shd w:val="clear" w:color="auto" w:fill="auto"/>
            <w:noWrap/>
            <w:vAlign w:val="center"/>
            <w:hideMark/>
          </w:tcPr>
          <w:p w14:paraId="5347CB91"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tcBorders>
              <w:top w:val="single" w:sz="4" w:space="0" w:color="auto"/>
            </w:tcBorders>
            <w:shd w:val="clear" w:color="auto" w:fill="auto"/>
            <w:noWrap/>
            <w:vAlign w:val="center"/>
            <w:hideMark/>
          </w:tcPr>
          <w:p w14:paraId="04595145"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0.647***</w:t>
            </w:r>
          </w:p>
        </w:tc>
        <w:tc>
          <w:tcPr>
            <w:tcW w:w="913" w:type="dxa"/>
            <w:tcBorders>
              <w:top w:val="single" w:sz="4" w:space="0" w:color="auto"/>
            </w:tcBorders>
            <w:vAlign w:val="center"/>
          </w:tcPr>
          <w:p w14:paraId="718F8481"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84" w:type="dxa"/>
            <w:tcBorders>
              <w:top w:val="single" w:sz="4" w:space="0" w:color="auto"/>
            </w:tcBorders>
            <w:vAlign w:val="center"/>
          </w:tcPr>
          <w:p w14:paraId="29DB2ACC"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A000F">
              <w:rPr>
                <w:rFonts w:eastAsia="Times New Roman" w:cstheme="majorBidi"/>
                <w:color w:val="000000"/>
                <w:sz w:val="16"/>
                <w:szCs w:val="16"/>
              </w:rPr>
              <w:t>0.650***</w:t>
            </w:r>
          </w:p>
        </w:tc>
        <w:tc>
          <w:tcPr>
            <w:tcW w:w="228" w:type="dxa"/>
            <w:vAlign w:val="center"/>
          </w:tcPr>
          <w:p w14:paraId="5805972B"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tcBorders>
              <w:top w:val="single" w:sz="4" w:space="0" w:color="auto"/>
            </w:tcBorders>
            <w:shd w:val="clear" w:color="auto" w:fill="auto"/>
            <w:noWrap/>
            <w:vAlign w:val="center"/>
            <w:hideMark/>
          </w:tcPr>
          <w:p w14:paraId="69853C43"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tcBorders>
              <w:top w:val="single" w:sz="4" w:space="0" w:color="auto"/>
            </w:tcBorders>
            <w:shd w:val="clear" w:color="auto" w:fill="auto"/>
            <w:noWrap/>
            <w:vAlign w:val="center"/>
            <w:hideMark/>
          </w:tcPr>
          <w:p w14:paraId="3765C8E8"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58" w:type="dxa"/>
            <w:tcBorders>
              <w:top w:val="single" w:sz="4" w:space="0" w:color="auto"/>
            </w:tcBorders>
            <w:vAlign w:val="center"/>
          </w:tcPr>
          <w:p w14:paraId="56D93BB4"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71" w:type="dxa"/>
            <w:tcBorders>
              <w:top w:val="single" w:sz="4" w:space="0" w:color="auto"/>
            </w:tcBorders>
            <w:vAlign w:val="center"/>
          </w:tcPr>
          <w:p w14:paraId="66D456E8"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r>
      <w:tr w:rsidR="009A7B5F" w:rsidRPr="002B1EAE" w14:paraId="0639AF8F" w14:textId="77777777" w:rsidTr="006C76E0">
        <w:trPr>
          <w:trHeight w:hRule="exact" w:val="288"/>
          <w:jc w:val="center"/>
        </w:trPr>
        <w:tc>
          <w:tcPr>
            <w:tcW w:w="2714" w:type="dxa"/>
            <w:shd w:val="clear" w:color="auto" w:fill="auto"/>
            <w:noWrap/>
            <w:vAlign w:val="center"/>
            <w:hideMark/>
          </w:tcPr>
          <w:p w14:paraId="3C514606" w14:textId="77777777" w:rsidR="009A7B5F" w:rsidRPr="002536FB" w:rsidRDefault="009A7B5F" w:rsidP="009F5DF5">
            <w:pPr>
              <w:spacing w:after="0" w:line="240" w:lineRule="auto"/>
              <w:ind w:firstLine="0"/>
              <w:jc w:val="left"/>
              <w:rPr>
                <w:rFonts w:eastAsia="Times New Roman" w:cstheme="majorBidi"/>
                <w:color w:val="000000"/>
                <w:sz w:val="16"/>
                <w:szCs w:val="16"/>
              </w:rPr>
            </w:pPr>
          </w:p>
        </w:tc>
        <w:tc>
          <w:tcPr>
            <w:tcW w:w="950" w:type="dxa"/>
            <w:shd w:val="clear" w:color="auto" w:fill="auto"/>
            <w:noWrap/>
            <w:vAlign w:val="center"/>
            <w:hideMark/>
          </w:tcPr>
          <w:p w14:paraId="14F816CB" w14:textId="77777777" w:rsidR="009A7B5F" w:rsidRPr="002536FB" w:rsidRDefault="009A7B5F" w:rsidP="009F5DF5">
            <w:pPr>
              <w:spacing w:after="0" w:line="240" w:lineRule="auto"/>
              <w:ind w:firstLine="0"/>
              <w:jc w:val="center"/>
              <w:rPr>
                <w:rFonts w:eastAsia="Times New Roman" w:cstheme="majorBidi"/>
                <w:sz w:val="16"/>
                <w:szCs w:val="16"/>
              </w:rPr>
            </w:pPr>
          </w:p>
        </w:tc>
        <w:tc>
          <w:tcPr>
            <w:tcW w:w="1185" w:type="dxa"/>
            <w:shd w:val="clear" w:color="auto" w:fill="auto"/>
            <w:noWrap/>
            <w:vAlign w:val="center"/>
            <w:hideMark/>
          </w:tcPr>
          <w:p w14:paraId="0C8F2F95"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r w:rsidRPr="002536FB">
              <w:rPr>
                <w:rFonts w:eastAsia="Times New Roman" w:cstheme="majorBidi"/>
                <w:color w:val="000000"/>
                <w:sz w:val="16"/>
                <w:szCs w:val="16"/>
              </w:rPr>
              <w:t>0</w:t>
            </w:r>
            <w:r>
              <w:rPr>
                <w:rFonts w:eastAsia="Times New Roman" w:cstheme="majorBidi"/>
                <w:color w:val="000000"/>
                <w:sz w:val="16"/>
                <w:szCs w:val="16"/>
              </w:rPr>
              <w:t>.000)</w:t>
            </w:r>
          </w:p>
        </w:tc>
        <w:tc>
          <w:tcPr>
            <w:tcW w:w="913" w:type="dxa"/>
            <w:vAlign w:val="center"/>
          </w:tcPr>
          <w:p w14:paraId="6C2125B1"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84" w:type="dxa"/>
            <w:vAlign w:val="center"/>
          </w:tcPr>
          <w:p w14:paraId="4EAFEAD7"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A000F">
              <w:rPr>
                <w:rFonts w:eastAsia="Times New Roman" w:cstheme="majorBidi"/>
                <w:color w:val="000000"/>
                <w:sz w:val="16"/>
                <w:szCs w:val="16"/>
              </w:rPr>
              <w:t>(0.0000)</w:t>
            </w:r>
          </w:p>
        </w:tc>
        <w:tc>
          <w:tcPr>
            <w:tcW w:w="228" w:type="dxa"/>
            <w:vAlign w:val="center"/>
          </w:tcPr>
          <w:p w14:paraId="4DD1178A"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6980F660"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1378BAA3"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58" w:type="dxa"/>
            <w:vAlign w:val="center"/>
          </w:tcPr>
          <w:p w14:paraId="199CB910"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71" w:type="dxa"/>
            <w:vAlign w:val="center"/>
          </w:tcPr>
          <w:p w14:paraId="2C7456FB"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r>
      <w:tr w:rsidR="009A7B5F" w:rsidRPr="002B1EAE" w14:paraId="59EE9F0E" w14:textId="77777777" w:rsidTr="006C76E0">
        <w:trPr>
          <w:trHeight w:hRule="exact" w:val="288"/>
          <w:jc w:val="center"/>
        </w:trPr>
        <w:tc>
          <w:tcPr>
            <w:tcW w:w="2714" w:type="dxa"/>
            <w:shd w:val="clear" w:color="auto" w:fill="auto"/>
            <w:noWrap/>
            <w:vAlign w:val="center"/>
            <w:hideMark/>
          </w:tcPr>
          <w:p w14:paraId="6E10A24A" w14:textId="77777777" w:rsidR="009A7B5F" w:rsidRPr="002536FB" w:rsidRDefault="009A7B5F" w:rsidP="009F5DF5">
            <w:pPr>
              <w:spacing w:after="0" w:line="240" w:lineRule="auto"/>
              <w:ind w:firstLine="0"/>
              <w:jc w:val="left"/>
              <w:rPr>
                <w:rFonts w:eastAsia="Times New Roman" w:cstheme="majorBidi"/>
                <w:color w:val="000000"/>
                <w:sz w:val="16"/>
                <w:szCs w:val="16"/>
              </w:rPr>
            </w:pPr>
            <w:proofErr w:type="spellStart"/>
            <w:r w:rsidRPr="002536FB">
              <w:rPr>
                <w:rFonts w:eastAsia="Times New Roman" w:cstheme="majorBidi"/>
                <w:color w:val="000000"/>
                <w:sz w:val="16"/>
                <w:szCs w:val="16"/>
              </w:rPr>
              <w:t>L</w:t>
            </w:r>
            <w:r>
              <w:rPr>
                <w:rFonts w:eastAsia="Times New Roman" w:cstheme="majorBidi"/>
                <w:color w:val="000000"/>
                <w:sz w:val="16"/>
                <w:szCs w:val="16"/>
              </w:rPr>
              <w:t>ag</w:t>
            </w:r>
            <w:r w:rsidRPr="002536FB">
              <w:rPr>
                <w:rFonts w:eastAsia="Times New Roman" w:cstheme="majorBidi"/>
                <w:color w:val="000000"/>
                <w:sz w:val="16"/>
                <w:szCs w:val="16"/>
              </w:rPr>
              <w:t>.SLE</w:t>
            </w:r>
            <w:proofErr w:type="spellEnd"/>
          </w:p>
        </w:tc>
        <w:tc>
          <w:tcPr>
            <w:tcW w:w="950" w:type="dxa"/>
            <w:shd w:val="clear" w:color="auto" w:fill="auto"/>
            <w:noWrap/>
            <w:vAlign w:val="center"/>
            <w:hideMark/>
          </w:tcPr>
          <w:p w14:paraId="0F2EEA92"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15E995EB"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13" w:type="dxa"/>
            <w:vAlign w:val="center"/>
          </w:tcPr>
          <w:p w14:paraId="3D2918A9"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84" w:type="dxa"/>
            <w:vAlign w:val="center"/>
          </w:tcPr>
          <w:p w14:paraId="6CA3DF63"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228" w:type="dxa"/>
            <w:vAlign w:val="center"/>
          </w:tcPr>
          <w:p w14:paraId="65BDCA8E"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3D109183"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3FAB25F5"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0.536***</w:t>
            </w:r>
          </w:p>
        </w:tc>
        <w:tc>
          <w:tcPr>
            <w:tcW w:w="958" w:type="dxa"/>
            <w:vAlign w:val="center"/>
          </w:tcPr>
          <w:p w14:paraId="23DBF9E7"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71" w:type="dxa"/>
            <w:vAlign w:val="center"/>
          </w:tcPr>
          <w:p w14:paraId="490EDAD9"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1D5FA8">
              <w:rPr>
                <w:rFonts w:eastAsia="Times New Roman" w:cstheme="majorBidi"/>
                <w:color w:val="000000"/>
                <w:sz w:val="16"/>
                <w:szCs w:val="16"/>
              </w:rPr>
              <w:t>0.539***</w:t>
            </w:r>
          </w:p>
        </w:tc>
      </w:tr>
      <w:tr w:rsidR="009A7B5F" w:rsidRPr="002B1EAE" w14:paraId="106CBD21" w14:textId="77777777" w:rsidTr="006C76E0">
        <w:trPr>
          <w:trHeight w:hRule="exact" w:val="288"/>
          <w:jc w:val="center"/>
        </w:trPr>
        <w:tc>
          <w:tcPr>
            <w:tcW w:w="2714" w:type="dxa"/>
            <w:shd w:val="clear" w:color="auto" w:fill="auto"/>
            <w:noWrap/>
            <w:vAlign w:val="center"/>
            <w:hideMark/>
          </w:tcPr>
          <w:p w14:paraId="3258CF54" w14:textId="77777777" w:rsidR="009A7B5F" w:rsidRPr="002536FB" w:rsidRDefault="009A7B5F" w:rsidP="009F5DF5">
            <w:pPr>
              <w:spacing w:after="0" w:line="240" w:lineRule="auto"/>
              <w:ind w:firstLine="0"/>
              <w:jc w:val="left"/>
              <w:rPr>
                <w:rFonts w:eastAsia="Times New Roman" w:cstheme="majorBidi"/>
                <w:color w:val="000000"/>
                <w:sz w:val="16"/>
                <w:szCs w:val="16"/>
              </w:rPr>
            </w:pPr>
          </w:p>
        </w:tc>
        <w:tc>
          <w:tcPr>
            <w:tcW w:w="950" w:type="dxa"/>
            <w:shd w:val="clear" w:color="auto" w:fill="auto"/>
            <w:noWrap/>
            <w:vAlign w:val="center"/>
            <w:hideMark/>
          </w:tcPr>
          <w:p w14:paraId="14168AEE" w14:textId="77777777" w:rsidR="009A7B5F" w:rsidRPr="002536FB" w:rsidRDefault="009A7B5F" w:rsidP="009F5DF5">
            <w:pPr>
              <w:spacing w:after="0" w:line="240" w:lineRule="auto"/>
              <w:ind w:firstLine="0"/>
              <w:jc w:val="center"/>
              <w:rPr>
                <w:rFonts w:eastAsia="Times New Roman" w:cstheme="majorBidi"/>
                <w:sz w:val="16"/>
                <w:szCs w:val="16"/>
              </w:rPr>
            </w:pPr>
          </w:p>
        </w:tc>
        <w:tc>
          <w:tcPr>
            <w:tcW w:w="1185" w:type="dxa"/>
            <w:shd w:val="clear" w:color="auto" w:fill="auto"/>
            <w:noWrap/>
            <w:vAlign w:val="center"/>
            <w:hideMark/>
          </w:tcPr>
          <w:p w14:paraId="3FDC95E4"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13" w:type="dxa"/>
            <w:vAlign w:val="center"/>
          </w:tcPr>
          <w:p w14:paraId="0C6F25F8"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84" w:type="dxa"/>
            <w:vAlign w:val="center"/>
          </w:tcPr>
          <w:p w14:paraId="1F106247"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228" w:type="dxa"/>
            <w:vAlign w:val="center"/>
          </w:tcPr>
          <w:p w14:paraId="529706B3"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06E8D0C1"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2C9D39C8"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r w:rsidRPr="002536FB">
              <w:rPr>
                <w:rFonts w:eastAsia="Times New Roman" w:cstheme="majorBidi"/>
                <w:color w:val="000000"/>
                <w:sz w:val="16"/>
                <w:szCs w:val="16"/>
              </w:rPr>
              <w:t>0</w:t>
            </w:r>
            <w:r>
              <w:rPr>
                <w:rFonts w:eastAsia="Times New Roman" w:cstheme="majorBidi"/>
                <w:color w:val="000000"/>
                <w:sz w:val="16"/>
                <w:szCs w:val="16"/>
              </w:rPr>
              <w:t>.000)</w:t>
            </w:r>
          </w:p>
        </w:tc>
        <w:tc>
          <w:tcPr>
            <w:tcW w:w="958" w:type="dxa"/>
            <w:vAlign w:val="center"/>
          </w:tcPr>
          <w:p w14:paraId="26BE73F1" w14:textId="77777777" w:rsidR="009A7B5F" w:rsidRDefault="009A7B5F" w:rsidP="009F5DF5">
            <w:pPr>
              <w:spacing w:after="0" w:line="240" w:lineRule="auto"/>
              <w:ind w:firstLine="0"/>
              <w:jc w:val="center"/>
              <w:rPr>
                <w:rFonts w:eastAsia="Times New Roman" w:cstheme="majorBidi"/>
                <w:color w:val="000000"/>
                <w:sz w:val="16"/>
                <w:szCs w:val="16"/>
              </w:rPr>
            </w:pPr>
          </w:p>
        </w:tc>
        <w:tc>
          <w:tcPr>
            <w:tcW w:w="971" w:type="dxa"/>
            <w:vAlign w:val="center"/>
          </w:tcPr>
          <w:p w14:paraId="7372A68F" w14:textId="77777777" w:rsidR="009A7B5F" w:rsidRDefault="009A7B5F" w:rsidP="009F5DF5">
            <w:pPr>
              <w:spacing w:after="0" w:line="240" w:lineRule="auto"/>
              <w:ind w:firstLine="0"/>
              <w:jc w:val="center"/>
              <w:rPr>
                <w:rFonts w:eastAsia="Times New Roman" w:cstheme="majorBidi"/>
                <w:color w:val="000000"/>
                <w:sz w:val="16"/>
                <w:szCs w:val="16"/>
              </w:rPr>
            </w:pPr>
            <w:r w:rsidRPr="001D5FA8">
              <w:rPr>
                <w:rFonts w:eastAsia="Times New Roman" w:cstheme="majorBidi"/>
                <w:color w:val="000000"/>
                <w:sz w:val="16"/>
                <w:szCs w:val="16"/>
              </w:rPr>
              <w:t>(0.0000)</w:t>
            </w:r>
          </w:p>
        </w:tc>
      </w:tr>
      <w:tr w:rsidR="009A7B5F" w:rsidRPr="002B1EAE" w14:paraId="39C4DB43" w14:textId="77777777" w:rsidTr="006C76E0">
        <w:trPr>
          <w:trHeight w:hRule="exact" w:val="288"/>
          <w:jc w:val="center"/>
        </w:trPr>
        <w:tc>
          <w:tcPr>
            <w:tcW w:w="2714" w:type="dxa"/>
            <w:shd w:val="clear" w:color="auto" w:fill="auto"/>
            <w:noWrap/>
            <w:vAlign w:val="center"/>
            <w:hideMark/>
          </w:tcPr>
          <w:p w14:paraId="36A05429" w14:textId="77777777" w:rsidR="009A7B5F" w:rsidRPr="002536FB" w:rsidRDefault="009A7B5F" w:rsidP="009F5DF5">
            <w:pPr>
              <w:spacing w:after="0" w:line="240" w:lineRule="auto"/>
              <w:ind w:firstLine="0"/>
              <w:jc w:val="left"/>
              <w:rPr>
                <w:rFonts w:eastAsia="Times New Roman" w:cstheme="majorBidi"/>
                <w:color w:val="000000"/>
                <w:sz w:val="16"/>
                <w:szCs w:val="16"/>
              </w:rPr>
            </w:pPr>
            <w:r>
              <w:rPr>
                <w:rFonts w:eastAsia="Times New Roman" w:cstheme="majorBidi"/>
                <w:color w:val="000000"/>
                <w:sz w:val="16"/>
                <w:szCs w:val="16"/>
              </w:rPr>
              <w:t>Pay equity</w:t>
            </w:r>
          </w:p>
        </w:tc>
        <w:tc>
          <w:tcPr>
            <w:tcW w:w="950" w:type="dxa"/>
            <w:shd w:val="clear" w:color="auto" w:fill="auto"/>
            <w:noWrap/>
            <w:vAlign w:val="center"/>
            <w:hideMark/>
          </w:tcPr>
          <w:p w14:paraId="3FC97313"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2.207***</w:t>
            </w:r>
          </w:p>
        </w:tc>
        <w:tc>
          <w:tcPr>
            <w:tcW w:w="1185" w:type="dxa"/>
            <w:shd w:val="clear" w:color="auto" w:fill="auto"/>
            <w:noWrap/>
            <w:vAlign w:val="center"/>
            <w:hideMark/>
          </w:tcPr>
          <w:p w14:paraId="2E507300"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1.037**</w:t>
            </w:r>
          </w:p>
        </w:tc>
        <w:tc>
          <w:tcPr>
            <w:tcW w:w="913" w:type="dxa"/>
            <w:vAlign w:val="center"/>
          </w:tcPr>
          <w:p w14:paraId="5F588B55"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0F1EE8">
              <w:rPr>
                <w:rFonts w:eastAsia="Times New Roman" w:cstheme="majorBidi"/>
                <w:color w:val="000000"/>
                <w:sz w:val="16"/>
                <w:szCs w:val="16"/>
              </w:rPr>
              <w:t>1.775***</w:t>
            </w:r>
          </w:p>
        </w:tc>
        <w:tc>
          <w:tcPr>
            <w:tcW w:w="984" w:type="dxa"/>
            <w:vAlign w:val="center"/>
          </w:tcPr>
          <w:p w14:paraId="62E62EE4"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7433E5">
              <w:rPr>
                <w:rFonts w:eastAsia="Times New Roman" w:cstheme="majorBidi"/>
                <w:color w:val="000000"/>
                <w:sz w:val="16"/>
                <w:szCs w:val="16"/>
              </w:rPr>
              <w:t>0.820**</w:t>
            </w:r>
          </w:p>
        </w:tc>
        <w:tc>
          <w:tcPr>
            <w:tcW w:w="228" w:type="dxa"/>
            <w:vAlign w:val="center"/>
          </w:tcPr>
          <w:p w14:paraId="33A1DA10"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63376D9B"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2.887***</w:t>
            </w:r>
          </w:p>
        </w:tc>
        <w:tc>
          <w:tcPr>
            <w:tcW w:w="1185" w:type="dxa"/>
            <w:shd w:val="clear" w:color="auto" w:fill="auto"/>
            <w:noWrap/>
            <w:vAlign w:val="center"/>
            <w:hideMark/>
          </w:tcPr>
          <w:p w14:paraId="6074AC52"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1.078**</w:t>
            </w:r>
          </w:p>
        </w:tc>
        <w:tc>
          <w:tcPr>
            <w:tcW w:w="958" w:type="dxa"/>
            <w:vAlign w:val="center"/>
          </w:tcPr>
          <w:p w14:paraId="7703BDE5"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9C2052">
              <w:rPr>
                <w:rFonts w:eastAsia="Times New Roman" w:cstheme="majorBidi"/>
                <w:color w:val="000000"/>
                <w:sz w:val="16"/>
                <w:szCs w:val="16"/>
              </w:rPr>
              <w:t>2.513***</w:t>
            </w:r>
          </w:p>
        </w:tc>
        <w:tc>
          <w:tcPr>
            <w:tcW w:w="971" w:type="dxa"/>
            <w:vAlign w:val="center"/>
          </w:tcPr>
          <w:p w14:paraId="659900E9"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7A6CB9">
              <w:rPr>
                <w:rFonts w:eastAsia="Times New Roman" w:cstheme="majorBidi"/>
                <w:color w:val="000000"/>
                <w:sz w:val="16"/>
                <w:szCs w:val="16"/>
              </w:rPr>
              <w:t>0.749**</w:t>
            </w:r>
          </w:p>
        </w:tc>
      </w:tr>
      <w:tr w:rsidR="009A7B5F" w:rsidRPr="002B1EAE" w14:paraId="748D3DB8" w14:textId="77777777" w:rsidTr="006C76E0">
        <w:trPr>
          <w:trHeight w:hRule="exact" w:val="288"/>
          <w:jc w:val="center"/>
        </w:trPr>
        <w:tc>
          <w:tcPr>
            <w:tcW w:w="2714" w:type="dxa"/>
            <w:shd w:val="clear" w:color="auto" w:fill="auto"/>
            <w:noWrap/>
            <w:vAlign w:val="center"/>
            <w:hideMark/>
          </w:tcPr>
          <w:p w14:paraId="501C7367" w14:textId="77777777" w:rsidR="009A7B5F" w:rsidRPr="002536FB" w:rsidRDefault="009A7B5F" w:rsidP="009F5DF5">
            <w:pPr>
              <w:spacing w:after="0" w:line="240" w:lineRule="auto"/>
              <w:ind w:firstLine="0"/>
              <w:jc w:val="left"/>
              <w:rPr>
                <w:rFonts w:eastAsia="Times New Roman" w:cstheme="majorBidi"/>
                <w:color w:val="000000"/>
                <w:sz w:val="16"/>
                <w:szCs w:val="16"/>
              </w:rPr>
            </w:pPr>
          </w:p>
        </w:tc>
        <w:tc>
          <w:tcPr>
            <w:tcW w:w="950" w:type="dxa"/>
            <w:shd w:val="clear" w:color="auto" w:fill="auto"/>
            <w:noWrap/>
            <w:vAlign w:val="center"/>
            <w:hideMark/>
          </w:tcPr>
          <w:p w14:paraId="6E841CFE"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r w:rsidRPr="002536FB">
              <w:rPr>
                <w:rFonts w:eastAsia="Times New Roman" w:cstheme="majorBidi"/>
                <w:color w:val="000000"/>
                <w:sz w:val="16"/>
                <w:szCs w:val="16"/>
              </w:rPr>
              <w:t>0</w:t>
            </w:r>
            <w:r>
              <w:rPr>
                <w:rFonts w:eastAsia="Times New Roman" w:cstheme="majorBidi"/>
                <w:color w:val="000000"/>
                <w:sz w:val="16"/>
                <w:szCs w:val="16"/>
              </w:rPr>
              <w:t>.000)</w:t>
            </w:r>
          </w:p>
        </w:tc>
        <w:tc>
          <w:tcPr>
            <w:tcW w:w="1185" w:type="dxa"/>
            <w:shd w:val="clear" w:color="auto" w:fill="auto"/>
            <w:noWrap/>
            <w:vAlign w:val="center"/>
            <w:hideMark/>
          </w:tcPr>
          <w:p w14:paraId="5D592FA9"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r w:rsidRPr="002536FB">
              <w:rPr>
                <w:rFonts w:eastAsia="Times New Roman" w:cstheme="majorBidi"/>
                <w:color w:val="000000"/>
                <w:sz w:val="16"/>
                <w:szCs w:val="16"/>
              </w:rPr>
              <w:t>0.0499</w:t>
            </w:r>
            <w:r>
              <w:rPr>
                <w:rFonts w:eastAsia="Times New Roman" w:cstheme="majorBidi"/>
                <w:color w:val="000000"/>
                <w:sz w:val="16"/>
                <w:szCs w:val="16"/>
              </w:rPr>
              <w:t>)</w:t>
            </w:r>
          </w:p>
        </w:tc>
        <w:tc>
          <w:tcPr>
            <w:tcW w:w="913" w:type="dxa"/>
            <w:vAlign w:val="center"/>
          </w:tcPr>
          <w:p w14:paraId="41865C1B"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0F1EE8">
              <w:rPr>
                <w:rFonts w:eastAsia="Times New Roman" w:cstheme="majorBidi"/>
                <w:color w:val="000000"/>
                <w:sz w:val="16"/>
                <w:szCs w:val="16"/>
              </w:rPr>
              <w:t>(0.0002)</w:t>
            </w:r>
          </w:p>
        </w:tc>
        <w:tc>
          <w:tcPr>
            <w:tcW w:w="984" w:type="dxa"/>
            <w:vAlign w:val="center"/>
          </w:tcPr>
          <w:p w14:paraId="5A885F5C"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7433E5">
              <w:rPr>
                <w:rFonts w:eastAsia="Times New Roman" w:cstheme="majorBidi"/>
                <w:color w:val="000000"/>
                <w:sz w:val="16"/>
                <w:szCs w:val="16"/>
              </w:rPr>
              <w:t>(0.0418)</w:t>
            </w:r>
          </w:p>
        </w:tc>
        <w:tc>
          <w:tcPr>
            <w:tcW w:w="228" w:type="dxa"/>
            <w:vAlign w:val="center"/>
          </w:tcPr>
          <w:p w14:paraId="3CBF274F"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0C53E834"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r w:rsidRPr="002536FB">
              <w:rPr>
                <w:rFonts w:eastAsia="Times New Roman" w:cstheme="majorBidi"/>
                <w:color w:val="000000"/>
                <w:sz w:val="16"/>
                <w:szCs w:val="16"/>
              </w:rPr>
              <w:t>0</w:t>
            </w:r>
            <w:r>
              <w:rPr>
                <w:rFonts w:eastAsia="Times New Roman" w:cstheme="majorBidi"/>
                <w:color w:val="000000"/>
                <w:sz w:val="16"/>
                <w:szCs w:val="16"/>
              </w:rPr>
              <w:t>.000)</w:t>
            </w:r>
          </w:p>
        </w:tc>
        <w:tc>
          <w:tcPr>
            <w:tcW w:w="1185" w:type="dxa"/>
            <w:shd w:val="clear" w:color="auto" w:fill="auto"/>
            <w:noWrap/>
            <w:vAlign w:val="center"/>
            <w:hideMark/>
          </w:tcPr>
          <w:p w14:paraId="09FFD8F4"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r w:rsidRPr="002536FB">
              <w:rPr>
                <w:rFonts w:eastAsia="Times New Roman" w:cstheme="majorBidi"/>
                <w:color w:val="000000"/>
                <w:sz w:val="16"/>
                <w:szCs w:val="16"/>
              </w:rPr>
              <w:t>0.0122</w:t>
            </w:r>
            <w:r>
              <w:rPr>
                <w:rFonts w:eastAsia="Times New Roman" w:cstheme="majorBidi"/>
                <w:color w:val="000000"/>
                <w:sz w:val="16"/>
                <w:szCs w:val="16"/>
              </w:rPr>
              <w:t>)</w:t>
            </w:r>
          </w:p>
        </w:tc>
        <w:tc>
          <w:tcPr>
            <w:tcW w:w="958" w:type="dxa"/>
            <w:vAlign w:val="center"/>
          </w:tcPr>
          <w:p w14:paraId="3732B5C0" w14:textId="77777777" w:rsidR="009A7B5F" w:rsidRDefault="009A7B5F" w:rsidP="009F5DF5">
            <w:pPr>
              <w:spacing w:after="0" w:line="240" w:lineRule="auto"/>
              <w:ind w:firstLine="0"/>
              <w:jc w:val="center"/>
              <w:rPr>
                <w:rFonts w:eastAsia="Times New Roman" w:cstheme="majorBidi"/>
                <w:color w:val="000000"/>
                <w:sz w:val="16"/>
                <w:szCs w:val="16"/>
              </w:rPr>
            </w:pPr>
            <w:r w:rsidRPr="009C2052">
              <w:rPr>
                <w:rFonts w:eastAsia="Times New Roman" w:cstheme="majorBidi"/>
                <w:color w:val="000000"/>
                <w:sz w:val="16"/>
                <w:szCs w:val="16"/>
              </w:rPr>
              <w:t>(0.0000)</w:t>
            </w:r>
          </w:p>
        </w:tc>
        <w:tc>
          <w:tcPr>
            <w:tcW w:w="971" w:type="dxa"/>
            <w:vAlign w:val="center"/>
          </w:tcPr>
          <w:p w14:paraId="2F734790" w14:textId="77777777" w:rsidR="009A7B5F" w:rsidRDefault="009A7B5F" w:rsidP="009F5DF5">
            <w:pPr>
              <w:spacing w:after="0" w:line="240" w:lineRule="auto"/>
              <w:ind w:firstLine="0"/>
              <w:jc w:val="center"/>
              <w:rPr>
                <w:rFonts w:eastAsia="Times New Roman" w:cstheme="majorBidi"/>
                <w:color w:val="000000"/>
                <w:sz w:val="16"/>
                <w:szCs w:val="16"/>
              </w:rPr>
            </w:pPr>
            <w:r w:rsidRPr="007A6CB9">
              <w:rPr>
                <w:rFonts w:eastAsia="Times New Roman" w:cstheme="majorBidi"/>
                <w:color w:val="000000"/>
                <w:sz w:val="16"/>
                <w:szCs w:val="16"/>
              </w:rPr>
              <w:t>(0.0330)</w:t>
            </w:r>
          </w:p>
        </w:tc>
      </w:tr>
      <w:tr w:rsidR="009A7B5F" w:rsidRPr="002B1EAE" w14:paraId="03888948" w14:textId="77777777" w:rsidTr="006C76E0">
        <w:trPr>
          <w:trHeight w:hRule="exact" w:val="288"/>
          <w:jc w:val="center"/>
        </w:trPr>
        <w:tc>
          <w:tcPr>
            <w:tcW w:w="2714" w:type="dxa"/>
            <w:shd w:val="clear" w:color="auto" w:fill="auto"/>
            <w:noWrap/>
            <w:vAlign w:val="center"/>
            <w:hideMark/>
          </w:tcPr>
          <w:p w14:paraId="6985B6F3" w14:textId="77777777" w:rsidR="009A7B5F" w:rsidRPr="002536FB" w:rsidRDefault="009A7B5F" w:rsidP="009F5DF5">
            <w:pPr>
              <w:spacing w:after="0" w:line="240" w:lineRule="auto"/>
              <w:ind w:firstLine="0"/>
              <w:jc w:val="left"/>
              <w:rPr>
                <w:rFonts w:eastAsia="Times New Roman" w:cstheme="majorBidi"/>
                <w:color w:val="000000"/>
                <w:sz w:val="16"/>
                <w:szCs w:val="16"/>
              </w:rPr>
            </w:pPr>
            <w:r>
              <w:rPr>
                <w:rFonts w:eastAsia="Times New Roman" w:cstheme="majorBidi"/>
                <w:color w:val="000000"/>
                <w:sz w:val="16"/>
                <w:szCs w:val="16"/>
              </w:rPr>
              <w:t>Squared Pay equity</w:t>
            </w:r>
          </w:p>
        </w:tc>
        <w:tc>
          <w:tcPr>
            <w:tcW w:w="950" w:type="dxa"/>
            <w:shd w:val="clear" w:color="auto" w:fill="auto"/>
            <w:noWrap/>
            <w:vAlign w:val="center"/>
            <w:hideMark/>
          </w:tcPr>
          <w:p w14:paraId="49C872E6"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-0.400***</w:t>
            </w:r>
          </w:p>
        </w:tc>
        <w:tc>
          <w:tcPr>
            <w:tcW w:w="1185" w:type="dxa"/>
            <w:shd w:val="clear" w:color="auto" w:fill="auto"/>
            <w:noWrap/>
            <w:vAlign w:val="center"/>
            <w:hideMark/>
          </w:tcPr>
          <w:p w14:paraId="29ECCD9A"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-0.246***</w:t>
            </w:r>
          </w:p>
        </w:tc>
        <w:tc>
          <w:tcPr>
            <w:tcW w:w="913" w:type="dxa"/>
            <w:vAlign w:val="center"/>
          </w:tcPr>
          <w:p w14:paraId="7C9863EF"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0F1EE8">
              <w:rPr>
                <w:rFonts w:eastAsia="Times New Roman" w:cstheme="majorBidi"/>
                <w:color w:val="000000"/>
                <w:sz w:val="16"/>
                <w:szCs w:val="16"/>
              </w:rPr>
              <w:t>-0.357***</w:t>
            </w:r>
          </w:p>
        </w:tc>
        <w:tc>
          <w:tcPr>
            <w:tcW w:w="984" w:type="dxa"/>
            <w:vAlign w:val="center"/>
          </w:tcPr>
          <w:p w14:paraId="7D3EC39A"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7433E5">
              <w:rPr>
                <w:rFonts w:eastAsia="Times New Roman" w:cstheme="majorBidi"/>
                <w:color w:val="000000"/>
                <w:sz w:val="16"/>
                <w:szCs w:val="16"/>
              </w:rPr>
              <w:t>-0.210***</w:t>
            </w:r>
          </w:p>
        </w:tc>
        <w:tc>
          <w:tcPr>
            <w:tcW w:w="228" w:type="dxa"/>
            <w:vAlign w:val="center"/>
          </w:tcPr>
          <w:p w14:paraId="6BE2EDD8"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7BCB5DE4"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-0.480***</w:t>
            </w:r>
          </w:p>
        </w:tc>
        <w:tc>
          <w:tcPr>
            <w:tcW w:w="1185" w:type="dxa"/>
            <w:shd w:val="clear" w:color="auto" w:fill="auto"/>
            <w:noWrap/>
            <w:vAlign w:val="center"/>
            <w:hideMark/>
          </w:tcPr>
          <w:p w14:paraId="43DDFFB8"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-0.214***</w:t>
            </w:r>
          </w:p>
        </w:tc>
        <w:tc>
          <w:tcPr>
            <w:tcW w:w="958" w:type="dxa"/>
            <w:vAlign w:val="center"/>
          </w:tcPr>
          <w:p w14:paraId="36A8147B"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9C2052">
              <w:rPr>
                <w:rFonts w:eastAsia="Times New Roman" w:cstheme="majorBidi"/>
                <w:color w:val="000000"/>
                <w:sz w:val="16"/>
                <w:szCs w:val="16"/>
              </w:rPr>
              <w:t>-0.442***</w:t>
            </w:r>
          </w:p>
        </w:tc>
        <w:tc>
          <w:tcPr>
            <w:tcW w:w="971" w:type="dxa"/>
            <w:vAlign w:val="center"/>
          </w:tcPr>
          <w:p w14:paraId="692675F8"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7A6CB9">
              <w:rPr>
                <w:rFonts w:eastAsia="Times New Roman" w:cstheme="majorBidi"/>
                <w:color w:val="000000"/>
                <w:sz w:val="16"/>
                <w:szCs w:val="16"/>
              </w:rPr>
              <w:t>-0.188***</w:t>
            </w:r>
          </w:p>
        </w:tc>
      </w:tr>
      <w:tr w:rsidR="009A7B5F" w:rsidRPr="002B1EAE" w14:paraId="4E25C34B" w14:textId="77777777" w:rsidTr="006C76E0">
        <w:trPr>
          <w:trHeight w:hRule="exact" w:val="288"/>
          <w:jc w:val="center"/>
        </w:trPr>
        <w:tc>
          <w:tcPr>
            <w:tcW w:w="2714" w:type="dxa"/>
            <w:shd w:val="clear" w:color="auto" w:fill="auto"/>
            <w:noWrap/>
            <w:vAlign w:val="center"/>
            <w:hideMark/>
          </w:tcPr>
          <w:p w14:paraId="28074EFF" w14:textId="77777777" w:rsidR="009A7B5F" w:rsidRPr="002536FB" w:rsidRDefault="009A7B5F" w:rsidP="009F5DF5">
            <w:pPr>
              <w:spacing w:after="0" w:line="240" w:lineRule="auto"/>
              <w:ind w:firstLine="0"/>
              <w:jc w:val="left"/>
              <w:rPr>
                <w:rFonts w:eastAsia="Times New Roman" w:cstheme="majorBidi"/>
                <w:color w:val="000000"/>
                <w:sz w:val="16"/>
                <w:szCs w:val="16"/>
              </w:rPr>
            </w:pPr>
          </w:p>
        </w:tc>
        <w:tc>
          <w:tcPr>
            <w:tcW w:w="950" w:type="dxa"/>
            <w:shd w:val="clear" w:color="auto" w:fill="auto"/>
            <w:noWrap/>
            <w:vAlign w:val="center"/>
            <w:hideMark/>
          </w:tcPr>
          <w:p w14:paraId="3B6E5D2F"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r w:rsidRPr="002536FB">
              <w:rPr>
                <w:rFonts w:eastAsia="Times New Roman" w:cstheme="majorBidi"/>
                <w:color w:val="000000"/>
                <w:sz w:val="16"/>
                <w:szCs w:val="16"/>
              </w:rPr>
              <w:t>0</w:t>
            </w:r>
            <w:r>
              <w:rPr>
                <w:rFonts w:eastAsia="Times New Roman" w:cstheme="majorBidi"/>
                <w:color w:val="000000"/>
                <w:sz w:val="16"/>
                <w:szCs w:val="16"/>
              </w:rPr>
              <w:t>.000)</w:t>
            </w:r>
          </w:p>
        </w:tc>
        <w:tc>
          <w:tcPr>
            <w:tcW w:w="1185" w:type="dxa"/>
            <w:shd w:val="clear" w:color="auto" w:fill="auto"/>
            <w:noWrap/>
            <w:vAlign w:val="center"/>
            <w:hideMark/>
          </w:tcPr>
          <w:p w14:paraId="13F9B808"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r w:rsidRPr="002536FB">
              <w:rPr>
                <w:rFonts w:eastAsia="Times New Roman" w:cstheme="majorBidi"/>
                <w:color w:val="000000"/>
                <w:sz w:val="16"/>
                <w:szCs w:val="16"/>
              </w:rPr>
              <w:t>0.001</w:t>
            </w:r>
            <w:r>
              <w:rPr>
                <w:rFonts w:eastAsia="Times New Roman" w:cstheme="majorBidi"/>
                <w:color w:val="000000"/>
                <w:sz w:val="16"/>
                <w:szCs w:val="16"/>
              </w:rPr>
              <w:t>)</w:t>
            </w:r>
          </w:p>
        </w:tc>
        <w:tc>
          <w:tcPr>
            <w:tcW w:w="913" w:type="dxa"/>
            <w:vAlign w:val="center"/>
          </w:tcPr>
          <w:p w14:paraId="6E15CA38"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994EE9">
              <w:rPr>
                <w:rFonts w:eastAsia="Times New Roman" w:cstheme="majorBidi"/>
                <w:color w:val="000000"/>
                <w:sz w:val="16"/>
                <w:szCs w:val="16"/>
              </w:rPr>
              <w:t>(0.0000)</w:t>
            </w:r>
          </w:p>
        </w:tc>
        <w:tc>
          <w:tcPr>
            <w:tcW w:w="984" w:type="dxa"/>
            <w:vAlign w:val="center"/>
          </w:tcPr>
          <w:p w14:paraId="54FBB2D7"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7433E5">
              <w:rPr>
                <w:rFonts w:eastAsia="Times New Roman" w:cstheme="majorBidi"/>
                <w:color w:val="000000"/>
                <w:sz w:val="16"/>
                <w:szCs w:val="16"/>
              </w:rPr>
              <w:t>(0.0012)</w:t>
            </w:r>
          </w:p>
        </w:tc>
        <w:tc>
          <w:tcPr>
            <w:tcW w:w="228" w:type="dxa"/>
            <w:vAlign w:val="center"/>
          </w:tcPr>
          <w:p w14:paraId="5708BC8B"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0536038E"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r w:rsidRPr="002536FB">
              <w:rPr>
                <w:rFonts w:eastAsia="Times New Roman" w:cstheme="majorBidi"/>
                <w:color w:val="000000"/>
                <w:sz w:val="16"/>
                <w:szCs w:val="16"/>
              </w:rPr>
              <w:t>0</w:t>
            </w:r>
            <w:r>
              <w:rPr>
                <w:rFonts w:eastAsia="Times New Roman" w:cstheme="majorBidi"/>
                <w:color w:val="000000"/>
                <w:sz w:val="16"/>
                <w:szCs w:val="16"/>
              </w:rPr>
              <w:t>.000)</w:t>
            </w:r>
          </w:p>
        </w:tc>
        <w:tc>
          <w:tcPr>
            <w:tcW w:w="1185" w:type="dxa"/>
            <w:shd w:val="clear" w:color="auto" w:fill="auto"/>
            <w:noWrap/>
            <w:vAlign w:val="center"/>
            <w:hideMark/>
          </w:tcPr>
          <w:p w14:paraId="04331703"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r w:rsidRPr="002536FB">
              <w:rPr>
                <w:rFonts w:eastAsia="Times New Roman" w:cstheme="majorBidi"/>
                <w:color w:val="000000"/>
                <w:sz w:val="16"/>
                <w:szCs w:val="16"/>
              </w:rPr>
              <w:t>0.0001</w:t>
            </w:r>
            <w:r>
              <w:rPr>
                <w:rFonts w:eastAsia="Times New Roman" w:cstheme="majorBidi"/>
                <w:color w:val="000000"/>
                <w:sz w:val="16"/>
                <w:szCs w:val="16"/>
              </w:rPr>
              <w:t>)</w:t>
            </w:r>
          </w:p>
        </w:tc>
        <w:tc>
          <w:tcPr>
            <w:tcW w:w="958" w:type="dxa"/>
            <w:vAlign w:val="center"/>
          </w:tcPr>
          <w:p w14:paraId="370678F3" w14:textId="77777777" w:rsidR="009A7B5F" w:rsidRDefault="009A7B5F" w:rsidP="009F5DF5">
            <w:pPr>
              <w:spacing w:after="0" w:line="240" w:lineRule="auto"/>
              <w:ind w:firstLine="0"/>
              <w:jc w:val="center"/>
              <w:rPr>
                <w:rFonts w:eastAsia="Times New Roman" w:cstheme="majorBidi"/>
                <w:color w:val="000000"/>
                <w:sz w:val="16"/>
                <w:szCs w:val="16"/>
              </w:rPr>
            </w:pPr>
            <w:r w:rsidRPr="009C2052">
              <w:rPr>
                <w:rFonts w:eastAsia="Times New Roman" w:cstheme="majorBidi"/>
                <w:color w:val="000000"/>
                <w:sz w:val="16"/>
                <w:szCs w:val="16"/>
              </w:rPr>
              <w:t>(0.0000)</w:t>
            </w:r>
          </w:p>
        </w:tc>
        <w:tc>
          <w:tcPr>
            <w:tcW w:w="971" w:type="dxa"/>
            <w:vAlign w:val="center"/>
          </w:tcPr>
          <w:p w14:paraId="0E5AD839" w14:textId="77777777" w:rsidR="009A7B5F" w:rsidRDefault="009A7B5F" w:rsidP="009F5DF5">
            <w:pPr>
              <w:spacing w:after="0" w:line="240" w:lineRule="auto"/>
              <w:ind w:firstLine="0"/>
              <w:jc w:val="center"/>
              <w:rPr>
                <w:rFonts w:eastAsia="Times New Roman" w:cstheme="majorBidi"/>
                <w:color w:val="000000"/>
                <w:sz w:val="16"/>
                <w:szCs w:val="16"/>
              </w:rPr>
            </w:pPr>
            <w:r w:rsidRPr="007A6CB9">
              <w:rPr>
                <w:rFonts w:eastAsia="Times New Roman" w:cstheme="majorBidi"/>
                <w:color w:val="000000"/>
                <w:sz w:val="16"/>
                <w:szCs w:val="16"/>
              </w:rPr>
              <w:t>(0.0002)</w:t>
            </w:r>
          </w:p>
        </w:tc>
      </w:tr>
      <w:tr w:rsidR="009A7B5F" w:rsidRPr="002B1EAE" w14:paraId="145E8BFA" w14:textId="77777777" w:rsidTr="006C76E0">
        <w:trPr>
          <w:trHeight w:hRule="exact" w:val="288"/>
          <w:jc w:val="center"/>
        </w:trPr>
        <w:tc>
          <w:tcPr>
            <w:tcW w:w="2714" w:type="dxa"/>
            <w:shd w:val="clear" w:color="auto" w:fill="auto"/>
            <w:noWrap/>
            <w:vAlign w:val="center"/>
          </w:tcPr>
          <w:p w14:paraId="19C2041E" w14:textId="77777777" w:rsidR="009A7B5F" w:rsidRDefault="009A7B5F" w:rsidP="009F5DF5">
            <w:pPr>
              <w:spacing w:after="0" w:line="240" w:lineRule="auto"/>
              <w:ind w:firstLine="0"/>
              <w:jc w:val="left"/>
              <w:rPr>
                <w:rFonts w:eastAsia="Times New Roman" w:cstheme="majorBidi"/>
                <w:color w:val="000000"/>
                <w:sz w:val="16"/>
                <w:szCs w:val="16"/>
              </w:rPr>
            </w:pPr>
            <w:r>
              <w:rPr>
                <w:rFonts w:eastAsia="Times New Roman" w:cstheme="majorBidi"/>
                <w:color w:val="000000"/>
                <w:sz w:val="16"/>
                <w:szCs w:val="16"/>
              </w:rPr>
              <w:t>Pay inequity</w:t>
            </w:r>
          </w:p>
        </w:tc>
        <w:tc>
          <w:tcPr>
            <w:tcW w:w="950" w:type="dxa"/>
            <w:shd w:val="clear" w:color="auto" w:fill="auto"/>
            <w:noWrap/>
            <w:vAlign w:val="center"/>
          </w:tcPr>
          <w:p w14:paraId="4324ADA4" w14:textId="77777777" w:rsidR="009A7B5F"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tcPr>
          <w:p w14:paraId="71265600" w14:textId="77777777" w:rsidR="009A7B5F" w:rsidRDefault="009A7B5F" w:rsidP="009F5DF5">
            <w:pPr>
              <w:spacing w:after="0" w:line="240" w:lineRule="auto"/>
              <w:ind w:firstLine="0"/>
              <w:jc w:val="center"/>
              <w:rPr>
                <w:rFonts w:eastAsia="Times New Roman" w:cstheme="majorBidi"/>
                <w:color w:val="000000"/>
                <w:sz w:val="16"/>
                <w:szCs w:val="16"/>
              </w:rPr>
            </w:pPr>
          </w:p>
        </w:tc>
        <w:tc>
          <w:tcPr>
            <w:tcW w:w="913" w:type="dxa"/>
            <w:vAlign w:val="center"/>
          </w:tcPr>
          <w:p w14:paraId="66BE2DA4"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994EE9">
              <w:rPr>
                <w:rFonts w:eastAsia="Times New Roman" w:cstheme="majorBidi"/>
                <w:color w:val="000000"/>
                <w:sz w:val="16"/>
                <w:szCs w:val="16"/>
              </w:rPr>
              <w:t>-0.288***</w:t>
            </w:r>
          </w:p>
        </w:tc>
        <w:tc>
          <w:tcPr>
            <w:tcW w:w="984" w:type="dxa"/>
            <w:vAlign w:val="center"/>
          </w:tcPr>
          <w:p w14:paraId="28E9DF4C"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7433E5">
              <w:rPr>
                <w:rFonts w:eastAsia="Times New Roman" w:cstheme="majorBidi"/>
                <w:color w:val="000000"/>
                <w:sz w:val="16"/>
                <w:szCs w:val="16"/>
              </w:rPr>
              <w:t>-0.107</w:t>
            </w:r>
          </w:p>
        </w:tc>
        <w:tc>
          <w:tcPr>
            <w:tcW w:w="228" w:type="dxa"/>
            <w:vAlign w:val="center"/>
          </w:tcPr>
          <w:p w14:paraId="2F281D9C"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tcPr>
          <w:p w14:paraId="3104A996" w14:textId="77777777" w:rsidR="009A7B5F"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tcPr>
          <w:p w14:paraId="1AEAB703" w14:textId="77777777" w:rsidR="009A7B5F" w:rsidRDefault="009A7B5F" w:rsidP="009F5DF5">
            <w:pPr>
              <w:spacing w:after="0" w:line="240" w:lineRule="auto"/>
              <w:ind w:firstLine="0"/>
              <w:jc w:val="center"/>
              <w:rPr>
                <w:rFonts w:eastAsia="Times New Roman" w:cstheme="majorBidi"/>
                <w:color w:val="000000"/>
                <w:sz w:val="16"/>
                <w:szCs w:val="16"/>
              </w:rPr>
            </w:pPr>
          </w:p>
        </w:tc>
        <w:tc>
          <w:tcPr>
            <w:tcW w:w="958" w:type="dxa"/>
            <w:vAlign w:val="center"/>
          </w:tcPr>
          <w:p w14:paraId="397BA790" w14:textId="77777777" w:rsidR="009A7B5F" w:rsidRDefault="009A7B5F" w:rsidP="009F5DF5">
            <w:pPr>
              <w:spacing w:after="0" w:line="240" w:lineRule="auto"/>
              <w:ind w:firstLine="0"/>
              <w:jc w:val="center"/>
              <w:rPr>
                <w:rFonts w:eastAsia="Times New Roman" w:cstheme="majorBidi"/>
                <w:color w:val="000000"/>
                <w:sz w:val="16"/>
                <w:szCs w:val="16"/>
              </w:rPr>
            </w:pPr>
            <w:r w:rsidRPr="009C2052">
              <w:rPr>
                <w:rFonts w:eastAsia="Times New Roman" w:cstheme="majorBidi"/>
                <w:color w:val="000000"/>
                <w:sz w:val="16"/>
                <w:szCs w:val="16"/>
              </w:rPr>
              <w:t>-0.250***</w:t>
            </w:r>
          </w:p>
        </w:tc>
        <w:tc>
          <w:tcPr>
            <w:tcW w:w="971" w:type="dxa"/>
            <w:vAlign w:val="center"/>
          </w:tcPr>
          <w:p w14:paraId="57D7FF00" w14:textId="77777777" w:rsidR="009A7B5F" w:rsidRDefault="009A7B5F" w:rsidP="009F5DF5">
            <w:pPr>
              <w:spacing w:after="0" w:line="240" w:lineRule="auto"/>
              <w:ind w:firstLine="0"/>
              <w:jc w:val="center"/>
              <w:rPr>
                <w:rFonts w:eastAsia="Times New Roman" w:cstheme="majorBidi"/>
                <w:color w:val="000000"/>
                <w:sz w:val="16"/>
                <w:szCs w:val="16"/>
              </w:rPr>
            </w:pPr>
            <w:r w:rsidRPr="007A6CB9">
              <w:rPr>
                <w:rFonts w:eastAsia="Times New Roman" w:cstheme="majorBidi"/>
                <w:color w:val="000000"/>
                <w:sz w:val="16"/>
                <w:szCs w:val="16"/>
              </w:rPr>
              <w:t>-0.187**</w:t>
            </w:r>
          </w:p>
        </w:tc>
      </w:tr>
      <w:tr w:rsidR="009A7B5F" w:rsidRPr="002B1EAE" w14:paraId="610B676F" w14:textId="77777777" w:rsidTr="006C76E0">
        <w:trPr>
          <w:trHeight w:hRule="exact" w:val="288"/>
          <w:jc w:val="center"/>
        </w:trPr>
        <w:tc>
          <w:tcPr>
            <w:tcW w:w="2714" w:type="dxa"/>
            <w:shd w:val="clear" w:color="auto" w:fill="auto"/>
            <w:noWrap/>
            <w:vAlign w:val="center"/>
          </w:tcPr>
          <w:p w14:paraId="0A2CBBA8" w14:textId="77777777" w:rsidR="009A7B5F" w:rsidRDefault="009A7B5F" w:rsidP="009F5DF5">
            <w:pPr>
              <w:spacing w:after="0" w:line="240" w:lineRule="auto"/>
              <w:ind w:firstLine="0"/>
              <w:jc w:val="left"/>
              <w:rPr>
                <w:rFonts w:eastAsia="Times New Roman" w:cstheme="majorBidi"/>
                <w:color w:val="000000"/>
                <w:sz w:val="16"/>
                <w:szCs w:val="16"/>
              </w:rPr>
            </w:pPr>
          </w:p>
        </w:tc>
        <w:tc>
          <w:tcPr>
            <w:tcW w:w="950" w:type="dxa"/>
            <w:shd w:val="clear" w:color="auto" w:fill="auto"/>
            <w:noWrap/>
            <w:vAlign w:val="center"/>
          </w:tcPr>
          <w:p w14:paraId="7127DA98" w14:textId="77777777" w:rsidR="009A7B5F"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tcPr>
          <w:p w14:paraId="20F9ECC3" w14:textId="77777777" w:rsidR="009A7B5F" w:rsidRDefault="009A7B5F" w:rsidP="009F5DF5">
            <w:pPr>
              <w:spacing w:after="0" w:line="240" w:lineRule="auto"/>
              <w:ind w:firstLine="0"/>
              <w:jc w:val="center"/>
              <w:rPr>
                <w:rFonts w:eastAsia="Times New Roman" w:cstheme="majorBidi"/>
                <w:color w:val="000000"/>
                <w:sz w:val="16"/>
                <w:szCs w:val="16"/>
              </w:rPr>
            </w:pPr>
          </w:p>
        </w:tc>
        <w:tc>
          <w:tcPr>
            <w:tcW w:w="913" w:type="dxa"/>
            <w:vAlign w:val="center"/>
          </w:tcPr>
          <w:p w14:paraId="2EFCABEA"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994EE9">
              <w:rPr>
                <w:rFonts w:eastAsia="Times New Roman" w:cstheme="majorBidi"/>
                <w:color w:val="000000"/>
                <w:sz w:val="16"/>
                <w:szCs w:val="16"/>
              </w:rPr>
              <w:t>(0.0000)</w:t>
            </w:r>
          </w:p>
        </w:tc>
        <w:tc>
          <w:tcPr>
            <w:tcW w:w="984" w:type="dxa"/>
            <w:vAlign w:val="center"/>
          </w:tcPr>
          <w:p w14:paraId="2E5BF6E4"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7433E5">
              <w:rPr>
                <w:rFonts w:eastAsia="Times New Roman" w:cstheme="majorBidi"/>
                <w:color w:val="000000"/>
                <w:sz w:val="16"/>
                <w:szCs w:val="16"/>
              </w:rPr>
              <w:t>(0.1371)</w:t>
            </w:r>
          </w:p>
        </w:tc>
        <w:tc>
          <w:tcPr>
            <w:tcW w:w="228" w:type="dxa"/>
            <w:vAlign w:val="center"/>
          </w:tcPr>
          <w:p w14:paraId="191B5C3A"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tcPr>
          <w:p w14:paraId="49ADD6EA" w14:textId="77777777" w:rsidR="009A7B5F"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tcPr>
          <w:p w14:paraId="2D1AB18A" w14:textId="77777777" w:rsidR="009A7B5F" w:rsidRDefault="009A7B5F" w:rsidP="009F5DF5">
            <w:pPr>
              <w:spacing w:after="0" w:line="240" w:lineRule="auto"/>
              <w:ind w:firstLine="0"/>
              <w:jc w:val="center"/>
              <w:rPr>
                <w:rFonts w:eastAsia="Times New Roman" w:cstheme="majorBidi"/>
                <w:color w:val="000000"/>
                <w:sz w:val="16"/>
                <w:szCs w:val="16"/>
              </w:rPr>
            </w:pPr>
          </w:p>
        </w:tc>
        <w:tc>
          <w:tcPr>
            <w:tcW w:w="958" w:type="dxa"/>
            <w:vAlign w:val="center"/>
          </w:tcPr>
          <w:p w14:paraId="7419CF80" w14:textId="77777777" w:rsidR="009A7B5F" w:rsidRDefault="009A7B5F" w:rsidP="009F5DF5">
            <w:pPr>
              <w:spacing w:after="0" w:line="240" w:lineRule="auto"/>
              <w:ind w:firstLine="0"/>
              <w:jc w:val="center"/>
              <w:rPr>
                <w:rFonts w:eastAsia="Times New Roman" w:cstheme="majorBidi"/>
                <w:color w:val="000000"/>
                <w:sz w:val="16"/>
                <w:szCs w:val="16"/>
              </w:rPr>
            </w:pPr>
            <w:r w:rsidRPr="009C2052">
              <w:rPr>
                <w:rFonts w:eastAsia="Times New Roman" w:cstheme="majorBidi"/>
                <w:color w:val="000000"/>
                <w:sz w:val="16"/>
                <w:szCs w:val="16"/>
              </w:rPr>
              <w:t>(0.0000)</w:t>
            </w:r>
          </w:p>
        </w:tc>
        <w:tc>
          <w:tcPr>
            <w:tcW w:w="971" w:type="dxa"/>
            <w:vAlign w:val="center"/>
          </w:tcPr>
          <w:p w14:paraId="1D3A4F92" w14:textId="77777777" w:rsidR="009A7B5F" w:rsidRDefault="009A7B5F" w:rsidP="009F5DF5">
            <w:pPr>
              <w:spacing w:after="0" w:line="240" w:lineRule="auto"/>
              <w:ind w:firstLine="0"/>
              <w:jc w:val="center"/>
              <w:rPr>
                <w:rFonts w:eastAsia="Times New Roman" w:cstheme="majorBidi"/>
                <w:color w:val="000000"/>
                <w:sz w:val="16"/>
                <w:szCs w:val="16"/>
              </w:rPr>
            </w:pPr>
            <w:r w:rsidRPr="007A6CB9">
              <w:rPr>
                <w:rFonts w:eastAsia="Times New Roman" w:cstheme="majorBidi"/>
                <w:color w:val="000000"/>
                <w:sz w:val="16"/>
                <w:szCs w:val="16"/>
              </w:rPr>
              <w:t>(0.0100)</w:t>
            </w:r>
          </w:p>
        </w:tc>
      </w:tr>
      <w:tr w:rsidR="009A7B5F" w:rsidRPr="002B1EAE" w14:paraId="090726FF" w14:textId="77777777" w:rsidTr="006C76E0">
        <w:trPr>
          <w:trHeight w:hRule="exact" w:val="288"/>
          <w:jc w:val="center"/>
        </w:trPr>
        <w:tc>
          <w:tcPr>
            <w:tcW w:w="2714" w:type="dxa"/>
            <w:shd w:val="clear" w:color="auto" w:fill="auto"/>
            <w:noWrap/>
            <w:vAlign w:val="center"/>
            <w:hideMark/>
          </w:tcPr>
          <w:p w14:paraId="0D8BED89" w14:textId="77777777" w:rsidR="009A7B5F" w:rsidRPr="002536FB" w:rsidRDefault="009A7B5F" w:rsidP="009F5DF5">
            <w:pPr>
              <w:spacing w:after="0" w:line="240" w:lineRule="auto"/>
              <w:ind w:firstLine="0"/>
              <w:jc w:val="left"/>
              <w:rPr>
                <w:rFonts w:eastAsia="Times New Roman" w:cstheme="majorBidi"/>
                <w:color w:val="000000"/>
                <w:sz w:val="16"/>
                <w:szCs w:val="16"/>
              </w:rPr>
            </w:pPr>
            <w:r>
              <w:rPr>
                <w:rFonts w:eastAsia="Times New Roman" w:cstheme="majorBidi"/>
                <w:color w:val="000000"/>
                <w:sz w:val="16"/>
                <w:szCs w:val="16"/>
              </w:rPr>
              <w:t>Controls</w:t>
            </w:r>
          </w:p>
        </w:tc>
        <w:tc>
          <w:tcPr>
            <w:tcW w:w="950" w:type="dxa"/>
            <w:shd w:val="clear" w:color="auto" w:fill="auto"/>
            <w:noWrap/>
            <w:vAlign w:val="center"/>
            <w:hideMark/>
          </w:tcPr>
          <w:p w14:paraId="4C245CF0"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Yes</w:t>
            </w:r>
          </w:p>
        </w:tc>
        <w:tc>
          <w:tcPr>
            <w:tcW w:w="1185" w:type="dxa"/>
            <w:shd w:val="clear" w:color="auto" w:fill="auto"/>
            <w:noWrap/>
            <w:vAlign w:val="center"/>
            <w:hideMark/>
          </w:tcPr>
          <w:p w14:paraId="2A0E378F"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Yes</w:t>
            </w:r>
          </w:p>
        </w:tc>
        <w:tc>
          <w:tcPr>
            <w:tcW w:w="913" w:type="dxa"/>
            <w:vAlign w:val="center"/>
          </w:tcPr>
          <w:p w14:paraId="7E7630A7"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Yes</w:t>
            </w:r>
          </w:p>
        </w:tc>
        <w:tc>
          <w:tcPr>
            <w:tcW w:w="984" w:type="dxa"/>
            <w:vAlign w:val="center"/>
          </w:tcPr>
          <w:p w14:paraId="1735705B"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Yes</w:t>
            </w:r>
          </w:p>
        </w:tc>
        <w:tc>
          <w:tcPr>
            <w:tcW w:w="228" w:type="dxa"/>
            <w:vAlign w:val="center"/>
          </w:tcPr>
          <w:p w14:paraId="782405EF"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1904887B"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Yes</w:t>
            </w:r>
          </w:p>
        </w:tc>
        <w:tc>
          <w:tcPr>
            <w:tcW w:w="1185" w:type="dxa"/>
            <w:shd w:val="clear" w:color="auto" w:fill="auto"/>
            <w:noWrap/>
            <w:vAlign w:val="center"/>
            <w:hideMark/>
          </w:tcPr>
          <w:p w14:paraId="5DF48477"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Yes</w:t>
            </w:r>
          </w:p>
        </w:tc>
        <w:tc>
          <w:tcPr>
            <w:tcW w:w="958" w:type="dxa"/>
            <w:vAlign w:val="center"/>
          </w:tcPr>
          <w:p w14:paraId="088AA266" w14:textId="77777777" w:rsidR="009A7B5F"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Yes</w:t>
            </w:r>
          </w:p>
        </w:tc>
        <w:tc>
          <w:tcPr>
            <w:tcW w:w="971" w:type="dxa"/>
            <w:vAlign w:val="center"/>
          </w:tcPr>
          <w:p w14:paraId="4984DC60" w14:textId="77777777" w:rsidR="009A7B5F"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Yes</w:t>
            </w:r>
          </w:p>
        </w:tc>
      </w:tr>
      <w:tr w:rsidR="009A7B5F" w:rsidRPr="002B1EAE" w14:paraId="7878C724" w14:textId="77777777" w:rsidTr="006C76E0">
        <w:trPr>
          <w:trHeight w:hRule="exact" w:val="288"/>
          <w:jc w:val="center"/>
        </w:trPr>
        <w:tc>
          <w:tcPr>
            <w:tcW w:w="2714" w:type="dxa"/>
            <w:shd w:val="clear" w:color="auto" w:fill="auto"/>
            <w:noWrap/>
            <w:vAlign w:val="center"/>
            <w:hideMark/>
          </w:tcPr>
          <w:p w14:paraId="726FA920"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3172B0">
              <w:rPr>
                <w:rFonts w:eastAsia="Times New Roman" w:cstheme="majorBidi"/>
                <w:color w:val="000000"/>
                <w:sz w:val="18"/>
                <w:szCs w:val="18"/>
              </w:rPr>
              <w:t>Observation</w:t>
            </w:r>
          </w:p>
        </w:tc>
        <w:tc>
          <w:tcPr>
            <w:tcW w:w="950" w:type="dxa"/>
            <w:shd w:val="clear" w:color="auto" w:fill="auto"/>
            <w:noWrap/>
            <w:vAlign w:val="center"/>
            <w:hideMark/>
          </w:tcPr>
          <w:p w14:paraId="40B81C13"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1932</w:t>
            </w:r>
          </w:p>
        </w:tc>
        <w:tc>
          <w:tcPr>
            <w:tcW w:w="1185" w:type="dxa"/>
            <w:shd w:val="clear" w:color="auto" w:fill="auto"/>
            <w:noWrap/>
            <w:vAlign w:val="center"/>
            <w:hideMark/>
          </w:tcPr>
          <w:p w14:paraId="7219CAA8"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1577</w:t>
            </w:r>
          </w:p>
        </w:tc>
        <w:tc>
          <w:tcPr>
            <w:tcW w:w="913" w:type="dxa"/>
            <w:vAlign w:val="center"/>
          </w:tcPr>
          <w:p w14:paraId="6280935A"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1932</w:t>
            </w:r>
          </w:p>
        </w:tc>
        <w:tc>
          <w:tcPr>
            <w:tcW w:w="984" w:type="dxa"/>
            <w:vAlign w:val="center"/>
          </w:tcPr>
          <w:p w14:paraId="79A1DB81"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1351</w:t>
            </w:r>
          </w:p>
        </w:tc>
        <w:tc>
          <w:tcPr>
            <w:tcW w:w="228" w:type="dxa"/>
            <w:vAlign w:val="center"/>
          </w:tcPr>
          <w:p w14:paraId="516ECEB6"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22FCF6DC"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1938</w:t>
            </w:r>
          </w:p>
        </w:tc>
        <w:tc>
          <w:tcPr>
            <w:tcW w:w="1185" w:type="dxa"/>
            <w:shd w:val="clear" w:color="auto" w:fill="auto"/>
            <w:noWrap/>
            <w:vAlign w:val="center"/>
            <w:hideMark/>
          </w:tcPr>
          <w:p w14:paraId="5D97081F"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1585</w:t>
            </w:r>
          </w:p>
        </w:tc>
        <w:tc>
          <w:tcPr>
            <w:tcW w:w="958" w:type="dxa"/>
            <w:vAlign w:val="center"/>
          </w:tcPr>
          <w:p w14:paraId="061F81EE"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1938</w:t>
            </w:r>
          </w:p>
        </w:tc>
        <w:tc>
          <w:tcPr>
            <w:tcW w:w="971" w:type="dxa"/>
            <w:vAlign w:val="center"/>
          </w:tcPr>
          <w:p w14:paraId="01C833D3"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1355</w:t>
            </w:r>
          </w:p>
        </w:tc>
      </w:tr>
      <w:tr w:rsidR="009A7B5F" w:rsidRPr="002B1EAE" w14:paraId="07295E7B" w14:textId="77777777" w:rsidTr="006C76E0">
        <w:trPr>
          <w:trHeight w:hRule="exact" w:val="288"/>
          <w:jc w:val="center"/>
        </w:trPr>
        <w:tc>
          <w:tcPr>
            <w:tcW w:w="2714" w:type="dxa"/>
            <w:shd w:val="clear" w:color="auto" w:fill="auto"/>
            <w:noWrap/>
            <w:vAlign w:val="center"/>
            <w:hideMark/>
          </w:tcPr>
          <w:p w14:paraId="4C7CB7B3"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3172B0">
              <w:rPr>
                <w:rFonts w:eastAsia="Times New Roman" w:cstheme="majorBidi"/>
                <w:color w:val="000000"/>
                <w:sz w:val="18"/>
                <w:szCs w:val="18"/>
              </w:rPr>
              <w:t>Firms</w:t>
            </w:r>
          </w:p>
        </w:tc>
        <w:tc>
          <w:tcPr>
            <w:tcW w:w="950" w:type="dxa"/>
            <w:shd w:val="clear" w:color="auto" w:fill="auto"/>
            <w:noWrap/>
            <w:vAlign w:val="center"/>
            <w:hideMark/>
          </w:tcPr>
          <w:p w14:paraId="67A0361A"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368</w:t>
            </w:r>
          </w:p>
        </w:tc>
        <w:tc>
          <w:tcPr>
            <w:tcW w:w="1185" w:type="dxa"/>
            <w:shd w:val="clear" w:color="auto" w:fill="auto"/>
            <w:noWrap/>
            <w:vAlign w:val="center"/>
            <w:hideMark/>
          </w:tcPr>
          <w:p w14:paraId="084868C1"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317</w:t>
            </w:r>
          </w:p>
        </w:tc>
        <w:tc>
          <w:tcPr>
            <w:tcW w:w="913" w:type="dxa"/>
            <w:vAlign w:val="center"/>
          </w:tcPr>
          <w:p w14:paraId="5CE75767"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368</w:t>
            </w:r>
          </w:p>
        </w:tc>
        <w:tc>
          <w:tcPr>
            <w:tcW w:w="984" w:type="dxa"/>
            <w:vAlign w:val="center"/>
          </w:tcPr>
          <w:p w14:paraId="3210F976"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281</w:t>
            </w:r>
          </w:p>
        </w:tc>
        <w:tc>
          <w:tcPr>
            <w:tcW w:w="228" w:type="dxa"/>
            <w:vAlign w:val="center"/>
          </w:tcPr>
          <w:p w14:paraId="503F050C"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1CB18DC1"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368</w:t>
            </w:r>
          </w:p>
        </w:tc>
        <w:tc>
          <w:tcPr>
            <w:tcW w:w="1185" w:type="dxa"/>
            <w:shd w:val="clear" w:color="auto" w:fill="auto"/>
            <w:noWrap/>
            <w:vAlign w:val="center"/>
            <w:hideMark/>
          </w:tcPr>
          <w:p w14:paraId="6297EA45"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318</w:t>
            </w:r>
          </w:p>
        </w:tc>
        <w:tc>
          <w:tcPr>
            <w:tcW w:w="958" w:type="dxa"/>
            <w:vAlign w:val="center"/>
          </w:tcPr>
          <w:p w14:paraId="79034C01"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368</w:t>
            </w:r>
          </w:p>
        </w:tc>
        <w:tc>
          <w:tcPr>
            <w:tcW w:w="971" w:type="dxa"/>
            <w:vAlign w:val="center"/>
          </w:tcPr>
          <w:p w14:paraId="0E87B4A2"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283</w:t>
            </w:r>
          </w:p>
        </w:tc>
      </w:tr>
      <w:tr w:rsidR="009A7B5F" w:rsidRPr="002B1EAE" w14:paraId="5A37D3B8" w14:textId="77777777" w:rsidTr="006C76E0">
        <w:trPr>
          <w:trHeight w:hRule="exact" w:val="288"/>
          <w:jc w:val="center"/>
        </w:trPr>
        <w:tc>
          <w:tcPr>
            <w:tcW w:w="2714" w:type="dxa"/>
            <w:shd w:val="clear" w:color="auto" w:fill="auto"/>
            <w:noWrap/>
            <w:vAlign w:val="center"/>
            <w:hideMark/>
          </w:tcPr>
          <w:p w14:paraId="591A4DED"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3172B0">
              <w:rPr>
                <w:rFonts w:eastAsia="Times New Roman" w:cstheme="majorBidi"/>
                <w:color w:val="000000"/>
                <w:sz w:val="18"/>
                <w:szCs w:val="18"/>
              </w:rPr>
              <w:t>Adjusted R2</w:t>
            </w:r>
          </w:p>
        </w:tc>
        <w:tc>
          <w:tcPr>
            <w:tcW w:w="950" w:type="dxa"/>
            <w:shd w:val="clear" w:color="auto" w:fill="auto"/>
            <w:noWrap/>
            <w:vAlign w:val="center"/>
            <w:hideMark/>
          </w:tcPr>
          <w:p w14:paraId="612C749B"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0.482</w:t>
            </w:r>
          </w:p>
        </w:tc>
        <w:tc>
          <w:tcPr>
            <w:tcW w:w="1185" w:type="dxa"/>
            <w:shd w:val="clear" w:color="auto" w:fill="auto"/>
            <w:noWrap/>
            <w:vAlign w:val="center"/>
            <w:hideMark/>
          </w:tcPr>
          <w:p w14:paraId="018253A7"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w:t>
            </w:r>
          </w:p>
        </w:tc>
        <w:tc>
          <w:tcPr>
            <w:tcW w:w="913" w:type="dxa"/>
            <w:vAlign w:val="center"/>
          </w:tcPr>
          <w:p w14:paraId="7FCFCC03"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0.501</w:t>
            </w:r>
          </w:p>
        </w:tc>
        <w:tc>
          <w:tcPr>
            <w:tcW w:w="984" w:type="dxa"/>
            <w:vAlign w:val="center"/>
          </w:tcPr>
          <w:p w14:paraId="61D27E95"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p>
        </w:tc>
        <w:tc>
          <w:tcPr>
            <w:tcW w:w="228" w:type="dxa"/>
            <w:vAlign w:val="center"/>
          </w:tcPr>
          <w:p w14:paraId="634F0A4B"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6A4ADC39"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0.636</w:t>
            </w:r>
          </w:p>
        </w:tc>
        <w:tc>
          <w:tcPr>
            <w:tcW w:w="1185" w:type="dxa"/>
            <w:shd w:val="clear" w:color="auto" w:fill="auto"/>
            <w:noWrap/>
            <w:vAlign w:val="center"/>
            <w:hideMark/>
          </w:tcPr>
          <w:p w14:paraId="54EF7602"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w:t>
            </w:r>
          </w:p>
        </w:tc>
        <w:tc>
          <w:tcPr>
            <w:tcW w:w="958" w:type="dxa"/>
            <w:vAlign w:val="center"/>
          </w:tcPr>
          <w:p w14:paraId="018F1BDF"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0.648</w:t>
            </w:r>
          </w:p>
        </w:tc>
        <w:tc>
          <w:tcPr>
            <w:tcW w:w="971" w:type="dxa"/>
            <w:vAlign w:val="center"/>
          </w:tcPr>
          <w:p w14:paraId="6A2CF820"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p>
        </w:tc>
      </w:tr>
      <w:tr w:rsidR="009A7B5F" w:rsidRPr="002B1EAE" w14:paraId="2FC1E3C9" w14:textId="77777777" w:rsidTr="006C76E0">
        <w:trPr>
          <w:trHeight w:hRule="exact" w:val="288"/>
          <w:jc w:val="center"/>
        </w:trPr>
        <w:tc>
          <w:tcPr>
            <w:tcW w:w="2714" w:type="dxa"/>
            <w:shd w:val="clear" w:color="auto" w:fill="auto"/>
            <w:noWrap/>
            <w:vAlign w:val="center"/>
          </w:tcPr>
          <w:p w14:paraId="2AC214F5"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3172B0">
              <w:rPr>
                <w:rFonts w:eastAsia="Times New Roman" w:cstheme="majorBidi"/>
                <w:color w:val="000000"/>
                <w:sz w:val="18"/>
                <w:szCs w:val="18"/>
              </w:rPr>
              <w:t>Root MSE</w:t>
            </w:r>
          </w:p>
        </w:tc>
        <w:tc>
          <w:tcPr>
            <w:tcW w:w="950" w:type="dxa"/>
            <w:shd w:val="clear" w:color="auto" w:fill="auto"/>
            <w:noWrap/>
            <w:vAlign w:val="center"/>
          </w:tcPr>
          <w:p w14:paraId="72AAD00B"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0.784</w:t>
            </w:r>
          </w:p>
        </w:tc>
        <w:tc>
          <w:tcPr>
            <w:tcW w:w="1185" w:type="dxa"/>
            <w:shd w:val="clear" w:color="auto" w:fill="auto"/>
            <w:noWrap/>
            <w:vAlign w:val="center"/>
          </w:tcPr>
          <w:p w14:paraId="1DFC3C6B"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w:t>
            </w:r>
          </w:p>
        </w:tc>
        <w:tc>
          <w:tcPr>
            <w:tcW w:w="913" w:type="dxa"/>
            <w:vAlign w:val="center"/>
          </w:tcPr>
          <w:p w14:paraId="70A6A99D"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0.770</w:t>
            </w:r>
          </w:p>
        </w:tc>
        <w:tc>
          <w:tcPr>
            <w:tcW w:w="984" w:type="dxa"/>
            <w:vAlign w:val="center"/>
          </w:tcPr>
          <w:p w14:paraId="44C5D695"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p>
        </w:tc>
        <w:tc>
          <w:tcPr>
            <w:tcW w:w="228" w:type="dxa"/>
            <w:vAlign w:val="center"/>
          </w:tcPr>
          <w:p w14:paraId="74C5F75B"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tcPr>
          <w:p w14:paraId="69AF471B"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0.722</w:t>
            </w:r>
          </w:p>
        </w:tc>
        <w:tc>
          <w:tcPr>
            <w:tcW w:w="1185" w:type="dxa"/>
            <w:shd w:val="clear" w:color="auto" w:fill="auto"/>
            <w:noWrap/>
            <w:vAlign w:val="center"/>
          </w:tcPr>
          <w:p w14:paraId="0447CA21"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w:t>
            </w:r>
          </w:p>
        </w:tc>
        <w:tc>
          <w:tcPr>
            <w:tcW w:w="958" w:type="dxa"/>
            <w:vAlign w:val="center"/>
          </w:tcPr>
          <w:p w14:paraId="5121F601"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0.710</w:t>
            </w:r>
          </w:p>
        </w:tc>
        <w:tc>
          <w:tcPr>
            <w:tcW w:w="971" w:type="dxa"/>
            <w:vAlign w:val="center"/>
          </w:tcPr>
          <w:p w14:paraId="1EE7700A"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p>
        </w:tc>
      </w:tr>
      <w:tr w:rsidR="009A7B5F" w:rsidRPr="002B1EAE" w14:paraId="53BF80BB" w14:textId="77777777" w:rsidTr="006C76E0">
        <w:trPr>
          <w:trHeight w:hRule="exact" w:val="288"/>
          <w:jc w:val="center"/>
        </w:trPr>
        <w:tc>
          <w:tcPr>
            <w:tcW w:w="2714" w:type="dxa"/>
            <w:shd w:val="clear" w:color="auto" w:fill="auto"/>
            <w:noWrap/>
            <w:vAlign w:val="center"/>
            <w:hideMark/>
          </w:tcPr>
          <w:p w14:paraId="3C4C59AE"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2536FB">
              <w:rPr>
                <w:rFonts w:eastAsia="Times New Roman" w:cstheme="majorBidi"/>
                <w:color w:val="000000"/>
                <w:sz w:val="16"/>
                <w:szCs w:val="16"/>
              </w:rPr>
              <w:t xml:space="preserve">Number of </w:t>
            </w:r>
            <w:proofErr w:type="gramStart"/>
            <w:r w:rsidRPr="002536FB">
              <w:rPr>
                <w:rFonts w:eastAsia="Times New Roman" w:cstheme="majorBidi"/>
                <w:color w:val="000000"/>
                <w:sz w:val="16"/>
                <w:szCs w:val="16"/>
              </w:rPr>
              <w:t>Ins</w:t>
            </w:r>
            <w:proofErr w:type="gramEnd"/>
          </w:p>
        </w:tc>
        <w:tc>
          <w:tcPr>
            <w:tcW w:w="950" w:type="dxa"/>
            <w:shd w:val="clear" w:color="auto" w:fill="auto"/>
            <w:noWrap/>
            <w:vAlign w:val="center"/>
            <w:hideMark/>
          </w:tcPr>
          <w:p w14:paraId="581942DF"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5C275CF8"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207</w:t>
            </w:r>
          </w:p>
        </w:tc>
        <w:tc>
          <w:tcPr>
            <w:tcW w:w="913" w:type="dxa"/>
            <w:vAlign w:val="center"/>
          </w:tcPr>
          <w:p w14:paraId="6D268EE0"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84" w:type="dxa"/>
            <w:vAlign w:val="center"/>
          </w:tcPr>
          <w:p w14:paraId="7B442015"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231</w:t>
            </w:r>
          </w:p>
        </w:tc>
        <w:tc>
          <w:tcPr>
            <w:tcW w:w="228" w:type="dxa"/>
            <w:vAlign w:val="center"/>
          </w:tcPr>
          <w:p w14:paraId="7F8FB771"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477D66F5"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30E3970D"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207</w:t>
            </w:r>
          </w:p>
        </w:tc>
        <w:tc>
          <w:tcPr>
            <w:tcW w:w="958" w:type="dxa"/>
            <w:vAlign w:val="center"/>
          </w:tcPr>
          <w:p w14:paraId="2626A398"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71" w:type="dxa"/>
            <w:vAlign w:val="center"/>
          </w:tcPr>
          <w:p w14:paraId="335EB7D7"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231</w:t>
            </w:r>
          </w:p>
        </w:tc>
      </w:tr>
      <w:tr w:rsidR="009A7B5F" w:rsidRPr="002B1EAE" w14:paraId="54BB4D35" w14:textId="77777777" w:rsidTr="006C76E0">
        <w:trPr>
          <w:trHeight w:hRule="exact" w:val="288"/>
          <w:jc w:val="center"/>
        </w:trPr>
        <w:tc>
          <w:tcPr>
            <w:tcW w:w="2714" w:type="dxa"/>
            <w:shd w:val="clear" w:color="auto" w:fill="auto"/>
            <w:noWrap/>
            <w:vAlign w:val="center"/>
            <w:hideMark/>
          </w:tcPr>
          <w:p w14:paraId="74BA66AA"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2536FB">
              <w:rPr>
                <w:rFonts w:eastAsia="Times New Roman" w:cstheme="majorBidi"/>
                <w:color w:val="000000"/>
                <w:sz w:val="16"/>
                <w:szCs w:val="16"/>
              </w:rPr>
              <w:t xml:space="preserve">Arellano-Bond test for </w:t>
            </w:r>
            <w:proofErr w:type="gramStart"/>
            <w:r w:rsidRPr="002536FB">
              <w:rPr>
                <w:rFonts w:eastAsia="Times New Roman" w:cstheme="majorBidi"/>
                <w:color w:val="000000"/>
                <w:sz w:val="16"/>
                <w:szCs w:val="16"/>
              </w:rPr>
              <w:t>AR(</w:t>
            </w:r>
            <w:proofErr w:type="gramEnd"/>
            <w:r w:rsidRPr="002536FB">
              <w:rPr>
                <w:rFonts w:eastAsia="Times New Roman" w:cstheme="majorBidi"/>
                <w:color w:val="000000"/>
                <w:sz w:val="16"/>
                <w:szCs w:val="16"/>
              </w:rPr>
              <w:t>1)</w:t>
            </w:r>
          </w:p>
        </w:tc>
        <w:tc>
          <w:tcPr>
            <w:tcW w:w="950" w:type="dxa"/>
            <w:shd w:val="clear" w:color="auto" w:fill="auto"/>
            <w:noWrap/>
            <w:vAlign w:val="center"/>
            <w:hideMark/>
          </w:tcPr>
          <w:p w14:paraId="2E0174B4"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08E6FB6E"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w:t>
            </w:r>
          </w:p>
        </w:tc>
        <w:tc>
          <w:tcPr>
            <w:tcW w:w="913" w:type="dxa"/>
            <w:vAlign w:val="center"/>
          </w:tcPr>
          <w:p w14:paraId="20485CDE"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84" w:type="dxa"/>
            <w:vAlign w:val="center"/>
          </w:tcPr>
          <w:p w14:paraId="131F6314"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0.000</w:t>
            </w:r>
          </w:p>
        </w:tc>
        <w:tc>
          <w:tcPr>
            <w:tcW w:w="228" w:type="dxa"/>
            <w:vAlign w:val="center"/>
          </w:tcPr>
          <w:p w14:paraId="3628B31C"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526BFF87"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1436CD64"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w:t>
            </w:r>
          </w:p>
        </w:tc>
        <w:tc>
          <w:tcPr>
            <w:tcW w:w="958" w:type="dxa"/>
            <w:vAlign w:val="center"/>
          </w:tcPr>
          <w:p w14:paraId="157225A9"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71" w:type="dxa"/>
            <w:vAlign w:val="center"/>
          </w:tcPr>
          <w:p w14:paraId="571B7DF0"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w:t>
            </w:r>
          </w:p>
        </w:tc>
      </w:tr>
      <w:tr w:rsidR="009A7B5F" w:rsidRPr="002B1EAE" w14:paraId="774873F3" w14:textId="77777777" w:rsidTr="006C76E0">
        <w:trPr>
          <w:trHeight w:hRule="exact" w:val="288"/>
          <w:jc w:val="center"/>
        </w:trPr>
        <w:tc>
          <w:tcPr>
            <w:tcW w:w="2714" w:type="dxa"/>
            <w:shd w:val="clear" w:color="auto" w:fill="auto"/>
            <w:noWrap/>
            <w:vAlign w:val="center"/>
            <w:hideMark/>
          </w:tcPr>
          <w:p w14:paraId="308DCF1C"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2536FB">
              <w:rPr>
                <w:rFonts w:eastAsia="Times New Roman" w:cstheme="majorBidi"/>
                <w:color w:val="000000"/>
                <w:sz w:val="16"/>
                <w:szCs w:val="16"/>
              </w:rPr>
              <w:t xml:space="preserve">Arellano-Bond test for </w:t>
            </w:r>
            <w:proofErr w:type="gramStart"/>
            <w:r w:rsidRPr="002536FB">
              <w:rPr>
                <w:rFonts w:eastAsia="Times New Roman" w:cstheme="majorBidi"/>
                <w:color w:val="000000"/>
                <w:sz w:val="16"/>
                <w:szCs w:val="16"/>
              </w:rPr>
              <w:t>AR(</w:t>
            </w:r>
            <w:proofErr w:type="gramEnd"/>
            <w:r w:rsidRPr="002536FB">
              <w:rPr>
                <w:rFonts w:eastAsia="Times New Roman" w:cstheme="majorBidi"/>
                <w:color w:val="000000"/>
                <w:sz w:val="16"/>
                <w:szCs w:val="16"/>
              </w:rPr>
              <w:t>2)</w:t>
            </w:r>
          </w:p>
        </w:tc>
        <w:tc>
          <w:tcPr>
            <w:tcW w:w="950" w:type="dxa"/>
            <w:shd w:val="clear" w:color="auto" w:fill="auto"/>
            <w:noWrap/>
            <w:vAlign w:val="center"/>
            <w:hideMark/>
          </w:tcPr>
          <w:p w14:paraId="4B4F2B61"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374009A5"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0.529</w:t>
            </w:r>
          </w:p>
        </w:tc>
        <w:tc>
          <w:tcPr>
            <w:tcW w:w="913" w:type="dxa"/>
            <w:vAlign w:val="center"/>
          </w:tcPr>
          <w:p w14:paraId="2EBEDDE0"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84" w:type="dxa"/>
            <w:vAlign w:val="center"/>
          </w:tcPr>
          <w:p w14:paraId="6B52B988"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0.548</w:t>
            </w:r>
          </w:p>
        </w:tc>
        <w:tc>
          <w:tcPr>
            <w:tcW w:w="228" w:type="dxa"/>
            <w:vAlign w:val="center"/>
          </w:tcPr>
          <w:p w14:paraId="5FA48A78"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4661055F"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1317D6F2"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0.97</w:t>
            </w:r>
          </w:p>
        </w:tc>
        <w:tc>
          <w:tcPr>
            <w:tcW w:w="958" w:type="dxa"/>
            <w:vAlign w:val="center"/>
          </w:tcPr>
          <w:p w14:paraId="149DB5B1"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71" w:type="dxa"/>
            <w:vAlign w:val="center"/>
          </w:tcPr>
          <w:p w14:paraId="01500E7D"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0.996</w:t>
            </w:r>
          </w:p>
        </w:tc>
      </w:tr>
      <w:tr w:rsidR="009A7B5F" w:rsidRPr="002B1EAE" w14:paraId="111A3775" w14:textId="77777777" w:rsidTr="006C76E0">
        <w:trPr>
          <w:trHeight w:hRule="exact" w:val="288"/>
          <w:jc w:val="center"/>
        </w:trPr>
        <w:tc>
          <w:tcPr>
            <w:tcW w:w="2714" w:type="dxa"/>
            <w:shd w:val="clear" w:color="auto" w:fill="auto"/>
            <w:noWrap/>
            <w:vAlign w:val="center"/>
            <w:hideMark/>
          </w:tcPr>
          <w:p w14:paraId="3195275E"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2536FB">
              <w:rPr>
                <w:rFonts w:eastAsia="Times New Roman" w:cstheme="majorBidi"/>
                <w:color w:val="000000"/>
                <w:sz w:val="16"/>
                <w:szCs w:val="16"/>
              </w:rPr>
              <w:t>Hansen test of over identification</w:t>
            </w:r>
          </w:p>
        </w:tc>
        <w:tc>
          <w:tcPr>
            <w:tcW w:w="950" w:type="dxa"/>
            <w:shd w:val="clear" w:color="auto" w:fill="auto"/>
            <w:noWrap/>
            <w:vAlign w:val="center"/>
            <w:hideMark/>
          </w:tcPr>
          <w:p w14:paraId="42140A5B"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15DE0A4C"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0.424</w:t>
            </w:r>
          </w:p>
        </w:tc>
        <w:tc>
          <w:tcPr>
            <w:tcW w:w="913" w:type="dxa"/>
            <w:vAlign w:val="center"/>
          </w:tcPr>
          <w:p w14:paraId="023DB2CC"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84" w:type="dxa"/>
            <w:vAlign w:val="center"/>
          </w:tcPr>
          <w:p w14:paraId="1400DD88"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0.689</w:t>
            </w:r>
          </w:p>
        </w:tc>
        <w:tc>
          <w:tcPr>
            <w:tcW w:w="228" w:type="dxa"/>
            <w:vAlign w:val="center"/>
          </w:tcPr>
          <w:p w14:paraId="003F5E57"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1A12CF01"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5E9C10F6"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0.792</w:t>
            </w:r>
          </w:p>
        </w:tc>
        <w:tc>
          <w:tcPr>
            <w:tcW w:w="958" w:type="dxa"/>
            <w:vAlign w:val="center"/>
          </w:tcPr>
          <w:p w14:paraId="24438D09"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71" w:type="dxa"/>
            <w:vAlign w:val="center"/>
          </w:tcPr>
          <w:p w14:paraId="4E864BE4"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0.775</w:t>
            </w:r>
          </w:p>
        </w:tc>
      </w:tr>
      <w:tr w:rsidR="009A7B5F" w:rsidRPr="002B1EAE" w14:paraId="54E4155A" w14:textId="77777777" w:rsidTr="006F5B49">
        <w:trPr>
          <w:trHeight w:hRule="exact" w:val="630"/>
          <w:jc w:val="center"/>
        </w:trPr>
        <w:tc>
          <w:tcPr>
            <w:tcW w:w="2714" w:type="dxa"/>
            <w:shd w:val="clear" w:color="auto" w:fill="auto"/>
            <w:noWrap/>
            <w:vAlign w:val="center"/>
            <w:hideMark/>
          </w:tcPr>
          <w:p w14:paraId="35CE3DE0"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2536FB">
              <w:rPr>
                <w:rFonts w:eastAsia="Times New Roman" w:cstheme="majorBidi"/>
                <w:color w:val="000000"/>
                <w:sz w:val="16"/>
                <w:szCs w:val="16"/>
              </w:rPr>
              <w:t>Difference-in-Hansen tests of exogeneity</w:t>
            </w:r>
          </w:p>
        </w:tc>
        <w:tc>
          <w:tcPr>
            <w:tcW w:w="950" w:type="dxa"/>
            <w:shd w:val="clear" w:color="auto" w:fill="auto"/>
            <w:noWrap/>
            <w:vAlign w:val="center"/>
            <w:hideMark/>
          </w:tcPr>
          <w:p w14:paraId="442880F5"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60E814E3"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0.501</w:t>
            </w:r>
          </w:p>
        </w:tc>
        <w:tc>
          <w:tcPr>
            <w:tcW w:w="913" w:type="dxa"/>
            <w:vAlign w:val="center"/>
          </w:tcPr>
          <w:p w14:paraId="42763928"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84" w:type="dxa"/>
            <w:vAlign w:val="center"/>
          </w:tcPr>
          <w:p w14:paraId="4C7B9490"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0.798</w:t>
            </w:r>
          </w:p>
        </w:tc>
        <w:tc>
          <w:tcPr>
            <w:tcW w:w="228" w:type="dxa"/>
            <w:vAlign w:val="center"/>
          </w:tcPr>
          <w:p w14:paraId="3BFF3AC5"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497E64F8"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10F449ED"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536FB">
              <w:rPr>
                <w:rFonts w:eastAsia="Times New Roman" w:cstheme="majorBidi"/>
                <w:color w:val="000000"/>
                <w:sz w:val="16"/>
                <w:szCs w:val="16"/>
              </w:rPr>
              <w:t>0.895</w:t>
            </w:r>
          </w:p>
        </w:tc>
        <w:tc>
          <w:tcPr>
            <w:tcW w:w="958" w:type="dxa"/>
            <w:vAlign w:val="center"/>
          </w:tcPr>
          <w:p w14:paraId="06C4B5AF"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971" w:type="dxa"/>
            <w:vAlign w:val="center"/>
          </w:tcPr>
          <w:p w14:paraId="437AB0F9"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0.935</w:t>
            </w:r>
          </w:p>
        </w:tc>
      </w:tr>
      <w:tr w:rsidR="009A7B5F" w:rsidRPr="002B1EAE" w14:paraId="171AE4C4" w14:textId="77777777" w:rsidTr="006C76E0">
        <w:trPr>
          <w:trHeight w:hRule="exact" w:val="288"/>
          <w:jc w:val="center"/>
        </w:trPr>
        <w:tc>
          <w:tcPr>
            <w:tcW w:w="2714" w:type="dxa"/>
            <w:shd w:val="clear" w:color="auto" w:fill="auto"/>
            <w:noWrap/>
            <w:vAlign w:val="center"/>
            <w:hideMark/>
          </w:tcPr>
          <w:p w14:paraId="4D13EFD1"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2536FB">
              <w:rPr>
                <w:rFonts w:eastAsia="Times New Roman" w:cstheme="majorBidi"/>
                <w:color w:val="000000"/>
                <w:sz w:val="16"/>
                <w:szCs w:val="16"/>
              </w:rPr>
              <w:t>Turning Point</w:t>
            </w:r>
          </w:p>
        </w:tc>
        <w:tc>
          <w:tcPr>
            <w:tcW w:w="950" w:type="dxa"/>
            <w:shd w:val="clear" w:color="auto" w:fill="auto"/>
            <w:noWrap/>
            <w:vAlign w:val="center"/>
            <w:hideMark/>
          </w:tcPr>
          <w:p w14:paraId="10E401C4"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2.7560</w:t>
            </w:r>
          </w:p>
        </w:tc>
        <w:tc>
          <w:tcPr>
            <w:tcW w:w="1185" w:type="dxa"/>
            <w:shd w:val="clear" w:color="auto" w:fill="auto"/>
            <w:noWrap/>
            <w:vAlign w:val="center"/>
            <w:hideMark/>
          </w:tcPr>
          <w:p w14:paraId="162471B4"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2.1047</w:t>
            </w:r>
          </w:p>
        </w:tc>
        <w:tc>
          <w:tcPr>
            <w:tcW w:w="913" w:type="dxa"/>
            <w:vAlign w:val="center"/>
          </w:tcPr>
          <w:p w14:paraId="0F2AD465"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2.484</w:t>
            </w:r>
          </w:p>
        </w:tc>
        <w:tc>
          <w:tcPr>
            <w:tcW w:w="984" w:type="dxa"/>
            <w:vAlign w:val="center"/>
          </w:tcPr>
          <w:p w14:paraId="7922DD89"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1.9513</w:t>
            </w:r>
          </w:p>
        </w:tc>
        <w:tc>
          <w:tcPr>
            <w:tcW w:w="228" w:type="dxa"/>
            <w:vAlign w:val="center"/>
          </w:tcPr>
          <w:p w14:paraId="4999CF79"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2CB934CB"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3.0086</w:t>
            </w:r>
          </w:p>
        </w:tc>
        <w:tc>
          <w:tcPr>
            <w:tcW w:w="1185" w:type="dxa"/>
            <w:shd w:val="clear" w:color="auto" w:fill="auto"/>
            <w:noWrap/>
            <w:vAlign w:val="center"/>
            <w:hideMark/>
          </w:tcPr>
          <w:p w14:paraId="582B0F6F"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2.5223</w:t>
            </w:r>
          </w:p>
        </w:tc>
        <w:tc>
          <w:tcPr>
            <w:tcW w:w="958" w:type="dxa"/>
            <w:vAlign w:val="center"/>
          </w:tcPr>
          <w:p w14:paraId="06FBFE4D" w14:textId="77777777" w:rsidR="009A7B5F" w:rsidRPr="002B1EAE" w:rsidRDefault="009A7B5F" w:rsidP="009F5DF5">
            <w:pPr>
              <w:spacing w:after="0" w:line="240" w:lineRule="auto"/>
              <w:ind w:firstLine="0"/>
              <w:jc w:val="center"/>
              <w:rPr>
                <w:rFonts w:cstheme="majorBidi"/>
                <w:color w:val="000000"/>
                <w:sz w:val="16"/>
                <w:szCs w:val="16"/>
              </w:rPr>
            </w:pPr>
            <w:r>
              <w:rPr>
                <w:rFonts w:cstheme="majorBidi"/>
                <w:color w:val="000000"/>
                <w:sz w:val="16"/>
                <w:szCs w:val="16"/>
              </w:rPr>
              <w:t>2.840</w:t>
            </w:r>
          </w:p>
        </w:tc>
        <w:tc>
          <w:tcPr>
            <w:tcW w:w="971" w:type="dxa"/>
            <w:vAlign w:val="center"/>
          </w:tcPr>
          <w:p w14:paraId="0C5795CF" w14:textId="77777777" w:rsidR="009A7B5F" w:rsidRPr="002B1EAE" w:rsidRDefault="009A7B5F" w:rsidP="009F5DF5">
            <w:pPr>
              <w:spacing w:after="0" w:line="240" w:lineRule="auto"/>
              <w:ind w:firstLine="0"/>
              <w:jc w:val="center"/>
              <w:rPr>
                <w:rFonts w:cstheme="majorBidi"/>
                <w:color w:val="000000"/>
                <w:sz w:val="16"/>
                <w:szCs w:val="16"/>
              </w:rPr>
            </w:pPr>
            <w:r>
              <w:rPr>
                <w:rFonts w:cstheme="majorBidi"/>
                <w:color w:val="000000"/>
                <w:sz w:val="16"/>
                <w:szCs w:val="16"/>
              </w:rPr>
              <w:t>1.9888</w:t>
            </w:r>
          </w:p>
        </w:tc>
      </w:tr>
      <w:tr w:rsidR="009A7B5F" w:rsidRPr="002B1EAE" w14:paraId="37A8391C" w14:textId="77777777" w:rsidTr="006F5B49">
        <w:trPr>
          <w:trHeight w:hRule="exact" w:val="698"/>
          <w:jc w:val="center"/>
        </w:trPr>
        <w:tc>
          <w:tcPr>
            <w:tcW w:w="2714" w:type="dxa"/>
            <w:shd w:val="clear" w:color="auto" w:fill="auto"/>
            <w:noWrap/>
            <w:vAlign w:val="center"/>
            <w:hideMark/>
          </w:tcPr>
          <w:p w14:paraId="7DC70060"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2536FB">
              <w:rPr>
                <w:rFonts w:eastAsia="Times New Roman" w:cstheme="majorBidi"/>
                <w:color w:val="000000"/>
                <w:sz w:val="16"/>
                <w:szCs w:val="16"/>
              </w:rPr>
              <w:t>Percentile that the turning point belongs</w:t>
            </w:r>
          </w:p>
        </w:tc>
        <w:tc>
          <w:tcPr>
            <w:tcW w:w="950" w:type="dxa"/>
            <w:shd w:val="clear" w:color="auto" w:fill="auto"/>
            <w:noWrap/>
            <w:vAlign w:val="center"/>
            <w:hideMark/>
          </w:tcPr>
          <w:p w14:paraId="56666686"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33</w:t>
            </w:r>
          </w:p>
        </w:tc>
        <w:tc>
          <w:tcPr>
            <w:tcW w:w="1185" w:type="dxa"/>
            <w:shd w:val="clear" w:color="auto" w:fill="auto"/>
            <w:noWrap/>
            <w:vAlign w:val="center"/>
            <w:hideMark/>
          </w:tcPr>
          <w:p w14:paraId="31780211"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w:t>
            </w:r>
          </w:p>
        </w:tc>
        <w:tc>
          <w:tcPr>
            <w:tcW w:w="913" w:type="dxa"/>
            <w:vAlign w:val="center"/>
          </w:tcPr>
          <w:p w14:paraId="63F4026B"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20</w:t>
            </w:r>
          </w:p>
        </w:tc>
        <w:tc>
          <w:tcPr>
            <w:tcW w:w="984" w:type="dxa"/>
            <w:vAlign w:val="center"/>
          </w:tcPr>
          <w:p w14:paraId="230D9E36"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w:t>
            </w:r>
          </w:p>
        </w:tc>
        <w:tc>
          <w:tcPr>
            <w:tcW w:w="228" w:type="dxa"/>
            <w:vAlign w:val="center"/>
          </w:tcPr>
          <w:p w14:paraId="5C7B4133"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7F813B95"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47</w:t>
            </w:r>
          </w:p>
        </w:tc>
        <w:tc>
          <w:tcPr>
            <w:tcW w:w="1185" w:type="dxa"/>
            <w:shd w:val="clear" w:color="auto" w:fill="auto"/>
            <w:noWrap/>
            <w:vAlign w:val="center"/>
            <w:hideMark/>
          </w:tcPr>
          <w:p w14:paraId="1BD7BF36"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w:t>
            </w:r>
          </w:p>
        </w:tc>
        <w:tc>
          <w:tcPr>
            <w:tcW w:w="958" w:type="dxa"/>
            <w:vAlign w:val="center"/>
          </w:tcPr>
          <w:p w14:paraId="3ECF4CAA" w14:textId="77777777" w:rsidR="009A7B5F" w:rsidRPr="002B1EAE" w:rsidRDefault="009A7B5F" w:rsidP="009F5DF5">
            <w:pPr>
              <w:spacing w:after="0" w:line="240" w:lineRule="auto"/>
              <w:ind w:firstLine="0"/>
              <w:jc w:val="center"/>
              <w:rPr>
                <w:rFonts w:cstheme="majorBidi"/>
                <w:color w:val="000000"/>
                <w:sz w:val="16"/>
                <w:szCs w:val="16"/>
              </w:rPr>
            </w:pPr>
            <w:r>
              <w:rPr>
                <w:rFonts w:cstheme="majorBidi"/>
                <w:color w:val="000000"/>
                <w:sz w:val="16"/>
                <w:szCs w:val="16"/>
              </w:rPr>
              <w:t>38</w:t>
            </w:r>
          </w:p>
        </w:tc>
        <w:tc>
          <w:tcPr>
            <w:tcW w:w="971" w:type="dxa"/>
            <w:vAlign w:val="center"/>
          </w:tcPr>
          <w:p w14:paraId="31BCEBA0" w14:textId="77777777" w:rsidR="009A7B5F" w:rsidRPr="002B1EAE" w:rsidRDefault="009A7B5F" w:rsidP="009F5DF5">
            <w:pPr>
              <w:spacing w:after="0" w:line="240" w:lineRule="auto"/>
              <w:ind w:firstLine="0"/>
              <w:jc w:val="center"/>
              <w:rPr>
                <w:rFonts w:cstheme="majorBidi"/>
                <w:color w:val="000000"/>
                <w:sz w:val="16"/>
                <w:szCs w:val="16"/>
              </w:rPr>
            </w:pPr>
            <w:r>
              <w:rPr>
                <w:rFonts w:cstheme="majorBidi"/>
                <w:color w:val="000000"/>
                <w:sz w:val="16"/>
                <w:szCs w:val="16"/>
              </w:rPr>
              <w:t>-</w:t>
            </w:r>
          </w:p>
        </w:tc>
      </w:tr>
      <w:tr w:rsidR="009A7B5F" w:rsidRPr="002B1EAE" w14:paraId="1A7AB26D" w14:textId="77777777" w:rsidTr="006C76E0">
        <w:trPr>
          <w:trHeight w:hRule="exact" w:val="288"/>
          <w:jc w:val="center"/>
        </w:trPr>
        <w:tc>
          <w:tcPr>
            <w:tcW w:w="2714" w:type="dxa"/>
            <w:shd w:val="clear" w:color="auto" w:fill="auto"/>
            <w:noWrap/>
            <w:vAlign w:val="center"/>
            <w:hideMark/>
          </w:tcPr>
          <w:p w14:paraId="4BA3B4CC"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2536FB">
              <w:rPr>
                <w:rFonts w:eastAsia="Times New Roman" w:cstheme="majorBidi"/>
                <w:color w:val="000000"/>
                <w:sz w:val="16"/>
                <w:szCs w:val="16"/>
              </w:rPr>
              <w:t>Lower-bond slope</w:t>
            </w:r>
          </w:p>
        </w:tc>
        <w:tc>
          <w:tcPr>
            <w:tcW w:w="950" w:type="dxa"/>
            <w:shd w:val="clear" w:color="auto" w:fill="auto"/>
            <w:noWrap/>
            <w:vAlign w:val="center"/>
            <w:hideMark/>
          </w:tcPr>
          <w:p w14:paraId="625BD6D7"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2.2125</w:t>
            </w:r>
          </w:p>
        </w:tc>
        <w:tc>
          <w:tcPr>
            <w:tcW w:w="1185" w:type="dxa"/>
            <w:shd w:val="clear" w:color="auto" w:fill="auto"/>
            <w:noWrap/>
            <w:vAlign w:val="center"/>
            <w:hideMark/>
          </w:tcPr>
          <w:p w14:paraId="784DE30C"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1.0407</w:t>
            </w:r>
          </w:p>
        </w:tc>
        <w:tc>
          <w:tcPr>
            <w:tcW w:w="913" w:type="dxa"/>
            <w:vAlign w:val="center"/>
          </w:tcPr>
          <w:p w14:paraId="5F0C479B"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1.7800</w:t>
            </w:r>
          </w:p>
        </w:tc>
        <w:tc>
          <w:tcPr>
            <w:tcW w:w="984" w:type="dxa"/>
            <w:vAlign w:val="center"/>
          </w:tcPr>
          <w:p w14:paraId="7523F613"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0.8230</w:t>
            </w:r>
          </w:p>
        </w:tc>
        <w:tc>
          <w:tcPr>
            <w:tcW w:w="228" w:type="dxa"/>
            <w:vAlign w:val="center"/>
          </w:tcPr>
          <w:p w14:paraId="7FA41EE6"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56426240"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2.8931</w:t>
            </w:r>
          </w:p>
        </w:tc>
        <w:tc>
          <w:tcPr>
            <w:tcW w:w="1185" w:type="dxa"/>
            <w:shd w:val="clear" w:color="auto" w:fill="auto"/>
            <w:noWrap/>
            <w:vAlign w:val="center"/>
            <w:hideMark/>
          </w:tcPr>
          <w:p w14:paraId="4BC02577"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1.0808</w:t>
            </w:r>
          </w:p>
        </w:tc>
        <w:tc>
          <w:tcPr>
            <w:tcW w:w="958" w:type="dxa"/>
            <w:vAlign w:val="center"/>
          </w:tcPr>
          <w:p w14:paraId="256A1582" w14:textId="77777777" w:rsidR="009A7B5F" w:rsidRPr="002B1EAE" w:rsidRDefault="009A7B5F" w:rsidP="009F5DF5">
            <w:pPr>
              <w:spacing w:after="0" w:line="240" w:lineRule="auto"/>
              <w:ind w:firstLine="0"/>
              <w:jc w:val="center"/>
              <w:rPr>
                <w:rFonts w:cstheme="majorBidi"/>
                <w:color w:val="000000"/>
                <w:sz w:val="16"/>
                <w:szCs w:val="16"/>
              </w:rPr>
            </w:pPr>
            <w:r>
              <w:rPr>
                <w:rFonts w:cstheme="majorBidi"/>
                <w:color w:val="000000"/>
                <w:sz w:val="16"/>
                <w:szCs w:val="16"/>
              </w:rPr>
              <w:t>2.5186</w:t>
            </w:r>
          </w:p>
        </w:tc>
        <w:tc>
          <w:tcPr>
            <w:tcW w:w="971" w:type="dxa"/>
            <w:vAlign w:val="center"/>
          </w:tcPr>
          <w:p w14:paraId="71C7D671" w14:textId="77777777" w:rsidR="009A7B5F" w:rsidRPr="002B1EAE" w:rsidRDefault="009A7B5F" w:rsidP="009F5DF5">
            <w:pPr>
              <w:spacing w:after="0" w:line="240" w:lineRule="auto"/>
              <w:ind w:firstLine="0"/>
              <w:jc w:val="center"/>
              <w:rPr>
                <w:rFonts w:cstheme="majorBidi"/>
                <w:color w:val="000000"/>
                <w:sz w:val="16"/>
                <w:szCs w:val="16"/>
              </w:rPr>
            </w:pPr>
            <w:r>
              <w:rPr>
                <w:rFonts w:cstheme="majorBidi"/>
                <w:color w:val="000000"/>
                <w:sz w:val="16"/>
                <w:szCs w:val="16"/>
              </w:rPr>
              <w:t>0.7513</w:t>
            </w:r>
          </w:p>
        </w:tc>
      </w:tr>
      <w:tr w:rsidR="009A7B5F" w:rsidRPr="002B1EAE" w14:paraId="1F060450" w14:textId="77777777" w:rsidTr="006C76E0">
        <w:trPr>
          <w:trHeight w:hRule="exact" w:val="288"/>
          <w:jc w:val="center"/>
        </w:trPr>
        <w:tc>
          <w:tcPr>
            <w:tcW w:w="2714" w:type="dxa"/>
            <w:shd w:val="clear" w:color="auto" w:fill="auto"/>
            <w:noWrap/>
            <w:vAlign w:val="center"/>
            <w:hideMark/>
          </w:tcPr>
          <w:p w14:paraId="701BBF5C" w14:textId="77777777" w:rsidR="009A7B5F" w:rsidRPr="002536FB" w:rsidRDefault="009A7B5F" w:rsidP="009F5DF5">
            <w:pPr>
              <w:spacing w:after="0" w:line="240" w:lineRule="auto"/>
              <w:ind w:firstLine="0"/>
              <w:jc w:val="left"/>
              <w:rPr>
                <w:rFonts w:eastAsia="Times New Roman" w:cstheme="majorBidi"/>
                <w:color w:val="000000"/>
                <w:sz w:val="16"/>
                <w:szCs w:val="16"/>
              </w:rPr>
            </w:pPr>
            <w:proofErr w:type="spellStart"/>
            <w:r w:rsidRPr="002536FB">
              <w:rPr>
                <w:rFonts w:eastAsia="Times New Roman" w:cstheme="majorBidi"/>
                <w:color w:val="000000"/>
                <w:sz w:val="16"/>
                <w:szCs w:val="16"/>
              </w:rPr>
              <w:t>Lowerbond</w:t>
            </w:r>
            <w:proofErr w:type="spellEnd"/>
            <w:r w:rsidRPr="002536FB">
              <w:rPr>
                <w:rFonts w:eastAsia="Times New Roman" w:cstheme="majorBidi"/>
                <w:color w:val="000000"/>
                <w:sz w:val="16"/>
                <w:szCs w:val="16"/>
              </w:rPr>
              <w:t xml:space="preserve"> p-value</w:t>
            </w:r>
          </w:p>
        </w:tc>
        <w:tc>
          <w:tcPr>
            <w:tcW w:w="950" w:type="dxa"/>
            <w:shd w:val="clear" w:color="auto" w:fill="auto"/>
            <w:noWrap/>
            <w:vAlign w:val="center"/>
            <w:hideMark/>
          </w:tcPr>
          <w:p w14:paraId="73891C5D"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0.0000</w:t>
            </w:r>
          </w:p>
        </w:tc>
        <w:tc>
          <w:tcPr>
            <w:tcW w:w="1185" w:type="dxa"/>
            <w:shd w:val="clear" w:color="auto" w:fill="auto"/>
            <w:noWrap/>
            <w:vAlign w:val="center"/>
            <w:hideMark/>
          </w:tcPr>
          <w:p w14:paraId="6E120402" w14:textId="77777777" w:rsidR="009A7B5F" w:rsidRPr="002536FB"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0.0248</w:t>
            </w:r>
          </w:p>
        </w:tc>
        <w:tc>
          <w:tcPr>
            <w:tcW w:w="913" w:type="dxa"/>
            <w:vAlign w:val="center"/>
          </w:tcPr>
          <w:p w14:paraId="4430B40B"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0.000</w:t>
            </w:r>
          </w:p>
        </w:tc>
        <w:tc>
          <w:tcPr>
            <w:tcW w:w="984" w:type="dxa"/>
            <w:vAlign w:val="center"/>
          </w:tcPr>
          <w:p w14:paraId="1B77D274" w14:textId="77777777" w:rsidR="009A7B5F" w:rsidRPr="002536FB" w:rsidRDefault="009A7B5F" w:rsidP="009F5DF5">
            <w:pPr>
              <w:spacing w:after="0" w:line="240" w:lineRule="auto"/>
              <w:ind w:firstLine="0"/>
              <w:jc w:val="center"/>
              <w:rPr>
                <w:rFonts w:eastAsia="Times New Roman" w:cstheme="majorBidi"/>
                <w:color w:val="000000"/>
                <w:sz w:val="16"/>
                <w:szCs w:val="16"/>
              </w:rPr>
            </w:pPr>
            <w:r>
              <w:rPr>
                <w:rFonts w:eastAsia="Times New Roman" w:cstheme="majorBidi"/>
                <w:color w:val="000000"/>
                <w:sz w:val="16"/>
                <w:szCs w:val="16"/>
              </w:rPr>
              <w:t>0.208</w:t>
            </w:r>
          </w:p>
        </w:tc>
        <w:tc>
          <w:tcPr>
            <w:tcW w:w="228" w:type="dxa"/>
            <w:vAlign w:val="center"/>
          </w:tcPr>
          <w:p w14:paraId="5ED1786B" w14:textId="77777777" w:rsidR="009A7B5F" w:rsidRPr="002536FB" w:rsidRDefault="009A7B5F" w:rsidP="009F5DF5">
            <w:pPr>
              <w:spacing w:after="0" w:line="240" w:lineRule="auto"/>
              <w:ind w:firstLine="0"/>
              <w:jc w:val="center"/>
              <w:rPr>
                <w:rFonts w:eastAsia="Times New Roman" w:cstheme="majorBidi"/>
                <w:color w:val="000000"/>
                <w:sz w:val="16"/>
                <w:szCs w:val="16"/>
              </w:rPr>
            </w:pPr>
          </w:p>
        </w:tc>
        <w:tc>
          <w:tcPr>
            <w:tcW w:w="1185" w:type="dxa"/>
            <w:shd w:val="clear" w:color="auto" w:fill="auto"/>
            <w:noWrap/>
            <w:vAlign w:val="center"/>
            <w:hideMark/>
          </w:tcPr>
          <w:p w14:paraId="25057744" w14:textId="77777777" w:rsidR="009A7B5F" w:rsidRPr="002536FB" w:rsidRDefault="009A7B5F" w:rsidP="00217E4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0.0000</w:t>
            </w:r>
          </w:p>
        </w:tc>
        <w:tc>
          <w:tcPr>
            <w:tcW w:w="1185" w:type="dxa"/>
            <w:shd w:val="clear" w:color="auto" w:fill="auto"/>
            <w:noWrap/>
            <w:vAlign w:val="center"/>
            <w:hideMark/>
          </w:tcPr>
          <w:p w14:paraId="5DBD2FBD" w14:textId="77777777" w:rsidR="009A7B5F" w:rsidRPr="002536FB" w:rsidRDefault="009A7B5F" w:rsidP="00217E4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0.0061</w:t>
            </w:r>
          </w:p>
        </w:tc>
        <w:tc>
          <w:tcPr>
            <w:tcW w:w="958" w:type="dxa"/>
            <w:vAlign w:val="center"/>
          </w:tcPr>
          <w:p w14:paraId="3DDD3CCD"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0.000</w:t>
            </w:r>
          </w:p>
        </w:tc>
        <w:tc>
          <w:tcPr>
            <w:tcW w:w="971" w:type="dxa"/>
            <w:vAlign w:val="center"/>
          </w:tcPr>
          <w:p w14:paraId="6B7267D3"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0.164</w:t>
            </w:r>
          </w:p>
        </w:tc>
      </w:tr>
      <w:tr w:rsidR="009A7B5F" w:rsidRPr="002B1EAE" w14:paraId="7C3178BB" w14:textId="77777777" w:rsidTr="006C76E0">
        <w:trPr>
          <w:trHeight w:hRule="exact" w:val="288"/>
          <w:jc w:val="center"/>
        </w:trPr>
        <w:tc>
          <w:tcPr>
            <w:tcW w:w="2714" w:type="dxa"/>
            <w:shd w:val="clear" w:color="auto" w:fill="auto"/>
            <w:noWrap/>
            <w:vAlign w:val="center"/>
            <w:hideMark/>
          </w:tcPr>
          <w:p w14:paraId="44E031E0" w14:textId="77777777" w:rsidR="009A7B5F" w:rsidRPr="002536FB" w:rsidRDefault="009A7B5F" w:rsidP="009F5DF5">
            <w:pPr>
              <w:spacing w:after="0" w:line="240" w:lineRule="auto"/>
              <w:ind w:firstLine="0"/>
              <w:jc w:val="left"/>
              <w:rPr>
                <w:rFonts w:eastAsia="Times New Roman" w:cstheme="majorBidi"/>
                <w:color w:val="000000"/>
                <w:sz w:val="16"/>
                <w:szCs w:val="16"/>
              </w:rPr>
            </w:pPr>
            <w:proofErr w:type="spellStart"/>
            <w:r w:rsidRPr="002536FB">
              <w:rPr>
                <w:rFonts w:eastAsia="Times New Roman" w:cstheme="majorBidi"/>
                <w:color w:val="000000"/>
                <w:sz w:val="16"/>
                <w:szCs w:val="16"/>
              </w:rPr>
              <w:t>Upperbond</w:t>
            </w:r>
            <w:proofErr w:type="spellEnd"/>
            <w:r w:rsidRPr="002536FB">
              <w:rPr>
                <w:rFonts w:eastAsia="Times New Roman" w:cstheme="majorBidi"/>
                <w:color w:val="000000"/>
                <w:sz w:val="16"/>
                <w:szCs w:val="16"/>
              </w:rPr>
              <w:t xml:space="preserve"> slope</w:t>
            </w:r>
          </w:p>
        </w:tc>
        <w:tc>
          <w:tcPr>
            <w:tcW w:w="950" w:type="dxa"/>
            <w:shd w:val="clear" w:color="auto" w:fill="auto"/>
            <w:noWrap/>
            <w:vAlign w:val="center"/>
            <w:hideMark/>
          </w:tcPr>
          <w:p w14:paraId="67E63CC8" w14:textId="77777777" w:rsidR="009A7B5F" w:rsidRPr="002B1EAE" w:rsidRDefault="009A7B5F" w:rsidP="009F5DF5">
            <w:pPr>
              <w:spacing w:after="0" w:line="240" w:lineRule="auto"/>
              <w:ind w:firstLine="0"/>
              <w:jc w:val="center"/>
              <w:rPr>
                <w:rFonts w:eastAsia="Times New Roman" w:cstheme="majorBidi"/>
                <w:color w:val="000000"/>
                <w:sz w:val="16"/>
                <w:szCs w:val="16"/>
              </w:rPr>
            </w:pPr>
            <w:r w:rsidRPr="002B1EAE">
              <w:rPr>
                <w:rFonts w:cstheme="majorBidi"/>
                <w:color w:val="000000"/>
                <w:sz w:val="16"/>
                <w:szCs w:val="16"/>
              </w:rPr>
              <w:t>-2.0214</w:t>
            </w:r>
          </w:p>
        </w:tc>
        <w:tc>
          <w:tcPr>
            <w:tcW w:w="1185" w:type="dxa"/>
            <w:shd w:val="clear" w:color="auto" w:fill="auto"/>
            <w:noWrap/>
            <w:vAlign w:val="center"/>
            <w:hideMark/>
          </w:tcPr>
          <w:p w14:paraId="06B6BFC4" w14:textId="77777777" w:rsidR="009A7B5F" w:rsidRPr="002B1EAE" w:rsidRDefault="009A7B5F" w:rsidP="00217E45">
            <w:pPr>
              <w:spacing w:after="0" w:line="240" w:lineRule="auto"/>
              <w:ind w:firstLine="0"/>
              <w:jc w:val="center"/>
              <w:rPr>
                <w:rFonts w:cstheme="majorBidi"/>
                <w:color w:val="000000"/>
                <w:sz w:val="16"/>
                <w:szCs w:val="16"/>
              </w:rPr>
            </w:pPr>
            <w:r w:rsidRPr="002B1EAE">
              <w:rPr>
                <w:rFonts w:cstheme="majorBidi"/>
                <w:color w:val="000000"/>
                <w:sz w:val="16"/>
                <w:szCs w:val="16"/>
              </w:rPr>
              <w:t>-1.5651</w:t>
            </w:r>
          </w:p>
        </w:tc>
        <w:tc>
          <w:tcPr>
            <w:tcW w:w="913" w:type="dxa"/>
            <w:vAlign w:val="center"/>
          </w:tcPr>
          <w:p w14:paraId="2BE78664"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-1.998</w:t>
            </w:r>
          </w:p>
        </w:tc>
        <w:tc>
          <w:tcPr>
            <w:tcW w:w="984" w:type="dxa"/>
            <w:vAlign w:val="center"/>
          </w:tcPr>
          <w:p w14:paraId="6C1B690A"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-1.3993</w:t>
            </w:r>
          </w:p>
        </w:tc>
        <w:tc>
          <w:tcPr>
            <w:tcW w:w="228" w:type="dxa"/>
            <w:vAlign w:val="center"/>
          </w:tcPr>
          <w:p w14:paraId="7299A61B" w14:textId="77777777" w:rsidR="009A7B5F" w:rsidRPr="002B1EAE" w:rsidRDefault="009A7B5F" w:rsidP="009F5DF5">
            <w:pPr>
              <w:spacing w:after="0" w:line="240" w:lineRule="auto"/>
              <w:ind w:firstLine="0"/>
              <w:jc w:val="center"/>
              <w:rPr>
                <w:rFonts w:cstheme="majorBidi"/>
                <w:color w:val="000000"/>
                <w:sz w:val="16"/>
                <w:szCs w:val="16"/>
              </w:rPr>
            </w:pPr>
          </w:p>
        </w:tc>
        <w:tc>
          <w:tcPr>
            <w:tcW w:w="1185" w:type="dxa"/>
            <w:shd w:val="clear" w:color="auto" w:fill="auto"/>
            <w:noWrap/>
            <w:vAlign w:val="center"/>
            <w:hideMark/>
          </w:tcPr>
          <w:p w14:paraId="0B865538" w14:textId="77777777" w:rsidR="009A7B5F" w:rsidRPr="002B1EAE" w:rsidRDefault="009A7B5F" w:rsidP="00217E45">
            <w:pPr>
              <w:spacing w:after="0" w:line="240" w:lineRule="auto"/>
              <w:ind w:firstLine="0"/>
              <w:jc w:val="center"/>
              <w:rPr>
                <w:rFonts w:cstheme="majorBidi"/>
                <w:color w:val="000000"/>
                <w:sz w:val="16"/>
                <w:szCs w:val="16"/>
              </w:rPr>
            </w:pPr>
            <w:r w:rsidRPr="002B1EAE">
              <w:rPr>
                <w:rFonts w:cstheme="majorBidi"/>
                <w:color w:val="000000"/>
                <w:sz w:val="16"/>
                <w:szCs w:val="16"/>
              </w:rPr>
              <w:t>-2.1793</w:t>
            </w:r>
          </w:p>
        </w:tc>
        <w:tc>
          <w:tcPr>
            <w:tcW w:w="1185" w:type="dxa"/>
            <w:shd w:val="clear" w:color="auto" w:fill="auto"/>
            <w:noWrap/>
            <w:vAlign w:val="center"/>
            <w:hideMark/>
          </w:tcPr>
          <w:p w14:paraId="3B7FFF1D" w14:textId="77777777" w:rsidR="009A7B5F" w:rsidRPr="002B1EAE" w:rsidRDefault="009A7B5F" w:rsidP="00217E45">
            <w:pPr>
              <w:spacing w:after="0" w:line="240" w:lineRule="auto"/>
              <w:ind w:firstLine="0"/>
              <w:jc w:val="center"/>
              <w:rPr>
                <w:rFonts w:cstheme="majorBidi"/>
                <w:color w:val="000000"/>
                <w:sz w:val="16"/>
                <w:szCs w:val="16"/>
              </w:rPr>
            </w:pPr>
            <w:r w:rsidRPr="002B1EAE">
              <w:rPr>
                <w:rFonts w:cstheme="majorBidi"/>
                <w:color w:val="000000"/>
                <w:sz w:val="16"/>
                <w:szCs w:val="16"/>
              </w:rPr>
              <w:t>-1.1785</w:t>
            </w:r>
          </w:p>
        </w:tc>
        <w:tc>
          <w:tcPr>
            <w:tcW w:w="958" w:type="dxa"/>
            <w:vAlign w:val="center"/>
          </w:tcPr>
          <w:p w14:paraId="386AD719"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-2.15846</w:t>
            </w:r>
          </w:p>
        </w:tc>
        <w:tc>
          <w:tcPr>
            <w:tcW w:w="971" w:type="dxa"/>
            <w:vAlign w:val="center"/>
          </w:tcPr>
          <w:p w14:paraId="75CAB292"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-1.2392</w:t>
            </w:r>
          </w:p>
        </w:tc>
      </w:tr>
      <w:tr w:rsidR="009A7B5F" w:rsidRPr="002B1EAE" w14:paraId="118B0494" w14:textId="77777777" w:rsidTr="006C76E0">
        <w:trPr>
          <w:trHeight w:hRule="exact" w:val="288"/>
          <w:jc w:val="center"/>
        </w:trPr>
        <w:tc>
          <w:tcPr>
            <w:tcW w:w="2714" w:type="dxa"/>
            <w:shd w:val="clear" w:color="auto" w:fill="auto"/>
            <w:noWrap/>
            <w:vAlign w:val="center"/>
            <w:hideMark/>
          </w:tcPr>
          <w:p w14:paraId="10F19B24" w14:textId="77777777" w:rsidR="009A7B5F" w:rsidRPr="002536FB" w:rsidRDefault="009A7B5F" w:rsidP="009F5DF5">
            <w:pPr>
              <w:spacing w:after="0" w:line="240" w:lineRule="auto"/>
              <w:ind w:firstLine="0"/>
              <w:jc w:val="left"/>
              <w:rPr>
                <w:rFonts w:eastAsia="Times New Roman" w:cstheme="majorBidi"/>
                <w:color w:val="000000"/>
                <w:sz w:val="16"/>
                <w:szCs w:val="16"/>
              </w:rPr>
            </w:pPr>
            <w:proofErr w:type="spellStart"/>
            <w:r w:rsidRPr="002536FB">
              <w:rPr>
                <w:rFonts w:eastAsia="Times New Roman" w:cstheme="majorBidi"/>
                <w:color w:val="000000"/>
                <w:sz w:val="16"/>
                <w:szCs w:val="16"/>
              </w:rPr>
              <w:t>upprbond</w:t>
            </w:r>
            <w:proofErr w:type="spellEnd"/>
            <w:r w:rsidRPr="002536FB">
              <w:rPr>
                <w:rFonts w:eastAsia="Times New Roman" w:cstheme="majorBidi"/>
                <w:color w:val="000000"/>
                <w:sz w:val="16"/>
                <w:szCs w:val="16"/>
              </w:rPr>
              <w:t xml:space="preserve"> p-value</w:t>
            </w:r>
          </w:p>
        </w:tc>
        <w:tc>
          <w:tcPr>
            <w:tcW w:w="950" w:type="dxa"/>
            <w:shd w:val="clear" w:color="auto" w:fill="auto"/>
            <w:noWrap/>
            <w:vAlign w:val="center"/>
            <w:hideMark/>
          </w:tcPr>
          <w:p w14:paraId="1FD97BA3" w14:textId="77777777" w:rsidR="009A7B5F" w:rsidRPr="002B1EAE" w:rsidRDefault="009A7B5F" w:rsidP="009F5DF5">
            <w:pPr>
              <w:spacing w:after="0" w:line="240" w:lineRule="auto"/>
              <w:ind w:firstLine="0"/>
              <w:jc w:val="center"/>
              <w:rPr>
                <w:rFonts w:cstheme="majorBidi"/>
                <w:color w:val="000000"/>
                <w:sz w:val="16"/>
                <w:szCs w:val="16"/>
              </w:rPr>
            </w:pPr>
            <w:r w:rsidRPr="002B1EAE">
              <w:rPr>
                <w:rFonts w:cstheme="majorBidi"/>
                <w:color w:val="000000"/>
                <w:sz w:val="16"/>
                <w:szCs w:val="16"/>
              </w:rPr>
              <w:t>0.0000</w:t>
            </w:r>
          </w:p>
        </w:tc>
        <w:tc>
          <w:tcPr>
            <w:tcW w:w="1185" w:type="dxa"/>
            <w:shd w:val="clear" w:color="auto" w:fill="auto"/>
            <w:noWrap/>
            <w:vAlign w:val="center"/>
            <w:hideMark/>
          </w:tcPr>
          <w:p w14:paraId="7568E198" w14:textId="77777777" w:rsidR="009A7B5F" w:rsidRPr="002B1EAE" w:rsidRDefault="009A7B5F" w:rsidP="00217E45">
            <w:pPr>
              <w:spacing w:after="0" w:line="240" w:lineRule="auto"/>
              <w:ind w:firstLine="0"/>
              <w:jc w:val="center"/>
              <w:rPr>
                <w:rFonts w:cstheme="majorBidi"/>
                <w:color w:val="000000"/>
                <w:sz w:val="16"/>
                <w:szCs w:val="16"/>
              </w:rPr>
            </w:pPr>
            <w:r w:rsidRPr="002B1EAE">
              <w:rPr>
                <w:rFonts w:cstheme="majorBidi"/>
                <w:color w:val="000000"/>
                <w:sz w:val="16"/>
                <w:szCs w:val="16"/>
              </w:rPr>
              <w:t>0.0000</w:t>
            </w:r>
          </w:p>
        </w:tc>
        <w:tc>
          <w:tcPr>
            <w:tcW w:w="913" w:type="dxa"/>
            <w:vAlign w:val="center"/>
          </w:tcPr>
          <w:p w14:paraId="53A38C10"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0.000</w:t>
            </w:r>
          </w:p>
        </w:tc>
        <w:tc>
          <w:tcPr>
            <w:tcW w:w="984" w:type="dxa"/>
            <w:vAlign w:val="center"/>
          </w:tcPr>
          <w:p w14:paraId="444127CA"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0.000</w:t>
            </w:r>
          </w:p>
        </w:tc>
        <w:tc>
          <w:tcPr>
            <w:tcW w:w="228" w:type="dxa"/>
            <w:vAlign w:val="center"/>
          </w:tcPr>
          <w:p w14:paraId="12A05264" w14:textId="77777777" w:rsidR="009A7B5F" w:rsidRPr="002B1EAE" w:rsidRDefault="009A7B5F" w:rsidP="00217E45">
            <w:pPr>
              <w:spacing w:after="0" w:line="240" w:lineRule="auto"/>
              <w:jc w:val="left"/>
              <w:rPr>
                <w:rFonts w:cstheme="majorBidi"/>
                <w:color w:val="000000"/>
                <w:sz w:val="16"/>
                <w:szCs w:val="16"/>
              </w:rPr>
            </w:pPr>
          </w:p>
        </w:tc>
        <w:tc>
          <w:tcPr>
            <w:tcW w:w="1185" w:type="dxa"/>
            <w:shd w:val="clear" w:color="auto" w:fill="auto"/>
            <w:noWrap/>
            <w:vAlign w:val="center"/>
            <w:hideMark/>
          </w:tcPr>
          <w:p w14:paraId="2B859049" w14:textId="77777777" w:rsidR="009A7B5F" w:rsidRPr="002B1EAE" w:rsidRDefault="009A7B5F" w:rsidP="00217E45">
            <w:pPr>
              <w:spacing w:after="0" w:line="240" w:lineRule="auto"/>
              <w:ind w:firstLine="0"/>
              <w:jc w:val="center"/>
              <w:rPr>
                <w:rFonts w:cstheme="majorBidi"/>
                <w:color w:val="000000"/>
                <w:sz w:val="16"/>
                <w:szCs w:val="16"/>
              </w:rPr>
            </w:pPr>
            <w:r w:rsidRPr="002B1EAE">
              <w:rPr>
                <w:rFonts w:cstheme="majorBidi"/>
                <w:color w:val="000000"/>
                <w:sz w:val="16"/>
                <w:szCs w:val="16"/>
              </w:rPr>
              <w:t>0.0000</w:t>
            </w:r>
          </w:p>
        </w:tc>
        <w:tc>
          <w:tcPr>
            <w:tcW w:w="1185" w:type="dxa"/>
            <w:shd w:val="clear" w:color="auto" w:fill="auto"/>
            <w:noWrap/>
            <w:vAlign w:val="center"/>
            <w:hideMark/>
          </w:tcPr>
          <w:p w14:paraId="3DFCFEB6" w14:textId="77777777" w:rsidR="009A7B5F" w:rsidRPr="002B1EAE" w:rsidRDefault="009A7B5F" w:rsidP="00217E45">
            <w:pPr>
              <w:spacing w:after="0" w:line="240" w:lineRule="auto"/>
              <w:ind w:firstLine="0"/>
              <w:jc w:val="center"/>
              <w:rPr>
                <w:rFonts w:cstheme="majorBidi"/>
                <w:color w:val="000000"/>
                <w:sz w:val="16"/>
                <w:szCs w:val="16"/>
              </w:rPr>
            </w:pPr>
            <w:r w:rsidRPr="002B1EAE">
              <w:rPr>
                <w:rFonts w:cstheme="majorBidi"/>
                <w:color w:val="000000"/>
                <w:sz w:val="16"/>
                <w:szCs w:val="16"/>
              </w:rPr>
              <w:t>0.0000</w:t>
            </w:r>
          </w:p>
        </w:tc>
        <w:tc>
          <w:tcPr>
            <w:tcW w:w="958" w:type="dxa"/>
            <w:vAlign w:val="center"/>
          </w:tcPr>
          <w:p w14:paraId="2DC45CD1"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0.000</w:t>
            </w:r>
          </w:p>
        </w:tc>
        <w:tc>
          <w:tcPr>
            <w:tcW w:w="971" w:type="dxa"/>
            <w:vAlign w:val="center"/>
          </w:tcPr>
          <w:p w14:paraId="61298974"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0.000</w:t>
            </w:r>
          </w:p>
        </w:tc>
      </w:tr>
      <w:tr w:rsidR="009A7B5F" w:rsidRPr="002B1EAE" w14:paraId="42073837" w14:textId="77777777" w:rsidTr="006C76E0">
        <w:trPr>
          <w:trHeight w:hRule="exact" w:val="288"/>
          <w:jc w:val="center"/>
        </w:trPr>
        <w:tc>
          <w:tcPr>
            <w:tcW w:w="2714" w:type="dxa"/>
            <w:tcBorders>
              <w:bottom w:val="single" w:sz="4" w:space="0" w:color="auto"/>
            </w:tcBorders>
            <w:shd w:val="clear" w:color="auto" w:fill="auto"/>
            <w:noWrap/>
            <w:vAlign w:val="center"/>
            <w:hideMark/>
          </w:tcPr>
          <w:p w14:paraId="1D3B68A6" w14:textId="77777777" w:rsidR="009A7B5F" w:rsidRPr="002536FB" w:rsidRDefault="009A7B5F" w:rsidP="009F5DF5">
            <w:pPr>
              <w:spacing w:after="0" w:line="240" w:lineRule="auto"/>
              <w:ind w:firstLine="0"/>
              <w:jc w:val="left"/>
              <w:rPr>
                <w:rFonts w:eastAsia="Times New Roman" w:cstheme="majorBidi"/>
                <w:color w:val="000000"/>
                <w:sz w:val="16"/>
                <w:szCs w:val="16"/>
              </w:rPr>
            </w:pPr>
            <w:r w:rsidRPr="002536FB">
              <w:rPr>
                <w:rFonts w:eastAsia="Times New Roman" w:cstheme="majorBidi"/>
                <w:color w:val="000000"/>
                <w:sz w:val="16"/>
                <w:szCs w:val="16"/>
              </w:rPr>
              <w:t>P-value /</w:t>
            </w:r>
            <w:proofErr w:type="spellStart"/>
            <w:r w:rsidRPr="002536FB">
              <w:rPr>
                <w:rFonts w:eastAsia="Times New Roman" w:cstheme="majorBidi"/>
                <w:color w:val="000000"/>
                <w:sz w:val="16"/>
                <w:szCs w:val="16"/>
              </w:rPr>
              <w:t>utest</w:t>
            </w:r>
            <w:proofErr w:type="spellEnd"/>
          </w:p>
        </w:tc>
        <w:tc>
          <w:tcPr>
            <w:tcW w:w="950" w:type="dxa"/>
            <w:shd w:val="clear" w:color="auto" w:fill="auto"/>
            <w:noWrap/>
            <w:vAlign w:val="center"/>
            <w:hideMark/>
          </w:tcPr>
          <w:p w14:paraId="0B2A7BB4" w14:textId="77777777" w:rsidR="009A7B5F" w:rsidRPr="002B1EAE" w:rsidRDefault="009A7B5F" w:rsidP="009F5DF5">
            <w:pPr>
              <w:spacing w:after="0" w:line="240" w:lineRule="auto"/>
              <w:ind w:firstLine="0"/>
              <w:jc w:val="center"/>
              <w:rPr>
                <w:rFonts w:cstheme="majorBidi"/>
                <w:color w:val="000000"/>
                <w:sz w:val="16"/>
                <w:szCs w:val="16"/>
              </w:rPr>
            </w:pPr>
            <w:r w:rsidRPr="002B1EAE">
              <w:rPr>
                <w:rFonts w:cstheme="majorBidi"/>
                <w:color w:val="000000"/>
                <w:sz w:val="16"/>
                <w:szCs w:val="16"/>
              </w:rPr>
              <w:t>0.0000</w:t>
            </w:r>
          </w:p>
        </w:tc>
        <w:tc>
          <w:tcPr>
            <w:tcW w:w="1185" w:type="dxa"/>
            <w:shd w:val="clear" w:color="auto" w:fill="auto"/>
            <w:noWrap/>
            <w:vAlign w:val="center"/>
            <w:hideMark/>
          </w:tcPr>
          <w:p w14:paraId="77D8623B" w14:textId="77777777" w:rsidR="009A7B5F" w:rsidRPr="002B1EAE" w:rsidRDefault="009A7B5F" w:rsidP="00217E45">
            <w:pPr>
              <w:spacing w:after="0" w:line="240" w:lineRule="auto"/>
              <w:ind w:firstLine="0"/>
              <w:jc w:val="center"/>
              <w:rPr>
                <w:rFonts w:cstheme="majorBidi"/>
                <w:color w:val="000000"/>
                <w:sz w:val="16"/>
                <w:szCs w:val="16"/>
              </w:rPr>
            </w:pPr>
            <w:r w:rsidRPr="002B1EAE">
              <w:rPr>
                <w:rFonts w:cstheme="majorBidi"/>
                <w:color w:val="000000"/>
                <w:sz w:val="16"/>
                <w:szCs w:val="16"/>
              </w:rPr>
              <w:t>0.0248</w:t>
            </w:r>
          </w:p>
        </w:tc>
        <w:tc>
          <w:tcPr>
            <w:tcW w:w="913" w:type="dxa"/>
            <w:vAlign w:val="center"/>
          </w:tcPr>
          <w:p w14:paraId="433D7A54"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0.0001</w:t>
            </w:r>
          </w:p>
        </w:tc>
        <w:tc>
          <w:tcPr>
            <w:tcW w:w="984" w:type="dxa"/>
            <w:vAlign w:val="center"/>
          </w:tcPr>
          <w:p w14:paraId="288ABCF6"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0.028</w:t>
            </w:r>
          </w:p>
        </w:tc>
        <w:tc>
          <w:tcPr>
            <w:tcW w:w="228" w:type="dxa"/>
            <w:vAlign w:val="center"/>
          </w:tcPr>
          <w:p w14:paraId="6D7FF80A" w14:textId="77777777" w:rsidR="009A7B5F" w:rsidRPr="002B1EAE" w:rsidRDefault="009A7B5F" w:rsidP="00217E45">
            <w:pPr>
              <w:spacing w:after="0" w:line="240" w:lineRule="auto"/>
              <w:jc w:val="left"/>
              <w:rPr>
                <w:rFonts w:cstheme="majorBidi"/>
                <w:color w:val="000000"/>
                <w:sz w:val="16"/>
                <w:szCs w:val="16"/>
              </w:rPr>
            </w:pPr>
          </w:p>
        </w:tc>
        <w:tc>
          <w:tcPr>
            <w:tcW w:w="1185" w:type="dxa"/>
            <w:shd w:val="clear" w:color="auto" w:fill="auto"/>
            <w:noWrap/>
            <w:vAlign w:val="center"/>
            <w:hideMark/>
          </w:tcPr>
          <w:p w14:paraId="615B8D32" w14:textId="77777777" w:rsidR="009A7B5F" w:rsidRPr="002B1EAE" w:rsidRDefault="009A7B5F" w:rsidP="00217E45">
            <w:pPr>
              <w:spacing w:after="0" w:line="240" w:lineRule="auto"/>
              <w:ind w:firstLine="0"/>
              <w:jc w:val="center"/>
              <w:rPr>
                <w:rFonts w:cstheme="majorBidi"/>
                <w:color w:val="000000"/>
                <w:sz w:val="16"/>
                <w:szCs w:val="16"/>
              </w:rPr>
            </w:pPr>
            <w:r w:rsidRPr="002B1EAE">
              <w:rPr>
                <w:rFonts w:cstheme="majorBidi"/>
                <w:color w:val="000000"/>
                <w:sz w:val="16"/>
                <w:szCs w:val="16"/>
              </w:rPr>
              <w:t>0.0000</w:t>
            </w:r>
          </w:p>
        </w:tc>
        <w:tc>
          <w:tcPr>
            <w:tcW w:w="1185" w:type="dxa"/>
            <w:shd w:val="clear" w:color="auto" w:fill="auto"/>
            <w:noWrap/>
            <w:vAlign w:val="center"/>
            <w:hideMark/>
          </w:tcPr>
          <w:p w14:paraId="104490DB" w14:textId="77777777" w:rsidR="009A7B5F" w:rsidRPr="002B1EAE" w:rsidRDefault="009A7B5F" w:rsidP="00217E45">
            <w:pPr>
              <w:spacing w:after="0" w:line="240" w:lineRule="auto"/>
              <w:ind w:firstLine="0"/>
              <w:jc w:val="center"/>
              <w:rPr>
                <w:rFonts w:cstheme="majorBidi"/>
                <w:color w:val="000000"/>
                <w:sz w:val="16"/>
                <w:szCs w:val="16"/>
              </w:rPr>
            </w:pPr>
            <w:r w:rsidRPr="002B1EAE">
              <w:rPr>
                <w:rFonts w:cstheme="majorBidi"/>
                <w:color w:val="000000"/>
                <w:sz w:val="16"/>
                <w:szCs w:val="16"/>
              </w:rPr>
              <w:t>0.0061</w:t>
            </w:r>
          </w:p>
        </w:tc>
        <w:tc>
          <w:tcPr>
            <w:tcW w:w="958" w:type="dxa"/>
            <w:vAlign w:val="center"/>
          </w:tcPr>
          <w:p w14:paraId="3175E54C"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0.000</w:t>
            </w:r>
          </w:p>
        </w:tc>
        <w:tc>
          <w:tcPr>
            <w:tcW w:w="971" w:type="dxa"/>
            <w:vAlign w:val="center"/>
          </w:tcPr>
          <w:p w14:paraId="12EA4FE1" w14:textId="77777777" w:rsidR="009A7B5F" w:rsidRPr="002B1EAE" w:rsidRDefault="009A7B5F" w:rsidP="00217E45">
            <w:pPr>
              <w:spacing w:after="0" w:line="240" w:lineRule="auto"/>
              <w:ind w:firstLine="0"/>
              <w:jc w:val="center"/>
              <w:rPr>
                <w:rFonts w:cstheme="majorBidi"/>
                <w:color w:val="000000"/>
                <w:sz w:val="16"/>
                <w:szCs w:val="16"/>
              </w:rPr>
            </w:pPr>
            <w:r>
              <w:rPr>
                <w:rFonts w:cstheme="majorBidi"/>
                <w:color w:val="000000"/>
                <w:sz w:val="16"/>
                <w:szCs w:val="16"/>
              </w:rPr>
              <w:t>0.0164</w:t>
            </w:r>
          </w:p>
        </w:tc>
      </w:tr>
      <w:tr w:rsidR="009A7B5F" w:rsidRPr="002B1EAE" w14:paraId="6BB007A4" w14:textId="77777777" w:rsidTr="006C76E0">
        <w:trPr>
          <w:trHeight w:hRule="exact" w:val="2308"/>
          <w:jc w:val="center"/>
        </w:trPr>
        <w:tc>
          <w:tcPr>
            <w:tcW w:w="11278" w:type="dxa"/>
            <w:gridSpan w:val="10"/>
            <w:shd w:val="clear" w:color="auto" w:fill="auto"/>
            <w:noWrap/>
            <w:vAlign w:val="center"/>
          </w:tcPr>
          <w:p w14:paraId="2A0468C7" w14:textId="071FEEF9" w:rsidR="009A7B5F" w:rsidRPr="00491A71" w:rsidRDefault="009A7B5F" w:rsidP="000643BD">
            <w:pPr>
              <w:spacing w:before="160" w:after="0" w:line="240" w:lineRule="auto"/>
              <w:ind w:firstLine="0"/>
              <w:rPr>
                <w:rFonts w:eastAsia="Times New Roman" w:cstheme="majorBidi"/>
                <w:color w:val="000000"/>
                <w:sz w:val="22"/>
              </w:rPr>
            </w:pPr>
            <w:r w:rsidRPr="00491A71">
              <w:rPr>
                <w:rFonts w:eastAsia="Times New Roman" w:cstheme="majorBidi"/>
                <w:color w:val="000000"/>
                <w:sz w:val="22"/>
              </w:rPr>
              <w:t>*, *</w:t>
            </w:r>
            <w:r w:rsidR="00491A71" w:rsidRPr="00491A71">
              <w:rPr>
                <w:rFonts w:eastAsia="Times New Roman" w:cstheme="majorBidi"/>
                <w:color w:val="000000"/>
                <w:sz w:val="22"/>
              </w:rPr>
              <w:t>*, *</w:t>
            </w:r>
            <w:r w:rsidRPr="00491A71">
              <w:rPr>
                <w:rFonts w:eastAsia="Times New Roman" w:cstheme="majorBidi"/>
                <w:color w:val="000000"/>
                <w:sz w:val="22"/>
              </w:rPr>
              <w:t xml:space="preserve">** indicate significance at the 10%, 5% and 1% level, respectively. </w:t>
            </w:r>
          </w:p>
          <w:p w14:paraId="0634691F" w14:textId="12A7868A" w:rsidR="009A7B5F" w:rsidRPr="00491A71" w:rsidRDefault="009A7B5F" w:rsidP="006C76E0">
            <w:pPr>
              <w:pBdr>
                <w:bottom w:val="single" w:sz="4" w:space="1" w:color="auto"/>
              </w:pBdr>
              <w:autoSpaceDE w:val="0"/>
              <w:autoSpaceDN w:val="0"/>
              <w:adjustRightInd w:val="0"/>
              <w:spacing w:after="0" w:line="240" w:lineRule="auto"/>
              <w:ind w:firstLine="0"/>
              <w:rPr>
                <w:rFonts w:eastAsia="Times New Roman" w:cstheme="majorBidi"/>
                <w:color w:val="000000"/>
                <w:sz w:val="22"/>
              </w:rPr>
            </w:pPr>
            <w:r w:rsidRPr="00491A71">
              <w:rPr>
                <w:rFonts w:eastAsia="Times New Roman" w:cstheme="majorBidi"/>
                <w:color w:val="000000"/>
                <w:sz w:val="22"/>
              </w:rPr>
              <w:t xml:space="preserve">Table 6 present the non-linear relationship between pay equity and employee performance. Employee performance is measured as SLE, the natural log of revenue per employee, and TFP, the residual of industry-specific Cobb–Douglas production functions. Pay Equity is the predicted pay inequality in each firm-year according to equation 1 and Pay Inequity is the residual of equation 1. The regression includes region, industry, and year fixed effects.  In the SGMM columns the result of SGMM estimation is reported. Continuous variables are </w:t>
            </w:r>
            <w:r w:rsidR="00C55BD0">
              <w:rPr>
                <w:rFonts w:eastAsia="Times New Roman" w:cstheme="majorBidi"/>
                <w:color w:val="000000"/>
                <w:sz w:val="22"/>
              </w:rPr>
              <w:t>trimmed</w:t>
            </w:r>
            <w:r w:rsidRPr="00491A71">
              <w:rPr>
                <w:rFonts w:eastAsia="Times New Roman" w:cstheme="majorBidi"/>
                <w:color w:val="000000"/>
                <w:sz w:val="22"/>
              </w:rPr>
              <w:t xml:space="preserve"> at 1 per cent and 99 per cent. P-values are reported in parentheses based on robust standard errors clustered at the firm level. </w:t>
            </w:r>
          </w:p>
          <w:p w14:paraId="23B18109" w14:textId="77777777" w:rsidR="009A7B5F" w:rsidRDefault="009A7B5F" w:rsidP="006C76E0">
            <w:pPr>
              <w:pBdr>
                <w:bottom w:val="single" w:sz="4" w:space="1" w:color="auto"/>
              </w:pBdr>
              <w:spacing w:after="0" w:line="240" w:lineRule="auto"/>
              <w:ind w:firstLine="0"/>
              <w:rPr>
                <w:rFonts w:cstheme="majorBidi"/>
                <w:color w:val="000000"/>
                <w:sz w:val="16"/>
                <w:szCs w:val="16"/>
              </w:rPr>
            </w:pPr>
            <w:r w:rsidRPr="00491A71">
              <w:rPr>
                <w:rFonts w:eastAsia="Times New Roman" w:cstheme="majorBidi"/>
                <w:color w:val="000000"/>
                <w:sz w:val="22"/>
              </w:rPr>
              <w:t xml:space="preserve">All variables are defined in </w:t>
            </w:r>
            <w:r w:rsidRPr="00491A71">
              <w:rPr>
                <w:rFonts w:cstheme="majorBidi"/>
                <w:sz w:val="22"/>
              </w:rPr>
              <w:t>Appendix</w:t>
            </w:r>
            <w:r w:rsidRPr="00675BD3">
              <w:rPr>
                <w:rFonts w:cstheme="majorBidi"/>
                <w:sz w:val="20"/>
                <w:szCs w:val="20"/>
              </w:rPr>
              <w:t xml:space="preserve"> A</w:t>
            </w:r>
            <w:r w:rsidRPr="00675BD3">
              <w:rPr>
                <w:rFonts w:eastAsia="Times New Roman" w:cstheme="majorBidi"/>
                <w:color w:val="000000"/>
                <w:sz w:val="20"/>
                <w:szCs w:val="20"/>
              </w:rPr>
              <w:t>.</w:t>
            </w:r>
          </w:p>
        </w:tc>
      </w:tr>
    </w:tbl>
    <w:p w14:paraId="5B220275" w14:textId="77777777" w:rsidR="009A7B5F" w:rsidRDefault="009A7B5F" w:rsidP="009A7B5F">
      <w:pPr>
        <w:ind w:firstLine="0"/>
        <w:sectPr w:rsidR="009A7B5F" w:rsidSect="00216C45">
          <w:pgSz w:w="12240" w:h="15840"/>
          <w:pgMar w:top="1440" w:right="1440" w:bottom="1080" w:left="1440" w:header="720" w:footer="435" w:gutter="0"/>
          <w:cols w:space="720"/>
          <w:docGrid w:linePitch="360"/>
        </w:sectPr>
      </w:pPr>
    </w:p>
    <w:p w14:paraId="42C5214A" w14:textId="1E173235" w:rsidR="009A7B5F" w:rsidRPr="009C7078" w:rsidRDefault="009A7B5F" w:rsidP="00853595">
      <w:pPr>
        <w:pStyle w:val="Heading1"/>
        <w:numPr>
          <w:ilvl w:val="0"/>
          <w:numId w:val="3"/>
        </w:numPr>
      </w:pPr>
      <w:r w:rsidRPr="009C7078">
        <w:rPr>
          <w:bCs/>
        </w:rPr>
        <w:lastRenderedPageBreak/>
        <w:t>Limitation</w:t>
      </w:r>
      <w:r>
        <w:rPr>
          <w:bCs/>
        </w:rPr>
        <w:t>s</w:t>
      </w:r>
      <w:r w:rsidRPr="009C7078">
        <w:rPr>
          <w:bCs/>
        </w:rPr>
        <w:t xml:space="preserve"> and future study direction</w:t>
      </w:r>
      <w:r>
        <w:rPr>
          <w:bCs/>
        </w:rPr>
        <w:t>s</w:t>
      </w:r>
      <w:r w:rsidRPr="009C7078">
        <w:rPr>
          <w:bCs/>
        </w:rPr>
        <w:t xml:space="preserve"> </w:t>
      </w:r>
    </w:p>
    <w:p w14:paraId="1F9AE51B" w14:textId="64D6D80F" w:rsidR="009A7B5F" w:rsidRPr="009C7078" w:rsidRDefault="009A7B5F" w:rsidP="003064E0">
      <w:pPr>
        <w:ind w:firstLine="0"/>
      </w:pPr>
      <w:r>
        <w:t>O</w:t>
      </w:r>
      <w:r w:rsidRPr="0003483C">
        <w:t>ur result</w:t>
      </w:r>
      <w:r>
        <w:t>s</w:t>
      </w:r>
      <w:r w:rsidRPr="0003483C">
        <w:t xml:space="preserve"> should be viewed in</w:t>
      </w:r>
      <w:r w:rsidRPr="0003483C">
        <w:rPr>
          <w:lang w:val="en-US"/>
        </w:rPr>
        <w:t xml:space="preserve"> light of </w:t>
      </w:r>
      <w:r>
        <w:rPr>
          <w:lang w:val="en-US"/>
        </w:rPr>
        <w:t>their</w:t>
      </w:r>
      <w:r w:rsidRPr="0003483C">
        <w:rPr>
          <w:lang w:val="en-US"/>
        </w:rPr>
        <w:t xml:space="preserve"> potential limitations. </w:t>
      </w:r>
      <w:r w:rsidRPr="0003483C">
        <w:t xml:space="preserve">First, we assume that employees are aware of </w:t>
      </w:r>
      <w:r>
        <w:t xml:space="preserve">their </w:t>
      </w:r>
      <w:r w:rsidRPr="0003483C">
        <w:t>CEO</w:t>
      </w:r>
      <w:r>
        <w:t>’s</w:t>
      </w:r>
      <w:r w:rsidRPr="0003483C">
        <w:t xml:space="preserve"> compensation and </w:t>
      </w:r>
      <w:r>
        <w:t xml:space="preserve">that the </w:t>
      </w:r>
      <w:r w:rsidRPr="0003483C">
        <w:t xml:space="preserve">CEO’s pay is a reference </w:t>
      </w:r>
      <w:r>
        <w:t xml:space="preserve">against which </w:t>
      </w:r>
      <w:r w:rsidRPr="0003483C">
        <w:t>to evaluate their</w:t>
      </w:r>
      <w:r w:rsidRPr="009C7078">
        <w:t xml:space="preserve"> </w:t>
      </w:r>
      <w:r>
        <w:t>compensation. Although</w:t>
      </w:r>
      <w:r w:rsidRPr="009C7078">
        <w:t xml:space="preserve"> we do not directly test this assumption, the regulators and business press focus on executive compensation, experimental studies on CEO pay ratio</w:t>
      </w:r>
      <w:r>
        <w:t>, and</w:t>
      </w:r>
      <w:r w:rsidRPr="009C7078">
        <w:t xml:space="preserve"> the strength of our findings illustrate</w:t>
      </w:r>
      <w:r>
        <w:t>s</w:t>
      </w:r>
      <w:r w:rsidRPr="009C7078">
        <w:t xml:space="preserve"> the reasonab</w:t>
      </w:r>
      <w:r>
        <w:t>le nature</w:t>
      </w:r>
      <w:r w:rsidRPr="009C7078">
        <w:t xml:space="preserve"> of this assumption. A related limitation is that our study is limited to vertical pay disparity. However</w:t>
      </w:r>
      <w:r>
        <w:t>,</w:t>
      </w:r>
      <w:r w:rsidRPr="009C7078">
        <w:t xml:space="preserve"> individuals compare their compensation </w:t>
      </w:r>
      <w:r>
        <w:t>using</w:t>
      </w:r>
      <w:r w:rsidRPr="009C7078">
        <w:t xml:space="preserve"> </w:t>
      </w:r>
      <w:r>
        <w:t>a variety of</w:t>
      </w:r>
      <w:r w:rsidRPr="009C7078">
        <w:t xml:space="preserve"> referents</w:t>
      </w:r>
      <w:r>
        <w:t xml:space="preserve">. Therefore, </w:t>
      </w:r>
      <w:r w:rsidRPr="009C7078">
        <w:t>a future avenue for research would be</w:t>
      </w:r>
      <w:r>
        <w:t xml:space="preserve"> comparing the impact of different types of pay disparity and</w:t>
      </w:r>
      <w:r w:rsidRPr="009C7078">
        <w:t xml:space="preserve"> investigat</w:t>
      </w:r>
      <w:r>
        <w:t>ing the overall effect of pay disparities.</w:t>
      </w:r>
      <w:r w:rsidRPr="009C7078">
        <w:t xml:space="preserve"> Second, sociological theories depend on individuals’ perception</w:t>
      </w:r>
      <w:r>
        <w:t>s</w:t>
      </w:r>
      <w:r w:rsidRPr="009C7078">
        <w:t xml:space="preserve"> of input</w:t>
      </w:r>
      <w:r>
        <w:t>s</w:t>
      </w:r>
      <w:r w:rsidRPr="009C7078">
        <w:t xml:space="preserve"> and outcomes</w:t>
      </w:r>
      <w:r>
        <w:t xml:space="preserve">, which contribute </w:t>
      </w:r>
      <w:r w:rsidRPr="009C7078">
        <w:t>to their reaction</w:t>
      </w:r>
      <w:r>
        <w:t>s</w:t>
      </w:r>
      <w:r w:rsidRPr="009C7078">
        <w:t xml:space="preserve"> </w:t>
      </w:r>
      <w:r w:rsidRPr="009C7078">
        <w:fldChar w:fldCharType="begin" w:fldLock="1"/>
      </w:r>
      <w:r w:rsidR="002E5440">
        <w:instrText>ADDIN CSL_CITATION {"citationItems":[{"id":"ITEM-1","itemData":{"DOI":"10.1016/j.hrmr.2011.12.001","ISSN":"10534822","abstract":"Research on pay variation and organizational outcomes has yielded inconsistent results. We argue that this is due to a lack of construct clarity regarding pay variation, and we attempt to provide clarification by distinguishing among the sources and types of pay variation. Using these distinctions, we integrate different theoretical perspectives on pay variation, and we propose avenues through which different kinds of pay variations affect outcomes. This clarification also elucidates some measurement concerns affecting pay variation studies. © 2011 Elsevier Inc.","author":[{"dropping-particle":"","family":"Gupta","given":"Nina","non-dropping-particle":"","parse-names":false,"suffix":""},{"dropping-particle":"","family":"Conroy","given":"Samantha A.","non-dropping-particle":"","parse-names":false,"suffix":""},{"dropping-particle":"","family":"Delery","given":"John E.","non-dropping-particle":"","parse-names":false,"suffix":""}],"container-title":"Human Resource Management Review","id":"ITEM-1","issue":"2","issued":{"date-parts":[["2012","6","1"]]},"page":"100-115","publisher":"JAI","title":"The many faces of pay variation","type":"article-journal","volume":"22"},"uris":["http://www.mendeley.com/documents/?uuid=f81a5e70-fc2d-31bc-bfc0-5a103d0c0b13"]}],"mendeley":{"formattedCitation":"(Gupta et al., 2012)","plainTextFormattedCitation":"(Gupta et al., 2012)","previouslyFormattedCitation":"(Gupta et al., 2012)"},"properties":{"noteIndex":0},"schema":"https://github.com/citation-style-language/schema/raw/master/csl-citation.json"}</w:instrText>
      </w:r>
      <w:r w:rsidRPr="009C7078">
        <w:fldChar w:fldCharType="separate"/>
      </w:r>
      <w:r w:rsidR="009D2930" w:rsidRPr="009D2930">
        <w:rPr>
          <w:noProof/>
        </w:rPr>
        <w:t>(Gupta et al., 2012)</w:t>
      </w:r>
      <w:r w:rsidRPr="009C7078">
        <w:fldChar w:fldCharType="end"/>
      </w:r>
      <w:r w:rsidRPr="009C7078">
        <w:t>. However, we do not assess employees’ perceived input</w:t>
      </w:r>
      <w:r>
        <w:t>s</w:t>
      </w:r>
      <w:r w:rsidRPr="009C7078">
        <w:t xml:space="preserve"> and outcomes</w:t>
      </w:r>
      <w:r>
        <w:t xml:space="preserve"> </w:t>
      </w:r>
      <w:r w:rsidRPr="009C7078">
        <w:t xml:space="preserve">in </w:t>
      </w:r>
      <w:r>
        <w:t>this</w:t>
      </w:r>
      <w:r w:rsidRPr="009C7078">
        <w:t xml:space="preserve"> study. </w:t>
      </w:r>
      <w:r>
        <w:t>F</w:t>
      </w:r>
      <w:r w:rsidRPr="009C7078">
        <w:t xml:space="preserve">ollowing </w:t>
      </w:r>
      <w:r>
        <w:fldChar w:fldCharType="begin" w:fldLock="1"/>
      </w:r>
      <w:r w:rsidR="002E5440">
        <w:instrText>ADDIN CSL_CITATION {"citationItems":[{"id":"ITEM-1","itemData":{"DOI":"10.1037/h0040968","PMID":"14081885","abstract":"A theory of social inequity, with special consideration given to wage inequities is presented. A special case of Festinger's cognitive dissonance, the theory specifies the conditions under which inequity will arise and the means by which it may be reduced or eliminated. Observational field studies supporting the theory and laboratory experiments designed to test certain aspects of it are described. (20 ref.) (PsycINFO Database Record (c) 2006 APA, all rights reserved). © 1963 American Psychological Association.","author":[{"dropping-particle":"","family":"Adams","given":"J.S.","non-dropping-particle":"","parse-names":false,"suffix":""}],"container-title":"Journal of Abnormal and Social Psychology","id":"ITEM-1","issue":"5","issued":{"date-parts":[["1963","11"]]},"page":"422-436","title":"Towards an understanding of inequity","type":"article-journal","volume":"67"},"uris":["http://www.mendeley.com/documents/?uuid=c2881477-f891-3feb-8dab-b576bc4ff4f0"]}],"mendeley":{"formattedCitation":"(Adams, 1963)","manualFormatting":"Adams (1963)","plainTextFormattedCitation":"(Adams, 1963)","previouslyFormattedCitation":"(Adams, 1963)"},"properties":{"noteIndex":0},"schema":"https://github.com/citation-style-language/schema/raw/master/csl-citation.json"}</w:instrText>
      </w:r>
      <w:r>
        <w:fldChar w:fldCharType="separate"/>
      </w:r>
      <w:r w:rsidRPr="00413EAD">
        <w:rPr>
          <w:noProof/>
        </w:rPr>
        <w:t xml:space="preserve">Adams </w:t>
      </w:r>
      <w:r>
        <w:rPr>
          <w:noProof/>
        </w:rPr>
        <w:t>(</w:t>
      </w:r>
      <w:r w:rsidRPr="00413EAD">
        <w:rPr>
          <w:noProof/>
        </w:rPr>
        <w:t>1963)</w:t>
      </w:r>
      <w:r>
        <w:fldChar w:fldCharType="end"/>
      </w:r>
      <w:r>
        <w:t xml:space="preserve">, </w:t>
      </w:r>
      <w:r w:rsidRPr="009C7078">
        <w:t>we assume that employees consider their effort as input and monetary reward as an outcome. Therefore, future research might explore how other perceived outcome</w:t>
      </w:r>
      <w:r>
        <w:t xml:space="preserve">s </w:t>
      </w:r>
      <w:r w:rsidRPr="009C7078">
        <w:t>(</w:t>
      </w:r>
      <w:r>
        <w:t xml:space="preserve">such as a </w:t>
      </w:r>
      <w:r w:rsidRPr="009C7078">
        <w:t>high</w:t>
      </w:r>
      <w:r>
        <w:t>-</w:t>
      </w:r>
      <w:r w:rsidRPr="009C7078">
        <w:t>quality working environment) moderate the effect of compensation disparity on performance.</w:t>
      </w:r>
    </w:p>
    <w:p w14:paraId="145412C1" w14:textId="77777777" w:rsidR="009A7B5F" w:rsidRDefault="009A7B5F" w:rsidP="009A7B5F">
      <w:r w:rsidRPr="009C7078">
        <w:t xml:space="preserve">A further limitation is the lack of publicly available data. Therefore, </w:t>
      </w:r>
      <w:r>
        <w:t>o</w:t>
      </w:r>
      <w:r w:rsidRPr="009C7078">
        <w:t xml:space="preserve">ur measure of pay inequity probably will, at least </w:t>
      </w:r>
      <w:r>
        <w:t xml:space="preserve">to </w:t>
      </w:r>
      <w:r w:rsidRPr="009C7078">
        <w:t xml:space="preserve">some degree, be associated with compensation based on </w:t>
      </w:r>
      <w:r>
        <w:t>factors</w:t>
      </w:r>
      <w:r w:rsidRPr="009C7078">
        <w:t xml:space="preserve"> that we</w:t>
      </w:r>
      <w:r>
        <w:t xml:space="preserve"> were unable</w:t>
      </w:r>
      <w:r w:rsidRPr="009C7078">
        <w:t xml:space="preserve"> to detect. Despite this limitation, results </w:t>
      </w:r>
      <w:r>
        <w:t>consistent with previous research support our conceptual and empirical modelling of pay equity and inequity</w:t>
      </w:r>
      <w:r w:rsidRPr="009C7078">
        <w:t>. A related limitation is that our result is based on Australian listed firms</w:t>
      </w:r>
      <w:r>
        <w:t>,</w:t>
      </w:r>
      <w:r w:rsidRPr="009C7078">
        <w:t xml:space="preserve"> where there is a strong emphasis on </w:t>
      </w:r>
      <w:r>
        <w:t>egalitarianism</w:t>
      </w:r>
      <w:r w:rsidRPr="009C7078">
        <w:t xml:space="preserve">. </w:t>
      </w:r>
      <w:r>
        <w:t xml:space="preserve">Hence, </w:t>
      </w:r>
      <w:r w:rsidRPr="009C7078">
        <w:t>our findings may not hold in a cross-cultural setting with varying degrees of pay disparity and inequity aversion</w:t>
      </w:r>
      <w:r>
        <w:t>.</w:t>
      </w:r>
      <w:r w:rsidRPr="009C7078">
        <w:t xml:space="preserve"> </w:t>
      </w:r>
      <w:r>
        <w:t>Therefore, another avenue for future research would be to investigate whether cultural views on compensation influence</w:t>
      </w:r>
      <w:r w:rsidRPr="009C7078">
        <w:t xml:space="preserve"> this relationship.</w:t>
      </w:r>
      <w:r>
        <w:t xml:space="preserve"> </w:t>
      </w:r>
      <w:r w:rsidRPr="009C7078">
        <w:t>A final limitation is that we assume all employees in different</w:t>
      </w:r>
      <w:r>
        <w:t xml:space="preserve"> working places</w:t>
      </w:r>
      <w:r w:rsidRPr="009C7078">
        <w:t xml:space="preserve"> react homogen</w:t>
      </w:r>
      <w:r>
        <w:t>e</w:t>
      </w:r>
      <w:r w:rsidRPr="009C7078">
        <w:t>ously to pay disparity.</w:t>
      </w:r>
      <w:r>
        <w:t xml:space="preserve"> It is still unknown whether individuals with different characteristics in various jobs and working environments have the</w:t>
      </w:r>
      <w:r w:rsidRPr="009C7078">
        <w:t xml:space="preserve"> same reaction </w:t>
      </w:r>
      <w:r>
        <w:t>to pay equity and pay inequity. D</w:t>
      </w:r>
      <w:r w:rsidRPr="009C7078">
        <w:t xml:space="preserve">eveloping appropriate conceptual models for </w:t>
      </w:r>
      <w:r>
        <w:t>investigating</w:t>
      </w:r>
      <w:r w:rsidRPr="009C7078">
        <w:t xml:space="preserve"> </w:t>
      </w:r>
      <w:r>
        <w:t xml:space="preserve">this question </w:t>
      </w:r>
      <w:r w:rsidRPr="009C7078">
        <w:t xml:space="preserve">will be </w:t>
      </w:r>
      <w:r>
        <w:t>another future research area</w:t>
      </w:r>
      <w:r w:rsidRPr="009C7078">
        <w:t xml:space="preserve">. </w:t>
      </w:r>
      <w:r>
        <w:t>Given</w:t>
      </w:r>
      <w:r w:rsidRPr="009C7078">
        <w:t xml:space="preserve"> these limitations, we suggest our study does provide new </w:t>
      </w:r>
      <w:r>
        <w:t>insight</w:t>
      </w:r>
      <w:r w:rsidRPr="009C7078">
        <w:t xml:space="preserve"> </w:t>
      </w:r>
      <w:r>
        <w:t>in</w:t>
      </w:r>
      <w:r w:rsidRPr="009C7078">
        <w:t xml:space="preserve">to the accumulating research on pay dispersion and supports the notion that such research is </w:t>
      </w:r>
      <w:r>
        <w:t>vital</w:t>
      </w:r>
      <w:r w:rsidRPr="009C7078">
        <w:t xml:space="preserve"> for understanding how to </w:t>
      </w:r>
      <w:r>
        <w:t>design compensation systems properly</w:t>
      </w:r>
      <w:r w:rsidRPr="009C7078">
        <w:t>.</w:t>
      </w:r>
    </w:p>
    <w:p w14:paraId="786036B3" w14:textId="2E9D476E" w:rsidR="009A7B5F" w:rsidRDefault="009A7B5F" w:rsidP="00853595">
      <w:pPr>
        <w:pStyle w:val="Heading1"/>
        <w:numPr>
          <w:ilvl w:val="0"/>
          <w:numId w:val="3"/>
        </w:numPr>
      </w:pPr>
      <w:r>
        <w:t>Conclusion</w:t>
      </w:r>
    </w:p>
    <w:p w14:paraId="1E1F60E6" w14:textId="07363619" w:rsidR="009A7B5F" w:rsidRDefault="009A7B5F" w:rsidP="003064E0">
      <w:pPr>
        <w:ind w:firstLine="0"/>
      </w:pPr>
      <w:r>
        <w:t xml:space="preserve">Using a dataset of Australian listed companies, we study how within-firm pay inequality between CEO and employee relates to employee performance and whether breaking down pay inequality into pay equity and pay inequity can provide an appropriate basis for integrating sociological and economic perspectives. We find that higher pay inequality is significantly associated with lower employee productivity, indicating that the sociological perspective is dominant in our sample. In order to separate pay inequality from pay equity, we estimate pay inequality according to CEOs’ and employees’ inputs, company characteristics and </w:t>
      </w:r>
      <w:r w:rsidR="00287231">
        <w:t>labour market</w:t>
      </w:r>
      <w:r>
        <w:t xml:space="preserve">. Consistent with our expectations, we find that pay inequality is positively related to </w:t>
      </w:r>
      <w:r>
        <w:lastRenderedPageBreak/>
        <w:t>CEOs’ skills but negatively associated with employees’ input and outside opportunities, as well as corporate governance effectiveness. In addition, we find that pay inequity, which is an unexplained part of pay inequality, is negatively related to employee performance, consistent with the sociological perspective. However, the relationship between pay equity and employee performance is not clear. We examine t</w:t>
      </w:r>
      <w:r w:rsidRPr="002800DF">
        <w:t xml:space="preserve">he possibility of a </w:t>
      </w:r>
      <w:r>
        <w:t>non-linear pay equity impact. Our results suggest that, at least in our sample, at a higher level of pay equity, increased pay equity diminishes employee performance. In fact, w</w:t>
      </w:r>
      <w:r w:rsidRPr="00BD3586">
        <w:t>e find a</w:t>
      </w:r>
      <w:r>
        <w:t>n inverted U-shaped</w:t>
      </w:r>
      <w:r w:rsidRPr="00BD3586">
        <w:t xml:space="preserve"> relationship between </w:t>
      </w:r>
      <w:r>
        <w:t xml:space="preserve">pay equity </w:t>
      </w:r>
      <w:r w:rsidRPr="00BD3586">
        <w:t xml:space="preserve">and </w:t>
      </w:r>
      <w:r>
        <w:t>employee performance.</w:t>
      </w:r>
    </w:p>
    <w:p w14:paraId="34D51260" w14:textId="77777777" w:rsidR="009A7B5F" w:rsidRPr="0054755B" w:rsidRDefault="009A7B5F" w:rsidP="009A7B5F">
      <w:r>
        <w:t>Our findings extend the previous integrated approach to the relationship between vertical pay disparity and employee performance in an organisation setting.</w:t>
      </w:r>
      <w:r w:rsidRPr="00733A0A">
        <w:t xml:space="preserve"> </w:t>
      </w:r>
      <w:r w:rsidRPr="00DF4D17">
        <w:t>In general,</w:t>
      </w:r>
      <w:r w:rsidRPr="00733A0A">
        <w:t xml:space="preserve"> </w:t>
      </w:r>
      <w:r>
        <w:t>our results suggest that employees exhibit higher performance where there is a small level of pay inequity and a large amount of pay equity. However, it should be noted that increasing pay equity beyond a specific threshold tends to decrease employee performance.</w:t>
      </w:r>
      <w:r w:rsidRPr="00DF4D17">
        <w:t xml:space="preserve"> </w:t>
      </w:r>
      <w:r>
        <w:t>In addition, o</w:t>
      </w:r>
      <w:r w:rsidRPr="00DF4D17">
        <w:t>ur findings have managerial implications</w:t>
      </w:r>
      <w:r>
        <w:t xml:space="preserve"> f</w:t>
      </w:r>
      <w:r w:rsidRPr="00DF4D17">
        <w:t>or the design of compensation between hierarchical levels</w:t>
      </w:r>
      <w:r>
        <w:t xml:space="preserve">. We believe that a pay system based on individuals’ input into the workplace can effectively motivate employees and increase their performance. However, employees need to be aware of and convinced about the accuracy of the pay system. Managers should consider the current level of pay equity in their company before deciding to increase pay equity. </w:t>
      </w:r>
      <w:r w:rsidRPr="00E44329">
        <w:t xml:space="preserve">Our </w:t>
      </w:r>
      <w:r>
        <w:t>non-linear</w:t>
      </w:r>
      <w:r w:rsidRPr="00E44329">
        <w:t xml:space="preserve"> analyses indicate that </w:t>
      </w:r>
      <w:r>
        <w:t>more pay equity may create few or no organisation-level advantages for companies that already have high pay equity</w:t>
      </w:r>
      <w:r w:rsidRPr="0054755B">
        <w:t>. Our finding</w:t>
      </w:r>
      <w:r>
        <w:t>s also have</w:t>
      </w:r>
      <w:r w:rsidRPr="0054755B">
        <w:t xml:space="preserve"> implication</w:t>
      </w:r>
      <w:r>
        <w:t>s</w:t>
      </w:r>
      <w:r w:rsidRPr="0054755B">
        <w:t xml:space="preserve"> for regulators. </w:t>
      </w:r>
      <w:r>
        <w:t>They suggest</w:t>
      </w:r>
      <w:r w:rsidRPr="0054755B">
        <w:t xml:space="preserve"> that CEO pay ratio disclosure per se</w:t>
      </w:r>
      <w:r>
        <w:t>,</w:t>
      </w:r>
      <w:r w:rsidRPr="0054755B">
        <w:t xml:space="preserve"> without putting</w:t>
      </w:r>
      <w:r>
        <w:t xml:space="preserve"> it</w:t>
      </w:r>
      <w:r w:rsidRPr="0054755B">
        <w:t xml:space="preserve"> into </w:t>
      </w:r>
      <w:r>
        <w:t xml:space="preserve">an </w:t>
      </w:r>
      <w:r w:rsidRPr="0054755B">
        <w:t>equity context</w:t>
      </w:r>
      <w:r>
        <w:t>,</w:t>
      </w:r>
      <w:r w:rsidRPr="0054755B">
        <w:t xml:space="preserve"> will lead to misinterpretation. Without detailed knowledge of </w:t>
      </w:r>
      <w:r>
        <w:t>employees’ and CEOs’ input</w:t>
      </w:r>
      <w:r w:rsidRPr="0054755B">
        <w:t>, financial statement users ma</w:t>
      </w:r>
      <w:r>
        <w:t>y</w:t>
      </w:r>
      <w:r w:rsidRPr="0054755B">
        <w:t xml:space="preserve"> </w:t>
      </w:r>
      <w:r>
        <w:t>interpret the CEO pay ratio</w:t>
      </w:r>
      <w:r w:rsidRPr="0054755B">
        <w:t xml:space="preserve"> with insufficient </w:t>
      </w:r>
      <w:r>
        <w:t>information.</w:t>
      </w:r>
      <w:r w:rsidRPr="0054755B">
        <w:t xml:space="preserve"> We believe disclosure </w:t>
      </w:r>
      <w:r>
        <w:t xml:space="preserve">of relevant information about workforces </w:t>
      </w:r>
      <w:r w:rsidRPr="0054755B">
        <w:t xml:space="preserve">can </w:t>
      </w:r>
      <w:r>
        <w:t>help financial statement users</w:t>
      </w:r>
      <w:r w:rsidRPr="0054755B">
        <w:t xml:space="preserve"> </w:t>
      </w:r>
      <w:r>
        <w:t xml:space="preserve">to </w:t>
      </w:r>
      <w:r w:rsidRPr="0054755B">
        <w:t>more accurately judge the effect of pay structure on performance</w:t>
      </w:r>
      <w:r>
        <w:t>.</w:t>
      </w:r>
    </w:p>
    <w:p w14:paraId="6D2EB6E7" w14:textId="77777777" w:rsidR="009A7B5F" w:rsidRDefault="009A7B5F" w:rsidP="009A7B5F"/>
    <w:p w14:paraId="342BA771" w14:textId="77777777" w:rsidR="009A7B5F" w:rsidRPr="00E15E4D" w:rsidRDefault="009A7B5F" w:rsidP="009A7B5F">
      <w:pPr>
        <w:widowControl w:val="0"/>
        <w:autoSpaceDE w:val="0"/>
        <w:autoSpaceDN w:val="0"/>
        <w:adjustRightInd w:val="0"/>
        <w:spacing w:after="0" w:line="240" w:lineRule="auto"/>
        <w:ind w:firstLine="0"/>
        <w:jc w:val="left"/>
        <w:rPr>
          <w:rFonts w:ascii="Segoe UI" w:hAnsi="Segoe UI" w:cs="Segoe UI"/>
          <w:sz w:val="20"/>
          <w:szCs w:val="20"/>
        </w:rPr>
      </w:pPr>
    </w:p>
    <w:p w14:paraId="09C366B5" w14:textId="77777777" w:rsidR="009A7B5F" w:rsidRDefault="009A7B5F" w:rsidP="009A7B5F"/>
    <w:p w14:paraId="2847DA43" w14:textId="77777777" w:rsidR="009A7B5F" w:rsidRPr="00DF4D17" w:rsidRDefault="009A7B5F" w:rsidP="009A7B5F">
      <w:pPr>
        <w:rPr>
          <w:rFonts w:ascii="Segoe UI" w:hAnsi="Segoe UI" w:cs="Segoe UI"/>
          <w:sz w:val="20"/>
          <w:szCs w:val="20"/>
        </w:rPr>
      </w:pPr>
    </w:p>
    <w:p w14:paraId="678D1221" w14:textId="77777777" w:rsidR="009A7B5F" w:rsidRPr="00DF4D17" w:rsidRDefault="009A7B5F" w:rsidP="009A7B5F">
      <w:pPr>
        <w:widowControl w:val="0"/>
        <w:autoSpaceDE w:val="0"/>
        <w:autoSpaceDN w:val="0"/>
        <w:adjustRightInd w:val="0"/>
        <w:spacing w:after="0" w:line="240" w:lineRule="auto"/>
        <w:ind w:firstLine="0"/>
        <w:jc w:val="left"/>
        <w:rPr>
          <w:rFonts w:ascii="Segoe UI" w:hAnsi="Segoe UI" w:cs="Segoe UI"/>
          <w:sz w:val="20"/>
          <w:szCs w:val="20"/>
        </w:rPr>
      </w:pPr>
    </w:p>
    <w:p w14:paraId="29FD7B5E" w14:textId="77777777" w:rsidR="009A7B5F" w:rsidRPr="00E15E4D" w:rsidRDefault="009A7B5F" w:rsidP="009A7B5F">
      <w:pPr>
        <w:widowControl w:val="0"/>
        <w:autoSpaceDE w:val="0"/>
        <w:autoSpaceDN w:val="0"/>
        <w:adjustRightInd w:val="0"/>
        <w:spacing w:after="0" w:line="240" w:lineRule="auto"/>
        <w:ind w:firstLine="0"/>
        <w:jc w:val="left"/>
        <w:rPr>
          <w:rFonts w:ascii="Segoe UI" w:hAnsi="Segoe UI" w:cs="Segoe UI"/>
          <w:sz w:val="20"/>
          <w:szCs w:val="20"/>
        </w:rPr>
      </w:pPr>
    </w:p>
    <w:p w14:paraId="7C7296E4" w14:textId="77777777" w:rsidR="009A7B5F" w:rsidRPr="00E15E4D" w:rsidRDefault="009A7B5F" w:rsidP="009A7B5F">
      <w:pPr>
        <w:widowControl w:val="0"/>
        <w:autoSpaceDE w:val="0"/>
        <w:autoSpaceDN w:val="0"/>
        <w:adjustRightInd w:val="0"/>
        <w:spacing w:after="0" w:line="240" w:lineRule="auto"/>
        <w:ind w:firstLine="0"/>
        <w:jc w:val="left"/>
        <w:rPr>
          <w:rFonts w:ascii="Segoe UI" w:hAnsi="Segoe UI" w:cs="Segoe UI"/>
          <w:sz w:val="20"/>
          <w:szCs w:val="20"/>
        </w:rPr>
      </w:pPr>
    </w:p>
    <w:p w14:paraId="5313AF8C" w14:textId="77777777" w:rsidR="009A7B5F" w:rsidRDefault="009A7B5F" w:rsidP="009A7B5F">
      <w:pPr>
        <w:autoSpaceDE w:val="0"/>
        <w:autoSpaceDN w:val="0"/>
        <w:adjustRightInd w:val="0"/>
        <w:spacing w:after="0" w:line="240" w:lineRule="auto"/>
        <w:ind w:firstLine="0"/>
        <w:jc w:val="left"/>
        <w:rPr>
          <w:rFonts w:ascii="AdvP641C" w:hAnsi="AdvP641C" w:cs="AdvP641C"/>
          <w:color w:val="000000"/>
          <w:sz w:val="20"/>
          <w:szCs w:val="20"/>
        </w:rPr>
      </w:pPr>
    </w:p>
    <w:p w14:paraId="5F61CE16" w14:textId="77777777" w:rsidR="009A7B5F" w:rsidRDefault="009A7B5F" w:rsidP="003064E0">
      <w:pPr>
        <w:ind w:firstLine="0"/>
      </w:pPr>
    </w:p>
    <w:p w14:paraId="462C189B" w14:textId="77777777" w:rsidR="009A7B5F" w:rsidRDefault="009A7B5F" w:rsidP="009A7B5F"/>
    <w:p w14:paraId="79B4A7A9" w14:textId="77777777" w:rsidR="009A7B5F" w:rsidRDefault="009A7B5F" w:rsidP="006D4D17">
      <w:pPr>
        <w:ind w:firstLine="0"/>
      </w:pPr>
    </w:p>
    <w:p w14:paraId="2290F11D" w14:textId="56860E07" w:rsidR="009A7B5F" w:rsidRDefault="009A7B5F" w:rsidP="009A7B5F"/>
    <w:p w14:paraId="6FD50898" w14:textId="5AB79831" w:rsidR="000176E7" w:rsidRDefault="000176E7" w:rsidP="009A7B5F"/>
    <w:p w14:paraId="74B98AE3" w14:textId="77777777" w:rsidR="003E244A" w:rsidRPr="003E244A" w:rsidRDefault="003E244A" w:rsidP="003E244A">
      <w:pPr>
        <w:spacing w:before="120" w:after="120" w:line="360" w:lineRule="auto"/>
        <w:ind w:firstLine="284"/>
        <w:rPr>
          <w:rFonts w:ascii="Times New Roman" w:eastAsia="Calibri" w:hAnsi="Times New Roman" w:cs="Arial"/>
          <w:b/>
          <w:bCs/>
          <w:lang w:eastAsia="en-US"/>
        </w:rPr>
      </w:pPr>
      <w:r w:rsidRPr="003E244A">
        <w:rPr>
          <w:rFonts w:ascii="Times New Roman" w:eastAsia="Calibri" w:hAnsi="Times New Roman" w:cs="Arial"/>
          <w:b/>
          <w:bCs/>
          <w:lang w:eastAsia="en-US"/>
        </w:rPr>
        <w:lastRenderedPageBreak/>
        <w:t>References</w:t>
      </w:r>
    </w:p>
    <w:p w14:paraId="0D121C41"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sz w:val="22"/>
          <w:lang w:eastAsia="en-US"/>
        </w:rPr>
        <w:fldChar w:fldCharType="begin" w:fldLock="1"/>
      </w:r>
      <w:r w:rsidRPr="003E244A">
        <w:rPr>
          <w:rFonts w:ascii="Times New Roman" w:eastAsia="Calibri" w:hAnsi="Times New Roman" w:cs="Times New Roman"/>
          <w:sz w:val="22"/>
          <w:lang w:eastAsia="en-US"/>
        </w:rPr>
        <w:instrText xml:space="preserve">ADDIN Mendeley Bibliography CSL_BIBLIOGRAPHY </w:instrText>
      </w:r>
      <w:r w:rsidRPr="003E244A">
        <w:rPr>
          <w:rFonts w:ascii="Times New Roman" w:eastAsia="Calibri" w:hAnsi="Times New Roman" w:cs="Times New Roman"/>
          <w:sz w:val="22"/>
          <w:lang w:eastAsia="en-US"/>
        </w:rPr>
        <w:fldChar w:fldCharType="separate"/>
      </w:r>
      <w:r w:rsidRPr="003E244A">
        <w:rPr>
          <w:rFonts w:ascii="Times New Roman" w:eastAsia="Calibri" w:hAnsi="Times New Roman" w:cs="Times New Roman"/>
          <w:noProof/>
          <w:sz w:val="22"/>
          <w:lang w:eastAsia="en-US"/>
        </w:rPr>
        <w:t xml:space="preserve">Adams, J. S. 1963. “Towards an Understanding of Inequity.” </w:t>
      </w:r>
      <w:r w:rsidRPr="003E244A">
        <w:rPr>
          <w:rFonts w:ascii="Times New Roman" w:eastAsia="Calibri" w:hAnsi="Times New Roman" w:cs="Times New Roman"/>
          <w:i/>
          <w:iCs/>
          <w:noProof/>
          <w:sz w:val="22"/>
          <w:lang w:eastAsia="en-US"/>
        </w:rPr>
        <w:t>Journal of Abnormal and Social Psychology</w:t>
      </w:r>
      <w:r w:rsidRPr="003E244A">
        <w:rPr>
          <w:rFonts w:ascii="Times New Roman" w:eastAsia="Calibri" w:hAnsi="Times New Roman" w:cs="Times New Roman"/>
          <w:noProof/>
          <w:sz w:val="22"/>
          <w:lang w:eastAsia="en-US"/>
        </w:rPr>
        <w:t xml:space="preserve"> 67(5):422–36. doi: 10.1037/h0040968.</w:t>
      </w:r>
    </w:p>
    <w:p w14:paraId="0AD2B1C6" w14:textId="661DEECB"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Adams, J. S. 1965. “Inequity in Social Exchange.” </w:t>
      </w:r>
      <w:r w:rsidRPr="003E244A">
        <w:rPr>
          <w:rFonts w:ascii="Times New Roman" w:eastAsia="Calibri" w:hAnsi="Times New Roman" w:cs="Times New Roman"/>
          <w:i/>
          <w:iCs/>
          <w:noProof/>
          <w:sz w:val="22"/>
          <w:lang w:eastAsia="en-US"/>
        </w:rPr>
        <w:t>In Advances in Experimental Social Psychology</w:t>
      </w:r>
      <w:r w:rsidRPr="003E244A">
        <w:rPr>
          <w:rFonts w:ascii="Times New Roman" w:eastAsia="Calibri" w:hAnsi="Times New Roman" w:cs="Times New Roman"/>
          <w:noProof/>
          <w:sz w:val="22"/>
          <w:lang w:eastAsia="en-US"/>
        </w:rPr>
        <w:t xml:space="preserve"> 2:267–99.</w:t>
      </w:r>
    </w:p>
    <w:p w14:paraId="4FFAA955"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Akerlof, George A., and Janet L. Yellen. 1990. “The Fair Wage-Effort Hypothesis and Unemployment.” </w:t>
      </w:r>
      <w:r w:rsidRPr="003E244A">
        <w:rPr>
          <w:rFonts w:ascii="Times New Roman" w:eastAsia="Calibri" w:hAnsi="Times New Roman" w:cs="Times New Roman"/>
          <w:i/>
          <w:iCs/>
          <w:noProof/>
          <w:sz w:val="22"/>
          <w:lang w:eastAsia="en-US"/>
        </w:rPr>
        <w:t>The Quarterly Journal of Economics</w:t>
      </w:r>
      <w:r w:rsidRPr="003E244A">
        <w:rPr>
          <w:rFonts w:ascii="Times New Roman" w:eastAsia="Calibri" w:hAnsi="Times New Roman" w:cs="Times New Roman"/>
          <w:noProof/>
          <w:sz w:val="22"/>
          <w:lang w:eastAsia="en-US"/>
        </w:rPr>
        <w:t xml:space="preserve"> 105(2):255–83.</w:t>
      </w:r>
    </w:p>
    <w:p w14:paraId="5E3F08C1"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Arellano, Manuel, and Stephen Bond. 1991. “Some Tests of Specification for Panel Data: Monte Carlo Evidence and an Application to Employment Equations.” </w:t>
      </w:r>
      <w:r w:rsidRPr="003E244A">
        <w:rPr>
          <w:rFonts w:ascii="Times New Roman" w:eastAsia="Calibri" w:hAnsi="Times New Roman" w:cs="Times New Roman"/>
          <w:i/>
          <w:iCs/>
          <w:noProof/>
          <w:sz w:val="22"/>
          <w:lang w:eastAsia="en-US"/>
        </w:rPr>
        <w:t>The Review of Economic Studies</w:t>
      </w:r>
      <w:r w:rsidRPr="003E244A">
        <w:rPr>
          <w:rFonts w:ascii="Times New Roman" w:eastAsia="Calibri" w:hAnsi="Times New Roman" w:cs="Times New Roman"/>
          <w:noProof/>
          <w:sz w:val="22"/>
          <w:lang w:eastAsia="en-US"/>
        </w:rPr>
        <w:t xml:space="preserve"> 58(2):277–97. doi: 10.2307/2297968.</w:t>
      </w:r>
    </w:p>
    <w:p w14:paraId="333FBD04"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Arellano, Manuel, and Olympia Bover. 1995. “Another Look at the Instrumental Variable Estimation of Error-Components Models.” </w:t>
      </w:r>
      <w:r w:rsidRPr="003E244A">
        <w:rPr>
          <w:rFonts w:ascii="Times New Roman" w:eastAsia="Calibri" w:hAnsi="Times New Roman" w:cs="Times New Roman"/>
          <w:i/>
          <w:iCs/>
          <w:noProof/>
          <w:sz w:val="22"/>
          <w:lang w:eastAsia="en-US"/>
        </w:rPr>
        <w:t>Journal of Econometrics</w:t>
      </w:r>
      <w:r w:rsidRPr="003E244A">
        <w:rPr>
          <w:rFonts w:ascii="Times New Roman" w:eastAsia="Calibri" w:hAnsi="Times New Roman" w:cs="Times New Roman"/>
          <w:noProof/>
          <w:sz w:val="22"/>
          <w:lang w:eastAsia="en-US"/>
        </w:rPr>
        <w:t xml:space="preserve"> 68(1):29–51. doi: 10.1016/0304-4076(94)01642-D.</w:t>
      </w:r>
    </w:p>
    <w:p w14:paraId="2F430152"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Baker, David, and Richard Denniss. 2010. “Reining It in Executive Pay in Australia.” (9):1–23.</w:t>
      </w:r>
    </w:p>
    <w:p w14:paraId="3896697A"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Banker, Rajiv D., Danlu Bu, and Mihir N. Mehta. 2016. “Pay Gap and Performance in China.” </w:t>
      </w:r>
      <w:r w:rsidRPr="003E244A">
        <w:rPr>
          <w:rFonts w:ascii="Times New Roman" w:eastAsia="Calibri" w:hAnsi="Times New Roman" w:cs="Times New Roman"/>
          <w:i/>
          <w:iCs/>
          <w:noProof/>
          <w:sz w:val="22"/>
          <w:lang w:eastAsia="en-US"/>
        </w:rPr>
        <w:t>Abacus</w:t>
      </w:r>
      <w:r w:rsidRPr="003E244A">
        <w:rPr>
          <w:rFonts w:ascii="Times New Roman" w:eastAsia="Calibri" w:hAnsi="Times New Roman" w:cs="Times New Roman"/>
          <w:noProof/>
          <w:sz w:val="22"/>
          <w:lang w:eastAsia="en-US"/>
        </w:rPr>
        <w:t xml:space="preserve"> 52(3):501–31. doi: 10.1111/abac.12082.</w:t>
      </w:r>
    </w:p>
    <w:p w14:paraId="7D593A1E"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Barro, Robert J. 2001. </w:t>
      </w:r>
      <w:r w:rsidRPr="003E244A">
        <w:rPr>
          <w:rFonts w:ascii="Times New Roman" w:eastAsia="Calibri" w:hAnsi="Times New Roman" w:cs="Times New Roman"/>
          <w:i/>
          <w:iCs/>
          <w:noProof/>
          <w:sz w:val="22"/>
          <w:lang w:eastAsia="en-US"/>
        </w:rPr>
        <w:t>Human Capital and Growth</w:t>
      </w:r>
      <w:r w:rsidRPr="003E244A">
        <w:rPr>
          <w:rFonts w:ascii="Times New Roman" w:eastAsia="Calibri" w:hAnsi="Times New Roman" w:cs="Times New Roman"/>
          <w:noProof/>
          <w:sz w:val="22"/>
          <w:lang w:eastAsia="en-US"/>
        </w:rPr>
        <w:t>.</w:t>
      </w:r>
    </w:p>
    <w:p w14:paraId="63179811"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Bebchuk, Lucian A., K. J. Martij. Cremers, and Urs C. Peyer. 2011. “The CEO Pay Slice.” </w:t>
      </w:r>
      <w:r w:rsidRPr="003E244A">
        <w:rPr>
          <w:rFonts w:ascii="Times New Roman" w:eastAsia="Calibri" w:hAnsi="Times New Roman" w:cs="Times New Roman"/>
          <w:i/>
          <w:iCs/>
          <w:noProof/>
          <w:sz w:val="22"/>
          <w:lang w:eastAsia="en-US"/>
        </w:rPr>
        <w:t>Journal of Financial Economics</w:t>
      </w:r>
      <w:r w:rsidRPr="003E244A">
        <w:rPr>
          <w:rFonts w:ascii="Times New Roman" w:eastAsia="Calibri" w:hAnsi="Times New Roman" w:cs="Times New Roman"/>
          <w:noProof/>
          <w:sz w:val="22"/>
          <w:lang w:eastAsia="en-US"/>
        </w:rPr>
        <w:t xml:space="preserve"> 102(1):199–221. doi: 10.1016/j.jfineco.2011.05.006.</w:t>
      </w:r>
    </w:p>
    <w:p w14:paraId="1B31B818"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Berk, Jonathan B., Richard Stanton, and Josef Zechner. 2010. “Human Capital, Bankruptcy, and Capital Structure.” </w:t>
      </w:r>
      <w:r w:rsidRPr="003E244A">
        <w:rPr>
          <w:rFonts w:ascii="Times New Roman" w:eastAsia="Calibri" w:hAnsi="Times New Roman" w:cs="Times New Roman"/>
          <w:i/>
          <w:iCs/>
          <w:noProof/>
          <w:sz w:val="22"/>
          <w:lang w:eastAsia="en-US"/>
        </w:rPr>
        <w:t>The Journal of Finance</w:t>
      </w:r>
      <w:r w:rsidRPr="003E244A">
        <w:rPr>
          <w:rFonts w:ascii="Times New Roman" w:eastAsia="Calibri" w:hAnsi="Times New Roman" w:cs="Times New Roman"/>
          <w:noProof/>
          <w:sz w:val="22"/>
          <w:lang w:eastAsia="en-US"/>
        </w:rPr>
        <w:t xml:space="preserve"> 65(3):891–926. doi: 10.1111/j.1540-6261.2010.01556.x.</w:t>
      </w:r>
    </w:p>
    <w:p w14:paraId="5D70241E"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Bloom, Matt, and John G. Michel. 2002. “The Relationships Among Organizational Context, Pay Dispersion, and Among Managerial Turnover.” </w:t>
      </w:r>
      <w:r w:rsidRPr="003E244A">
        <w:rPr>
          <w:rFonts w:ascii="Times New Roman" w:eastAsia="Calibri" w:hAnsi="Times New Roman" w:cs="Times New Roman"/>
          <w:i/>
          <w:iCs/>
          <w:noProof/>
          <w:sz w:val="22"/>
          <w:lang w:eastAsia="en-US"/>
        </w:rPr>
        <w:t>Academy of Management Journal</w:t>
      </w:r>
      <w:r w:rsidRPr="003E244A">
        <w:rPr>
          <w:rFonts w:ascii="Times New Roman" w:eastAsia="Calibri" w:hAnsi="Times New Roman" w:cs="Times New Roman"/>
          <w:noProof/>
          <w:sz w:val="22"/>
          <w:lang w:eastAsia="en-US"/>
        </w:rPr>
        <w:t xml:space="preserve"> 45(1):33–42. doi: 10.5465/3069283.</w:t>
      </w:r>
    </w:p>
    <w:p w14:paraId="322683F7"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Brown, Mark P., Michael C. Sturman, and Marcia J. Simmering. 2003. “Compensation Policy and Organizational Performance: The Efficiency, Operational, and Financial Implications of Pay Levels and Pay Structure.” </w:t>
      </w:r>
      <w:r w:rsidRPr="003E244A">
        <w:rPr>
          <w:rFonts w:ascii="Times New Roman" w:eastAsia="Calibri" w:hAnsi="Times New Roman" w:cs="Times New Roman"/>
          <w:i/>
          <w:iCs/>
          <w:noProof/>
          <w:sz w:val="22"/>
          <w:lang w:eastAsia="en-US"/>
        </w:rPr>
        <w:t>Academy of Management Journal</w:t>
      </w:r>
      <w:r w:rsidRPr="003E244A">
        <w:rPr>
          <w:rFonts w:ascii="Times New Roman" w:eastAsia="Calibri" w:hAnsi="Times New Roman" w:cs="Times New Roman"/>
          <w:noProof/>
          <w:sz w:val="22"/>
          <w:lang w:eastAsia="en-US"/>
        </w:rPr>
        <w:t xml:space="preserve"> 46(6):752–62. doi: 10.5465/30040666.</w:t>
      </w:r>
    </w:p>
    <w:p w14:paraId="0AA1783F"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Chemmanur, Thomas J., Yingmei Cheng, and Tianming Zhang. 2013. “Human Capital, Capital Structure, and Employee Pay: An Empirical Analysis.” </w:t>
      </w:r>
      <w:r w:rsidRPr="003E244A">
        <w:rPr>
          <w:rFonts w:ascii="Times New Roman" w:eastAsia="Calibri" w:hAnsi="Times New Roman" w:cs="Times New Roman"/>
          <w:i/>
          <w:iCs/>
          <w:noProof/>
          <w:sz w:val="22"/>
          <w:lang w:eastAsia="en-US"/>
        </w:rPr>
        <w:t>Journal of Financial Economics</w:t>
      </w:r>
      <w:r w:rsidRPr="003E244A">
        <w:rPr>
          <w:rFonts w:ascii="Times New Roman" w:eastAsia="Calibri" w:hAnsi="Times New Roman" w:cs="Times New Roman"/>
          <w:noProof/>
          <w:sz w:val="22"/>
          <w:lang w:eastAsia="en-US"/>
        </w:rPr>
        <w:t xml:space="preserve"> 110(2):478–502. doi: 10.1016/j.jfineco.2013.07.003.</w:t>
      </w:r>
    </w:p>
    <w:p w14:paraId="6F8EB05F"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Chen, C., and T. Sandino. 2012. “Can Wages Buy Honesty? The Relationship Between Relative Wages and Employee Theft.” </w:t>
      </w:r>
      <w:r w:rsidRPr="003E244A">
        <w:rPr>
          <w:rFonts w:ascii="Times New Roman" w:eastAsia="Calibri" w:hAnsi="Times New Roman" w:cs="Times New Roman"/>
          <w:i/>
          <w:iCs/>
          <w:noProof/>
          <w:sz w:val="22"/>
          <w:lang w:eastAsia="en-US"/>
        </w:rPr>
        <w:t>Journal of Accounting Research</w:t>
      </w:r>
      <w:r w:rsidRPr="003E244A">
        <w:rPr>
          <w:rFonts w:ascii="Times New Roman" w:eastAsia="Calibri" w:hAnsi="Times New Roman" w:cs="Times New Roman"/>
          <w:noProof/>
          <w:sz w:val="22"/>
          <w:lang w:eastAsia="en-US"/>
        </w:rPr>
        <w:t xml:space="preserve"> 50(4):967–1000. doi: 10.1111/j.1475-679X.2012.00456.x.</w:t>
      </w:r>
    </w:p>
    <w:p w14:paraId="50112226"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Chen, Zhihong, Yuan Huang, and John Wei. 2013. “Executive Pay Disparity and the Cost of Equity Capital.” </w:t>
      </w:r>
      <w:r w:rsidRPr="003E244A">
        <w:rPr>
          <w:rFonts w:ascii="Times New Roman" w:eastAsia="Calibri" w:hAnsi="Times New Roman" w:cs="Times New Roman"/>
          <w:i/>
          <w:iCs/>
          <w:noProof/>
          <w:sz w:val="22"/>
          <w:lang w:eastAsia="en-US"/>
        </w:rPr>
        <w:t>Journal of Financial and Quantitative Analysis</w:t>
      </w:r>
      <w:r w:rsidRPr="003E244A">
        <w:rPr>
          <w:rFonts w:ascii="Times New Roman" w:eastAsia="Calibri" w:hAnsi="Times New Roman" w:cs="Times New Roman"/>
          <w:noProof/>
          <w:sz w:val="22"/>
          <w:lang w:eastAsia="en-US"/>
        </w:rPr>
        <w:t xml:space="preserve"> 48(3):849–85.</w:t>
      </w:r>
    </w:p>
    <w:p w14:paraId="3C57EC8A"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Chesters, Jenny, and Western John Stuart. 2010. </w:t>
      </w:r>
      <w:r w:rsidRPr="003E244A">
        <w:rPr>
          <w:rFonts w:ascii="Times New Roman" w:eastAsia="Calibri" w:hAnsi="Times New Roman" w:cs="Times New Roman"/>
          <w:i/>
          <w:iCs/>
          <w:noProof/>
          <w:sz w:val="22"/>
          <w:lang w:eastAsia="en-US"/>
        </w:rPr>
        <w:t>Evidence and Perceptions of Inequality in Australia</w:t>
      </w:r>
      <w:r w:rsidRPr="003E244A">
        <w:rPr>
          <w:rFonts w:ascii="Times New Roman" w:eastAsia="Calibri" w:hAnsi="Times New Roman" w:cs="Times New Roman"/>
          <w:noProof/>
          <w:sz w:val="22"/>
          <w:lang w:eastAsia="en-US"/>
        </w:rPr>
        <w:t>. Vol. 635. Centre for Economic Policy Research.</w:t>
      </w:r>
    </w:p>
    <w:p w14:paraId="141A30B8"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Connelly, Brian L., Laszlo Tihanyi, T. Russell Crook, and K. Ashley Gangloff. 2014. “Tournament Theory.” </w:t>
      </w:r>
      <w:r w:rsidRPr="003E244A">
        <w:rPr>
          <w:rFonts w:ascii="Times New Roman" w:eastAsia="Calibri" w:hAnsi="Times New Roman" w:cs="Times New Roman"/>
          <w:i/>
          <w:iCs/>
          <w:noProof/>
          <w:sz w:val="22"/>
          <w:lang w:eastAsia="en-US"/>
        </w:rPr>
        <w:t>Journal of Management</w:t>
      </w:r>
      <w:r w:rsidRPr="003E244A">
        <w:rPr>
          <w:rFonts w:ascii="Times New Roman" w:eastAsia="Calibri" w:hAnsi="Times New Roman" w:cs="Times New Roman"/>
          <w:noProof/>
          <w:sz w:val="22"/>
          <w:lang w:eastAsia="en-US"/>
        </w:rPr>
        <w:t xml:space="preserve"> 40(1):16–47. doi: 10.1177/0149206313498902.</w:t>
      </w:r>
    </w:p>
    <w:p w14:paraId="4BCBBA5D"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Conroy, Samantha A., Nina Gupta, Jason D. Shaw, and Tae-Youn Park. 2014. “A Multilevel Approach to the Effects of Pay Variation.” </w:t>
      </w:r>
      <w:r w:rsidRPr="003E244A">
        <w:rPr>
          <w:rFonts w:ascii="Times New Roman" w:eastAsia="Calibri" w:hAnsi="Times New Roman" w:cs="Times New Roman"/>
          <w:i/>
          <w:iCs/>
          <w:noProof/>
          <w:sz w:val="22"/>
          <w:lang w:eastAsia="en-US"/>
        </w:rPr>
        <w:t>Research in Personnel and Human Resources Management</w:t>
      </w:r>
      <w:r w:rsidRPr="003E244A">
        <w:rPr>
          <w:rFonts w:ascii="Times New Roman" w:eastAsia="Calibri" w:hAnsi="Times New Roman" w:cs="Times New Roman"/>
          <w:noProof/>
          <w:sz w:val="22"/>
          <w:lang w:eastAsia="en-US"/>
        </w:rPr>
        <w:t>. doi: 10.1108/S0742-730120140000032001.</w:t>
      </w:r>
    </w:p>
    <w:p w14:paraId="61B9727A"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Core, John E., Robert W. Holthausen, and David F. Larcker. 1999. “Corporate Governance, Chief Executive Officer Compensation, and Firm Performance.” </w:t>
      </w:r>
      <w:r w:rsidRPr="003E244A">
        <w:rPr>
          <w:rFonts w:ascii="Times New Roman" w:eastAsia="Calibri" w:hAnsi="Times New Roman" w:cs="Times New Roman"/>
          <w:i/>
          <w:iCs/>
          <w:noProof/>
          <w:sz w:val="22"/>
          <w:lang w:eastAsia="en-US"/>
        </w:rPr>
        <w:t>Journal of Financial Economics</w:t>
      </w:r>
      <w:r w:rsidRPr="003E244A">
        <w:rPr>
          <w:rFonts w:ascii="Times New Roman" w:eastAsia="Calibri" w:hAnsi="Times New Roman" w:cs="Times New Roman"/>
          <w:noProof/>
          <w:sz w:val="22"/>
          <w:lang w:eastAsia="en-US"/>
        </w:rPr>
        <w:t xml:space="preserve"> </w:t>
      </w:r>
      <w:r w:rsidRPr="003E244A">
        <w:rPr>
          <w:rFonts w:ascii="Times New Roman" w:eastAsia="Calibri" w:hAnsi="Times New Roman" w:cs="Times New Roman"/>
          <w:noProof/>
          <w:sz w:val="22"/>
          <w:lang w:eastAsia="en-US"/>
        </w:rPr>
        <w:lastRenderedPageBreak/>
        <w:t>51(3):371–406. doi: 10.1016/S0304-405X(98)00058-0.</w:t>
      </w:r>
    </w:p>
    <w:p w14:paraId="2269935B"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Corneliben, T., O. Himmler, and T. Koenig. 2011. “Perceived Unfairness in CEO Compensation and Work Morale.” </w:t>
      </w:r>
      <w:r w:rsidRPr="003E244A">
        <w:rPr>
          <w:rFonts w:ascii="Times New Roman" w:eastAsia="Calibri" w:hAnsi="Times New Roman" w:cs="Times New Roman"/>
          <w:i/>
          <w:iCs/>
          <w:noProof/>
          <w:sz w:val="22"/>
          <w:lang w:eastAsia="en-US"/>
        </w:rPr>
        <w:t>Economics Letters</w:t>
      </w:r>
      <w:r w:rsidRPr="003E244A">
        <w:rPr>
          <w:rFonts w:ascii="Times New Roman" w:eastAsia="Calibri" w:hAnsi="Times New Roman" w:cs="Times New Roman"/>
          <w:noProof/>
          <w:sz w:val="22"/>
          <w:lang w:eastAsia="en-US"/>
        </w:rPr>
        <w:t xml:space="preserve"> 110(1):45–48. doi: 10.1016/j.econlet.2010.10.011.</w:t>
      </w:r>
    </w:p>
    <w:p w14:paraId="4746C627"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Cowherd, Douglas M., and David I. Levine. 1992. “Product Quality and Pay Equity Between Lower-Level Employees and Top Management: An Investigation of Distributive Justice Theory.” </w:t>
      </w:r>
      <w:r w:rsidRPr="003E244A">
        <w:rPr>
          <w:rFonts w:ascii="Times New Roman" w:eastAsia="Calibri" w:hAnsi="Times New Roman" w:cs="Times New Roman"/>
          <w:i/>
          <w:iCs/>
          <w:noProof/>
          <w:sz w:val="22"/>
          <w:lang w:eastAsia="en-US"/>
        </w:rPr>
        <w:t>Administrative Science Quarterly</w:t>
      </w:r>
      <w:r w:rsidRPr="003E244A">
        <w:rPr>
          <w:rFonts w:ascii="Times New Roman" w:eastAsia="Calibri" w:hAnsi="Times New Roman" w:cs="Times New Roman"/>
          <w:noProof/>
          <w:sz w:val="22"/>
          <w:lang w:eastAsia="en-US"/>
        </w:rPr>
        <w:t xml:space="preserve"> 302–20.</w:t>
      </w:r>
    </w:p>
    <w:p w14:paraId="012C9393"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Cronqvist, Henrik, Fredrik Heyman, Mattias Nilsson, Helena Svaleryd, and Jonas Vlachos. 2009. “Do Entrenched Managers Pay Their Workers More?” </w:t>
      </w:r>
      <w:r w:rsidRPr="003E244A">
        <w:rPr>
          <w:rFonts w:ascii="Times New Roman" w:eastAsia="Calibri" w:hAnsi="Times New Roman" w:cs="Times New Roman"/>
          <w:i/>
          <w:iCs/>
          <w:noProof/>
          <w:sz w:val="22"/>
          <w:lang w:eastAsia="en-US"/>
        </w:rPr>
        <w:t>The Journal of Finance</w:t>
      </w:r>
      <w:r w:rsidRPr="003E244A">
        <w:rPr>
          <w:rFonts w:ascii="Times New Roman" w:eastAsia="Calibri" w:hAnsi="Times New Roman" w:cs="Times New Roman"/>
          <w:noProof/>
          <w:sz w:val="22"/>
          <w:lang w:eastAsia="en-US"/>
        </w:rPr>
        <w:t xml:space="preserve"> 64(1):309–39. doi: 10.1111/j.1540-6261.2008.01435.x.</w:t>
      </w:r>
    </w:p>
    <w:p w14:paraId="262613DE"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Crosby, Faye. 1984. “Relative Deprivation in Organizational Settings.” </w:t>
      </w:r>
      <w:r w:rsidRPr="003E244A">
        <w:rPr>
          <w:rFonts w:ascii="Times New Roman" w:eastAsia="Calibri" w:hAnsi="Times New Roman" w:cs="Times New Roman"/>
          <w:i/>
          <w:iCs/>
          <w:noProof/>
          <w:sz w:val="22"/>
          <w:lang w:eastAsia="en-US"/>
        </w:rPr>
        <w:t xml:space="preserve"> Research in Organizational Behavior</w:t>
      </w:r>
      <w:r w:rsidRPr="003E244A">
        <w:rPr>
          <w:rFonts w:ascii="Times New Roman" w:eastAsia="Calibri" w:hAnsi="Times New Roman" w:cs="Times New Roman"/>
          <w:noProof/>
          <w:sz w:val="22"/>
          <w:lang w:eastAsia="en-US"/>
        </w:rPr>
        <w:t>.</w:t>
      </w:r>
    </w:p>
    <w:p w14:paraId="1DD4FE99"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Dai, Yunhao, Dongmin Kong, and Jin Xu. 2017. “Does Fairness Breed Efficiency? Pay Gap and Firm Productivity in China.” </w:t>
      </w:r>
      <w:r w:rsidRPr="003E244A">
        <w:rPr>
          <w:rFonts w:ascii="Times New Roman" w:eastAsia="Calibri" w:hAnsi="Times New Roman" w:cs="Times New Roman"/>
          <w:i/>
          <w:iCs/>
          <w:noProof/>
          <w:sz w:val="22"/>
          <w:lang w:eastAsia="en-US"/>
        </w:rPr>
        <w:t>International Review of Economics and Finance</w:t>
      </w:r>
      <w:r w:rsidRPr="003E244A">
        <w:rPr>
          <w:rFonts w:ascii="Times New Roman" w:eastAsia="Calibri" w:hAnsi="Times New Roman" w:cs="Times New Roman"/>
          <w:noProof/>
          <w:sz w:val="22"/>
          <w:lang w:eastAsia="en-US"/>
        </w:rPr>
        <w:t xml:space="preserve"> 48:406–22. doi: 10.1016/j.iref.2017.01.003.</w:t>
      </w:r>
    </w:p>
    <w:p w14:paraId="0F37F57C"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DeVaro, Jed. 2006. “Strategic Promotion Tournaments and Worker Performance.” </w:t>
      </w:r>
      <w:r w:rsidRPr="003E244A">
        <w:rPr>
          <w:rFonts w:ascii="Times New Roman" w:eastAsia="Calibri" w:hAnsi="Times New Roman" w:cs="Times New Roman"/>
          <w:i/>
          <w:iCs/>
          <w:noProof/>
          <w:sz w:val="22"/>
          <w:lang w:eastAsia="en-US"/>
        </w:rPr>
        <w:t>Strategic Management Journal</w:t>
      </w:r>
      <w:r w:rsidRPr="003E244A">
        <w:rPr>
          <w:rFonts w:ascii="Times New Roman" w:eastAsia="Calibri" w:hAnsi="Times New Roman" w:cs="Times New Roman"/>
          <w:noProof/>
          <w:sz w:val="22"/>
          <w:lang w:eastAsia="en-US"/>
        </w:rPr>
        <w:t xml:space="preserve"> 27(8):721–40. doi: 10.1002/smj.542.</w:t>
      </w:r>
    </w:p>
    <w:p w14:paraId="70D15339"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Ehrenberg, Ronald G., and Michael L. Bognanno. 1990. “Do Tournaments Have Incentive Effects?” </w:t>
      </w:r>
      <w:r w:rsidRPr="003E244A">
        <w:rPr>
          <w:rFonts w:ascii="Times New Roman" w:eastAsia="Calibri" w:hAnsi="Times New Roman" w:cs="Times New Roman"/>
          <w:i/>
          <w:iCs/>
          <w:noProof/>
          <w:sz w:val="22"/>
          <w:lang w:eastAsia="en-US"/>
        </w:rPr>
        <w:t>Journal of Political Economy</w:t>
      </w:r>
      <w:r w:rsidRPr="003E244A">
        <w:rPr>
          <w:rFonts w:ascii="Times New Roman" w:eastAsia="Calibri" w:hAnsi="Times New Roman" w:cs="Times New Roman"/>
          <w:noProof/>
          <w:sz w:val="22"/>
          <w:lang w:eastAsia="en-US"/>
        </w:rPr>
        <w:t xml:space="preserve"> 98(6):1307–24. doi: 10.1086/261736.</w:t>
      </w:r>
    </w:p>
    <w:p w14:paraId="2972AA9B"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Faleye, Olubunmi, Rani Hoitash, and Udi Hoitash. 2011. “The Costs of Intense Board Monitoring.” </w:t>
      </w:r>
      <w:r w:rsidRPr="003E244A">
        <w:rPr>
          <w:rFonts w:ascii="Times New Roman" w:eastAsia="Calibri" w:hAnsi="Times New Roman" w:cs="Times New Roman"/>
          <w:i/>
          <w:iCs/>
          <w:noProof/>
          <w:sz w:val="22"/>
          <w:lang w:eastAsia="en-US"/>
        </w:rPr>
        <w:t>Journal of Financial Economics</w:t>
      </w:r>
      <w:r w:rsidRPr="003E244A">
        <w:rPr>
          <w:rFonts w:ascii="Times New Roman" w:eastAsia="Calibri" w:hAnsi="Times New Roman" w:cs="Times New Roman"/>
          <w:noProof/>
          <w:sz w:val="22"/>
          <w:lang w:eastAsia="en-US"/>
        </w:rPr>
        <w:t xml:space="preserve"> 101(1):160–81. doi: 10.1016/j.jfineco.2011.02.010.</w:t>
      </w:r>
    </w:p>
    <w:p w14:paraId="2F07C5F7"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Faleye, Olubunmi, Vikas Mehrotra, and Randall Morck. 2006. “When Labor Has a Voice in Corporate Governance.” </w:t>
      </w:r>
      <w:r w:rsidRPr="003E244A">
        <w:rPr>
          <w:rFonts w:ascii="Times New Roman" w:eastAsia="Calibri" w:hAnsi="Times New Roman" w:cs="Times New Roman"/>
          <w:i/>
          <w:iCs/>
          <w:noProof/>
          <w:sz w:val="22"/>
          <w:lang w:eastAsia="en-US"/>
        </w:rPr>
        <w:t>Journal of Financial and Quantitative Analysis</w:t>
      </w:r>
      <w:r w:rsidRPr="003E244A">
        <w:rPr>
          <w:rFonts w:ascii="Times New Roman" w:eastAsia="Calibri" w:hAnsi="Times New Roman" w:cs="Times New Roman"/>
          <w:noProof/>
          <w:sz w:val="22"/>
          <w:lang w:eastAsia="en-US"/>
        </w:rPr>
        <w:t xml:space="preserve"> 41(3):489–510. doi: 10.1017/S0022109000002519.</w:t>
      </w:r>
    </w:p>
    <w:p w14:paraId="58425D69"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Faleye, Olubunmi, Ebru Reis, and Anand Venkateswaran. 2013. “The Determinants and Effects of CEO-Employee Pay Ratios.” </w:t>
      </w:r>
      <w:r w:rsidRPr="003E244A">
        <w:rPr>
          <w:rFonts w:ascii="Times New Roman" w:eastAsia="Calibri" w:hAnsi="Times New Roman" w:cs="Times New Roman"/>
          <w:i/>
          <w:iCs/>
          <w:noProof/>
          <w:sz w:val="22"/>
          <w:lang w:eastAsia="en-US"/>
        </w:rPr>
        <w:t>Journal of Banking and Finance</w:t>
      </w:r>
      <w:r w:rsidRPr="003E244A">
        <w:rPr>
          <w:rFonts w:ascii="Times New Roman" w:eastAsia="Calibri" w:hAnsi="Times New Roman" w:cs="Times New Roman"/>
          <w:noProof/>
          <w:sz w:val="22"/>
          <w:lang w:eastAsia="en-US"/>
        </w:rPr>
        <w:t xml:space="preserve"> 37(8):3258–72. doi: 10.1016/j.jbankfin.2013.03.003.</w:t>
      </w:r>
    </w:p>
    <w:p w14:paraId="05066655"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Gerhart, Barry, and Sara Rynes. 2003. </w:t>
      </w:r>
      <w:r w:rsidRPr="003E244A">
        <w:rPr>
          <w:rFonts w:ascii="Times New Roman" w:eastAsia="Calibri" w:hAnsi="Times New Roman" w:cs="Times New Roman"/>
          <w:i/>
          <w:iCs/>
          <w:noProof/>
          <w:sz w:val="22"/>
          <w:lang w:eastAsia="en-US"/>
        </w:rPr>
        <w:t>Compensation: Theory, Evidence, and Strategic Implications</w:t>
      </w:r>
      <w:r w:rsidRPr="003E244A">
        <w:rPr>
          <w:rFonts w:ascii="Times New Roman" w:eastAsia="Calibri" w:hAnsi="Times New Roman" w:cs="Times New Roman"/>
          <w:noProof/>
          <w:sz w:val="22"/>
          <w:lang w:eastAsia="en-US"/>
        </w:rPr>
        <w:t>. SAGE publications.</w:t>
      </w:r>
    </w:p>
    <w:p w14:paraId="61906E8B"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Grund, Christian, and Niels Westergaard-Nielsen. 2008. “The Dispersion of Employees’ Wage Increases and Firm Performance.” </w:t>
      </w:r>
      <w:r w:rsidRPr="003E244A">
        <w:rPr>
          <w:rFonts w:ascii="Times New Roman" w:eastAsia="Calibri" w:hAnsi="Times New Roman" w:cs="Times New Roman"/>
          <w:i/>
          <w:iCs/>
          <w:noProof/>
          <w:sz w:val="22"/>
          <w:lang w:eastAsia="en-US"/>
        </w:rPr>
        <w:t>ILR Review</w:t>
      </w:r>
      <w:r w:rsidRPr="003E244A">
        <w:rPr>
          <w:rFonts w:ascii="Times New Roman" w:eastAsia="Calibri" w:hAnsi="Times New Roman" w:cs="Times New Roman"/>
          <w:noProof/>
          <w:sz w:val="22"/>
          <w:lang w:eastAsia="en-US"/>
        </w:rPr>
        <w:t xml:space="preserve"> 61(4):485–501. doi: 10.1177/001979390806100403.</w:t>
      </w:r>
    </w:p>
    <w:p w14:paraId="7CEDB604"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Gupta, Nina, Samantha A. Conroy, and John E. Delery. 2012. “The Many Faces of Pay Variation.” </w:t>
      </w:r>
      <w:r w:rsidRPr="003E244A">
        <w:rPr>
          <w:rFonts w:ascii="Times New Roman" w:eastAsia="Calibri" w:hAnsi="Times New Roman" w:cs="Times New Roman"/>
          <w:i/>
          <w:iCs/>
          <w:noProof/>
          <w:sz w:val="22"/>
          <w:lang w:eastAsia="en-US"/>
        </w:rPr>
        <w:t>Human Resource Management Review</w:t>
      </w:r>
      <w:r w:rsidRPr="003E244A">
        <w:rPr>
          <w:rFonts w:ascii="Times New Roman" w:eastAsia="Calibri" w:hAnsi="Times New Roman" w:cs="Times New Roman"/>
          <w:noProof/>
          <w:sz w:val="22"/>
          <w:lang w:eastAsia="en-US"/>
        </w:rPr>
        <w:t xml:space="preserve"> 22(2):100–115. doi: 10.1016/j.hrmr.2011.12.001.</w:t>
      </w:r>
    </w:p>
    <w:p w14:paraId="466CAA65"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Heyman, Fredrik. 2005. “Pay Inequality and Firm Performance: Evidence from Matched Employer–Employee Data.” </w:t>
      </w:r>
      <w:r w:rsidRPr="003E244A">
        <w:rPr>
          <w:rFonts w:ascii="Times New Roman" w:eastAsia="Calibri" w:hAnsi="Times New Roman" w:cs="Times New Roman"/>
          <w:i/>
          <w:iCs/>
          <w:noProof/>
          <w:sz w:val="22"/>
          <w:lang w:eastAsia="en-US"/>
        </w:rPr>
        <w:t>Applied Economics</w:t>
      </w:r>
      <w:r w:rsidRPr="003E244A">
        <w:rPr>
          <w:rFonts w:ascii="Times New Roman" w:eastAsia="Calibri" w:hAnsi="Times New Roman" w:cs="Times New Roman"/>
          <w:noProof/>
          <w:sz w:val="22"/>
          <w:lang w:eastAsia="en-US"/>
        </w:rPr>
        <w:t xml:space="preserve"> 37(11):1313–27. doi: 10.1080/00036840500142101.</w:t>
      </w:r>
    </w:p>
    <w:p w14:paraId="51D1B0BE"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Homans, GC. 1974. “Social Behavior: Its Elementary Forms.”</w:t>
      </w:r>
    </w:p>
    <w:p w14:paraId="747650DF"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Jia, Liangding, Jason D. Shaw, Anne S. Tsui, and Tae Youn Park. 2014. “A Social-Structural Perspective on Employee-Organization Relationships and Team Creativity.” </w:t>
      </w:r>
      <w:r w:rsidRPr="003E244A">
        <w:rPr>
          <w:rFonts w:ascii="Times New Roman" w:eastAsia="Calibri" w:hAnsi="Times New Roman" w:cs="Times New Roman"/>
          <w:i/>
          <w:iCs/>
          <w:noProof/>
          <w:sz w:val="22"/>
          <w:lang w:eastAsia="en-US"/>
        </w:rPr>
        <w:t>Academy of Management Journal</w:t>
      </w:r>
      <w:r w:rsidRPr="003E244A">
        <w:rPr>
          <w:rFonts w:ascii="Times New Roman" w:eastAsia="Calibri" w:hAnsi="Times New Roman" w:cs="Times New Roman"/>
          <w:noProof/>
          <w:sz w:val="22"/>
          <w:lang w:eastAsia="en-US"/>
        </w:rPr>
        <w:t xml:space="preserve"> 57(3):869–91. doi: 10.5465/amj.2011.0147.</w:t>
      </w:r>
    </w:p>
    <w:p w14:paraId="7A0971C5"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Kale, J. R., E. Reis, and A. Venkateswaran. 2009. “Rank-Order Tournaments and Incentive Alignment: The Effect on Firm Performance.” </w:t>
      </w:r>
      <w:r w:rsidRPr="003E244A">
        <w:rPr>
          <w:rFonts w:ascii="Times New Roman" w:eastAsia="Calibri" w:hAnsi="Times New Roman" w:cs="Times New Roman"/>
          <w:i/>
          <w:iCs/>
          <w:noProof/>
          <w:sz w:val="22"/>
          <w:lang w:eastAsia="en-US"/>
        </w:rPr>
        <w:t>The Journal of Finance</w:t>
      </w:r>
      <w:r w:rsidRPr="003E244A">
        <w:rPr>
          <w:rFonts w:ascii="Times New Roman" w:eastAsia="Calibri" w:hAnsi="Times New Roman" w:cs="Times New Roman"/>
          <w:noProof/>
          <w:sz w:val="22"/>
          <w:lang w:eastAsia="en-US"/>
        </w:rPr>
        <w:t xml:space="preserve"> 64(3):1479–1512. doi: 10.1111/j.1540-6261.2009.01470.x.</w:t>
      </w:r>
    </w:p>
    <w:p w14:paraId="575E8F05"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Kepes, S., J. Delery, and N. Gupta. 2009. “Contingencies in the Effects of Pay Range on Organizational Effectiveness.” </w:t>
      </w:r>
      <w:r w:rsidRPr="003E244A">
        <w:rPr>
          <w:rFonts w:ascii="Times New Roman" w:eastAsia="Calibri" w:hAnsi="Times New Roman" w:cs="Times New Roman"/>
          <w:i/>
          <w:iCs/>
          <w:noProof/>
          <w:sz w:val="22"/>
          <w:lang w:eastAsia="en-US"/>
        </w:rPr>
        <w:t>Personnel Psychology</w:t>
      </w:r>
      <w:r w:rsidRPr="003E244A">
        <w:rPr>
          <w:rFonts w:ascii="Times New Roman" w:eastAsia="Calibri" w:hAnsi="Times New Roman" w:cs="Times New Roman"/>
          <w:noProof/>
          <w:sz w:val="22"/>
          <w:lang w:eastAsia="en-US"/>
        </w:rPr>
        <w:t xml:space="preserve"> 62(3):497–531. doi: 10.1111/j.1744-6570.2009.01146.x.</w:t>
      </w:r>
    </w:p>
    <w:p w14:paraId="61A1A7C7"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Kulik, Carol T., and Maureen L. Ambrose. 1992. “Personal and Situational Determinants of Referent Choice.” </w:t>
      </w:r>
      <w:r w:rsidRPr="003E244A">
        <w:rPr>
          <w:rFonts w:ascii="Times New Roman" w:eastAsia="Calibri" w:hAnsi="Times New Roman" w:cs="Times New Roman"/>
          <w:i/>
          <w:iCs/>
          <w:noProof/>
          <w:sz w:val="22"/>
          <w:lang w:eastAsia="en-US"/>
        </w:rPr>
        <w:t>Academy of Management Review</w:t>
      </w:r>
      <w:r w:rsidRPr="003E244A">
        <w:rPr>
          <w:rFonts w:ascii="Times New Roman" w:eastAsia="Calibri" w:hAnsi="Times New Roman" w:cs="Times New Roman"/>
          <w:noProof/>
          <w:sz w:val="22"/>
          <w:lang w:eastAsia="en-US"/>
        </w:rPr>
        <w:t xml:space="preserve"> 17(2):212–37. doi: 10.5465/amr.1992.4279534.</w:t>
      </w:r>
    </w:p>
    <w:p w14:paraId="11AE6BE4"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lastRenderedPageBreak/>
        <w:t xml:space="preserve">Lallemand, Thierry, Robert Plasman, and Francois Rycx. 2004. “Intra-Firm Wage Dispersion and Firm Performance: Evidence from Linked Employer-Employee Data.” </w:t>
      </w:r>
      <w:r w:rsidRPr="003E244A">
        <w:rPr>
          <w:rFonts w:ascii="Times New Roman" w:eastAsia="Calibri" w:hAnsi="Times New Roman" w:cs="Times New Roman"/>
          <w:i/>
          <w:iCs/>
          <w:noProof/>
          <w:sz w:val="22"/>
          <w:lang w:eastAsia="en-US"/>
        </w:rPr>
        <w:t>Kyklos</w:t>
      </w:r>
      <w:r w:rsidRPr="003E244A">
        <w:rPr>
          <w:rFonts w:ascii="Times New Roman" w:eastAsia="Calibri" w:hAnsi="Times New Roman" w:cs="Times New Roman"/>
          <w:noProof/>
          <w:sz w:val="22"/>
          <w:lang w:eastAsia="en-US"/>
        </w:rPr>
        <w:t xml:space="preserve"> 57(4):533–58. doi: 10.1111/j.0023-5962.2004.00268.x.</w:t>
      </w:r>
    </w:p>
    <w:p w14:paraId="6B6DC133"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Lawler, E. 1981. “Pay and Organization Development Reading.” </w:t>
      </w:r>
      <w:r w:rsidRPr="003E244A">
        <w:rPr>
          <w:rFonts w:ascii="Times New Roman" w:eastAsia="Calibri" w:hAnsi="Times New Roman" w:cs="Times New Roman"/>
          <w:i/>
          <w:iCs/>
          <w:noProof/>
          <w:sz w:val="22"/>
          <w:lang w:eastAsia="en-US"/>
        </w:rPr>
        <w:t>MA: Addison-Wesley</w:t>
      </w:r>
      <w:r w:rsidRPr="003E244A">
        <w:rPr>
          <w:rFonts w:ascii="Times New Roman" w:eastAsia="Calibri" w:hAnsi="Times New Roman" w:cs="Times New Roman"/>
          <w:noProof/>
          <w:sz w:val="22"/>
          <w:lang w:eastAsia="en-US"/>
        </w:rPr>
        <w:t>.</w:t>
      </w:r>
    </w:p>
    <w:p w14:paraId="6C99A448"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Lazear, Edward., and Sherwin Rosen. 1981. “Rank-Order Tournaments as Optimum Labor Contracts.” </w:t>
      </w:r>
      <w:r w:rsidRPr="003E244A">
        <w:rPr>
          <w:rFonts w:ascii="Times New Roman" w:eastAsia="Calibri" w:hAnsi="Times New Roman" w:cs="Times New Roman"/>
          <w:i/>
          <w:iCs/>
          <w:noProof/>
          <w:sz w:val="22"/>
          <w:lang w:eastAsia="en-US"/>
        </w:rPr>
        <w:t>Journal of Political Economy</w:t>
      </w:r>
      <w:r w:rsidRPr="003E244A">
        <w:rPr>
          <w:rFonts w:ascii="Times New Roman" w:eastAsia="Calibri" w:hAnsi="Times New Roman" w:cs="Times New Roman"/>
          <w:noProof/>
          <w:sz w:val="22"/>
          <w:lang w:eastAsia="en-US"/>
        </w:rPr>
        <w:t xml:space="preserve"> 89(5):841–64. doi: 10.1086/261010.</w:t>
      </w:r>
    </w:p>
    <w:p w14:paraId="5D404794"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Lee, Kin Wai, Baruch Lev, and Gillian Hian Heng Yeo. 2008. “Executive Pay Dispersion, Corporate Governance, and Firm Performance.” </w:t>
      </w:r>
      <w:r w:rsidRPr="003E244A">
        <w:rPr>
          <w:rFonts w:ascii="Times New Roman" w:eastAsia="Calibri" w:hAnsi="Times New Roman" w:cs="Times New Roman"/>
          <w:i/>
          <w:iCs/>
          <w:noProof/>
          <w:sz w:val="22"/>
          <w:lang w:eastAsia="en-US"/>
        </w:rPr>
        <w:t>Review of Quantitative Finance and Accounting</w:t>
      </w:r>
      <w:r w:rsidRPr="003E244A">
        <w:rPr>
          <w:rFonts w:ascii="Times New Roman" w:eastAsia="Calibri" w:hAnsi="Times New Roman" w:cs="Times New Roman"/>
          <w:noProof/>
          <w:sz w:val="22"/>
          <w:lang w:eastAsia="en-US"/>
        </w:rPr>
        <w:t xml:space="preserve"> 30(3):315–38. doi: 10.1007/s11156-007-0053-8.</w:t>
      </w:r>
    </w:p>
    <w:p w14:paraId="0606E87D"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Levine, David I. 1991. “Cohesiveness, Productivity, and Wage Dispersion.” </w:t>
      </w:r>
      <w:r w:rsidRPr="003E244A">
        <w:rPr>
          <w:rFonts w:ascii="Times New Roman" w:eastAsia="Calibri" w:hAnsi="Times New Roman" w:cs="Times New Roman"/>
          <w:i/>
          <w:iCs/>
          <w:noProof/>
          <w:sz w:val="22"/>
          <w:lang w:eastAsia="en-US"/>
        </w:rPr>
        <w:t>Journal of Economic Behavior and Organization</w:t>
      </w:r>
      <w:r w:rsidRPr="003E244A">
        <w:rPr>
          <w:rFonts w:ascii="Times New Roman" w:eastAsia="Calibri" w:hAnsi="Times New Roman" w:cs="Times New Roman"/>
          <w:noProof/>
          <w:sz w:val="22"/>
          <w:lang w:eastAsia="en-US"/>
        </w:rPr>
        <w:t xml:space="preserve"> 15(2):237–55. doi: 10.1016/0167-2681(91)90031-R.</w:t>
      </w:r>
    </w:p>
    <w:p w14:paraId="5211B037"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Mahy, Benoît, François Rycx, and Mélanie Volral. 2011. “Wage Dispersion and Firm Productivity in Different Working Environments.” </w:t>
      </w:r>
      <w:r w:rsidRPr="003E244A">
        <w:rPr>
          <w:rFonts w:ascii="Times New Roman" w:eastAsia="Calibri" w:hAnsi="Times New Roman" w:cs="Times New Roman"/>
          <w:i/>
          <w:iCs/>
          <w:noProof/>
          <w:sz w:val="22"/>
          <w:lang w:eastAsia="en-US"/>
        </w:rPr>
        <w:t>British Journal of Industrial Relations</w:t>
      </w:r>
      <w:r w:rsidRPr="003E244A">
        <w:rPr>
          <w:rFonts w:ascii="Times New Roman" w:eastAsia="Calibri" w:hAnsi="Times New Roman" w:cs="Times New Roman"/>
          <w:noProof/>
          <w:sz w:val="22"/>
          <w:lang w:eastAsia="en-US"/>
        </w:rPr>
        <w:t xml:space="preserve"> 49(3):460–85. doi: 10.1111/j.1467-8543.2009.00775.x.</w:t>
      </w:r>
    </w:p>
    <w:p w14:paraId="0BA21FA6"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Mahy, Benoît, François Rycx, and Mélanie Volral. 2016. “Are Workers Less Absent When Wage Dispersion Is Small?” </w:t>
      </w:r>
      <w:r w:rsidRPr="003E244A">
        <w:rPr>
          <w:rFonts w:ascii="Times New Roman" w:eastAsia="Calibri" w:hAnsi="Times New Roman" w:cs="Times New Roman"/>
          <w:i/>
          <w:iCs/>
          <w:noProof/>
          <w:sz w:val="22"/>
          <w:lang w:eastAsia="en-US"/>
        </w:rPr>
        <w:t>International Journal of Manpower</w:t>
      </w:r>
      <w:r w:rsidRPr="003E244A">
        <w:rPr>
          <w:rFonts w:ascii="Times New Roman" w:eastAsia="Calibri" w:hAnsi="Times New Roman" w:cs="Times New Roman"/>
          <w:noProof/>
          <w:sz w:val="22"/>
          <w:lang w:eastAsia="en-US"/>
        </w:rPr>
        <w:t xml:space="preserve"> 37(2):197–209. doi: 10.1108/IJM-01-2015-0004.</w:t>
      </w:r>
    </w:p>
    <w:p w14:paraId="65A4EBD5"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Martin, J., and J. Murnighan. 1981. “Relative Deprivation: A Theory of Distributive Injustice and Organizational Illegitmacy.” </w:t>
      </w:r>
      <w:r w:rsidRPr="003E244A">
        <w:rPr>
          <w:rFonts w:ascii="Times New Roman" w:eastAsia="Calibri" w:hAnsi="Times New Roman" w:cs="Times New Roman"/>
          <w:i/>
          <w:iCs/>
          <w:noProof/>
          <w:sz w:val="22"/>
          <w:lang w:eastAsia="en-US"/>
        </w:rPr>
        <w:t>Social Psychology in Organizations: Advances in Theory and Research</w:t>
      </w:r>
      <w:r w:rsidRPr="003E244A">
        <w:rPr>
          <w:rFonts w:ascii="Times New Roman" w:eastAsia="Calibri" w:hAnsi="Times New Roman" w:cs="Times New Roman"/>
          <w:noProof/>
          <w:sz w:val="22"/>
          <w:lang w:eastAsia="en-US"/>
        </w:rPr>
        <w:t xml:space="preserve"> 296–321.</w:t>
      </w:r>
    </w:p>
    <w:p w14:paraId="02F843FE"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Meagher, Gabrielle, and Shaun Wilson. 2008. “Richer, but More Unequal: Perceptions of Inequality in Australia 1987-2005.” </w:t>
      </w:r>
      <w:r w:rsidRPr="003E244A">
        <w:rPr>
          <w:rFonts w:ascii="Times New Roman" w:eastAsia="Calibri" w:hAnsi="Times New Roman" w:cs="Times New Roman"/>
          <w:i/>
          <w:iCs/>
          <w:noProof/>
          <w:sz w:val="22"/>
          <w:lang w:eastAsia="en-US"/>
        </w:rPr>
        <w:t>Journal of Australian Political Economy</w:t>
      </w:r>
      <w:r w:rsidRPr="003E244A">
        <w:rPr>
          <w:rFonts w:ascii="Times New Roman" w:eastAsia="Calibri" w:hAnsi="Times New Roman" w:cs="Times New Roman"/>
          <w:noProof/>
          <w:sz w:val="22"/>
          <w:lang w:eastAsia="en-US"/>
        </w:rPr>
        <w:t xml:space="preserve"> (61):220–43. doi: 10.3316/informit.435297195557099.</w:t>
      </w:r>
    </w:p>
    <w:p w14:paraId="0955132F"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Messersmith, Jake G., James P. Guthrie, Yong Yeon Ji, and Jeong Yeon Lee. 2011. “Executive Turnover: The Influence of Dispersion and Other Pay System Characteristics.” </w:t>
      </w:r>
      <w:r w:rsidRPr="003E244A">
        <w:rPr>
          <w:rFonts w:ascii="Times New Roman" w:eastAsia="Calibri" w:hAnsi="Times New Roman" w:cs="Times New Roman"/>
          <w:i/>
          <w:iCs/>
          <w:noProof/>
          <w:sz w:val="22"/>
          <w:lang w:eastAsia="en-US"/>
        </w:rPr>
        <w:t>Journal of Applied Psychology</w:t>
      </w:r>
      <w:r w:rsidRPr="003E244A">
        <w:rPr>
          <w:rFonts w:ascii="Times New Roman" w:eastAsia="Calibri" w:hAnsi="Times New Roman" w:cs="Times New Roman"/>
          <w:noProof/>
          <w:sz w:val="22"/>
          <w:lang w:eastAsia="en-US"/>
        </w:rPr>
        <w:t xml:space="preserve"> 96(3):457–69. doi: 10.1037/a0021654.</w:t>
      </w:r>
    </w:p>
    <w:p w14:paraId="1FCDB67D"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Mueller, HM, PP Ouimet, and E. Simintzi. 2017. “Within-Firm Pay Inequality.” </w:t>
      </w:r>
      <w:r w:rsidRPr="003E244A">
        <w:rPr>
          <w:rFonts w:ascii="Times New Roman" w:eastAsia="Calibri" w:hAnsi="Times New Roman" w:cs="Times New Roman"/>
          <w:i/>
          <w:iCs/>
          <w:noProof/>
          <w:sz w:val="22"/>
          <w:lang w:eastAsia="en-US"/>
        </w:rPr>
        <w:t>The Review of Financial Studies</w:t>
      </w:r>
      <w:r w:rsidRPr="003E244A">
        <w:rPr>
          <w:rFonts w:ascii="Times New Roman" w:eastAsia="Calibri" w:hAnsi="Times New Roman" w:cs="Times New Roman"/>
          <w:noProof/>
          <w:sz w:val="22"/>
          <w:lang w:eastAsia="en-US"/>
        </w:rPr>
        <w:t xml:space="preserve"> 30(10):3605–35.</w:t>
      </w:r>
    </w:p>
    <w:p w14:paraId="31DE9DA9"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O’Reilly, Charles A., James Wade, Brian G. M. Main, Charles A., James Wade, Charles A. O’Reilly, and James Wade. 1993. “Top Executive Pay: Tournament or Teamwork?” </w:t>
      </w:r>
      <w:r w:rsidRPr="003E244A">
        <w:rPr>
          <w:rFonts w:ascii="Times New Roman" w:eastAsia="Calibri" w:hAnsi="Times New Roman" w:cs="Times New Roman"/>
          <w:i/>
          <w:iCs/>
          <w:noProof/>
          <w:sz w:val="22"/>
          <w:lang w:eastAsia="en-US"/>
        </w:rPr>
        <w:t>Journal of Labor Economics</w:t>
      </w:r>
      <w:r w:rsidRPr="003E244A">
        <w:rPr>
          <w:rFonts w:ascii="Times New Roman" w:eastAsia="Calibri" w:hAnsi="Times New Roman" w:cs="Times New Roman"/>
          <w:noProof/>
          <w:sz w:val="22"/>
          <w:lang w:eastAsia="en-US"/>
        </w:rPr>
        <w:t xml:space="preserve"> 11(4):606–28. doi: 10.1086/298309.</w:t>
      </w:r>
    </w:p>
    <w:p w14:paraId="44533931"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Pfeffer, Jeffrey. 2007. “Human Resources from an Organizational Behavior Perspective: Some Paradoxes Explained.” </w:t>
      </w:r>
      <w:r w:rsidRPr="003E244A">
        <w:rPr>
          <w:rFonts w:ascii="Times New Roman" w:eastAsia="Calibri" w:hAnsi="Times New Roman" w:cs="Times New Roman"/>
          <w:i/>
          <w:iCs/>
          <w:noProof/>
          <w:sz w:val="22"/>
          <w:lang w:eastAsia="en-US"/>
        </w:rPr>
        <w:t>Journal of Economic Perspectives</w:t>
      </w:r>
      <w:r w:rsidRPr="003E244A">
        <w:rPr>
          <w:rFonts w:ascii="Times New Roman" w:eastAsia="Calibri" w:hAnsi="Times New Roman" w:cs="Times New Roman"/>
          <w:noProof/>
          <w:sz w:val="22"/>
          <w:lang w:eastAsia="en-US"/>
        </w:rPr>
        <w:t xml:space="preserve"> 21(4):115–34. doi: 10.1257/JEP.21.4.115.</w:t>
      </w:r>
    </w:p>
    <w:p w14:paraId="47C5F85C"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Productivity Commission. 2009. </w:t>
      </w:r>
      <w:r w:rsidRPr="003E244A">
        <w:rPr>
          <w:rFonts w:ascii="Times New Roman" w:eastAsia="Calibri" w:hAnsi="Times New Roman" w:cs="Times New Roman"/>
          <w:i/>
          <w:iCs/>
          <w:noProof/>
          <w:sz w:val="22"/>
          <w:lang w:eastAsia="en-US"/>
        </w:rPr>
        <w:t>Executive Remuneration in Australia: Productivity Commission Inquiry Report</w:t>
      </w:r>
      <w:r w:rsidRPr="003E244A">
        <w:rPr>
          <w:rFonts w:ascii="Times New Roman" w:eastAsia="Calibri" w:hAnsi="Times New Roman" w:cs="Times New Roman"/>
          <w:noProof/>
          <w:sz w:val="22"/>
          <w:lang w:eastAsia="en-US"/>
        </w:rPr>
        <w:t>.</w:t>
      </w:r>
    </w:p>
    <w:p w14:paraId="10D5C4A1"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Richardson, David. 2018. “Executive Pay in Australia .” </w:t>
      </w:r>
      <w:r w:rsidRPr="003E244A">
        <w:rPr>
          <w:rFonts w:ascii="Times New Roman" w:eastAsia="Calibri" w:hAnsi="Times New Roman" w:cs="Times New Roman"/>
          <w:i/>
          <w:iCs/>
          <w:noProof/>
          <w:sz w:val="22"/>
          <w:lang w:eastAsia="en-US"/>
        </w:rPr>
        <w:t>The Australia Institute Research That Matter</w:t>
      </w:r>
      <w:r w:rsidRPr="003E244A">
        <w:rPr>
          <w:rFonts w:ascii="Times New Roman" w:eastAsia="Calibri" w:hAnsi="Times New Roman" w:cs="Times New Roman"/>
          <w:noProof/>
          <w:sz w:val="22"/>
          <w:lang w:eastAsia="en-US"/>
        </w:rPr>
        <w:t>.</w:t>
      </w:r>
    </w:p>
    <w:p w14:paraId="73E51AD8"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Ridge, Jason W., Federico Aime, and Margaret A. White. 2015. “When Much More of a Difference Makes a Difference: Social Comparison and Tournaments in the CEO’s Top Team.” </w:t>
      </w:r>
      <w:r w:rsidRPr="003E244A">
        <w:rPr>
          <w:rFonts w:ascii="Times New Roman" w:eastAsia="Calibri" w:hAnsi="Times New Roman" w:cs="Times New Roman"/>
          <w:i/>
          <w:iCs/>
          <w:noProof/>
          <w:sz w:val="22"/>
          <w:lang w:eastAsia="en-US"/>
        </w:rPr>
        <w:t>Strategic Management Journal</w:t>
      </w:r>
      <w:r w:rsidRPr="003E244A">
        <w:rPr>
          <w:rFonts w:ascii="Times New Roman" w:eastAsia="Calibri" w:hAnsi="Times New Roman" w:cs="Times New Roman"/>
          <w:noProof/>
          <w:sz w:val="22"/>
          <w:lang w:eastAsia="en-US"/>
        </w:rPr>
        <w:t xml:space="preserve"> 36(4):618–36. doi: 10.1002/SMJ.2227.</w:t>
      </w:r>
    </w:p>
    <w:p w14:paraId="3743BFD0"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Rouen, Ethan. 2020. “Rethinking Measurement of Pay Disparity and Its Relation to Firm Performance.” </w:t>
      </w:r>
      <w:r w:rsidRPr="003E244A">
        <w:rPr>
          <w:rFonts w:ascii="Times New Roman" w:eastAsia="Calibri" w:hAnsi="Times New Roman" w:cs="Times New Roman"/>
          <w:i/>
          <w:iCs/>
          <w:noProof/>
          <w:sz w:val="22"/>
          <w:lang w:eastAsia="en-US"/>
        </w:rPr>
        <w:t>Accounting Review</w:t>
      </w:r>
      <w:r w:rsidRPr="003E244A">
        <w:rPr>
          <w:rFonts w:ascii="Times New Roman" w:eastAsia="Calibri" w:hAnsi="Times New Roman" w:cs="Times New Roman"/>
          <w:noProof/>
          <w:sz w:val="22"/>
          <w:lang w:eastAsia="en-US"/>
        </w:rPr>
        <w:t xml:space="preserve"> 95(1):343–78. doi: 10.2308/accr-52440.</w:t>
      </w:r>
    </w:p>
    <w:p w14:paraId="3D226568"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Saunders, Peter, and Melissa Wong. 2013. “Examining Australian Attitudes to Inequality and Redistribution.” </w:t>
      </w:r>
      <w:r w:rsidRPr="003E244A">
        <w:rPr>
          <w:rFonts w:ascii="Times New Roman" w:eastAsia="Calibri" w:hAnsi="Times New Roman" w:cs="Times New Roman"/>
          <w:i/>
          <w:iCs/>
          <w:noProof/>
          <w:sz w:val="22"/>
          <w:lang w:eastAsia="en-US"/>
        </w:rPr>
        <w:t>Journal of Australian Political Economy</w:t>
      </w:r>
      <w:r w:rsidRPr="003E244A">
        <w:rPr>
          <w:rFonts w:ascii="Times New Roman" w:eastAsia="Calibri" w:hAnsi="Times New Roman" w:cs="Times New Roman"/>
          <w:noProof/>
          <w:sz w:val="22"/>
          <w:lang w:eastAsia="en-US"/>
        </w:rPr>
        <w:t xml:space="preserve"> (71):51–75. doi: 10.3316/informit.357084817207021.</w:t>
      </w:r>
    </w:p>
    <w:p w14:paraId="6B990E43"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Shaw, J. D., and N. Gupta. 2007. “Pay System Characteristics and Quit Patterns of Good, Average, and </w:t>
      </w:r>
      <w:r w:rsidRPr="003E244A">
        <w:rPr>
          <w:rFonts w:ascii="Times New Roman" w:eastAsia="Calibri" w:hAnsi="Times New Roman" w:cs="Times New Roman"/>
          <w:noProof/>
          <w:sz w:val="22"/>
          <w:lang w:eastAsia="en-US"/>
        </w:rPr>
        <w:lastRenderedPageBreak/>
        <w:t xml:space="preserve">Poor Performers.” </w:t>
      </w:r>
      <w:r w:rsidRPr="003E244A">
        <w:rPr>
          <w:rFonts w:ascii="Times New Roman" w:eastAsia="Calibri" w:hAnsi="Times New Roman" w:cs="Times New Roman"/>
          <w:i/>
          <w:iCs/>
          <w:noProof/>
          <w:sz w:val="22"/>
          <w:lang w:eastAsia="en-US"/>
        </w:rPr>
        <w:t>Personnel Psychology</w:t>
      </w:r>
      <w:r w:rsidRPr="003E244A">
        <w:rPr>
          <w:rFonts w:ascii="Times New Roman" w:eastAsia="Calibri" w:hAnsi="Times New Roman" w:cs="Times New Roman"/>
          <w:noProof/>
          <w:sz w:val="22"/>
          <w:lang w:eastAsia="en-US"/>
        </w:rPr>
        <w:t xml:space="preserve"> 60(4):903–28. doi: 10.1111/j.1744-6570.2007.00095.x.</w:t>
      </w:r>
    </w:p>
    <w:p w14:paraId="69C5051E"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Shaw, Jason D., Nina Gupta, and John E. Delery. 2002. “Pay Dispersion and Workforce Performance: Moderating Effects of Incentives and Interdependence.” </w:t>
      </w:r>
      <w:r w:rsidRPr="003E244A">
        <w:rPr>
          <w:rFonts w:ascii="Times New Roman" w:eastAsia="Calibri" w:hAnsi="Times New Roman" w:cs="Times New Roman"/>
          <w:i/>
          <w:iCs/>
          <w:noProof/>
          <w:sz w:val="22"/>
          <w:lang w:eastAsia="en-US"/>
        </w:rPr>
        <w:t>Strategic Management Journal</w:t>
      </w:r>
      <w:r w:rsidRPr="003E244A">
        <w:rPr>
          <w:rFonts w:ascii="Times New Roman" w:eastAsia="Calibri" w:hAnsi="Times New Roman" w:cs="Times New Roman"/>
          <w:noProof/>
          <w:sz w:val="22"/>
          <w:lang w:eastAsia="en-US"/>
        </w:rPr>
        <w:t xml:space="preserve"> 23(6):491–512. doi: 10.1002/smj.235.</w:t>
      </w:r>
    </w:p>
    <w:p w14:paraId="46623593"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Shin, Jae Yong, Sung-Choon Kang, Jeong-Hoon Hyun, and Bum-Joon Kim. 2015. “Determinants and Performance Effects of Executive Pay Multiples.” </w:t>
      </w:r>
      <w:r w:rsidRPr="003E244A">
        <w:rPr>
          <w:rFonts w:ascii="Times New Roman" w:eastAsia="Calibri" w:hAnsi="Times New Roman" w:cs="Times New Roman"/>
          <w:i/>
          <w:iCs/>
          <w:noProof/>
          <w:sz w:val="22"/>
          <w:lang w:eastAsia="en-US"/>
        </w:rPr>
        <w:t>ILR Review</w:t>
      </w:r>
      <w:r w:rsidRPr="003E244A">
        <w:rPr>
          <w:rFonts w:ascii="Times New Roman" w:eastAsia="Calibri" w:hAnsi="Times New Roman" w:cs="Times New Roman"/>
          <w:noProof/>
          <w:sz w:val="22"/>
          <w:lang w:eastAsia="en-US"/>
        </w:rPr>
        <w:t xml:space="preserve"> 68(1):53–78. doi: 10.1177/0019793914556242.</w:t>
      </w:r>
    </w:p>
    <w:p w14:paraId="40AE34E6"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Toner, Phillip. 2011. “Workforce Skills and Innovation: An Overview of Major Themes in the Literature.” 1. doi: 10.1787/5kgkdgdkc8tl-en.</w:t>
      </w:r>
    </w:p>
    <w:p w14:paraId="763035FD"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Trevor, Charlie O., Greg Reilly, and Barry Gerhart. 2012. “Reconsidering Pay Dispersion’s Effect on the Performance of Interdependent Work: Reconciling Sorting and Pay Inequality.” </w:t>
      </w:r>
      <w:r w:rsidRPr="003E244A">
        <w:rPr>
          <w:rFonts w:ascii="Times New Roman" w:eastAsia="Calibri" w:hAnsi="Times New Roman" w:cs="Times New Roman"/>
          <w:i/>
          <w:iCs/>
          <w:noProof/>
          <w:sz w:val="22"/>
          <w:lang w:eastAsia="en-US"/>
        </w:rPr>
        <w:t>Academy of Management Journal</w:t>
      </w:r>
      <w:r w:rsidRPr="003E244A">
        <w:rPr>
          <w:rFonts w:ascii="Times New Roman" w:eastAsia="Calibri" w:hAnsi="Times New Roman" w:cs="Times New Roman"/>
          <w:noProof/>
          <w:sz w:val="22"/>
          <w:lang w:eastAsia="en-US"/>
        </w:rPr>
        <w:t xml:space="preserve"> 55(3):585–610. doi: 10.5465/amj.2006.0127.</w:t>
      </w:r>
    </w:p>
    <w:p w14:paraId="32943454"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Wade, James B., Charles A. O’Reilly, and Timothy G. Pollock. 2006. “Overpaid CEOs and Underpaid Managers: Fairness and Executive Compensation.” </w:t>
      </w:r>
      <w:r w:rsidRPr="003E244A">
        <w:rPr>
          <w:rFonts w:ascii="Times New Roman" w:eastAsia="Calibri" w:hAnsi="Times New Roman" w:cs="Times New Roman"/>
          <w:i/>
          <w:iCs/>
          <w:noProof/>
          <w:sz w:val="22"/>
          <w:lang w:eastAsia="en-US"/>
        </w:rPr>
        <w:t>Organization Science</w:t>
      </w:r>
      <w:r w:rsidRPr="003E244A">
        <w:rPr>
          <w:rFonts w:ascii="Times New Roman" w:eastAsia="Calibri" w:hAnsi="Times New Roman" w:cs="Times New Roman"/>
          <w:noProof/>
          <w:sz w:val="22"/>
          <w:lang w:eastAsia="en-US"/>
        </w:rPr>
        <w:t xml:space="preserve"> 17(5):527–44. doi: 10.1287/orsc.1060.0204.</w:t>
      </w:r>
    </w:p>
    <w:p w14:paraId="7AA85972"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Walster, E., E. Berscheid, and G. W. Walster. 1973. “New Directions in Equity Research.” </w:t>
      </w:r>
      <w:r w:rsidRPr="003E244A">
        <w:rPr>
          <w:rFonts w:ascii="Times New Roman" w:eastAsia="Calibri" w:hAnsi="Times New Roman" w:cs="Times New Roman"/>
          <w:i/>
          <w:iCs/>
          <w:noProof/>
          <w:sz w:val="22"/>
          <w:lang w:eastAsia="en-US"/>
        </w:rPr>
        <w:t>Journal of Personality and Social Psychology</w:t>
      </w:r>
      <w:r w:rsidRPr="003E244A">
        <w:rPr>
          <w:rFonts w:ascii="Times New Roman" w:eastAsia="Calibri" w:hAnsi="Times New Roman" w:cs="Times New Roman"/>
          <w:noProof/>
          <w:sz w:val="22"/>
          <w:lang w:eastAsia="en-US"/>
        </w:rPr>
        <w:t xml:space="preserve"> 25(2).</w:t>
      </w:r>
    </w:p>
    <w:p w14:paraId="277C6FF0"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Winter-Ebmer, Rudolf, and Josef Zweimüller. 1999. “Intra-Firm Wage Dispersion and Firm Performance.” </w:t>
      </w:r>
      <w:r w:rsidRPr="003E244A">
        <w:rPr>
          <w:rFonts w:ascii="Times New Roman" w:eastAsia="Calibri" w:hAnsi="Times New Roman" w:cs="Times New Roman"/>
          <w:i/>
          <w:iCs/>
          <w:noProof/>
          <w:sz w:val="22"/>
          <w:lang w:eastAsia="en-US"/>
        </w:rPr>
        <w:t>Kyklos</w:t>
      </w:r>
      <w:r w:rsidRPr="003E244A">
        <w:rPr>
          <w:rFonts w:ascii="Times New Roman" w:eastAsia="Calibri" w:hAnsi="Times New Roman" w:cs="Times New Roman"/>
          <w:noProof/>
          <w:sz w:val="22"/>
          <w:lang w:eastAsia="en-US"/>
        </w:rPr>
        <w:t xml:space="preserve"> 52(4):555–72. doi: 10.1111/j.1467-6435.1999.tb00233.x.</w:t>
      </w:r>
    </w:p>
    <w:p w14:paraId="6BDF1809" w14:textId="77777777" w:rsidR="003E244A" w:rsidRPr="003E244A" w:rsidRDefault="003E244A" w:rsidP="003E244A">
      <w:pPr>
        <w:widowControl w:val="0"/>
        <w:autoSpaceDE w:val="0"/>
        <w:autoSpaceDN w:val="0"/>
        <w:adjustRightInd w:val="0"/>
        <w:spacing w:before="120" w:after="120" w:line="240" w:lineRule="auto"/>
        <w:ind w:left="480" w:hanging="480"/>
        <w:rPr>
          <w:rFonts w:ascii="Times New Roman" w:eastAsia="Calibri" w:hAnsi="Times New Roman" w:cs="Times New Roman"/>
          <w:noProof/>
          <w:sz w:val="22"/>
          <w:lang w:eastAsia="en-US"/>
        </w:rPr>
      </w:pPr>
      <w:r w:rsidRPr="003E244A">
        <w:rPr>
          <w:rFonts w:ascii="Times New Roman" w:eastAsia="Calibri" w:hAnsi="Times New Roman" w:cs="Times New Roman"/>
          <w:noProof/>
          <w:sz w:val="22"/>
          <w:lang w:eastAsia="en-US"/>
        </w:rPr>
        <w:t xml:space="preserve">Yermack, David. 1996. </w:t>
      </w:r>
      <w:r w:rsidRPr="003E244A">
        <w:rPr>
          <w:rFonts w:ascii="Times New Roman" w:eastAsia="Calibri" w:hAnsi="Times New Roman" w:cs="Times New Roman"/>
          <w:i/>
          <w:iCs/>
          <w:noProof/>
          <w:sz w:val="22"/>
          <w:lang w:eastAsia="en-US"/>
        </w:rPr>
        <w:t>Higher Market Valuation of Companies with a Small Board of Directors</w:t>
      </w:r>
      <w:r w:rsidRPr="003E244A">
        <w:rPr>
          <w:rFonts w:ascii="Times New Roman" w:eastAsia="Calibri" w:hAnsi="Times New Roman" w:cs="Times New Roman"/>
          <w:noProof/>
          <w:sz w:val="22"/>
          <w:lang w:eastAsia="en-US"/>
        </w:rPr>
        <w:t>. Vol. 40.</w:t>
      </w:r>
    </w:p>
    <w:p w14:paraId="68AA06E8" w14:textId="77777777" w:rsidR="003E244A" w:rsidRPr="003E244A" w:rsidRDefault="003E244A" w:rsidP="003E244A">
      <w:pPr>
        <w:spacing w:before="120" w:after="120" w:line="360" w:lineRule="auto"/>
        <w:ind w:firstLine="284"/>
        <w:rPr>
          <w:rFonts w:ascii="Times New Roman" w:eastAsia="Calibri" w:hAnsi="Times New Roman" w:cs="Times New Roman"/>
          <w:lang w:eastAsia="en-US"/>
        </w:rPr>
      </w:pPr>
      <w:r w:rsidRPr="003E244A">
        <w:rPr>
          <w:rFonts w:ascii="Times New Roman" w:eastAsia="Calibri" w:hAnsi="Times New Roman" w:cs="Times New Roman"/>
          <w:sz w:val="22"/>
          <w:lang w:eastAsia="en-US"/>
        </w:rPr>
        <w:fldChar w:fldCharType="end"/>
      </w:r>
    </w:p>
    <w:p w14:paraId="50567C12" w14:textId="45EEE961" w:rsidR="000176E7" w:rsidRDefault="000176E7" w:rsidP="009A7B5F"/>
    <w:p w14:paraId="32B153BE" w14:textId="77777777" w:rsidR="000176E7" w:rsidRDefault="000176E7" w:rsidP="009A7B5F"/>
    <w:p w14:paraId="63094E56" w14:textId="671C7105" w:rsidR="002E5440" w:rsidRDefault="002E5440" w:rsidP="009A7B5F">
      <w:pPr>
        <w:ind w:firstLine="0"/>
      </w:pPr>
    </w:p>
    <w:p w14:paraId="4928B7F7" w14:textId="66ADA3E7" w:rsidR="00293D8F" w:rsidRDefault="00293D8F" w:rsidP="009A7B5F">
      <w:pPr>
        <w:ind w:firstLine="0"/>
      </w:pPr>
    </w:p>
    <w:p w14:paraId="2E75B7E6" w14:textId="7F922F58" w:rsidR="00293D8F" w:rsidRDefault="00293D8F" w:rsidP="009A7B5F">
      <w:pPr>
        <w:ind w:firstLine="0"/>
      </w:pPr>
    </w:p>
    <w:p w14:paraId="262F2CC6" w14:textId="2F034BDD" w:rsidR="00293D8F" w:rsidRDefault="00293D8F" w:rsidP="009A7B5F">
      <w:pPr>
        <w:ind w:firstLine="0"/>
      </w:pPr>
    </w:p>
    <w:p w14:paraId="2C821FC0" w14:textId="45A6E5E8" w:rsidR="00293D8F" w:rsidRDefault="00293D8F" w:rsidP="009A7B5F">
      <w:pPr>
        <w:ind w:firstLine="0"/>
      </w:pPr>
    </w:p>
    <w:p w14:paraId="2ECEBDE3" w14:textId="72F503D7" w:rsidR="00293D8F" w:rsidRDefault="00293D8F" w:rsidP="009A7B5F">
      <w:pPr>
        <w:ind w:firstLine="0"/>
      </w:pPr>
    </w:p>
    <w:p w14:paraId="3CA14A70" w14:textId="36C04CA7" w:rsidR="00293D8F" w:rsidRDefault="00293D8F" w:rsidP="009A7B5F">
      <w:pPr>
        <w:ind w:firstLine="0"/>
      </w:pPr>
    </w:p>
    <w:p w14:paraId="0A49673B" w14:textId="6A0F091F" w:rsidR="00293D8F" w:rsidRDefault="00293D8F" w:rsidP="009A7B5F">
      <w:pPr>
        <w:ind w:firstLine="0"/>
      </w:pPr>
    </w:p>
    <w:p w14:paraId="5DDDCA65" w14:textId="763B5684" w:rsidR="00293D8F" w:rsidRDefault="00293D8F" w:rsidP="009A7B5F">
      <w:pPr>
        <w:ind w:firstLine="0"/>
      </w:pPr>
    </w:p>
    <w:p w14:paraId="5D72F79E" w14:textId="15BAEB2F" w:rsidR="00293D8F" w:rsidRDefault="00293D8F" w:rsidP="009A7B5F">
      <w:pPr>
        <w:ind w:firstLine="0"/>
      </w:pPr>
    </w:p>
    <w:p w14:paraId="3EDD1F80" w14:textId="3D437092" w:rsidR="00293D8F" w:rsidRDefault="00293D8F" w:rsidP="009A7B5F">
      <w:pPr>
        <w:ind w:firstLine="0"/>
      </w:pPr>
    </w:p>
    <w:p w14:paraId="5F426A80" w14:textId="77777777" w:rsidR="00293D8F" w:rsidRDefault="00293D8F" w:rsidP="009A7B5F">
      <w:pPr>
        <w:ind w:firstLine="0"/>
      </w:pPr>
    </w:p>
    <w:bookmarkEnd w:id="6"/>
    <w:p w14:paraId="2D123752" w14:textId="77777777" w:rsidR="006D4D17" w:rsidRPr="00107E65" w:rsidRDefault="006D4D17" w:rsidP="006D4D17">
      <w:pPr>
        <w:tabs>
          <w:tab w:val="left" w:pos="567"/>
        </w:tabs>
        <w:spacing w:line="240" w:lineRule="auto"/>
        <w:ind w:firstLine="0"/>
        <w:jc w:val="center"/>
        <w:rPr>
          <w:rFonts w:ascii="Times New Roman" w:eastAsiaTheme="minorHAnsi" w:hAnsi="Times New Roman" w:cs="Times New Roman"/>
          <w:b/>
          <w:bCs/>
          <w:sz w:val="22"/>
          <w:lang w:eastAsia="en-US"/>
        </w:rPr>
      </w:pPr>
      <w:r w:rsidRPr="00107E65">
        <w:rPr>
          <w:rFonts w:ascii="Times New Roman" w:eastAsiaTheme="minorHAnsi" w:hAnsi="Times New Roman" w:cs="Times New Roman"/>
          <w:b/>
          <w:bCs/>
          <w:sz w:val="22"/>
          <w:lang w:eastAsia="en-US"/>
        </w:rPr>
        <w:lastRenderedPageBreak/>
        <w:t xml:space="preserve">Appendix A: Definition of Variables </w:t>
      </w:r>
    </w:p>
    <w:tbl>
      <w:tblPr>
        <w:tblStyle w:val="TableGri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953"/>
        <w:gridCol w:w="1881"/>
      </w:tblGrid>
      <w:tr w:rsidR="006D4D17" w:rsidRPr="000B20D9" w14:paraId="5E2D9498" w14:textId="77777777" w:rsidTr="00E33B64">
        <w:tc>
          <w:tcPr>
            <w:tcW w:w="2235" w:type="dxa"/>
            <w:tcBorders>
              <w:top w:val="single" w:sz="8" w:space="0" w:color="auto"/>
              <w:bottom w:val="single" w:sz="8" w:space="0" w:color="auto"/>
            </w:tcBorders>
          </w:tcPr>
          <w:p w14:paraId="2EE10FCB" w14:textId="14AD6DDA" w:rsidR="006D4D17" w:rsidRPr="000B20D9" w:rsidRDefault="00293D8F" w:rsidP="00E33B64">
            <w:pPr>
              <w:ind w:firstLine="0"/>
              <w:rPr>
                <w:rFonts w:cstheme="majorBidi"/>
                <w:b/>
                <w:bCs/>
                <w:sz w:val="20"/>
                <w:szCs w:val="20"/>
              </w:rPr>
            </w:pPr>
            <w:r>
              <w:rPr>
                <w:rFonts w:cstheme="majorBidi"/>
                <w:b/>
                <w:bCs/>
                <w:sz w:val="20"/>
                <w:szCs w:val="20"/>
              </w:rPr>
              <w:t>Variables</w:t>
            </w:r>
          </w:p>
        </w:tc>
        <w:tc>
          <w:tcPr>
            <w:tcW w:w="5953" w:type="dxa"/>
            <w:tcBorders>
              <w:top w:val="single" w:sz="8" w:space="0" w:color="auto"/>
              <w:bottom w:val="single" w:sz="8" w:space="0" w:color="auto"/>
            </w:tcBorders>
          </w:tcPr>
          <w:p w14:paraId="0B27B1C5" w14:textId="77777777" w:rsidR="006D4D17" w:rsidRPr="000B20D9" w:rsidRDefault="006D4D17" w:rsidP="00E33B64">
            <w:pPr>
              <w:ind w:firstLine="0"/>
              <w:rPr>
                <w:rFonts w:cstheme="majorBidi"/>
                <w:b/>
                <w:bCs/>
                <w:sz w:val="20"/>
                <w:szCs w:val="20"/>
              </w:rPr>
            </w:pPr>
            <w:r w:rsidRPr="000B20D9">
              <w:rPr>
                <w:rFonts w:cstheme="majorBidi"/>
                <w:b/>
                <w:bCs/>
                <w:sz w:val="20"/>
                <w:szCs w:val="20"/>
              </w:rPr>
              <w:t>Definition</w:t>
            </w:r>
          </w:p>
        </w:tc>
        <w:tc>
          <w:tcPr>
            <w:tcW w:w="1881" w:type="dxa"/>
            <w:tcBorders>
              <w:top w:val="single" w:sz="8" w:space="0" w:color="auto"/>
              <w:bottom w:val="single" w:sz="8" w:space="0" w:color="auto"/>
            </w:tcBorders>
          </w:tcPr>
          <w:p w14:paraId="0CDB8FF0" w14:textId="77777777" w:rsidR="006D4D17" w:rsidRPr="000B20D9" w:rsidRDefault="006D4D17" w:rsidP="00E33B64">
            <w:pPr>
              <w:ind w:firstLine="0"/>
              <w:rPr>
                <w:rFonts w:cstheme="majorBidi"/>
                <w:b/>
                <w:bCs/>
                <w:sz w:val="20"/>
                <w:szCs w:val="20"/>
              </w:rPr>
            </w:pPr>
            <w:r w:rsidRPr="000B20D9">
              <w:rPr>
                <w:rFonts w:cstheme="majorBidi"/>
                <w:b/>
                <w:bCs/>
                <w:sz w:val="20"/>
                <w:szCs w:val="20"/>
              </w:rPr>
              <w:t>Source</w:t>
            </w:r>
          </w:p>
        </w:tc>
      </w:tr>
      <w:tr w:rsidR="006D4D17" w:rsidRPr="000B20D9" w14:paraId="363BA0D7" w14:textId="77777777" w:rsidTr="00E33B64">
        <w:tc>
          <w:tcPr>
            <w:tcW w:w="2235" w:type="dxa"/>
            <w:tcBorders>
              <w:top w:val="single" w:sz="8" w:space="0" w:color="auto"/>
            </w:tcBorders>
          </w:tcPr>
          <w:p w14:paraId="15AA8415" w14:textId="77777777" w:rsidR="006D4D17" w:rsidRPr="000B20D9" w:rsidRDefault="006D4D17" w:rsidP="00E33B64">
            <w:pPr>
              <w:ind w:firstLine="0"/>
              <w:rPr>
                <w:rFonts w:cstheme="majorBidi"/>
                <w:b/>
                <w:bCs/>
                <w:sz w:val="20"/>
                <w:szCs w:val="20"/>
              </w:rPr>
            </w:pPr>
            <w:r w:rsidRPr="000B20D9">
              <w:rPr>
                <w:rFonts w:cstheme="majorBidi"/>
                <w:b/>
                <w:bCs/>
                <w:sz w:val="20"/>
                <w:szCs w:val="20"/>
              </w:rPr>
              <w:t>Pay Ratio:</w:t>
            </w:r>
          </w:p>
        </w:tc>
        <w:tc>
          <w:tcPr>
            <w:tcW w:w="5953" w:type="dxa"/>
            <w:tcBorders>
              <w:top w:val="single" w:sz="8" w:space="0" w:color="auto"/>
            </w:tcBorders>
          </w:tcPr>
          <w:p w14:paraId="4999CC94" w14:textId="77777777" w:rsidR="006D4D17" w:rsidRPr="000B20D9" w:rsidRDefault="006D4D17" w:rsidP="00E33B64">
            <w:pPr>
              <w:ind w:firstLine="0"/>
              <w:rPr>
                <w:rFonts w:cstheme="majorBidi"/>
                <w:sz w:val="20"/>
                <w:szCs w:val="20"/>
              </w:rPr>
            </w:pPr>
          </w:p>
        </w:tc>
        <w:tc>
          <w:tcPr>
            <w:tcW w:w="1881" w:type="dxa"/>
            <w:tcBorders>
              <w:top w:val="single" w:sz="8" w:space="0" w:color="auto"/>
            </w:tcBorders>
          </w:tcPr>
          <w:p w14:paraId="2C4A3763" w14:textId="77777777" w:rsidR="006D4D17" w:rsidRPr="000B20D9" w:rsidRDefault="006D4D17" w:rsidP="00E33B64">
            <w:pPr>
              <w:ind w:firstLine="0"/>
              <w:rPr>
                <w:rFonts w:cstheme="majorBidi"/>
                <w:sz w:val="20"/>
                <w:szCs w:val="20"/>
              </w:rPr>
            </w:pPr>
          </w:p>
        </w:tc>
      </w:tr>
      <w:tr w:rsidR="006D4D17" w:rsidRPr="000B20D9" w14:paraId="07F3BECE" w14:textId="77777777" w:rsidTr="00E33B64">
        <w:tc>
          <w:tcPr>
            <w:tcW w:w="2235" w:type="dxa"/>
          </w:tcPr>
          <w:p w14:paraId="289623B6" w14:textId="77777777" w:rsidR="006D4D17" w:rsidRPr="000B20D9" w:rsidRDefault="006D4D17" w:rsidP="00E33B64">
            <w:pPr>
              <w:ind w:firstLine="0"/>
              <w:rPr>
                <w:rFonts w:cstheme="majorBidi"/>
                <w:i/>
                <w:iCs/>
                <w:sz w:val="20"/>
                <w:szCs w:val="20"/>
              </w:rPr>
            </w:pPr>
            <w:proofErr w:type="spellStart"/>
            <w:r>
              <w:rPr>
                <w:rFonts w:cstheme="majorBidi"/>
                <w:i/>
                <w:iCs/>
                <w:sz w:val="20"/>
                <w:szCs w:val="20"/>
              </w:rPr>
              <w:t>PayInequality</w:t>
            </w:r>
            <w:proofErr w:type="spellEnd"/>
          </w:p>
        </w:tc>
        <w:tc>
          <w:tcPr>
            <w:tcW w:w="5953" w:type="dxa"/>
          </w:tcPr>
          <w:p w14:paraId="22E4BB29" w14:textId="77777777" w:rsidR="006D4D17" w:rsidRPr="000B20D9" w:rsidRDefault="006D4D17" w:rsidP="00E33B64">
            <w:pPr>
              <w:ind w:firstLine="0"/>
              <w:rPr>
                <w:rFonts w:cstheme="majorBidi"/>
                <w:sz w:val="20"/>
                <w:szCs w:val="20"/>
              </w:rPr>
            </w:pPr>
            <w:r w:rsidRPr="000B20D9">
              <w:rPr>
                <w:rFonts w:cstheme="majorBidi"/>
                <w:sz w:val="20"/>
                <w:szCs w:val="20"/>
              </w:rPr>
              <w:t>The natural logarithm of (CEO Compensation / average employee compensation)</w:t>
            </w:r>
          </w:p>
        </w:tc>
        <w:tc>
          <w:tcPr>
            <w:tcW w:w="1881" w:type="dxa"/>
          </w:tcPr>
          <w:p w14:paraId="3BECD6A8" w14:textId="77777777" w:rsidR="006D4D17" w:rsidRPr="000B20D9" w:rsidRDefault="006D4D17" w:rsidP="00E33B64">
            <w:pPr>
              <w:ind w:firstLine="0"/>
              <w:rPr>
                <w:rFonts w:cstheme="majorBidi"/>
                <w:sz w:val="20"/>
                <w:szCs w:val="20"/>
              </w:rPr>
            </w:pPr>
            <w:r>
              <w:rPr>
                <w:rFonts w:cstheme="majorBidi"/>
                <w:sz w:val="20"/>
                <w:szCs w:val="20"/>
              </w:rPr>
              <w:t>Author’s calculation</w:t>
            </w:r>
          </w:p>
        </w:tc>
      </w:tr>
      <w:tr w:rsidR="006D4D17" w:rsidRPr="000B20D9" w14:paraId="0D099CDF" w14:textId="77777777" w:rsidTr="00E33B64">
        <w:tc>
          <w:tcPr>
            <w:tcW w:w="2235" w:type="dxa"/>
          </w:tcPr>
          <w:p w14:paraId="2CEB9B29" w14:textId="77777777" w:rsidR="006D4D17" w:rsidRDefault="006D4D17" w:rsidP="00E33B64">
            <w:pPr>
              <w:ind w:firstLine="0"/>
              <w:rPr>
                <w:rFonts w:cstheme="majorBidi"/>
                <w:i/>
                <w:iCs/>
                <w:sz w:val="20"/>
                <w:szCs w:val="20"/>
              </w:rPr>
            </w:pPr>
            <w:r>
              <w:rPr>
                <w:rFonts w:cstheme="majorBidi"/>
                <w:i/>
                <w:iCs/>
                <w:sz w:val="20"/>
                <w:szCs w:val="20"/>
              </w:rPr>
              <w:t>Pay equity</w:t>
            </w:r>
          </w:p>
        </w:tc>
        <w:tc>
          <w:tcPr>
            <w:tcW w:w="5953" w:type="dxa"/>
          </w:tcPr>
          <w:p w14:paraId="65AC41D1" w14:textId="77777777" w:rsidR="006D4D17" w:rsidRPr="000B20D9" w:rsidRDefault="006D4D17" w:rsidP="00E33B64">
            <w:pPr>
              <w:ind w:firstLine="0"/>
              <w:rPr>
                <w:rFonts w:cstheme="majorBidi"/>
                <w:sz w:val="20"/>
                <w:szCs w:val="20"/>
              </w:rPr>
            </w:pPr>
            <w:r>
              <w:rPr>
                <w:rFonts w:cstheme="majorBidi"/>
                <w:sz w:val="20"/>
                <w:szCs w:val="20"/>
              </w:rPr>
              <w:t>Predicted pay inequality between CEO and employees by equation (1)</w:t>
            </w:r>
          </w:p>
        </w:tc>
        <w:tc>
          <w:tcPr>
            <w:tcW w:w="1881" w:type="dxa"/>
          </w:tcPr>
          <w:p w14:paraId="1C65EB89" w14:textId="77777777" w:rsidR="006D4D17" w:rsidRPr="000B20D9" w:rsidRDefault="006D4D17" w:rsidP="00E33B64">
            <w:pPr>
              <w:ind w:firstLine="0"/>
              <w:rPr>
                <w:rFonts w:cstheme="majorBidi"/>
                <w:sz w:val="20"/>
                <w:szCs w:val="20"/>
              </w:rPr>
            </w:pPr>
            <w:r>
              <w:rPr>
                <w:rFonts w:cstheme="majorBidi"/>
                <w:sz w:val="20"/>
                <w:szCs w:val="20"/>
              </w:rPr>
              <w:t>Author’s calculation</w:t>
            </w:r>
          </w:p>
        </w:tc>
      </w:tr>
      <w:tr w:rsidR="006D4D17" w:rsidRPr="000B20D9" w14:paraId="5998070C" w14:textId="77777777" w:rsidTr="00E33B64">
        <w:tc>
          <w:tcPr>
            <w:tcW w:w="2235" w:type="dxa"/>
          </w:tcPr>
          <w:p w14:paraId="44D3D008" w14:textId="77777777" w:rsidR="006D4D17" w:rsidRDefault="006D4D17" w:rsidP="00E33B64">
            <w:pPr>
              <w:ind w:firstLine="0"/>
              <w:rPr>
                <w:rFonts w:cstheme="majorBidi"/>
                <w:i/>
                <w:iCs/>
                <w:sz w:val="20"/>
                <w:szCs w:val="20"/>
              </w:rPr>
            </w:pPr>
            <w:proofErr w:type="spellStart"/>
            <w:r>
              <w:rPr>
                <w:rFonts w:cstheme="majorBidi"/>
                <w:i/>
                <w:iCs/>
                <w:sz w:val="20"/>
                <w:szCs w:val="20"/>
              </w:rPr>
              <w:t>PayInequity</w:t>
            </w:r>
            <w:proofErr w:type="spellEnd"/>
          </w:p>
        </w:tc>
        <w:tc>
          <w:tcPr>
            <w:tcW w:w="5953" w:type="dxa"/>
          </w:tcPr>
          <w:p w14:paraId="0CE0A584" w14:textId="77777777" w:rsidR="006D4D17" w:rsidRPr="000B20D9" w:rsidRDefault="006D4D17" w:rsidP="00E33B64">
            <w:pPr>
              <w:ind w:firstLine="0"/>
              <w:rPr>
                <w:rFonts w:cstheme="majorBidi"/>
                <w:sz w:val="20"/>
                <w:szCs w:val="20"/>
              </w:rPr>
            </w:pPr>
            <w:r>
              <w:rPr>
                <w:rFonts w:cstheme="majorBidi"/>
                <w:sz w:val="20"/>
                <w:szCs w:val="20"/>
              </w:rPr>
              <w:t>The residual of equation (1) shows the deviation from pay equity</w:t>
            </w:r>
          </w:p>
        </w:tc>
        <w:tc>
          <w:tcPr>
            <w:tcW w:w="1881" w:type="dxa"/>
          </w:tcPr>
          <w:p w14:paraId="213A6DEE" w14:textId="77777777" w:rsidR="006D4D17" w:rsidRPr="000B20D9" w:rsidRDefault="006D4D17" w:rsidP="00E33B64">
            <w:pPr>
              <w:ind w:firstLine="0"/>
              <w:rPr>
                <w:rFonts w:cstheme="majorBidi"/>
                <w:sz w:val="20"/>
                <w:szCs w:val="20"/>
              </w:rPr>
            </w:pPr>
          </w:p>
        </w:tc>
      </w:tr>
      <w:tr w:rsidR="006D4D17" w:rsidRPr="000B20D9" w14:paraId="50D458F8" w14:textId="77777777" w:rsidTr="00E33B64">
        <w:tc>
          <w:tcPr>
            <w:tcW w:w="2235" w:type="dxa"/>
          </w:tcPr>
          <w:p w14:paraId="38532B0E" w14:textId="77777777" w:rsidR="006D4D17" w:rsidRPr="000B20D9" w:rsidRDefault="006D4D17" w:rsidP="00E33B64">
            <w:pPr>
              <w:ind w:firstLine="0"/>
              <w:rPr>
                <w:rFonts w:cstheme="majorBidi"/>
                <w:i/>
                <w:iCs/>
                <w:sz w:val="20"/>
                <w:szCs w:val="20"/>
              </w:rPr>
            </w:pPr>
            <w:r w:rsidRPr="000B20D9">
              <w:rPr>
                <w:rFonts w:cstheme="majorBidi"/>
                <w:i/>
                <w:iCs/>
                <w:sz w:val="20"/>
                <w:szCs w:val="20"/>
              </w:rPr>
              <w:t>CEO compensation</w:t>
            </w:r>
          </w:p>
        </w:tc>
        <w:tc>
          <w:tcPr>
            <w:tcW w:w="5953" w:type="dxa"/>
          </w:tcPr>
          <w:p w14:paraId="69A78DCD" w14:textId="77777777" w:rsidR="006D4D17" w:rsidRPr="000B20D9" w:rsidRDefault="006D4D17" w:rsidP="00E33B64">
            <w:pPr>
              <w:ind w:firstLine="0"/>
              <w:rPr>
                <w:rFonts w:cstheme="majorBidi"/>
                <w:sz w:val="20"/>
                <w:szCs w:val="20"/>
              </w:rPr>
            </w:pPr>
            <w:r w:rsidRPr="000B20D9">
              <w:rPr>
                <w:rFonts w:cstheme="majorBidi"/>
                <w:sz w:val="20"/>
                <w:szCs w:val="20"/>
              </w:rPr>
              <w:t>CEO compensation is total compensation, including short-term pay (e.g. salary and fees, accrued bonus), post-employment</w:t>
            </w:r>
            <w:r>
              <w:rPr>
                <w:rFonts w:cstheme="majorBidi"/>
                <w:sz w:val="20"/>
                <w:szCs w:val="20"/>
              </w:rPr>
              <w:t xml:space="preserve"> benefits</w:t>
            </w:r>
            <w:r w:rsidRPr="000B20D9">
              <w:rPr>
                <w:rFonts w:cstheme="majorBidi"/>
                <w:sz w:val="20"/>
                <w:szCs w:val="20"/>
              </w:rPr>
              <w:t xml:space="preserve"> (e.g., superannuation) and share-based payment right</w:t>
            </w:r>
            <w:r>
              <w:rPr>
                <w:rFonts w:cstheme="majorBidi"/>
                <w:sz w:val="20"/>
                <w:szCs w:val="20"/>
              </w:rPr>
              <w:t>s</w:t>
            </w:r>
            <w:r w:rsidRPr="000B20D9">
              <w:rPr>
                <w:rFonts w:cstheme="majorBidi"/>
                <w:sz w:val="20"/>
                <w:szCs w:val="20"/>
              </w:rPr>
              <w:t>.</w:t>
            </w:r>
          </w:p>
        </w:tc>
        <w:tc>
          <w:tcPr>
            <w:tcW w:w="1881" w:type="dxa"/>
          </w:tcPr>
          <w:p w14:paraId="5BF7E9E2"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5E6C8FE5" w14:textId="77777777" w:rsidTr="00E33B64">
        <w:tc>
          <w:tcPr>
            <w:tcW w:w="2235" w:type="dxa"/>
            <w:tcBorders>
              <w:bottom w:val="single" w:sz="8" w:space="0" w:color="auto"/>
            </w:tcBorders>
          </w:tcPr>
          <w:p w14:paraId="7D660213" w14:textId="77777777" w:rsidR="006D4D17" w:rsidRPr="00AA7667" w:rsidRDefault="006D4D17" w:rsidP="00E33B64">
            <w:pPr>
              <w:ind w:firstLine="0"/>
              <w:rPr>
                <w:rFonts w:cstheme="majorBidi"/>
                <w:i/>
                <w:iCs/>
                <w:sz w:val="20"/>
                <w:szCs w:val="20"/>
              </w:rPr>
            </w:pPr>
            <w:proofErr w:type="spellStart"/>
            <w:r w:rsidRPr="00AA7667">
              <w:rPr>
                <w:rFonts w:cstheme="majorBidi"/>
                <w:i/>
                <w:iCs/>
                <w:sz w:val="20"/>
                <w:szCs w:val="20"/>
              </w:rPr>
              <w:t>LnAveEmployeePay</w:t>
            </w:r>
            <w:proofErr w:type="spellEnd"/>
          </w:p>
        </w:tc>
        <w:tc>
          <w:tcPr>
            <w:tcW w:w="5953" w:type="dxa"/>
            <w:tcBorders>
              <w:bottom w:val="single" w:sz="8" w:space="0" w:color="auto"/>
            </w:tcBorders>
          </w:tcPr>
          <w:p w14:paraId="4D6A86E4" w14:textId="77777777" w:rsidR="006D4D17" w:rsidRPr="000B20D9" w:rsidRDefault="006D4D17" w:rsidP="00E33B64">
            <w:pPr>
              <w:ind w:firstLine="0"/>
              <w:rPr>
                <w:rFonts w:cstheme="majorBidi"/>
                <w:sz w:val="20"/>
                <w:szCs w:val="20"/>
              </w:rPr>
            </w:pPr>
            <w:r>
              <w:rPr>
                <w:rFonts w:cstheme="majorBidi"/>
                <w:sz w:val="20"/>
                <w:szCs w:val="20"/>
              </w:rPr>
              <w:t xml:space="preserve">The natural logarithm of </w:t>
            </w:r>
            <w:r w:rsidRPr="000B20D9">
              <w:rPr>
                <w:rFonts w:cstheme="majorBidi"/>
                <w:sz w:val="20"/>
                <w:szCs w:val="20"/>
              </w:rPr>
              <w:t>Employee benefits (Wage</w:t>
            </w:r>
            <w:r>
              <w:rPr>
                <w:rFonts w:cstheme="majorBidi"/>
                <w:sz w:val="20"/>
                <w:szCs w:val="20"/>
              </w:rPr>
              <w:t>s</w:t>
            </w:r>
            <w:r w:rsidRPr="000B20D9">
              <w:rPr>
                <w:rFonts w:cstheme="majorBidi"/>
                <w:sz w:val="20"/>
                <w:szCs w:val="20"/>
              </w:rPr>
              <w:t xml:space="preserve"> and salaries, superannuation, share-based payment</w:t>
            </w:r>
            <w:r>
              <w:rPr>
                <w:rFonts w:cstheme="majorBidi"/>
                <w:sz w:val="20"/>
                <w:szCs w:val="20"/>
              </w:rPr>
              <w:t>s</w:t>
            </w:r>
            <w:r w:rsidRPr="000B20D9">
              <w:rPr>
                <w:rFonts w:cstheme="majorBidi"/>
                <w:sz w:val="20"/>
                <w:szCs w:val="20"/>
              </w:rPr>
              <w:t xml:space="preserve">) </w:t>
            </w:r>
            <w:r>
              <w:rPr>
                <w:rFonts w:cstheme="majorBidi"/>
                <w:sz w:val="20"/>
                <w:szCs w:val="20"/>
              </w:rPr>
              <w:t xml:space="preserve">minus CEO compensation divided by the </w:t>
            </w:r>
            <w:r w:rsidRPr="000B20D9">
              <w:rPr>
                <w:rFonts w:cstheme="majorBidi"/>
                <w:sz w:val="20"/>
                <w:szCs w:val="20"/>
              </w:rPr>
              <w:t>number of employees</w:t>
            </w:r>
            <w:r>
              <w:rPr>
                <w:rFonts w:cstheme="majorBidi"/>
                <w:sz w:val="20"/>
                <w:szCs w:val="20"/>
              </w:rPr>
              <w:t xml:space="preserve"> minus one</w:t>
            </w:r>
          </w:p>
        </w:tc>
        <w:tc>
          <w:tcPr>
            <w:tcW w:w="1881" w:type="dxa"/>
            <w:tcBorders>
              <w:bottom w:val="single" w:sz="8" w:space="0" w:color="auto"/>
            </w:tcBorders>
          </w:tcPr>
          <w:p w14:paraId="0AC5B990" w14:textId="77777777" w:rsidR="006D4D17" w:rsidRPr="000B20D9" w:rsidRDefault="006D4D17" w:rsidP="00E33B64">
            <w:pPr>
              <w:ind w:firstLine="0"/>
              <w:rPr>
                <w:rFonts w:cstheme="majorBidi"/>
                <w:sz w:val="20"/>
                <w:szCs w:val="20"/>
              </w:rPr>
            </w:pPr>
          </w:p>
        </w:tc>
      </w:tr>
      <w:tr w:rsidR="006D4D17" w:rsidRPr="000B20D9" w14:paraId="75FD2397" w14:textId="77777777" w:rsidTr="00E33B64">
        <w:tc>
          <w:tcPr>
            <w:tcW w:w="10069" w:type="dxa"/>
            <w:gridSpan w:val="3"/>
            <w:tcBorders>
              <w:top w:val="single" w:sz="8" w:space="0" w:color="auto"/>
            </w:tcBorders>
          </w:tcPr>
          <w:p w14:paraId="05D92215" w14:textId="77777777" w:rsidR="006D4D17" w:rsidRPr="000B20D9" w:rsidRDefault="006D4D17" w:rsidP="00E33B64">
            <w:pPr>
              <w:ind w:firstLine="0"/>
              <w:rPr>
                <w:rFonts w:cstheme="majorBidi"/>
                <w:sz w:val="20"/>
                <w:szCs w:val="20"/>
              </w:rPr>
            </w:pPr>
            <w:r w:rsidRPr="000B20D9">
              <w:rPr>
                <w:rFonts w:cstheme="majorBidi"/>
                <w:b/>
                <w:bCs/>
                <w:sz w:val="20"/>
                <w:szCs w:val="20"/>
              </w:rPr>
              <w:t xml:space="preserve">CEO’s </w:t>
            </w:r>
            <w:proofErr w:type="spellStart"/>
            <w:r w:rsidRPr="000B20D9">
              <w:rPr>
                <w:rFonts w:cstheme="majorBidi"/>
                <w:b/>
                <w:bCs/>
                <w:sz w:val="20"/>
                <w:szCs w:val="20"/>
              </w:rPr>
              <w:t>Barganing</w:t>
            </w:r>
            <w:proofErr w:type="spellEnd"/>
            <w:r w:rsidRPr="000B20D9">
              <w:rPr>
                <w:rFonts w:cstheme="majorBidi"/>
                <w:b/>
                <w:bCs/>
                <w:sz w:val="20"/>
                <w:szCs w:val="20"/>
              </w:rPr>
              <w:t xml:space="preserve"> Power:</w:t>
            </w:r>
          </w:p>
        </w:tc>
      </w:tr>
      <w:tr w:rsidR="006D4D17" w:rsidRPr="000B20D9" w14:paraId="5EB3293F" w14:textId="77777777" w:rsidTr="00E33B64">
        <w:tc>
          <w:tcPr>
            <w:tcW w:w="2235" w:type="dxa"/>
          </w:tcPr>
          <w:p w14:paraId="0B4B5F41" w14:textId="77777777" w:rsidR="006D4D17" w:rsidRPr="000B20D9" w:rsidRDefault="006D4D17" w:rsidP="00E33B64">
            <w:pPr>
              <w:ind w:firstLine="0"/>
              <w:rPr>
                <w:rFonts w:cstheme="majorBidi"/>
                <w:b/>
                <w:bCs/>
                <w:sz w:val="20"/>
                <w:szCs w:val="20"/>
              </w:rPr>
            </w:pPr>
            <w:proofErr w:type="spellStart"/>
            <w:r w:rsidRPr="000B20D9">
              <w:rPr>
                <w:rFonts w:cstheme="majorBidi"/>
                <w:i/>
                <w:iCs/>
                <w:sz w:val="20"/>
                <w:szCs w:val="20"/>
              </w:rPr>
              <w:t>LnRevenue</w:t>
            </w:r>
            <w:proofErr w:type="spellEnd"/>
          </w:p>
        </w:tc>
        <w:tc>
          <w:tcPr>
            <w:tcW w:w="5953" w:type="dxa"/>
          </w:tcPr>
          <w:p w14:paraId="6591FCC7" w14:textId="77777777" w:rsidR="006D4D17" w:rsidRPr="000B20D9" w:rsidRDefault="006D4D17" w:rsidP="00E33B64">
            <w:pPr>
              <w:ind w:firstLine="0"/>
              <w:rPr>
                <w:rFonts w:cstheme="majorBidi"/>
                <w:sz w:val="20"/>
                <w:szCs w:val="20"/>
              </w:rPr>
            </w:pPr>
            <w:r w:rsidRPr="000B20D9">
              <w:rPr>
                <w:rFonts w:cstheme="majorBidi"/>
                <w:sz w:val="20"/>
                <w:szCs w:val="20"/>
              </w:rPr>
              <w:t xml:space="preserve">The natural log of total </w:t>
            </w:r>
            <w:r w:rsidRPr="00330DF2">
              <w:rPr>
                <w:rFonts w:cstheme="majorBidi"/>
                <w:sz w:val="20"/>
                <w:szCs w:val="20"/>
              </w:rPr>
              <w:t>sales in million</w:t>
            </w:r>
            <w:r>
              <w:rPr>
                <w:rFonts w:cstheme="majorBidi"/>
                <w:sz w:val="20"/>
                <w:szCs w:val="20"/>
              </w:rPr>
              <w:t>s of</w:t>
            </w:r>
            <w:r w:rsidRPr="00330DF2">
              <w:rPr>
                <w:rFonts w:cstheme="majorBidi"/>
                <w:sz w:val="20"/>
                <w:szCs w:val="20"/>
              </w:rPr>
              <w:t xml:space="preserve"> dollars,</w:t>
            </w:r>
          </w:p>
        </w:tc>
        <w:tc>
          <w:tcPr>
            <w:tcW w:w="1881" w:type="dxa"/>
          </w:tcPr>
          <w:p w14:paraId="2C9B5907"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16C0A090" w14:textId="77777777" w:rsidTr="00E33B64">
        <w:tc>
          <w:tcPr>
            <w:tcW w:w="2235" w:type="dxa"/>
          </w:tcPr>
          <w:p w14:paraId="1A424F93" w14:textId="77777777" w:rsidR="006D4D17" w:rsidRPr="000B20D9" w:rsidRDefault="006D4D17" w:rsidP="00E33B64">
            <w:pPr>
              <w:ind w:firstLine="0"/>
              <w:rPr>
                <w:rFonts w:cstheme="majorBidi"/>
                <w:b/>
                <w:bCs/>
                <w:sz w:val="20"/>
                <w:szCs w:val="20"/>
              </w:rPr>
            </w:pPr>
            <w:r w:rsidRPr="000B20D9">
              <w:rPr>
                <w:rFonts w:cstheme="majorBidi"/>
                <w:i/>
                <w:iCs/>
                <w:sz w:val="20"/>
                <w:szCs w:val="20"/>
              </w:rPr>
              <w:t>BTM</w:t>
            </w:r>
          </w:p>
        </w:tc>
        <w:tc>
          <w:tcPr>
            <w:tcW w:w="5953" w:type="dxa"/>
          </w:tcPr>
          <w:p w14:paraId="7CF36D46" w14:textId="77777777" w:rsidR="006D4D17" w:rsidRPr="000B20D9" w:rsidRDefault="006D4D17" w:rsidP="00E33B64">
            <w:pPr>
              <w:ind w:firstLine="0"/>
              <w:rPr>
                <w:rFonts w:cstheme="majorBidi"/>
                <w:sz w:val="20"/>
                <w:szCs w:val="20"/>
              </w:rPr>
            </w:pPr>
            <w:r w:rsidRPr="000B20D9">
              <w:rPr>
                <w:rFonts w:cstheme="majorBidi"/>
                <w:sz w:val="20"/>
                <w:szCs w:val="20"/>
              </w:rPr>
              <w:t xml:space="preserve">Book value of equity </w:t>
            </w:r>
            <w:proofErr w:type="gramStart"/>
            <w:r w:rsidRPr="000B20D9">
              <w:rPr>
                <w:rFonts w:cstheme="majorBidi"/>
                <w:sz w:val="20"/>
                <w:szCs w:val="20"/>
              </w:rPr>
              <w:t>/(</w:t>
            </w:r>
            <w:proofErr w:type="gramEnd"/>
            <w:r w:rsidRPr="000B20D9">
              <w:rPr>
                <w:rFonts w:cstheme="majorBidi"/>
                <w:sz w:val="20"/>
                <w:szCs w:val="20"/>
              </w:rPr>
              <w:t>share price * total shares outstanding)</w:t>
            </w:r>
          </w:p>
        </w:tc>
        <w:tc>
          <w:tcPr>
            <w:tcW w:w="1881" w:type="dxa"/>
          </w:tcPr>
          <w:p w14:paraId="21B42372"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3F632098" w14:textId="77777777" w:rsidTr="00E33B64">
        <w:tc>
          <w:tcPr>
            <w:tcW w:w="2235" w:type="dxa"/>
          </w:tcPr>
          <w:p w14:paraId="76DC671C" w14:textId="77777777" w:rsidR="006D4D17" w:rsidRPr="000B20D9" w:rsidRDefault="006D4D17" w:rsidP="00E33B64">
            <w:pPr>
              <w:ind w:firstLine="0"/>
              <w:rPr>
                <w:rFonts w:cstheme="majorBidi"/>
                <w:b/>
                <w:bCs/>
                <w:sz w:val="20"/>
                <w:szCs w:val="20"/>
              </w:rPr>
            </w:pPr>
            <w:proofErr w:type="spellStart"/>
            <w:r w:rsidRPr="000B20D9">
              <w:rPr>
                <w:rFonts w:cstheme="majorBidi"/>
                <w:i/>
                <w:iCs/>
                <w:sz w:val="20"/>
                <w:szCs w:val="20"/>
              </w:rPr>
              <w:t>LnAge</w:t>
            </w:r>
            <w:proofErr w:type="spellEnd"/>
          </w:p>
        </w:tc>
        <w:tc>
          <w:tcPr>
            <w:tcW w:w="5953" w:type="dxa"/>
          </w:tcPr>
          <w:p w14:paraId="006CA339" w14:textId="77777777" w:rsidR="006D4D17" w:rsidRPr="000B20D9" w:rsidRDefault="006D4D17" w:rsidP="00E33B64">
            <w:pPr>
              <w:ind w:firstLine="0"/>
              <w:rPr>
                <w:rFonts w:cstheme="majorBidi"/>
                <w:sz w:val="20"/>
                <w:szCs w:val="20"/>
              </w:rPr>
            </w:pPr>
            <w:r w:rsidRPr="000B20D9">
              <w:rPr>
                <w:rFonts w:cstheme="majorBidi"/>
                <w:sz w:val="20"/>
                <w:szCs w:val="20"/>
              </w:rPr>
              <w:t xml:space="preserve">Natural log of (current fiscal date – listing date) </w:t>
            </w:r>
            <w:r>
              <w:rPr>
                <w:rFonts w:cstheme="majorBidi"/>
                <w:sz w:val="20"/>
                <w:szCs w:val="20"/>
              </w:rPr>
              <w:t>per</w:t>
            </w:r>
            <w:r w:rsidRPr="000B20D9">
              <w:rPr>
                <w:rFonts w:cstheme="majorBidi"/>
                <w:sz w:val="20"/>
                <w:szCs w:val="20"/>
              </w:rPr>
              <w:t xml:space="preserve"> year</w:t>
            </w:r>
          </w:p>
        </w:tc>
        <w:tc>
          <w:tcPr>
            <w:tcW w:w="1881" w:type="dxa"/>
          </w:tcPr>
          <w:p w14:paraId="62BE7388" w14:textId="77777777" w:rsidR="006D4D17" w:rsidRPr="000B20D9" w:rsidRDefault="006D4D17" w:rsidP="00E33B64">
            <w:pPr>
              <w:ind w:firstLine="0"/>
              <w:rPr>
                <w:rFonts w:cstheme="majorBidi"/>
                <w:sz w:val="20"/>
                <w:szCs w:val="20"/>
              </w:rPr>
            </w:pPr>
          </w:p>
        </w:tc>
      </w:tr>
      <w:tr w:rsidR="006D4D17" w:rsidRPr="000B20D9" w14:paraId="7A812498" w14:textId="77777777" w:rsidTr="00E33B64">
        <w:tc>
          <w:tcPr>
            <w:tcW w:w="2235" w:type="dxa"/>
          </w:tcPr>
          <w:p w14:paraId="58E633A5" w14:textId="77777777" w:rsidR="006D4D17" w:rsidRPr="000B20D9" w:rsidRDefault="006D4D17" w:rsidP="00E33B64">
            <w:pPr>
              <w:ind w:firstLine="0"/>
              <w:rPr>
                <w:rFonts w:cstheme="majorBidi"/>
                <w:i/>
                <w:iCs/>
                <w:sz w:val="20"/>
                <w:szCs w:val="20"/>
              </w:rPr>
            </w:pPr>
            <w:r w:rsidRPr="000B20D9">
              <w:rPr>
                <w:rFonts w:cstheme="majorBidi"/>
                <w:i/>
                <w:iCs/>
                <w:sz w:val="20"/>
                <w:szCs w:val="20"/>
              </w:rPr>
              <w:t>Ret</w:t>
            </w:r>
          </w:p>
        </w:tc>
        <w:tc>
          <w:tcPr>
            <w:tcW w:w="5953" w:type="dxa"/>
          </w:tcPr>
          <w:p w14:paraId="12582546" w14:textId="77777777" w:rsidR="006D4D17" w:rsidRPr="000B20D9" w:rsidRDefault="006D4D17" w:rsidP="00E33B64">
            <w:pPr>
              <w:ind w:firstLine="0"/>
              <w:rPr>
                <w:rFonts w:cstheme="majorBidi"/>
                <w:sz w:val="20"/>
                <w:szCs w:val="20"/>
              </w:rPr>
            </w:pPr>
            <w:r w:rsidRPr="000B20D9">
              <w:rPr>
                <w:rFonts w:cstheme="majorBidi"/>
                <w:sz w:val="20"/>
                <w:szCs w:val="20"/>
              </w:rPr>
              <w:t>Log (return during the fiscal year)</w:t>
            </w:r>
          </w:p>
        </w:tc>
        <w:tc>
          <w:tcPr>
            <w:tcW w:w="1881" w:type="dxa"/>
          </w:tcPr>
          <w:p w14:paraId="5A9AAA39"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25713B67" w14:textId="77777777" w:rsidTr="00E33B64">
        <w:tc>
          <w:tcPr>
            <w:tcW w:w="2235" w:type="dxa"/>
          </w:tcPr>
          <w:p w14:paraId="4765DDE5" w14:textId="77777777" w:rsidR="006D4D17" w:rsidRPr="000B20D9" w:rsidRDefault="006D4D17" w:rsidP="00E33B64">
            <w:pPr>
              <w:ind w:firstLine="0"/>
              <w:rPr>
                <w:rFonts w:cstheme="majorBidi"/>
                <w:sz w:val="20"/>
                <w:szCs w:val="20"/>
              </w:rPr>
            </w:pPr>
            <w:r w:rsidRPr="000B20D9">
              <w:rPr>
                <w:rFonts w:cstheme="majorBidi"/>
                <w:i/>
                <w:iCs/>
                <w:sz w:val="20"/>
                <w:szCs w:val="20"/>
              </w:rPr>
              <w:t>ROA</w:t>
            </w:r>
          </w:p>
        </w:tc>
        <w:tc>
          <w:tcPr>
            <w:tcW w:w="5953" w:type="dxa"/>
          </w:tcPr>
          <w:p w14:paraId="29FE6BA4" w14:textId="77777777" w:rsidR="006D4D17" w:rsidRPr="000B20D9" w:rsidRDefault="006D4D17" w:rsidP="00E33B64">
            <w:pPr>
              <w:ind w:firstLine="0"/>
              <w:rPr>
                <w:rFonts w:cstheme="majorBidi"/>
                <w:sz w:val="20"/>
                <w:szCs w:val="20"/>
              </w:rPr>
            </w:pPr>
            <w:r w:rsidRPr="000B20D9">
              <w:rPr>
                <w:rFonts w:cstheme="majorBidi"/>
                <w:sz w:val="20"/>
                <w:szCs w:val="20"/>
              </w:rPr>
              <w:t>(Net Income + (Interest Expense on Debt-Interest Capitalized) * (1-Tax Rate)) / Average of Last Year’s and Current Year’s Total Assets * 100</w:t>
            </w:r>
          </w:p>
        </w:tc>
        <w:tc>
          <w:tcPr>
            <w:tcW w:w="1881" w:type="dxa"/>
          </w:tcPr>
          <w:p w14:paraId="20743711"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5306CBBA" w14:textId="77777777" w:rsidTr="00E33B64">
        <w:tc>
          <w:tcPr>
            <w:tcW w:w="2235" w:type="dxa"/>
          </w:tcPr>
          <w:p w14:paraId="0400A90D" w14:textId="77777777" w:rsidR="006D4D17" w:rsidRPr="000B20D9" w:rsidRDefault="006D4D17" w:rsidP="00E33B64">
            <w:pPr>
              <w:ind w:firstLine="0"/>
              <w:rPr>
                <w:rFonts w:cstheme="majorBidi"/>
                <w:i/>
                <w:iCs/>
                <w:sz w:val="20"/>
                <w:szCs w:val="20"/>
              </w:rPr>
            </w:pPr>
            <w:proofErr w:type="spellStart"/>
            <w:r w:rsidRPr="000B20D9">
              <w:rPr>
                <w:rFonts w:cstheme="majorBidi"/>
                <w:i/>
                <w:iCs/>
                <w:sz w:val="20"/>
                <w:szCs w:val="20"/>
              </w:rPr>
              <w:t>STDRet</w:t>
            </w:r>
            <w:proofErr w:type="spellEnd"/>
          </w:p>
        </w:tc>
        <w:tc>
          <w:tcPr>
            <w:tcW w:w="5953" w:type="dxa"/>
          </w:tcPr>
          <w:p w14:paraId="286207E7" w14:textId="77777777" w:rsidR="006D4D17" w:rsidRPr="000B20D9" w:rsidRDefault="006D4D17" w:rsidP="00E33B64">
            <w:pPr>
              <w:ind w:firstLine="0"/>
              <w:rPr>
                <w:rFonts w:cstheme="majorBidi"/>
                <w:sz w:val="20"/>
                <w:szCs w:val="20"/>
              </w:rPr>
            </w:pPr>
            <w:r w:rsidRPr="000B20D9">
              <w:rPr>
                <w:rFonts w:cstheme="majorBidi"/>
                <w:sz w:val="20"/>
                <w:szCs w:val="20"/>
              </w:rPr>
              <w:t>Rolling 60-month standard deviation of returns,</w:t>
            </w:r>
            <w:r w:rsidRPr="000B20D9">
              <w:rPr>
                <w:rStyle w:val="FootnoteReference"/>
                <w:sz w:val="20"/>
                <w:szCs w:val="20"/>
              </w:rPr>
              <w:footnoteReference w:id="29"/>
            </w:r>
          </w:p>
        </w:tc>
        <w:tc>
          <w:tcPr>
            <w:tcW w:w="1881" w:type="dxa"/>
          </w:tcPr>
          <w:p w14:paraId="53D5FAE3" w14:textId="77777777" w:rsidR="006D4D17" w:rsidRPr="000B20D9" w:rsidRDefault="006D4D17" w:rsidP="00E33B64">
            <w:pPr>
              <w:ind w:firstLine="0"/>
              <w:rPr>
                <w:rFonts w:cstheme="majorBidi"/>
                <w:sz w:val="20"/>
                <w:szCs w:val="20"/>
              </w:rPr>
            </w:pPr>
          </w:p>
        </w:tc>
      </w:tr>
      <w:tr w:rsidR="006D4D17" w:rsidRPr="000B20D9" w14:paraId="146D896F" w14:textId="77777777" w:rsidTr="00E33B64">
        <w:tc>
          <w:tcPr>
            <w:tcW w:w="2235" w:type="dxa"/>
          </w:tcPr>
          <w:p w14:paraId="46C282AD" w14:textId="77777777" w:rsidR="006D4D17" w:rsidRPr="000B20D9" w:rsidRDefault="006D4D17" w:rsidP="00E33B64">
            <w:pPr>
              <w:ind w:firstLine="0"/>
              <w:rPr>
                <w:rFonts w:cstheme="majorBidi"/>
                <w:i/>
                <w:iCs/>
                <w:sz w:val="20"/>
                <w:szCs w:val="20"/>
              </w:rPr>
            </w:pPr>
            <w:r w:rsidRPr="000B20D9">
              <w:rPr>
                <w:rFonts w:cstheme="majorBidi"/>
                <w:i/>
                <w:iCs/>
                <w:sz w:val="20"/>
                <w:szCs w:val="20"/>
              </w:rPr>
              <w:t>STDROA</w:t>
            </w:r>
          </w:p>
        </w:tc>
        <w:tc>
          <w:tcPr>
            <w:tcW w:w="5953" w:type="dxa"/>
          </w:tcPr>
          <w:p w14:paraId="2F1BF41A" w14:textId="77777777" w:rsidR="006D4D17" w:rsidRPr="000B20D9" w:rsidRDefault="006D4D17" w:rsidP="00E33B64">
            <w:pPr>
              <w:ind w:firstLine="0"/>
              <w:rPr>
                <w:rFonts w:cstheme="majorBidi"/>
                <w:sz w:val="20"/>
                <w:szCs w:val="20"/>
              </w:rPr>
            </w:pPr>
            <w:r w:rsidRPr="000B20D9">
              <w:rPr>
                <w:rFonts w:cstheme="majorBidi"/>
                <w:sz w:val="20"/>
                <w:szCs w:val="20"/>
              </w:rPr>
              <w:t>Rolling 5</w:t>
            </w:r>
            <w:r>
              <w:rPr>
                <w:rFonts w:cstheme="majorBidi"/>
                <w:sz w:val="20"/>
                <w:szCs w:val="20"/>
              </w:rPr>
              <w:t>-</w:t>
            </w:r>
            <w:r w:rsidRPr="000B20D9">
              <w:rPr>
                <w:rFonts w:cstheme="majorBidi"/>
                <w:sz w:val="20"/>
                <w:szCs w:val="20"/>
              </w:rPr>
              <w:t>year standard deviation of returns,</w:t>
            </w:r>
            <w:r w:rsidRPr="000B20D9">
              <w:rPr>
                <w:rStyle w:val="FootnoteReference"/>
                <w:sz w:val="20"/>
                <w:szCs w:val="20"/>
              </w:rPr>
              <w:footnoteReference w:id="30"/>
            </w:r>
          </w:p>
        </w:tc>
        <w:tc>
          <w:tcPr>
            <w:tcW w:w="1881" w:type="dxa"/>
          </w:tcPr>
          <w:p w14:paraId="5E704756" w14:textId="77777777" w:rsidR="006D4D17" w:rsidRPr="000B20D9" w:rsidRDefault="006D4D17" w:rsidP="00E33B64">
            <w:pPr>
              <w:ind w:firstLine="0"/>
              <w:rPr>
                <w:rFonts w:cstheme="majorBidi"/>
                <w:sz w:val="20"/>
                <w:szCs w:val="20"/>
              </w:rPr>
            </w:pPr>
          </w:p>
        </w:tc>
      </w:tr>
      <w:tr w:rsidR="006D4D17" w:rsidRPr="000B20D9" w14:paraId="5BEFFFA2" w14:textId="77777777" w:rsidTr="00E33B64">
        <w:tc>
          <w:tcPr>
            <w:tcW w:w="2235" w:type="dxa"/>
          </w:tcPr>
          <w:p w14:paraId="493E1CF9" w14:textId="77777777" w:rsidR="006D4D17" w:rsidRPr="000B20D9" w:rsidRDefault="006D4D17" w:rsidP="00E33B64">
            <w:pPr>
              <w:ind w:firstLine="0"/>
              <w:rPr>
                <w:rFonts w:cstheme="majorBidi"/>
                <w:i/>
                <w:iCs/>
                <w:sz w:val="20"/>
                <w:szCs w:val="20"/>
              </w:rPr>
            </w:pPr>
            <w:r w:rsidRPr="000B20D9">
              <w:rPr>
                <w:rFonts w:cstheme="majorBidi"/>
                <w:i/>
                <w:iCs/>
                <w:sz w:val="20"/>
                <w:szCs w:val="20"/>
              </w:rPr>
              <w:t>Leverage</w:t>
            </w:r>
          </w:p>
        </w:tc>
        <w:tc>
          <w:tcPr>
            <w:tcW w:w="5953" w:type="dxa"/>
          </w:tcPr>
          <w:p w14:paraId="6EEA5864" w14:textId="77777777" w:rsidR="006D4D17" w:rsidRPr="000B20D9" w:rsidRDefault="006D4D17" w:rsidP="00E33B64">
            <w:pPr>
              <w:ind w:firstLine="0"/>
              <w:rPr>
                <w:rFonts w:cstheme="majorBidi"/>
                <w:sz w:val="20"/>
                <w:szCs w:val="20"/>
              </w:rPr>
            </w:pPr>
            <w:r w:rsidRPr="000B20D9">
              <w:rPr>
                <w:rFonts w:cstheme="majorBidi"/>
                <w:sz w:val="20"/>
                <w:szCs w:val="20"/>
              </w:rPr>
              <w:t>Total long-term debt scaled by the total asset</w:t>
            </w:r>
            <w:r>
              <w:rPr>
                <w:rFonts w:cstheme="majorBidi"/>
                <w:sz w:val="20"/>
                <w:szCs w:val="20"/>
              </w:rPr>
              <w:t>s</w:t>
            </w:r>
          </w:p>
        </w:tc>
        <w:tc>
          <w:tcPr>
            <w:tcW w:w="1881" w:type="dxa"/>
          </w:tcPr>
          <w:p w14:paraId="2F4DEFA9"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4FD5E8BB" w14:textId="77777777" w:rsidTr="00E33B64">
        <w:tc>
          <w:tcPr>
            <w:tcW w:w="2235" w:type="dxa"/>
          </w:tcPr>
          <w:p w14:paraId="212ED081" w14:textId="77777777" w:rsidR="006D4D17" w:rsidRPr="000B20D9" w:rsidRDefault="006D4D17" w:rsidP="00E33B64">
            <w:pPr>
              <w:ind w:firstLine="0"/>
              <w:rPr>
                <w:rFonts w:cstheme="majorBidi"/>
                <w:i/>
                <w:iCs/>
                <w:sz w:val="20"/>
                <w:szCs w:val="20"/>
              </w:rPr>
            </w:pPr>
            <w:proofErr w:type="spellStart"/>
            <w:r w:rsidRPr="000B20D9">
              <w:rPr>
                <w:rFonts w:cstheme="majorBidi"/>
                <w:i/>
                <w:iCs/>
                <w:sz w:val="20"/>
                <w:szCs w:val="20"/>
              </w:rPr>
              <w:t>BoardSize</w:t>
            </w:r>
            <w:proofErr w:type="spellEnd"/>
          </w:p>
        </w:tc>
        <w:tc>
          <w:tcPr>
            <w:tcW w:w="5953" w:type="dxa"/>
          </w:tcPr>
          <w:p w14:paraId="1C01B8DC" w14:textId="77777777" w:rsidR="006D4D17" w:rsidRPr="000B20D9" w:rsidRDefault="006D4D17" w:rsidP="00E33B64">
            <w:pPr>
              <w:ind w:firstLine="0"/>
              <w:rPr>
                <w:rFonts w:cstheme="majorBidi"/>
                <w:sz w:val="20"/>
                <w:szCs w:val="20"/>
              </w:rPr>
            </w:pPr>
            <w:r w:rsidRPr="000B20D9">
              <w:rPr>
                <w:rFonts w:cstheme="majorBidi"/>
                <w:sz w:val="20"/>
                <w:szCs w:val="20"/>
              </w:rPr>
              <w:t>The total number of board members at the end of the fiscal year</w:t>
            </w:r>
          </w:p>
        </w:tc>
        <w:tc>
          <w:tcPr>
            <w:tcW w:w="1881" w:type="dxa"/>
          </w:tcPr>
          <w:p w14:paraId="091D9B27"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56225BC6" w14:textId="77777777" w:rsidTr="00E33B64">
        <w:tc>
          <w:tcPr>
            <w:tcW w:w="2235" w:type="dxa"/>
          </w:tcPr>
          <w:p w14:paraId="5C4E254C" w14:textId="77777777" w:rsidR="006D4D17" w:rsidRPr="000B20D9" w:rsidRDefault="006D4D17" w:rsidP="00E33B64">
            <w:pPr>
              <w:ind w:firstLine="0"/>
              <w:rPr>
                <w:rFonts w:cstheme="majorBidi"/>
                <w:i/>
                <w:iCs/>
                <w:sz w:val="20"/>
                <w:szCs w:val="20"/>
              </w:rPr>
            </w:pPr>
            <w:proofErr w:type="spellStart"/>
            <w:r w:rsidRPr="000B20D9">
              <w:rPr>
                <w:rFonts w:cstheme="majorBidi"/>
                <w:i/>
                <w:iCs/>
                <w:sz w:val="20"/>
                <w:szCs w:val="20"/>
              </w:rPr>
              <w:t>IsCEOBoard</w:t>
            </w:r>
            <w:proofErr w:type="spellEnd"/>
          </w:p>
        </w:tc>
        <w:tc>
          <w:tcPr>
            <w:tcW w:w="5953" w:type="dxa"/>
          </w:tcPr>
          <w:p w14:paraId="3CF9CCDF" w14:textId="77777777" w:rsidR="006D4D17" w:rsidRPr="000B20D9" w:rsidRDefault="006D4D17" w:rsidP="00E33B64">
            <w:pPr>
              <w:ind w:firstLine="0"/>
              <w:rPr>
                <w:rFonts w:cstheme="majorBidi"/>
                <w:sz w:val="20"/>
                <w:szCs w:val="20"/>
              </w:rPr>
            </w:pPr>
            <w:r w:rsidRPr="000B20D9">
              <w:rPr>
                <w:rFonts w:cstheme="majorBidi"/>
                <w:sz w:val="20"/>
                <w:szCs w:val="20"/>
              </w:rPr>
              <w:t>An indicator equal to 1 if the CEO is a board member and 0 otherwise</w:t>
            </w:r>
          </w:p>
        </w:tc>
        <w:tc>
          <w:tcPr>
            <w:tcW w:w="1881" w:type="dxa"/>
          </w:tcPr>
          <w:p w14:paraId="56354EF1"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769D200E" w14:textId="77777777" w:rsidTr="00E33B64">
        <w:tc>
          <w:tcPr>
            <w:tcW w:w="2235" w:type="dxa"/>
          </w:tcPr>
          <w:p w14:paraId="7F27AE2A" w14:textId="77777777" w:rsidR="006D4D17" w:rsidRPr="000B20D9" w:rsidRDefault="006D4D17" w:rsidP="00E33B64">
            <w:pPr>
              <w:ind w:firstLine="0"/>
              <w:rPr>
                <w:rFonts w:cstheme="majorBidi"/>
                <w:i/>
                <w:iCs/>
                <w:sz w:val="20"/>
                <w:szCs w:val="20"/>
              </w:rPr>
            </w:pPr>
            <w:proofErr w:type="spellStart"/>
            <w:r w:rsidRPr="000B20D9">
              <w:rPr>
                <w:rFonts w:cstheme="majorBidi"/>
                <w:i/>
                <w:iCs/>
                <w:sz w:val="20"/>
                <w:szCs w:val="20"/>
              </w:rPr>
              <w:t>IsCEOChair</w:t>
            </w:r>
            <w:proofErr w:type="spellEnd"/>
          </w:p>
        </w:tc>
        <w:tc>
          <w:tcPr>
            <w:tcW w:w="5953" w:type="dxa"/>
          </w:tcPr>
          <w:p w14:paraId="30518F66" w14:textId="77777777" w:rsidR="006D4D17" w:rsidRPr="000B20D9" w:rsidRDefault="006D4D17" w:rsidP="00E33B64">
            <w:pPr>
              <w:ind w:firstLine="0"/>
              <w:rPr>
                <w:rFonts w:cstheme="majorBidi"/>
                <w:sz w:val="20"/>
                <w:szCs w:val="20"/>
              </w:rPr>
            </w:pPr>
            <w:r w:rsidRPr="000B20D9">
              <w:rPr>
                <w:rFonts w:cstheme="majorBidi"/>
                <w:sz w:val="20"/>
                <w:szCs w:val="20"/>
              </w:rPr>
              <w:t>An indicator equal to 1 if the CEO is the chairman of the board and 0 otherwise</w:t>
            </w:r>
          </w:p>
        </w:tc>
        <w:tc>
          <w:tcPr>
            <w:tcW w:w="1881" w:type="dxa"/>
          </w:tcPr>
          <w:p w14:paraId="43F7058F"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0B06D64C" w14:textId="77777777" w:rsidTr="00E33B64">
        <w:tc>
          <w:tcPr>
            <w:tcW w:w="2235" w:type="dxa"/>
          </w:tcPr>
          <w:p w14:paraId="04E3A284" w14:textId="77777777" w:rsidR="006D4D17" w:rsidRPr="000B20D9" w:rsidRDefault="006D4D17" w:rsidP="00E33B64">
            <w:pPr>
              <w:ind w:firstLine="0"/>
              <w:rPr>
                <w:rFonts w:cstheme="majorBidi"/>
                <w:i/>
                <w:iCs/>
                <w:sz w:val="20"/>
                <w:szCs w:val="20"/>
              </w:rPr>
            </w:pPr>
            <w:proofErr w:type="spellStart"/>
            <w:r w:rsidRPr="000B20D9">
              <w:rPr>
                <w:rFonts w:cstheme="majorBidi"/>
                <w:i/>
                <w:iCs/>
                <w:sz w:val="20"/>
                <w:szCs w:val="20"/>
              </w:rPr>
              <w:t>BoardTenure</w:t>
            </w:r>
            <w:proofErr w:type="spellEnd"/>
          </w:p>
        </w:tc>
        <w:tc>
          <w:tcPr>
            <w:tcW w:w="5953" w:type="dxa"/>
          </w:tcPr>
          <w:p w14:paraId="2BDE44F2" w14:textId="77777777" w:rsidR="006D4D17" w:rsidRPr="000B20D9" w:rsidRDefault="006D4D17" w:rsidP="00E33B64">
            <w:pPr>
              <w:ind w:firstLine="0"/>
              <w:rPr>
                <w:rFonts w:cstheme="majorBidi"/>
                <w:sz w:val="20"/>
                <w:szCs w:val="20"/>
              </w:rPr>
            </w:pPr>
            <w:r w:rsidRPr="000B20D9">
              <w:rPr>
                <w:rFonts w:cstheme="majorBidi"/>
                <w:sz w:val="20"/>
                <w:szCs w:val="20"/>
              </w:rPr>
              <w:t>The average number of years that each board member has been on the board.</w:t>
            </w:r>
          </w:p>
        </w:tc>
        <w:tc>
          <w:tcPr>
            <w:tcW w:w="1881" w:type="dxa"/>
          </w:tcPr>
          <w:p w14:paraId="0907CB17"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5E439E01" w14:textId="77777777" w:rsidTr="00E33B64">
        <w:tc>
          <w:tcPr>
            <w:tcW w:w="2235" w:type="dxa"/>
            <w:tcBorders>
              <w:bottom w:val="single" w:sz="8" w:space="0" w:color="auto"/>
            </w:tcBorders>
          </w:tcPr>
          <w:p w14:paraId="2057EA24" w14:textId="77777777" w:rsidR="006D4D17" w:rsidRPr="000B20D9" w:rsidRDefault="006D4D17" w:rsidP="00E33B64">
            <w:pPr>
              <w:ind w:firstLine="0"/>
              <w:rPr>
                <w:rFonts w:cstheme="majorBidi"/>
                <w:i/>
                <w:iCs/>
                <w:sz w:val="20"/>
                <w:szCs w:val="20"/>
              </w:rPr>
            </w:pPr>
            <w:proofErr w:type="spellStart"/>
            <w:r w:rsidRPr="000B20D9">
              <w:rPr>
                <w:rFonts w:cstheme="majorBidi"/>
                <w:i/>
                <w:iCs/>
                <w:sz w:val="20"/>
                <w:szCs w:val="20"/>
              </w:rPr>
              <w:t>IndCommittee</w:t>
            </w:r>
            <w:proofErr w:type="spellEnd"/>
          </w:p>
        </w:tc>
        <w:tc>
          <w:tcPr>
            <w:tcW w:w="5953" w:type="dxa"/>
            <w:tcBorders>
              <w:bottom w:val="single" w:sz="8" w:space="0" w:color="auto"/>
            </w:tcBorders>
          </w:tcPr>
          <w:p w14:paraId="67BE3A52" w14:textId="77777777" w:rsidR="006D4D17" w:rsidRPr="000B20D9" w:rsidRDefault="006D4D17" w:rsidP="00E33B64">
            <w:pPr>
              <w:ind w:firstLine="0"/>
              <w:rPr>
                <w:rFonts w:cstheme="majorBidi"/>
                <w:sz w:val="20"/>
                <w:szCs w:val="20"/>
              </w:rPr>
            </w:pPr>
            <w:r w:rsidRPr="000B20D9">
              <w:rPr>
                <w:rFonts w:cstheme="majorBidi"/>
                <w:sz w:val="20"/>
                <w:szCs w:val="20"/>
              </w:rPr>
              <w:t>Percentage of independent board members on the compensation committee as stipulated by the company</w:t>
            </w:r>
          </w:p>
        </w:tc>
        <w:tc>
          <w:tcPr>
            <w:tcW w:w="1881" w:type="dxa"/>
            <w:tcBorders>
              <w:bottom w:val="single" w:sz="8" w:space="0" w:color="auto"/>
            </w:tcBorders>
          </w:tcPr>
          <w:p w14:paraId="07D0546D"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325BD315" w14:textId="77777777" w:rsidTr="00E33B64">
        <w:tc>
          <w:tcPr>
            <w:tcW w:w="10069" w:type="dxa"/>
            <w:gridSpan w:val="3"/>
            <w:tcBorders>
              <w:top w:val="single" w:sz="8" w:space="0" w:color="auto"/>
            </w:tcBorders>
          </w:tcPr>
          <w:p w14:paraId="63118658" w14:textId="77777777" w:rsidR="006D4D17" w:rsidRPr="000B20D9" w:rsidRDefault="006D4D17" w:rsidP="00E33B64">
            <w:pPr>
              <w:ind w:firstLine="0"/>
              <w:rPr>
                <w:rFonts w:cstheme="majorBidi"/>
                <w:sz w:val="20"/>
                <w:szCs w:val="20"/>
              </w:rPr>
            </w:pPr>
            <w:r w:rsidRPr="000B20D9">
              <w:rPr>
                <w:rFonts w:cstheme="majorBidi"/>
                <w:b/>
                <w:bCs/>
                <w:sz w:val="20"/>
                <w:szCs w:val="20"/>
              </w:rPr>
              <w:t>Employee Bargaining Power:</w:t>
            </w:r>
          </w:p>
        </w:tc>
      </w:tr>
      <w:tr w:rsidR="006D4D17" w:rsidRPr="000B20D9" w14:paraId="5A3BE202" w14:textId="77777777" w:rsidTr="00E33B64">
        <w:tc>
          <w:tcPr>
            <w:tcW w:w="2235" w:type="dxa"/>
          </w:tcPr>
          <w:p w14:paraId="07BDA2CD" w14:textId="77777777" w:rsidR="006D4D17" w:rsidRPr="000B20D9" w:rsidRDefault="006D4D17" w:rsidP="00E33B64">
            <w:pPr>
              <w:ind w:firstLine="0"/>
              <w:rPr>
                <w:rFonts w:cstheme="majorBidi"/>
                <w:i/>
                <w:iCs/>
                <w:sz w:val="20"/>
                <w:szCs w:val="20"/>
              </w:rPr>
            </w:pPr>
            <w:proofErr w:type="spellStart"/>
            <w:r w:rsidRPr="000B20D9">
              <w:rPr>
                <w:rFonts w:cstheme="majorBidi"/>
                <w:i/>
                <w:iCs/>
                <w:sz w:val="20"/>
                <w:szCs w:val="20"/>
              </w:rPr>
              <w:t>RDIntensity</w:t>
            </w:r>
            <w:proofErr w:type="spellEnd"/>
          </w:p>
        </w:tc>
        <w:tc>
          <w:tcPr>
            <w:tcW w:w="5953" w:type="dxa"/>
          </w:tcPr>
          <w:p w14:paraId="111B419B" w14:textId="77777777" w:rsidR="006D4D17" w:rsidRPr="000B20D9" w:rsidRDefault="006D4D17" w:rsidP="00E33B64">
            <w:pPr>
              <w:ind w:firstLine="0"/>
              <w:rPr>
                <w:rFonts w:cstheme="majorBidi"/>
                <w:sz w:val="20"/>
                <w:szCs w:val="20"/>
              </w:rPr>
            </w:pPr>
            <w:r w:rsidRPr="000B20D9">
              <w:rPr>
                <w:rFonts w:cstheme="majorBidi"/>
                <w:sz w:val="20"/>
                <w:szCs w:val="20"/>
              </w:rPr>
              <w:t xml:space="preserve">Research and development expenses scaled by total asset, assumed equal to zero when R&amp;D is missing in </w:t>
            </w:r>
            <w:proofErr w:type="spellStart"/>
            <w:r w:rsidRPr="000B20D9">
              <w:rPr>
                <w:rFonts w:cstheme="majorBidi"/>
                <w:sz w:val="20"/>
                <w:szCs w:val="20"/>
              </w:rPr>
              <w:t>Datastream</w:t>
            </w:r>
            <w:proofErr w:type="spellEnd"/>
            <w:r w:rsidRPr="000B20D9">
              <w:rPr>
                <w:rFonts w:cstheme="majorBidi"/>
                <w:sz w:val="20"/>
                <w:szCs w:val="20"/>
              </w:rPr>
              <w:t>.</w:t>
            </w:r>
          </w:p>
        </w:tc>
        <w:tc>
          <w:tcPr>
            <w:tcW w:w="1881" w:type="dxa"/>
          </w:tcPr>
          <w:p w14:paraId="5DB09473"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18DDC405" w14:textId="77777777" w:rsidTr="00E33B64">
        <w:tc>
          <w:tcPr>
            <w:tcW w:w="2235" w:type="dxa"/>
          </w:tcPr>
          <w:p w14:paraId="465A4596" w14:textId="77777777" w:rsidR="006D4D17" w:rsidRPr="000B20D9" w:rsidRDefault="006D4D17" w:rsidP="00E33B64">
            <w:pPr>
              <w:ind w:firstLine="0"/>
              <w:rPr>
                <w:rFonts w:cstheme="majorBidi"/>
                <w:i/>
                <w:iCs/>
                <w:sz w:val="20"/>
                <w:szCs w:val="20"/>
              </w:rPr>
            </w:pPr>
            <w:proofErr w:type="spellStart"/>
            <w:r w:rsidRPr="000B20D9">
              <w:rPr>
                <w:rFonts w:cstheme="majorBidi"/>
                <w:i/>
                <w:iCs/>
                <w:sz w:val="20"/>
                <w:szCs w:val="20"/>
              </w:rPr>
              <w:t>PPTIntensity</w:t>
            </w:r>
            <w:proofErr w:type="spellEnd"/>
          </w:p>
        </w:tc>
        <w:tc>
          <w:tcPr>
            <w:tcW w:w="5953" w:type="dxa"/>
          </w:tcPr>
          <w:p w14:paraId="102C63B0" w14:textId="77777777" w:rsidR="006D4D17" w:rsidRPr="000B20D9" w:rsidRDefault="006D4D17" w:rsidP="00E33B64">
            <w:pPr>
              <w:ind w:firstLine="0"/>
              <w:rPr>
                <w:rFonts w:cstheme="majorBidi"/>
                <w:sz w:val="20"/>
                <w:szCs w:val="20"/>
              </w:rPr>
            </w:pPr>
            <w:r w:rsidRPr="000B20D9">
              <w:rPr>
                <w:rFonts w:cstheme="majorBidi"/>
                <w:sz w:val="20"/>
                <w:szCs w:val="20"/>
              </w:rPr>
              <w:t xml:space="preserve">Net property, plant and equipment per employee in millions </w:t>
            </w:r>
            <w:r>
              <w:rPr>
                <w:rFonts w:cstheme="majorBidi"/>
                <w:sz w:val="20"/>
                <w:szCs w:val="20"/>
              </w:rPr>
              <w:t xml:space="preserve">of </w:t>
            </w:r>
            <w:r w:rsidRPr="000B20D9">
              <w:rPr>
                <w:rFonts w:cstheme="majorBidi"/>
                <w:sz w:val="20"/>
                <w:szCs w:val="20"/>
              </w:rPr>
              <w:t>dollars.</w:t>
            </w:r>
          </w:p>
        </w:tc>
        <w:tc>
          <w:tcPr>
            <w:tcW w:w="1881" w:type="dxa"/>
          </w:tcPr>
          <w:p w14:paraId="11F90266" w14:textId="77777777" w:rsidR="006D4D17" w:rsidRPr="000B20D9" w:rsidRDefault="006D4D17" w:rsidP="00E33B64">
            <w:pPr>
              <w:ind w:firstLine="0"/>
              <w:rPr>
                <w:rFonts w:cstheme="majorBidi"/>
                <w:sz w:val="20"/>
                <w:szCs w:val="20"/>
              </w:rPr>
            </w:pPr>
            <w:proofErr w:type="spellStart"/>
            <w:r w:rsidRPr="000B20D9">
              <w:rPr>
                <w:rFonts w:cstheme="majorBidi"/>
                <w:sz w:val="20"/>
                <w:szCs w:val="20"/>
              </w:rPr>
              <w:t>Datastream</w:t>
            </w:r>
            <w:proofErr w:type="spellEnd"/>
          </w:p>
        </w:tc>
      </w:tr>
      <w:tr w:rsidR="006D4D17" w:rsidRPr="000B20D9" w14:paraId="1FDE7A27" w14:textId="77777777" w:rsidTr="00E33B64">
        <w:tc>
          <w:tcPr>
            <w:tcW w:w="2235" w:type="dxa"/>
          </w:tcPr>
          <w:p w14:paraId="0EB5B9CE" w14:textId="77777777" w:rsidR="006D4D17" w:rsidRPr="000B20D9" w:rsidRDefault="006D4D17" w:rsidP="00E33B64">
            <w:pPr>
              <w:ind w:firstLine="0"/>
              <w:rPr>
                <w:rFonts w:cstheme="majorBidi"/>
                <w:i/>
                <w:iCs/>
                <w:sz w:val="20"/>
                <w:szCs w:val="20"/>
              </w:rPr>
            </w:pPr>
            <w:r w:rsidRPr="000B20D9">
              <w:rPr>
                <w:rFonts w:cstheme="majorBidi"/>
                <w:i/>
                <w:iCs/>
                <w:sz w:val="20"/>
                <w:szCs w:val="20"/>
              </w:rPr>
              <w:t>Education</w:t>
            </w:r>
          </w:p>
        </w:tc>
        <w:tc>
          <w:tcPr>
            <w:tcW w:w="5953" w:type="dxa"/>
          </w:tcPr>
          <w:p w14:paraId="6CA5B9F9" w14:textId="77777777" w:rsidR="006D4D17" w:rsidRPr="000B20D9" w:rsidRDefault="006D4D17" w:rsidP="00E33B64">
            <w:pPr>
              <w:ind w:firstLine="0"/>
              <w:rPr>
                <w:rFonts w:cstheme="majorBidi"/>
                <w:sz w:val="20"/>
                <w:szCs w:val="20"/>
              </w:rPr>
            </w:pPr>
            <w:r w:rsidRPr="000B20D9">
              <w:rPr>
                <w:rFonts w:cstheme="majorBidi"/>
                <w:sz w:val="20"/>
                <w:szCs w:val="20"/>
              </w:rPr>
              <w:t xml:space="preserve">The percentage of </w:t>
            </w:r>
            <w:r>
              <w:rPr>
                <w:rFonts w:cstheme="majorBidi"/>
                <w:sz w:val="20"/>
                <w:szCs w:val="20"/>
              </w:rPr>
              <w:t xml:space="preserve">the </w:t>
            </w:r>
            <w:r w:rsidRPr="000B20D9">
              <w:rPr>
                <w:rFonts w:cstheme="majorBidi"/>
                <w:sz w:val="20"/>
                <w:szCs w:val="20"/>
              </w:rPr>
              <w:t xml:space="preserve">population with at least </w:t>
            </w:r>
            <w:r>
              <w:rPr>
                <w:rFonts w:cstheme="majorBidi"/>
                <w:sz w:val="20"/>
                <w:szCs w:val="20"/>
              </w:rPr>
              <w:t xml:space="preserve">a </w:t>
            </w:r>
            <w:r w:rsidRPr="000B20D9">
              <w:rPr>
                <w:rFonts w:cstheme="majorBidi"/>
                <w:sz w:val="20"/>
                <w:szCs w:val="20"/>
              </w:rPr>
              <w:t>bachelor</w:t>
            </w:r>
            <w:r>
              <w:rPr>
                <w:rFonts w:cstheme="majorBidi"/>
                <w:sz w:val="20"/>
                <w:szCs w:val="20"/>
              </w:rPr>
              <w:t>’s</w:t>
            </w:r>
            <w:r w:rsidRPr="000B20D9">
              <w:rPr>
                <w:rFonts w:cstheme="majorBidi"/>
                <w:sz w:val="20"/>
                <w:szCs w:val="20"/>
              </w:rPr>
              <w:t xml:space="preserve"> degree in each region in each year.</w:t>
            </w:r>
          </w:p>
        </w:tc>
        <w:tc>
          <w:tcPr>
            <w:tcW w:w="1881" w:type="dxa"/>
          </w:tcPr>
          <w:p w14:paraId="2CDC70C1" w14:textId="77777777" w:rsidR="006D4D17" w:rsidRPr="000B20D9" w:rsidRDefault="006D4D17" w:rsidP="00E33B64">
            <w:pPr>
              <w:ind w:firstLine="0"/>
              <w:rPr>
                <w:rFonts w:cstheme="majorBidi"/>
                <w:sz w:val="20"/>
                <w:szCs w:val="20"/>
              </w:rPr>
            </w:pPr>
          </w:p>
        </w:tc>
      </w:tr>
      <w:tr w:rsidR="006D4D17" w:rsidRPr="000B20D9" w14:paraId="3216E391" w14:textId="77777777" w:rsidTr="00E33B64">
        <w:tc>
          <w:tcPr>
            <w:tcW w:w="2235" w:type="dxa"/>
          </w:tcPr>
          <w:p w14:paraId="3500DC12" w14:textId="77777777" w:rsidR="006D4D17" w:rsidRPr="000B20D9" w:rsidRDefault="006D4D17" w:rsidP="00E33B64">
            <w:pPr>
              <w:ind w:firstLine="0"/>
              <w:rPr>
                <w:rFonts w:cstheme="majorBidi"/>
                <w:i/>
                <w:iCs/>
                <w:sz w:val="20"/>
                <w:szCs w:val="20"/>
              </w:rPr>
            </w:pPr>
            <w:proofErr w:type="spellStart"/>
            <w:r w:rsidRPr="000B20D9">
              <w:rPr>
                <w:rFonts w:cstheme="majorBidi"/>
                <w:i/>
                <w:iCs/>
                <w:sz w:val="20"/>
                <w:szCs w:val="20"/>
              </w:rPr>
              <w:t>IndConcentration</w:t>
            </w:r>
            <w:proofErr w:type="spellEnd"/>
          </w:p>
        </w:tc>
        <w:tc>
          <w:tcPr>
            <w:tcW w:w="5953" w:type="dxa"/>
          </w:tcPr>
          <w:p w14:paraId="7D077753" w14:textId="20E4B7FC" w:rsidR="006D4D17" w:rsidRPr="000B20D9" w:rsidRDefault="006D4D17" w:rsidP="00E33B64">
            <w:pPr>
              <w:ind w:firstLine="0"/>
              <w:rPr>
                <w:rFonts w:cstheme="majorBidi"/>
                <w:sz w:val="20"/>
                <w:szCs w:val="20"/>
              </w:rPr>
            </w:pPr>
            <w:r w:rsidRPr="000B20D9">
              <w:rPr>
                <w:rFonts w:cstheme="majorBidi"/>
                <w:sz w:val="20"/>
                <w:szCs w:val="20"/>
              </w:rPr>
              <w:t xml:space="preserve">The sales-based Herfindahl </w:t>
            </w:r>
            <w:r w:rsidRPr="005A1E63">
              <w:rPr>
                <w:rFonts w:cstheme="majorBidi"/>
                <w:sz w:val="20"/>
                <w:szCs w:val="20"/>
              </w:rPr>
              <w:t xml:space="preserve">index calculated based on all </w:t>
            </w:r>
            <w:proofErr w:type="spellStart"/>
            <w:r w:rsidRPr="005A1E63">
              <w:rPr>
                <w:rFonts w:cstheme="majorBidi"/>
                <w:sz w:val="20"/>
                <w:szCs w:val="20"/>
              </w:rPr>
              <w:t>Datastream</w:t>
            </w:r>
            <w:proofErr w:type="spellEnd"/>
            <w:r w:rsidRPr="005A1E63">
              <w:rPr>
                <w:rFonts w:cstheme="majorBidi"/>
                <w:sz w:val="20"/>
                <w:szCs w:val="20"/>
              </w:rPr>
              <w:t xml:space="preserve"> firms in the same industry. Revenue is </w:t>
            </w:r>
            <w:r w:rsidR="00C55BD0">
              <w:rPr>
                <w:rFonts w:cstheme="majorBidi"/>
                <w:sz w:val="20"/>
                <w:szCs w:val="20"/>
              </w:rPr>
              <w:t>trimmed</w:t>
            </w:r>
            <w:r w:rsidRPr="005A1E63">
              <w:rPr>
                <w:rFonts w:cstheme="majorBidi"/>
                <w:sz w:val="20"/>
                <w:szCs w:val="20"/>
              </w:rPr>
              <w:t xml:space="preserve"> at the 5 and 95</w:t>
            </w:r>
            <w:r w:rsidRPr="005A1E63">
              <w:rPr>
                <w:rFonts w:cstheme="majorBidi"/>
                <w:sz w:val="20"/>
                <w:szCs w:val="20"/>
                <w:vertAlign w:val="superscript"/>
              </w:rPr>
              <w:t>th</w:t>
            </w:r>
            <w:r w:rsidRPr="005A1E63">
              <w:rPr>
                <w:rFonts w:cstheme="majorBidi"/>
                <w:sz w:val="20"/>
                <w:szCs w:val="20"/>
              </w:rPr>
              <w:t xml:space="preserve"> percentiles.</w:t>
            </w:r>
          </w:p>
        </w:tc>
        <w:tc>
          <w:tcPr>
            <w:tcW w:w="1881" w:type="dxa"/>
          </w:tcPr>
          <w:p w14:paraId="2279B4B9" w14:textId="77777777" w:rsidR="006D4D17" w:rsidRPr="000B20D9" w:rsidRDefault="006D4D17" w:rsidP="00E33B64">
            <w:pPr>
              <w:ind w:firstLine="0"/>
              <w:rPr>
                <w:rFonts w:cstheme="majorBidi"/>
                <w:sz w:val="20"/>
                <w:szCs w:val="20"/>
              </w:rPr>
            </w:pPr>
          </w:p>
        </w:tc>
      </w:tr>
      <w:tr w:rsidR="006D4D17" w:rsidRPr="000B20D9" w14:paraId="0E9F178F" w14:textId="77777777" w:rsidTr="00E33B64">
        <w:tc>
          <w:tcPr>
            <w:tcW w:w="2235" w:type="dxa"/>
          </w:tcPr>
          <w:p w14:paraId="3324FAA8" w14:textId="77777777" w:rsidR="006D4D17" w:rsidRPr="000B20D9" w:rsidRDefault="006D4D17" w:rsidP="00E33B64">
            <w:pPr>
              <w:ind w:firstLine="0"/>
              <w:rPr>
                <w:rFonts w:cstheme="majorBidi"/>
                <w:i/>
                <w:iCs/>
                <w:sz w:val="20"/>
                <w:szCs w:val="20"/>
              </w:rPr>
            </w:pPr>
            <w:r w:rsidRPr="000B20D9">
              <w:rPr>
                <w:rFonts w:cstheme="majorBidi"/>
                <w:i/>
                <w:iCs/>
                <w:sz w:val="20"/>
                <w:szCs w:val="20"/>
              </w:rPr>
              <w:t>Union</w:t>
            </w:r>
          </w:p>
        </w:tc>
        <w:tc>
          <w:tcPr>
            <w:tcW w:w="5953" w:type="dxa"/>
          </w:tcPr>
          <w:p w14:paraId="2CB0D5BA" w14:textId="77777777" w:rsidR="006D4D17" w:rsidRPr="000B20D9" w:rsidRDefault="006D4D17" w:rsidP="00E33B64">
            <w:pPr>
              <w:ind w:firstLine="0"/>
              <w:rPr>
                <w:rFonts w:cstheme="majorBidi"/>
                <w:sz w:val="20"/>
                <w:szCs w:val="20"/>
              </w:rPr>
            </w:pPr>
            <w:r w:rsidRPr="000B20D9">
              <w:rPr>
                <w:rFonts w:cstheme="majorBidi"/>
                <w:sz w:val="20"/>
                <w:szCs w:val="20"/>
              </w:rPr>
              <w:t>The percentage of employee</w:t>
            </w:r>
            <w:r>
              <w:rPr>
                <w:rFonts w:cstheme="majorBidi"/>
                <w:sz w:val="20"/>
                <w:szCs w:val="20"/>
              </w:rPr>
              <w:t>s</w:t>
            </w:r>
            <w:r w:rsidRPr="000B20D9">
              <w:rPr>
                <w:rFonts w:cstheme="majorBidi"/>
                <w:sz w:val="20"/>
                <w:szCs w:val="20"/>
              </w:rPr>
              <w:t xml:space="preserve"> who are member</w:t>
            </w:r>
            <w:r>
              <w:rPr>
                <w:rFonts w:cstheme="majorBidi"/>
                <w:sz w:val="20"/>
                <w:szCs w:val="20"/>
              </w:rPr>
              <w:t>s</w:t>
            </w:r>
            <w:r w:rsidRPr="000B20D9">
              <w:rPr>
                <w:rFonts w:cstheme="majorBidi"/>
                <w:sz w:val="20"/>
                <w:szCs w:val="20"/>
              </w:rPr>
              <w:t xml:space="preserve"> of trade union</w:t>
            </w:r>
            <w:r>
              <w:rPr>
                <w:rFonts w:cstheme="majorBidi"/>
                <w:sz w:val="20"/>
                <w:szCs w:val="20"/>
              </w:rPr>
              <w:t>s</w:t>
            </w:r>
            <w:r w:rsidRPr="000B20D9">
              <w:rPr>
                <w:rFonts w:cstheme="majorBidi"/>
                <w:sz w:val="20"/>
                <w:szCs w:val="20"/>
              </w:rPr>
              <w:t xml:space="preserve"> in each region in each year.</w:t>
            </w:r>
          </w:p>
        </w:tc>
        <w:tc>
          <w:tcPr>
            <w:tcW w:w="1881" w:type="dxa"/>
          </w:tcPr>
          <w:p w14:paraId="1703FA1E" w14:textId="77777777" w:rsidR="006D4D17" w:rsidRPr="000B20D9" w:rsidRDefault="006D4D17" w:rsidP="00E33B64">
            <w:pPr>
              <w:ind w:firstLine="0"/>
              <w:rPr>
                <w:rFonts w:cstheme="majorBidi"/>
                <w:sz w:val="20"/>
                <w:szCs w:val="20"/>
              </w:rPr>
            </w:pPr>
            <w:r>
              <w:rPr>
                <w:rFonts w:cstheme="majorBidi"/>
                <w:sz w:val="20"/>
                <w:szCs w:val="20"/>
              </w:rPr>
              <w:t>ASB</w:t>
            </w:r>
          </w:p>
        </w:tc>
      </w:tr>
      <w:tr w:rsidR="006D4D17" w:rsidRPr="000B20D9" w14:paraId="67C0DF89" w14:textId="77777777" w:rsidTr="00E33B64">
        <w:tc>
          <w:tcPr>
            <w:tcW w:w="2235" w:type="dxa"/>
          </w:tcPr>
          <w:p w14:paraId="08578771" w14:textId="77777777" w:rsidR="006D4D17" w:rsidRPr="000B20D9" w:rsidRDefault="006D4D17" w:rsidP="00E33B64">
            <w:pPr>
              <w:ind w:firstLine="0"/>
              <w:rPr>
                <w:rFonts w:cstheme="majorBidi"/>
                <w:i/>
                <w:iCs/>
                <w:sz w:val="20"/>
                <w:szCs w:val="20"/>
              </w:rPr>
            </w:pPr>
            <w:proofErr w:type="spellStart"/>
            <w:r w:rsidRPr="000B20D9">
              <w:rPr>
                <w:rFonts w:cstheme="majorBidi"/>
                <w:i/>
                <w:iCs/>
                <w:sz w:val="20"/>
                <w:szCs w:val="20"/>
              </w:rPr>
              <w:t>UnemploymentRate</w:t>
            </w:r>
            <w:proofErr w:type="spellEnd"/>
          </w:p>
        </w:tc>
        <w:tc>
          <w:tcPr>
            <w:tcW w:w="5953" w:type="dxa"/>
          </w:tcPr>
          <w:p w14:paraId="20F3C043" w14:textId="77777777" w:rsidR="006D4D17" w:rsidRPr="000B20D9" w:rsidRDefault="006D4D17" w:rsidP="00E33B64">
            <w:pPr>
              <w:ind w:firstLine="0"/>
              <w:rPr>
                <w:rFonts w:cstheme="majorBidi"/>
                <w:sz w:val="20"/>
                <w:szCs w:val="20"/>
              </w:rPr>
            </w:pPr>
            <w:r w:rsidRPr="000B20D9">
              <w:rPr>
                <w:rFonts w:cstheme="majorBidi"/>
                <w:sz w:val="20"/>
                <w:szCs w:val="20"/>
              </w:rPr>
              <w:t>The percentage of those looking for</w:t>
            </w:r>
            <w:r>
              <w:rPr>
                <w:rFonts w:cstheme="majorBidi"/>
                <w:sz w:val="20"/>
                <w:szCs w:val="20"/>
              </w:rPr>
              <w:t xml:space="preserve"> a</w:t>
            </w:r>
            <w:r w:rsidRPr="000B20D9">
              <w:rPr>
                <w:rFonts w:cstheme="majorBidi"/>
                <w:sz w:val="20"/>
                <w:szCs w:val="20"/>
              </w:rPr>
              <w:t xml:space="preserve"> job</w:t>
            </w:r>
            <w:r>
              <w:rPr>
                <w:rFonts w:cstheme="majorBidi"/>
                <w:sz w:val="20"/>
                <w:szCs w:val="20"/>
              </w:rPr>
              <w:t xml:space="preserve"> in the</w:t>
            </w:r>
            <w:r w:rsidRPr="000B20D9">
              <w:rPr>
                <w:rFonts w:cstheme="majorBidi"/>
                <w:sz w:val="20"/>
                <w:szCs w:val="20"/>
              </w:rPr>
              <w:t xml:space="preserve"> labour force in each region in each </w:t>
            </w:r>
            <w:proofErr w:type="gramStart"/>
            <w:r w:rsidRPr="000B20D9">
              <w:rPr>
                <w:rFonts w:cstheme="majorBidi"/>
                <w:sz w:val="20"/>
                <w:szCs w:val="20"/>
              </w:rPr>
              <w:t>year .</w:t>
            </w:r>
            <w:proofErr w:type="gramEnd"/>
          </w:p>
        </w:tc>
        <w:tc>
          <w:tcPr>
            <w:tcW w:w="1881" w:type="dxa"/>
          </w:tcPr>
          <w:p w14:paraId="42238562" w14:textId="77777777" w:rsidR="006D4D17" w:rsidRPr="000B20D9" w:rsidRDefault="006D4D17" w:rsidP="00E33B64">
            <w:pPr>
              <w:ind w:firstLine="0"/>
              <w:rPr>
                <w:rFonts w:cstheme="majorBidi"/>
                <w:sz w:val="20"/>
                <w:szCs w:val="20"/>
              </w:rPr>
            </w:pPr>
            <w:r>
              <w:rPr>
                <w:rFonts w:cstheme="majorBidi"/>
                <w:sz w:val="20"/>
                <w:szCs w:val="20"/>
              </w:rPr>
              <w:t>ASB</w:t>
            </w:r>
          </w:p>
        </w:tc>
      </w:tr>
      <w:tr w:rsidR="006D4D17" w:rsidRPr="00A67EBE" w14:paraId="3CA887FD" w14:textId="77777777" w:rsidTr="00E33B64">
        <w:tc>
          <w:tcPr>
            <w:tcW w:w="2235" w:type="dxa"/>
            <w:tcBorders>
              <w:bottom w:val="single" w:sz="8" w:space="0" w:color="auto"/>
            </w:tcBorders>
          </w:tcPr>
          <w:p w14:paraId="6D4C69ED" w14:textId="77777777" w:rsidR="006D4D17" w:rsidRPr="000B20D9" w:rsidRDefault="006D4D17" w:rsidP="00E33B64">
            <w:pPr>
              <w:ind w:firstLine="0"/>
              <w:rPr>
                <w:rFonts w:cstheme="majorBidi"/>
                <w:i/>
                <w:iCs/>
                <w:sz w:val="20"/>
                <w:szCs w:val="20"/>
              </w:rPr>
            </w:pPr>
            <w:proofErr w:type="spellStart"/>
            <w:r w:rsidRPr="000B20D9">
              <w:rPr>
                <w:rFonts w:cstheme="majorBidi"/>
                <w:i/>
                <w:iCs/>
                <w:sz w:val="20"/>
                <w:szCs w:val="20"/>
              </w:rPr>
              <w:t>VacantJob</w:t>
            </w:r>
            <w:proofErr w:type="spellEnd"/>
          </w:p>
          <w:p w14:paraId="27889D2A" w14:textId="77777777" w:rsidR="006D4D17" w:rsidRPr="000B20D9" w:rsidRDefault="006D4D17" w:rsidP="00E33B64">
            <w:pPr>
              <w:ind w:firstLine="0"/>
              <w:rPr>
                <w:rFonts w:cstheme="majorBidi"/>
                <w:i/>
                <w:iCs/>
                <w:sz w:val="20"/>
                <w:szCs w:val="20"/>
              </w:rPr>
            </w:pPr>
          </w:p>
        </w:tc>
        <w:tc>
          <w:tcPr>
            <w:tcW w:w="5953" w:type="dxa"/>
            <w:tcBorders>
              <w:bottom w:val="single" w:sz="8" w:space="0" w:color="auto"/>
            </w:tcBorders>
          </w:tcPr>
          <w:p w14:paraId="3F0215AC" w14:textId="77777777" w:rsidR="006D4D17" w:rsidRDefault="006D4D17" w:rsidP="00E33B64">
            <w:pPr>
              <w:ind w:firstLine="0"/>
              <w:rPr>
                <w:rFonts w:cstheme="majorBidi"/>
                <w:sz w:val="20"/>
                <w:szCs w:val="20"/>
              </w:rPr>
            </w:pPr>
            <w:r w:rsidRPr="000B20D9">
              <w:rPr>
                <w:rFonts w:cstheme="majorBidi"/>
                <w:sz w:val="20"/>
                <w:szCs w:val="20"/>
              </w:rPr>
              <w:t>The ratio of vacant job</w:t>
            </w:r>
            <w:r>
              <w:rPr>
                <w:rFonts w:cstheme="majorBidi"/>
                <w:sz w:val="20"/>
                <w:szCs w:val="20"/>
              </w:rPr>
              <w:t>s</w:t>
            </w:r>
            <w:r w:rsidRPr="000B20D9">
              <w:rPr>
                <w:rFonts w:cstheme="majorBidi"/>
                <w:sz w:val="20"/>
                <w:szCs w:val="20"/>
              </w:rPr>
              <w:t xml:space="preserve"> to total job</w:t>
            </w:r>
            <w:r>
              <w:rPr>
                <w:rFonts w:cstheme="majorBidi"/>
                <w:sz w:val="20"/>
                <w:szCs w:val="20"/>
              </w:rPr>
              <w:t>s</w:t>
            </w:r>
            <w:r w:rsidRPr="000B20D9">
              <w:rPr>
                <w:rFonts w:cstheme="majorBidi"/>
                <w:sz w:val="20"/>
                <w:szCs w:val="20"/>
              </w:rPr>
              <w:t xml:space="preserve"> in each industry in each year.</w:t>
            </w:r>
          </w:p>
          <w:p w14:paraId="4E0630EA" w14:textId="77777777" w:rsidR="006D4D17" w:rsidRPr="00A67EBE" w:rsidRDefault="006D4D17" w:rsidP="00E33B64">
            <w:pPr>
              <w:ind w:firstLine="0"/>
              <w:rPr>
                <w:rFonts w:cstheme="majorBidi"/>
                <w:sz w:val="20"/>
                <w:szCs w:val="20"/>
              </w:rPr>
            </w:pPr>
          </w:p>
        </w:tc>
        <w:tc>
          <w:tcPr>
            <w:tcW w:w="1881" w:type="dxa"/>
            <w:tcBorders>
              <w:bottom w:val="single" w:sz="8" w:space="0" w:color="auto"/>
            </w:tcBorders>
          </w:tcPr>
          <w:p w14:paraId="5E8F5B25" w14:textId="77777777" w:rsidR="006D4D17" w:rsidRPr="00A67EBE" w:rsidRDefault="006D4D17" w:rsidP="00E33B64">
            <w:pPr>
              <w:ind w:firstLine="0"/>
              <w:rPr>
                <w:rFonts w:cstheme="majorBidi"/>
                <w:sz w:val="20"/>
                <w:szCs w:val="20"/>
              </w:rPr>
            </w:pPr>
            <w:r>
              <w:rPr>
                <w:rFonts w:cstheme="majorBidi"/>
                <w:sz w:val="20"/>
                <w:szCs w:val="20"/>
              </w:rPr>
              <w:t>ASB</w:t>
            </w:r>
          </w:p>
        </w:tc>
      </w:tr>
    </w:tbl>
    <w:p w14:paraId="6E6F0D24" w14:textId="77777777" w:rsidR="006D4D17" w:rsidRPr="00107E65" w:rsidRDefault="006D4D17" w:rsidP="006D4D17">
      <w:pPr>
        <w:tabs>
          <w:tab w:val="left" w:pos="567"/>
        </w:tabs>
        <w:spacing w:line="240" w:lineRule="auto"/>
        <w:ind w:firstLine="0"/>
        <w:jc w:val="center"/>
        <w:rPr>
          <w:rFonts w:ascii="Times New Roman" w:eastAsiaTheme="minorHAnsi" w:hAnsi="Times New Roman" w:cs="Times New Roman"/>
          <w:b/>
          <w:bCs/>
          <w:sz w:val="22"/>
          <w:lang w:eastAsia="en-US"/>
        </w:rPr>
      </w:pPr>
      <w:r w:rsidRPr="00107E65">
        <w:rPr>
          <w:rFonts w:ascii="Times New Roman" w:eastAsiaTheme="minorHAnsi" w:hAnsi="Times New Roman" w:cs="Times New Roman"/>
          <w:b/>
          <w:bCs/>
          <w:sz w:val="22"/>
          <w:lang w:eastAsia="en-US"/>
        </w:rPr>
        <w:lastRenderedPageBreak/>
        <w:t>Appendix B: Industry map to join GICS to ANZSIC</w:t>
      </w:r>
    </w:p>
    <w:tbl>
      <w:tblPr>
        <w:tblStyle w:val="TableGrid1"/>
        <w:tblW w:w="10631" w:type="dxa"/>
        <w:jc w:val="center"/>
        <w:tblLook w:val="04A0" w:firstRow="1" w:lastRow="0" w:firstColumn="1" w:lastColumn="0" w:noHBand="0" w:noVBand="1"/>
      </w:tblPr>
      <w:tblGrid>
        <w:gridCol w:w="4430"/>
        <w:gridCol w:w="6201"/>
      </w:tblGrid>
      <w:tr w:rsidR="006D4D17" w:rsidRPr="006021F0" w14:paraId="61B3BD06" w14:textId="77777777" w:rsidTr="00E33B64">
        <w:trPr>
          <w:trHeight w:val="300"/>
          <w:jc w:val="center"/>
        </w:trPr>
        <w:tc>
          <w:tcPr>
            <w:tcW w:w="4430" w:type="dxa"/>
            <w:noWrap/>
            <w:vAlign w:val="center"/>
            <w:hideMark/>
          </w:tcPr>
          <w:p w14:paraId="35581D15" w14:textId="77777777" w:rsidR="006D4D17" w:rsidRPr="006021F0" w:rsidRDefault="006D4D17" w:rsidP="00E33B64">
            <w:pPr>
              <w:ind w:firstLine="0"/>
              <w:jc w:val="center"/>
              <w:rPr>
                <w:rFonts w:eastAsia="Times New Roman" w:cstheme="majorBidi"/>
                <w:b/>
                <w:bCs/>
                <w:color w:val="000000"/>
                <w:sz w:val="20"/>
                <w:szCs w:val="20"/>
              </w:rPr>
            </w:pPr>
            <w:r w:rsidRPr="006021F0">
              <w:rPr>
                <w:rFonts w:eastAsia="Times New Roman" w:cstheme="majorBidi"/>
                <w:b/>
                <w:bCs/>
                <w:color w:val="000000"/>
                <w:sz w:val="20"/>
                <w:szCs w:val="20"/>
              </w:rPr>
              <w:t xml:space="preserve">GICS </w:t>
            </w:r>
            <w:proofErr w:type="spellStart"/>
            <w:r w:rsidRPr="006021F0">
              <w:rPr>
                <w:rFonts w:eastAsia="Times New Roman" w:cstheme="majorBidi"/>
                <w:b/>
                <w:bCs/>
                <w:color w:val="000000"/>
                <w:sz w:val="20"/>
                <w:szCs w:val="20"/>
              </w:rPr>
              <w:t>IndustryGroup</w:t>
            </w:r>
            <w:proofErr w:type="spellEnd"/>
            <w:r w:rsidRPr="006021F0">
              <w:rPr>
                <w:rFonts w:eastAsia="Times New Roman" w:cstheme="majorBidi"/>
                <w:b/>
                <w:bCs/>
                <w:color w:val="000000"/>
                <w:sz w:val="20"/>
                <w:szCs w:val="20"/>
              </w:rPr>
              <w:t xml:space="preserve"> (two-digit)</w:t>
            </w:r>
          </w:p>
        </w:tc>
        <w:tc>
          <w:tcPr>
            <w:tcW w:w="6201" w:type="dxa"/>
            <w:noWrap/>
            <w:vAlign w:val="center"/>
            <w:hideMark/>
          </w:tcPr>
          <w:p w14:paraId="106083FA" w14:textId="77777777" w:rsidR="006D4D17" w:rsidRPr="006021F0" w:rsidRDefault="006D4D17" w:rsidP="00E33B64">
            <w:pPr>
              <w:ind w:firstLine="0"/>
              <w:jc w:val="center"/>
              <w:rPr>
                <w:rFonts w:eastAsia="Times New Roman" w:cstheme="majorBidi"/>
                <w:b/>
                <w:bCs/>
                <w:color w:val="000000"/>
                <w:sz w:val="20"/>
                <w:szCs w:val="20"/>
              </w:rPr>
            </w:pPr>
            <w:r w:rsidRPr="006021F0">
              <w:rPr>
                <w:rFonts w:eastAsia="Times New Roman" w:cstheme="majorBidi"/>
                <w:b/>
                <w:bCs/>
                <w:color w:val="000000"/>
                <w:sz w:val="20"/>
                <w:szCs w:val="20"/>
              </w:rPr>
              <w:t>ANZSIC code</w:t>
            </w:r>
          </w:p>
        </w:tc>
      </w:tr>
      <w:tr w:rsidR="006D4D17" w:rsidRPr="006021F0" w14:paraId="53598687" w14:textId="77777777" w:rsidTr="00E33B64">
        <w:trPr>
          <w:trHeight w:val="300"/>
          <w:jc w:val="center"/>
        </w:trPr>
        <w:tc>
          <w:tcPr>
            <w:tcW w:w="4430" w:type="dxa"/>
            <w:noWrap/>
            <w:vAlign w:val="center"/>
            <w:hideMark/>
          </w:tcPr>
          <w:p w14:paraId="476779A7"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Materials</w:t>
            </w:r>
          </w:p>
        </w:tc>
        <w:tc>
          <w:tcPr>
            <w:tcW w:w="6201" w:type="dxa"/>
            <w:noWrap/>
            <w:vAlign w:val="center"/>
            <w:hideMark/>
          </w:tcPr>
          <w:p w14:paraId="67B2D9C7"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Mining (B)</w:t>
            </w:r>
          </w:p>
        </w:tc>
      </w:tr>
      <w:tr w:rsidR="006D4D17" w:rsidRPr="006021F0" w14:paraId="584BDFDD" w14:textId="77777777" w:rsidTr="00E33B64">
        <w:trPr>
          <w:trHeight w:val="300"/>
          <w:jc w:val="center"/>
        </w:trPr>
        <w:tc>
          <w:tcPr>
            <w:tcW w:w="4430" w:type="dxa"/>
            <w:noWrap/>
            <w:vAlign w:val="center"/>
            <w:hideMark/>
          </w:tcPr>
          <w:p w14:paraId="2C8ABDB7"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Energy</w:t>
            </w:r>
          </w:p>
        </w:tc>
        <w:tc>
          <w:tcPr>
            <w:tcW w:w="6201" w:type="dxa"/>
            <w:noWrap/>
            <w:vAlign w:val="center"/>
            <w:hideMark/>
          </w:tcPr>
          <w:p w14:paraId="619CD2B2"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Oil &amp; gas extraction (07)</w:t>
            </w:r>
          </w:p>
        </w:tc>
      </w:tr>
      <w:tr w:rsidR="006D4D17" w:rsidRPr="006021F0" w14:paraId="54FC4FD6" w14:textId="77777777" w:rsidTr="00E33B64">
        <w:trPr>
          <w:trHeight w:val="300"/>
          <w:jc w:val="center"/>
        </w:trPr>
        <w:tc>
          <w:tcPr>
            <w:tcW w:w="4430" w:type="dxa"/>
            <w:noWrap/>
            <w:vAlign w:val="center"/>
            <w:hideMark/>
          </w:tcPr>
          <w:p w14:paraId="71D7FC05"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Real Estate</w:t>
            </w:r>
          </w:p>
        </w:tc>
        <w:tc>
          <w:tcPr>
            <w:tcW w:w="6201" w:type="dxa"/>
            <w:noWrap/>
            <w:vAlign w:val="center"/>
            <w:hideMark/>
          </w:tcPr>
          <w:p w14:paraId="05EC4AC0"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Property operators &amp; real estate services (67)</w:t>
            </w:r>
          </w:p>
        </w:tc>
      </w:tr>
      <w:tr w:rsidR="006D4D17" w:rsidRPr="006021F0" w14:paraId="19DEB4FD" w14:textId="77777777" w:rsidTr="00E33B64">
        <w:trPr>
          <w:trHeight w:val="300"/>
          <w:jc w:val="center"/>
        </w:trPr>
        <w:tc>
          <w:tcPr>
            <w:tcW w:w="4430" w:type="dxa"/>
            <w:noWrap/>
            <w:vAlign w:val="center"/>
            <w:hideMark/>
          </w:tcPr>
          <w:p w14:paraId="6E8FA566"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Software &amp; Services</w:t>
            </w:r>
          </w:p>
        </w:tc>
        <w:tc>
          <w:tcPr>
            <w:tcW w:w="6201" w:type="dxa"/>
            <w:noWrap/>
            <w:vAlign w:val="center"/>
            <w:hideMark/>
          </w:tcPr>
          <w:p w14:paraId="17C92009"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Computer system design &amp; related services (70)</w:t>
            </w:r>
          </w:p>
        </w:tc>
      </w:tr>
      <w:tr w:rsidR="006D4D17" w:rsidRPr="006021F0" w14:paraId="0EB349A3" w14:textId="77777777" w:rsidTr="00E33B64">
        <w:trPr>
          <w:trHeight w:val="300"/>
          <w:jc w:val="center"/>
        </w:trPr>
        <w:tc>
          <w:tcPr>
            <w:tcW w:w="4430" w:type="dxa"/>
            <w:noWrap/>
            <w:vAlign w:val="center"/>
            <w:hideMark/>
          </w:tcPr>
          <w:p w14:paraId="0FD21ED6"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Capital Goods</w:t>
            </w:r>
          </w:p>
        </w:tc>
        <w:tc>
          <w:tcPr>
            <w:tcW w:w="6201" w:type="dxa"/>
            <w:noWrap/>
            <w:vAlign w:val="center"/>
            <w:hideMark/>
          </w:tcPr>
          <w:p w14:paraId="0AF5B1D1"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Construction (E)</w:t>
            </w:r>
          </w:p>
        </w:tc>
      </w:tr>
      <w:tr w:rsidR="006D4D17" w:rsidRPr="006021F0" w14:paraId="7512A7E3" w14:textId="77777777" w:rsidTr="00E33B64">
        <w:trPr>
          <w:trHeight w:val="300"/>
          <w:jc w:val="center"/>
        </w:trPr>
        <w:tc>
          <w:tcPr>
            <w:tcW w:w="4430" w:type="dxa"/>
            <w:noWrap/>
            <w:vAlign w:val="center"/>
            <w:hideMark/>
          </w:tcPr>
          <w:p w14:paraId="0F1CBA39"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Diversified Financials</w:t>
            </w:r>
          </w:p>
        </w:tc>
        <w:tc>
          <w:tcPr>
            <w:tcW w:w="6201" w:type="dxa"/>
            <w:noWrap/>
            <w:vAlign w:val="center"/>
            <w:hideMark/>
          </w:tcPr>
          <w:p w14:paraId="5C20E589"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Finance (62)</w:t>
            </w:r>
          </w:p>
        </w:tc>
      </w:tr>
      <w:tr w:rsidR="006D4D17" w:rsidRPr="006021F0" w14:paraId="7156B1F9" w14:textId="77777777" w:rsidTr="00E33B64">
        <w:trPr>
          <w:trHeight w:val="300"/>
          <w:jc w:val="center"/>
        </w:trPr>
        <w:tc>
          <w:tcPr>
            <w:tcW w:w="4430" w:type="dxa"/>
            <w:noWrap/>
            <w:vAlign w:val="center"/>
            <w:hideMark/>
          </w:tcPr>
          <w:p w14:paraId="67BF979D"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Retailing</w:t>
            </w:r>
          </w:p>
        </w:tc>
        <w:tc>
          <w:tcPr>
            <w:tcW w:w="6201" w:type="dxa"/>
            <w:noWrap/>
            <w:vAlign w:val="center"/>
            <w:hideMark/>
          </w:tcPr>
          <w:p w14:paraId="3C284E75"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Retail trade (G)</w:t>
            </w:r>
          </w:p>
        </w:tc>
      </w:tr>
      <w:tr w:rsidR="006D4D17" w:rsidRPr="006021F0" w14:paraId="4517D3F4" w14:textId="77777777" w:rsidTr="00E33B64">
        <w:trPr>
          <w:trHeight w:val="300"/>
          <w:jc w:val="center"/>
        </w:trPr>
        <w:tc>
          <w:tcPr>
            <w:tcW w:w="4430" w:type="dxa"/>
            <w:noWrap/>
            <w:vAlign w:val="center"/>
            <w:hideMark/>
          </w:tcPr>
          <w:p w14:paraId="25F684A3"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Consumer Services</w:t>
            </w:r>
          </w:p>
        </w:tc>
        <w:tc>
          <w:tcPr>
            <w:tcW w:w="6201" w:type="dxa"/>
            <w:noWrap/>
            <w:vAlign w:val="center"/>
            <w:hideMark/>
          </w:tcPr>
          <w:p w14:paraId="7D4B1955"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Accommodation and food services (H)</w:t>
            </w:r>
          </w:p>
        </w:tc>
      </w:tr>
      <w:tr w:rsidR="006D4D17" w:rsidRPr="006021F0" w14:paraId="41879314" w14:textId="77777777" w:rsidTr="00E33B64">
        <w:trPr>
          <w:trHeight w:val="300"/>
          <w:jc w:val="center"/>
        </w:trPr>
        <w:tc>
          <w:tcPr>
            <w:tcW w:w="4430" w:type="dxa"/>
            <w:noWrap/>
            <w:vAlign w:val="center"/>
            <w:hideMark/>
          </w:tcPr>
          <w:p w14:paraId="3E2B1E11"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Commercial &amp; Professional Services</w:t>
            </w:r>
          </w:p>
        </w:tc>
        <w:tc>
          <w:tcPr>
            <w:tcW w:w="6201" w:type="dxa"/>
            <w:noWrap/>
            <w:vAlign w:val="center"/>
            <w:hideMark/>
          </w:tcPr>
          <w:p w14:paraId="172D57A2"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Professional, scientific &amp; technical services (except computer design) (69)</w:t>
            </w:r>
          </w:p>
        </w:tc>
      </w:tr>
      <w:tr w:rsidR="006D4D17" w:rsidRPr="006021F0" w14:paraId="2BC76029" w14:textId="77777777" w:rsidTr="00E33B64">
        <w:trPr>
          <w:trHeight w:val="300"/>
          <w:jc w:val="center"/>
        </w:trPr>
        <w:tc>
          <w:tcPr>
            <w:tcW w:w="4430" w:type="dxa"/>
            <w:noWrap/>
            <w:vAlign w:val="center"/>
            <w:hideMark/>
          </w:tcPr>
          <w:p w14:paraId="09224D12"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Health Care Equipment &amp; Services</w:t>
            </w:r>
          </w:p>
        </w:tc>
        <w:tc>
          <w:tcPr>
            <w:tcW w:w="6201" w:type="dxa"/>
            <w:noWrap/>
            <w:vAlign w:val="center"/>
            <w:hideMark/>
          </w:tcPr>
          <w:p w14:paraId="03F3671C"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Health care and social assistance (Q)</w:t>
            </w:r>
          </w:p>
        </w:tc>
      </w:tr>
      <w:tr w:rsidR="006D4D17" w:rsidRPr="006021F0" w14:paraId="539A58D0" w14:textId="77777777" w:rsidTr="00E33B64">
        <w:trPr>
          <w:trHeight w:val="300"/>
          <w:jc w:val="center"/>
        </w:trPr>
        <w:tc>
          <w:tcPr>
            <w:tcW w:w="4430" w:type="dxa"/>
            <w:noWrap/>
            <w:vAlign w:val="center"/>
            <w:hideMark/>
          </w:tcPr>
          <w:p w14:paraId="1AC0C735"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Food, Beverage &amp; Tobacco</w:t>
            </w:r>
          </w:p>
        </w:tc>
        <w:tc>
          <w:tcPr>
            <w:tcW w:w="6201" w:type="dxa"/>
            <w:noWrap/>
            <w:vAlign w:val="center"/>
            <w:hideMark/>
          </w:tcPr>
          <w:p w14:paraId="70A70C93"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Food product manufacturing (11)</w:t>
            </w:r>
          </w:p>
        </w:tc>
      </w:tr>
      <w:tr w:rsidR="006D4D17" w:rsidRPr="006021F0" w14:paraId="061C9253" w14:textId="77777777" w:rsidTr="00E33B64">
        <w:trPr>
          <w:trHeight w:val="300"/>
          <w:jc w:val="center"/>
        </w:trPr>
        <w:tc>
          <w:tcPr>
            <w:tcW w:w="4430" w:type="dxa"/>
            <w:noWrap/>
            <w:vAlign w:val="center"/>
            <w:hideMark/>
          </w:tcPr>
          <w:p w14:paraId="634E15AD"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Media &amp; Entertainment</w:t>
            </w:r>
          </w:p>
        </w:tc>
        <w:tc>
          <w:tcPr>
            <w:tcW w:w="6201" w:type="dxa"/>
            <w:noWrap/>
            <w:vAlign w:val="center"/>
            <w:hideMark/>
          </w:tcPr>
          <w:p w14:paraId="45A28030"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Information media and telecommunications (J)</w:t>
            </w:r>
          </w:p>
        </w:tc>
      </w:tr>
      <w:tr w:rsidR="006D4D17" w:rsidRPr="006021F0" w14:paraId="1715DF0D" w14:textId="77777777" w:rsidTr="00E33B64">
        <w:trPr>
          <w:trHeight w:val="300"/>
          <w:jc w:val="center"/>
        </w:trPr>
        <w:tc>
          <w:tcPr>
            <w:tcW w:w="4430" w:type="dxa"/>
            <w:noWrap/>
            <w:vAlign w:val="center"/>
            <w:hideMark/>
          </w:tcPr>
          <w:p w14:paraId="11262850"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Pharmaceuticals, Biotechnology &amp; Life Sciences</w:t>
            </w:r>
          </w:p>
        </w:tc>
        <w:tc>
          <w:tcPr>
            <w:tcW w:w="6201" w:type="dxa"/>
            <w:noWrap/>
            <w:vAlign w:val="center"/>
            <w:hideMark/>
          </w:tcPr>
          <w:p w14:paraId="7FE53457"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Basic chemical &amp; chemical product manufacturing (18)</w:t>
            </w:r>
          </w:p>
        </w:tc>
      </w:tr>
      <w:tr w:rsidR="006D4D17" w:rsidRPr="006021F0" w14:paraId="73D4B47A" w14:textId="77777777" w:rsidTr="00E33B64">
        <w:trPr>
          <w:trHeight w:val="300"/>
          <w:jc w:val="center"/>
        </w:trPr>
        <w:tc>
          <w:tcPr>
            <w:tcW w:w="4430" w:type="dxa"/>
            <w:noWrap/>
            <w:vAlign w:val="center"/>
            <w:hideMark/>
          </w:tcPr>
          <w:p w14:paraId="3D1AA980"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Utilities</w:t>
            </w:r>
          </w:p>
        </w:tc>
        <w:tc>
          <w:tcPr>
            <w:tcW w:w="6201" w:type="dxa"/>
            <w:noWrap/>
            <w:vAlign w:val="center"/>
            <w:hideMark/>
          </w:tcPr>
          <w:p w14:paraId="42E55AAF"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Electricity, gas, water and waste services (D)</w:t>
            </w:r>
          </w:p>
        </w:tc>
      </w:tr>
      <w:tr w:rsidR="006D4D17" w:rsidRPr="006021F0" w14:paraId="188F18D9" w14:textId="77777777" w:rsidTr="00E33B64">
        <w:trPr>
          <w:trHeight w:val="300"/>
          <w:jc w:val="center"/>
        </w:trPr>
        <w:tc>
          <w:tcPr>
            <w:tcW w:w="4430" w:type="dxa"/>
            <w:noWrap/>
            <w:vAlign w:val="center"/>
            <w:hideMark/>
          </w:tcPr>
          <w:p w14:paraId="421CA268"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Transportation</w:t>
            </w:r>
          </w:p>
        </w:tc>
        <w:tc>
          <w:tcPr>
            <w:tcW w:w="6201" w:type="dxa"/>
            <w:noWrap/>
            <w:vAlign w:val="center"/>
            <w:hideMark/>
          </w:tcPr>
          <w:p w14:paraId="5F8F53CF"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Transport, postal and warehousing (I)</w:t>
            </w:r>
          </w:p>
        </w:tc>
      </w:tr>
      <w:tr w:rsidR="006D4D17" w:rsidRPr="006021F0" w14:paraId="3BC0CCB1" w14:textId="77777777" w:rsidTr="00E33B64">
        <w:trPr>
          <w:trHeight w:val="300"/>
          <w:jc w:val="center"/>
        </w:trPr>
        <w:tc>
          <w:tcPr>
            <w:tcW w:w="4430" w:type="dxa"/>
            <w:noWrap/>
            <w:vAlign w:val="center"/>
            <w:hideMark/>
          </w:tcPr>
          <w:p w14:paraId="44B8FED8"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Banks</w:t>
            </w:r>
          </w:p>
        </w:tc>
        <w:tc>
          <w:tcPr>
            <w:tcW w:w="6201" w:type="dxa"/>
            <w:noWrap/>
            <w:vAlign w:val="center"/>
            <w:hideMark/>
          </w:tcPr>
          <w:p w14:paraId="08157F49"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Finance (62)</w:t>
            </w:r>
          </w:p>
        </w:tc>
      </w:tr>
      <w:tr w:rsidR="006D4D17" w:rsidRPr="006021F0" w14:paraId="0F3D2612" w14:textId="77777777" w:rsidTr="00E33B64">
        <w:trPr>
          <w:trHeight w:val="300"/>
          <w:jc w:val="center"/>
        </w:trPr>
        <w:tc>
          <w:tcPr>
            <w:tcW w:w="4430" w:type="dxa"/>
            <w:noWrap/>
            <w:vAlign w:val="center"/>
            <w:hideMark/>
          </w:tcPr>
          <w:p w14:paraId="6E796C7A"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Insurance</w:t>
            </w:r>
          </w:p>
        </w:tc>
        <w:tc>
          <w:tcPr>
            <w:tcW w:w="6201" w:type="dxa"/>
            <w:noWrap/>
            <w:vAlign w:val="center"/>
            <w:hideMark/>
          </w:tcPr>
          <w:p w14:paraId="43437DC7"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Insurance &amp; superannuation funds (63)</w:t>
            </w:r>
          </w:p>
        </w:tc>
      </w:tr>
      <w:tr w:rsidR="006D4D17" w:rsidRPr="006021F0" w14:paraId="47460317" w14:textId="77777777" w:rsidTr="00E33B64">
        <w:trPr>
          <w:trHeight w:val="300"/>
          <w:jc w:val="center"/>
        </w:trPr>
        <w:tc>
          <w:tcPr>
            <w:tcW w:w="4430" w:type="dxa"/>
            <w:noWrap/>
            <w:vAlign w:val="center"/>
            <w:hideMark/>
          </w:tcPr>
          <w:p w14:paraId="37EA2DCC"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Telecommunication Services</w:t>
            </w:r>
          </w:p>
        </w:tc>
        <w:tc>
          <w:tcPr>
            <w:tcW w:w="6201" w:type="dxa"/>
            <w:noWrap/>
            <w:vAlign w:val="center"/>
            <w:hideMark/>
          </w:tcPr>
          <w:p w14:paraId="2DEBB9DC"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Telecommunications services (58)</w:t>
            </w:r>
          </w:p>
        </w:tc>
      </w:tr>
      <w:tr w:rsidR="006D4D17" w:rsidRPr="006021F0" w14:paraId="04F15B7A" w14:textId="77777777" w:rsidTr="00E33B64">
        <w:trPr>
          <w:trHeight w:val="300"/>
          <w:jc w:val="center"/>
        </w:trPr>
        <w:tc>
          <w:tcPr>
            <w:tcW w:w="4430" w:type="dxa"/>
            <w:noWrap/>
            <w:vAlign w:val="center"/>
            <w:hideMark/>
          </w:tcPr>
          <w:p w14:paraId="63F15ED9"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Food &amp; Staples Retailing</w:t>
            </w:r>
          </w:p>
        </w:tc>
        <w:tc>
          <w:tcPr>
            <w:tcW w:w="6201" w:type="dxa"/>
            <w:noWrap/>
            <w:vAlign w:val="center"/>
            <w:hideMark/>
          </w:tcPr>
          <w:p w14:paraId="3DD08E56"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Food retailing (41)</w:t>
            </w:r>
          </w:p>
        </w:tc>
      </w:tr>
      <w:tr w:rsidR="006D4D17" w:rsidRPr="006021F0" w14:paraId="5F7E59B8" w14:textId="77777777" w:rsidTr="00E33B64">
        <w:trPr>
          <w:trHeight w:val="300"/>
          <w:jc w:val="center"/>
        </w:trPr>
        <w:tc>
          <w:tcPr>
            <w:tcW w:w="4430" w:type="dxa"/>
            <w:noWrap/>
            <w:vAlign w:val="center"/>
            <w:hideMark/>
          </w:tcPr>
          <w:p w14:paraId="3A4F0FD1"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Household &amp; Personal Products</w:t>
            </w:r>
          </w:p>
        </w:tc>
        <w:tc>
          <w:tcPr>
            <w:tcW w:w="6201" w:type="dxa"/>
            <w:noWrap/>
            <w:vAlign w:val="center"/>
            <w:hideMark/>
          </w:tcPr>
          <w:p w14:paraId="061E9D1F"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Other services (S)</w:t>
            </w:r>
          </w:p>
        </w:tc>
      </w:tr>
      <w:tr w:rsidR="006D4D17" w:rsidRPr="006021F0" w14:paraId="79E24698" w14:textId="77777777" w:rsidTr="00E33B64">
        <w:trPr>
          <w:trHeight w:val="300"/>
          <w:jc w:val="center"/>
        </w:trPr>
        <w:tc>
          <w:tcPr>
            <w:tcW w:w="4430" w:type="dxa"/>
            <w:noWrap/>
            <w:vAlign w:val="center"/>
            <w:hideMark/>
          </w:tcPr>
          <w:p w14:paraId="0D44CF2C"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Technology Hardware &amp; Equipment</w:t>
            </w:r>
          </w:p>
        </w:tc>
        <w:tc>
          <w:tcPr>
            <w:tcW w:w="6201" w:type="dxa"/>
            <w:noWrap/>
            <w:vAlign w:val="center"/>
            <w:hideMark/>
          </w:tcPr>
          <w:p w14:paraId="23CC90F8"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Information media and telecommunications (J)</w:t>
            </w:r>
          </w:p>
        </w:tc>
      </w:tr>
      <w:tr w:rsidR="006D4D17" w:rsidRPr="006021F0" w14:paraId="2018D341" w14:textId="77777777" w:rsidTr="00E33B64">
        <w:trPr>
          <w:trHeight w:val="300"/>
          <w:jc w:val="center"/>
        </w:trPr>
        <w:tc>
          <w:tcPr>
            <w:tcW w:w="4430" w:type="dxa"/>
            <w:noWrap/>
            <w:vAlign w:val="center"/>
            <w:hideMark/>
          </w:tcPr>
          <w:p w14:paraId="78BB2083"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Consumer Durables &amp; Apparel</w:t>
            </w:r>
          </w:p>
        </w:tc>
        <w:tc>
          <w:tcPr>
            <w:tcW w:w="6201" w:type="dxa"/>
            <w:noWrap/>
            <w:vAlign w:val="center"/>
            <w:hideMark/>
          </w:tcPr>
          <w:p w14:paraId="3DDB45FD"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Textile, leather, clothing &amp; footwear manufacturing (13)</w:t>
            </w:r>
          </w:p>
        </w:tc>
      </w:tr>
      <w:tr w:rsidR="006D4D17" w:rsidRPr="006021F0" w14:paraId="75291F5E" w14:textId="77777777" w:rsidTr="00E33B64">
        <w:trPr>
          <w:trHeight w:val="300"/>
          <w:jc w:val="center"/>
        </w:trPr>
        <w:tc>
          <w:tcPr>
            <w:tcW w:w="4430" w:type="dxa"/>
            <w:noWrap/>
            <w:vAlign w:val="center"/>
            <w:hideMark/>
          </w:tcPr>
          <w:p w14:paraId="736D1E01"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Semiconductors &amp; Semiconductor Equipment</w:t>
            </w:r>
          </w:p>
        </w:tc>
        <w:tc>
          <w:tcPr>
            <w:tcW w:w="6201" w:type="dxa"/>
            <w:noWrap/>
            <w:vAlign w:val="center"/>
            <w:hideMark/>
          </w:tcPr>
          <w:p w14:paraId="3C2511D0"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Other services (S)</w:t>
            </w:r>
          </w:p>
        </w:tc>
      </w:tr>
      <w:tr w:rsidR="006D4D17" w:rsidRPr="006021F0" w14:paraId="68891C1B" w14:textId="77777777" w:rsidTr="00E33B64">
        <w:trPr>
          <w:trHeight w:val="300"/>
          <w:jc w:val="center"/>
        </w:trPr>
        <w:tc>
          <w:tcPr>
            <w:tcW w:w="4430" w:type="dxa"/>
            <w:noWrap/>
            <w:vAlign w:val="center"/>
            <w:hideMark/>
          </w:tcPr>
          <w:p w14:paraId="45A54BF0"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Automobiles &amp; Components</w:t>
            </w:r>
          </w:p>
        </w:tc>
        <w:tc>
          <w:tcPr>
            <w:tcW w:w="6201" w:type="dxa"/>
            <w:noWrap/>
            <w:vAlign w:val="center"/>
            <w:hideMark/>
          </w:tcPr>
          <w:p w14:paraId="715F1A84" w14:textId="77777777" w:rsidR="006D4D17" w:rsidRPr="006021F0" w:rsidRDefault="006D4D17" w:rsidP="00E33B64">
            <w:pPr>
              <w:ind w:firstLine="0"/>
              <w:jc w:val="center"/>
              <w:rPr>
                <w:rFonts w:eastAsia="Times New Roman" w:cstheme="majorBidi"/>
                <w:color w:val="000000"/>
                <w:sz w:val="20"/>
                <w:szCs w:val="20"/>
              </w:rPr>
            </w:pPr>
            <w:r w:rsidRPr="006021F0">
              <w:rPr>
                <w:rFonts w:eastAsia="Times New Roman" w:cstheme="majorBidi"/>
                <w:color w:val="000000"/>
                <w:sz w:val="20"/>
                <w:szCs w:val="20"/>
              </w:rPr>
              <w:t>Other services (S)</w:t>
            </w:r>
          </w:p>
        </w:tc>
      </w:tr>
    </w:tbl>
    <w:p w14:paraId="6F083636" w14:textId="77777777" w:rsidR="006D4D17" w:rsidRDefault="006D4D17" w:rsidP="006D4D17"/>
    <w:p w14:paraId="29149FDE" w14:textId="77777777" w:rsidR="006D4D17" w:rsidRPr="00AF0469" w:rsidRDefault="006D4D17" w:rsidP="006D4D17"/>
    <w:p w14:paraId="1745D102" w14:textId="77777777" w:rsidR="006D4D17" w:rsidRPr="00AF0469" w:rsidRDefault="006D4D17" w:rsidP="006D4D17"/>
    <w:p w14:paraId="3E76B233" w14:textId="77777777" w:rsidR="00A85F0D" w:rsidRPr="00A85F0D" w:rsidRDefault="00A85F0D" w:rsidP="00A85F0D">
      <w:pPr>
        <w:ind w:firstLine="0"/>
      </w:pPr>
    </w:p>
    <w:p w14:paraId="72F26ACD" w14:textId="3C7740EE" w:rsidR="00A85F0D" w:rsidRPr="009E0FB3" w:rsidRDefault="00A85F0D" w:rsidP="00A85F0D">
      <w:pPr>
        <w:ind w:firstLine="0"/>
      </w:pPr>
    </w:p>
    <w:sectPr w:rsidR="00A85F0D" w:rsidRPr="009E0FB3" w:rsidSect="003F7BED">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1AD68" w14:textId="77777777" w:rsidR="006725FE" w:rsidRDefault="006725FE" w:rsidP="00916652">
      <w:pPr>
        <w:spacing w:after="0" w:line="240" w:lineRule="auto"/>
      </w:pPr>
      <w:r>
        <w:separator/>
      </w:r>
    </w:p>
  </w:endnote>
  <w:endnote w:type="continuationSeparator" w:id="0">
    <w:p w14:paraId="51333F77" w14:textId="77777777" w:rsidR="006725FE" w:rsidRDefault="006725FE" w:rsidP="0091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imes">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P641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12700"/>
      <w:docPartObj>
        <w:docPartGallery w:val="Page Numbers (Bottom of Page)"/>
        <w:docPartUnique/>
      </w:docPartObj>
    </w:sdtPr>
    <w:sdtEndPr>
      <w:rPr>
        <w:noProof/>
      </w:rPr>
    </w:sdtEndPr>
    <w:sdtContent>
      <w:p w14:paraId="713CC0C5" w14:textId="77777777" w:rsidR="009A7B5F" w:rsidRDefault="009A7B5F">
        <w:pPr>
          <w:pStyle w:val="Footer"/>
          <w:jc w:val="right"/>
        </w:pPr>
        <w:r w:rsidRPr="00DC6A07">
          <w:rPr>
            <w:sz w:val="20"/>
            <w:szCs w:val="18"/>
          </w:rPr>
          <w:fldChar w:fldCharType="begin"/>
        </w:r>
        <w:r w:rsidRPr="00DC6A07">
          <w:rPr>
            <w:sz w:val="20"/>
            <w:szCs w:val="18"/>
          </w:rPr>
          <w:instrText xml:space="preserve"> PAGE   \* MERGEFORMAT </w:instrText>
        </w:r>
        <w:r w:rsidRPr="00DC6A07">
          <w:rPr>
            <w:sz w:val="20"/>
            <w:szCs w:val="18"/>
          </w:rPr>
          <w:fldChar w:fldCharType="separate"/>
        </w:r>
        <w:r>
          <w:rPr>
            <w:noProof/>
            <w:sz w:val="20"/>
            <w:szCs w:val="18"/>
          </w:rPr>
          <w:t>33</w:t>
        </w:r>
        <w:r w:rsidRPr="00DC6A07">
          <w:rPr>
            <w:noProof/>
            <w:sz w:val="20"/>
            <w:szCs w:val="18"/>
          </w:rPr>
          <w:fldChar w:fldCharType="end"/>
        </w:r>
      </w:p>
    </w:sdtContent>
  </w:sdt>
  <w:p w14:paraId="42BC3596" w14:textId="77777777" w:rsidR="009A7B5F" w:rsidRDefault="009A7B5F" w:rsidP="00727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F8497" w14:textId="01A4EAE4" w:rsidR="00C549DB" w:rsidRDefault="00C549DB">
    <w:pPr>
      <w:pStyle w:val="Footer"/>
      <w:jc w:val="right"/>
    </w:pPr>
  </w:p>
  <w:p w14:paraId="011E65C8" w14:textId="77777777" w:rsidR="00C549DB" w:rsidRDefault="00C549DB" w:rsidP="0072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9CB9B" w14:textId="77777777" w:rsidR="006725FE" w:rsidRDefault="006725FE" w:rsidP="00916652">
      <w:pPr>
        <w:spacing w:after="0" w:line="240" w:lineRule="auto"/>
      </w:pPr>
      <w:r>
        <w:separator/>
      </w:r>
    </w:p>
  </w:footnote>
  <w:footnote w:type="continuationSeparator" w:id="0">
    <w:p w14:paraId="4F6814C0" w14:textId="77777777" w:rsidR="006725FE" w:rsidRDefault="006725FE" w:rsidP="00916652">
      <w:pPr>
        <w:spacing w:after="0" w:line="240" w:lineRule="auto"/>
      </w:pPr>
      <w:r>
        <w:continuationSeparator/>
      </w:r>
    </w:p>
  </w:footnote>
  <w:footnote w:id="1">
    <w:p w14:paraId="5C54A01B" w14:textId="77777777" w:rsidR="00EB6D88" w:rsidRPr="002C0821" w:rsidRDefault="00EB6D88" w:rsidP="00EB6D88">
      <w:pPr>
        <w:pStyle w:val="FootnoteText"/>
        <w:tabs>
          <w:tab w:val="left" w:pos="284"/>
        </w:tabs>
        <w:ind w:firstLine="0"/>
        <w:rPr>
          <w:rFonts w:cstheme="majorBidi"/>
          <w:sz w:val="22"/>
          <w:szCs w:val="22"/>
        </w:rPr>
      </w:pPr>
      <w:r w:rsidRPr="002C0821">
        <w:rPr>
          <w:rFonts w:cstheme="majorBidi"/>
          <w:sz w:val="22"/>
          <w:szCs w:val="22"/>
          <w:vertAlign w:val="superscript"/>
        </w:rPr>
        <w:footnoteRef/>
      </w:r>
      <w:r w:rsidRPr="002C0821">
        <w:rPr>
          <w:rFonts w:cstheme="majorBidi"/>
          <w:sz w:val="22"/>
          <w:szCs w:val="22"/>
        </w:rPr>
        <w:t xml:space="preserve">  The world scope data illustrates that the global income share of the top 1% increased from 16% in 1980 to 22% in 2000. Then, it declined slightly to 20% by 2016. However, the income </w:t>
      </w:r>
      <w:proofErr w:type="gramStart"/>
      <w:r w:rsidRPr="002C0821">
        <w:rPr>
          <w:rFonts w:cstheme="majorBidi"/>
          <w:sz w:val="22"/>
          <w:szCs w:val="22"/>
        </w:rPr>
        <w:t>share</w:t>
      </w:r>
      <w:proofErr w:type="gramEnd"/>
      <w:r w:rsidRPr="002C0821">
        <w:rPr>
          <w:rFonts w:cstheme="majorBidi"/>
          <w:sz w:val="22"/>
          <w:szCs w:val="22"/>
        </w:rPr>
        <w:t xml:space="preserve"> of the global bottom 50% has fluctuated around 9% since 1980.</w:t>
      </w:r>
    </w:p>
  </w:footnote>
  <w:footnote w:id="2">
    <w:p w14:paraId="265F706B" w14:textId="77777777" w:rsidR="00EB6D88" w:rsidRPr="002C0821" w:rsidRDefault="00EB6D88" w:rsidP="00EB6D88">
      <w:pPr>
        <w:autoSpaceDE w:val="0"/>
        <w:autoSpaceDN w:val="0"/>
        <w:adjustRightInd w:val="0"/>
        <w:spacing w:after="0" w:line="240" w:lineRule="auto"/>
        <w:ind w:firstLine="0"/>
        <w:rPr>
          <w:rFonts w:eastAsia="AdvTimes" w:cstheme="majorBidi"/>
          <w:sz w:val="22"/>
        </w:rPr>
      </w:pPr>
      <w:r w:rsidRPr="002C0821">
        <w:rPr>
          <w:rStyle w:val="FootnoteReference"/>
          <w:rFonts w:cstheme="majorBidi"/>
          <w:sz w:val="22"/>
        </w:rPr>
        <w:footnoteRef/>
      </w:r>
      <w:r w:rsidRPr="002C0821">
        <w:rPr>
          <w:rFonts w:cstheme="majorBidi"/>
          <w:sz w:val="22"/>
        </w:rPr>
        <w:t xml:space="preserve"> </w:t>
      </w:r>
      <w:r w:rsidRPr="002C0821">
        <w:rPr>
          <w:rFonts w:eastAsia="AdvTimes" w:cstheme="majorBidi"/>
          <w:sz w:val="22"/>
        </w:rPr>
        <w:t>This rule included a provision that shareholders can vote to spill a board and force fresh elections if there have been ‘no’ votes of 25 per cent or more recorded against the remuneration report at two consecutive annual general meetings of the company.</w:t>
      </w:r>
    </w:p>
  </w:footnote>
  <w:footnote w:id="3">
    <w:p w14:paraId="36686D2C" w14:textId="1A186C7A" w:rsidR="00EB6D88" w:rsidRPr="002C0821" w:rsidRDefault="00EB6D88" w:rsidP="00EB6D88">
      <w:pPr>
        <w:autoSpaceDE w:val="0"/>
        <w:autoSpaceDN w:val="0"/>
        <w:adjustRightInd w:val="0"/>
        <w:spacing w:after="0" w:line="240" w:lineRule="auto"/>
        <w:ind w:firstLine="0"/>
        <w:rPr>
          <w:rFonts w:cstheme="majorBidi"/>
          <w:sz w:val="22"/>
        </w:rPr>
      </w:pPr>
      <w:r w:rsidRPr="002C0821">
        <w:rPr>
          <w:rStyle w:val="FootnoteReference"/>
          <w:sz w:val="22"/>
        </w:rPr>
        <w:footnoteRef/>
      </w:r>
      <w:r w:rsidRPr="002C0821">
        <w:rPr>
          <w:rStyle w:val="FootnoteReference"/>
          <w:sz w:val="22"/>
        </w:rPr>
        <w:t xml:space="preserve"> </w:t>
      </w:r>
      <w:r w:rsidRPr="002C0821">
        <w:rPr>
          <w:rFonts w:cstheme="majorBidi"/>
          <w:sz w:val="22"/>
        </w:rPr>
        <w:t>Average CEO compensation to average weekly earnings from Australian Bureau of Statistics (ABS), ‘Table 2. Average Weekly Earnings, Australia (Dollars)—Seasonally Adjusted’. Full-time adult average weekly ordinary time earnings seasonally adjusted</w:t>
      </w:r>
      <w:r w:rsidR="00E960A3">
        <w:rPr>
          <w:rFonts w:cstheme="majorBidi"/>
          <w:sz w:val="22"/>
        </w:rPr>
        <w:t>.</w:t>
      </w:r>
    </w:p>
  </w:footnote>
  <w:footnote w:id="4">
    <w:p w14:paraId="5F310294" w14:textId="05521448" w:rsidR="00EB6D88" w:rsidRPr="00304128" w:rsidRDefault="00EB6D88" w:rsidP="00EB6D88">
      <w:pPr>
        <w:spacing w:after="0" w:line="240" w:lineRule="auto"/>
        <w:ind w:firstLine="0"/>
        <w:rPr>
          <w:rFonts w:cstheme="majorBidi"/>
          <w:sz w:val="20"/>
          <w:szCs w:val="20"/>
        </w:rPr>
      </w:pPr>
      <w:r w:rsidRPr="002C0821">
        <w:rPr>
          <w:rStyle w:val="FootnoteReference"/>
          <w:rFonts w:cstheme="majorBidi"/>
          <w:sz w:val="22"/>
        </w:rPr>
        <w:footnoteRef/>
      </w:r>
      <w:r w:rsidRPr="002C0821">
        <w:rPr>
          <w:rFonts w:cstheme="majorBidi"/>
          <w:sz w:val="22"/>
        </w:rPr>
        <w:t xml:space="preserve"> There is evidence that similar ‘say on pay’ provisions in other countries have had a similar effect </w:t>
      </w:r>
      <w:r w:rsidRPr="002C0821">
        <w:rPr>
          <w:rFonts w:cstheme="majorBidi"/>
          <w:sz w:val="22"/>
        </w:rPr>
        <w:fldChar w:fldCharType="begin" w:fldLock="1"/>
      </w:r>
      <w:r w:rsidR="002E5440">
        <w:rPr>
          <w:rFonts w:cstheme="majorBidi"/>
          <w:sz w:val="22"/>
        </w:rPr>
        <w:instrText>ADDIN CSL_CITATION {"citationItems":[{"id":"ITEM-1","itemData":{"author":[{"dropping-particle":"","family":"Richardson","given":"David","non-dropping-particle":"","parse-names":false,"suffix":""}],"container-title":"The Australia Institute research that matter","id":"ITEM-1","issued":{"date-parts":[["2018","3","14"]]},"title":"Executive Pay in Australia ","type":"webpage"},"uris":["http://www.mendeley.com/documents/?uuid=dceba980-5e32-3853-952d-5524cd8f9fff"]}],"mendeley":{"formattedCitation":"(Richardson, 2018)","plainTextFormattedCitation":"(Richardson, 2018)","previouslyFormattedCitation":"(Richardson, 2018)"},"properties":{"noteIndex":0},"schema":"https://github.com/citation-style-language/schema/raw/master/csl-citation.json"}</w:instrText>
      </w:r>
      <w:r w:rsidRPr="002C0821">
        <w:rPr>
          <w:rFonts w:cstheme="majorBidi"/>
          <w:sz w:val="22"/>
        </w:rPr>
        <w:fldChar w:fldCharType="separate"/>
      </w:r>
      <w:r w:rsidR="009D2930" w:rsidRPr="009D2930">
        <w:rPr>
          <w:rFonts w:cstheme="majorBidi"/>
          <w:noProof/>
          <w:sz w:val="22"/>
        </w:rPr>
        <w:t>(Richardson, 2018)</w:t>
      </w:r>
      <w:r w:rsidRPr="002C0821">
        <w:rPr>
          <w:rFonts w:cstheme="majorBidi"/>
          <w:sz w:val="22"/>
        </w:rPr>
        <w:fldChar w:fldCharType="end"/>
      </w:r>
      <w:r w:rsidRPr="002C0821">
        <w:rPr>
          <w:rFonts w:cstheme="majorBidi"/>
          <w:sz w:val="22"/>
        </w:rPr>
        <w:t>.</w:t>
      </w:r>
    </w:p>
  </w:footnote>
  <w:footnote w:id="5">
    <w:p w14:paraId="3BFC68FD" w14:textId="4AD1B212" w:rsidR="00EB6D88" w:rsidRPr="002C0821" w:rsidRDefault="00EB6D88" w:rsidP="002C0821">
      <w:pPr>
        <w:pStyle w:val="FootnoteText"/>
        <w:ind w:firstLine="0"/>
        <w:rPr>
          <w:sz w:val="22"/>
          <w:szCs w:val="22"/>
        </w:rPr>
      </w:pPr>
      <w:r w:rsidRPr="002C0821">
        <w:rPr>
          <w:rStyle w:val="FootnoteReference"/>
          <w:sz w:val="22"/>
          <w:szCs w:val="22"/>
        </w:rPr>
        <w:footnoteRef/>
      </w:r>
      <w:r w:rsidRPr="002C0821">
        <w:rPr>
          <w:sz w:val="22"/>
          <w:szCs w:val="22"/>
        </w:rPr>
        <w:t xml:space="preserve"> </w:t>
      </w:r>
      <w:r w:rsidRPr="002C0821">
        <w:rPr>
          <w:rFonts w:cstheme="majorBidi"/>
          <w:sz w:val="22"/>
          <w:szCs w:val="22"/>
        </w:rPr>
        <w:t>Although the main argument of both studies was the impact of simple vertical pay disparity on performance, they also examine the impact of the residual (</w:t>
      </w:r>
      <w:proofErr w:type="spellStart"/>
      <w:r w:rsidRPr="002C0821">
        <w:rPr>
          <w:rFonts w:cstheme="majorBidi"/>
          <w:i/>
          <w:iCs/>
          <w:sz w:val="22"/>
          <w:szCs w:val="22"/>
        </w:rPr>
        <w:t>PayInequity</w:t>
      </w:r>
      <w:proofErr w:type="spellEnd"/>
      <w:r w:rsidRPr="002C0821">
        <w:rPr>
          <w:rFonts w:cstheme="majorBidi"/>
          <w:sz w:val="22"/>
          <w:szCs w:val="22"/>
        </w:rPr>
        <w:t xml:space="preserve">) on firm performance </w:t>
      </w:r>
      <w:r w:rsidRPr="002C0821">
        <w:rPr>
          <w:rFonts w:cstheme="majorBidi"/>
          <w:sz w:val="22"/>
          <w:szCs w:val="22"/>
        </w:rPr>
        <w:fldChar w:fldCharType="begin" w:fldLock="1"/>
      </w:r>
      <w:r w:rsidR="002E5440">
        <w:rPr>
          <w:rFonts w:cstheme="majorBidi"/>
          <w:sz w:val="22"/>
          <w:szCs w:val="22"/>
        </w:rPr>
        <w:instrText>ADDIN CSL_CITATION {"citationItems":[{"id":"ITEM-1","itemData":{"DOI":"10.1177/0019793914556242","ISSN":"0019-7939","abstract":"The authors examine factors influencing the executive pay multiple (executive-employee pay disparity) and its effects on performance. Using unique data from Korea, where all publicly listed firms are required to provide detailed information on average employee pay in their annual reports, they find that a substantial portion of crosssectional variation in the executive pay multiple is explained by the firm's economic and political characteristics. Results also indicate that the executive pay multiple has a statistically significant negative relation with subsequent operating and stock return performance. A two-stage approach, however, reveals that the performance effects of the executive pay multiple are likely to be influenced more by deviations from the expected executive pay multiple, estimated vising the first-stage determinant model, than by the absolute pay multiple per se. The study sheds light on recent debates regarding the usefulness of executive pay multiple disclosure.","author":[{"dropping-particle":"","family":"Shin","given":"Jae Yong","non-dropping-particle":"","parse-names":false,"suffix":""},{"dropping-particle":"","family":"Kang","given":"Sung-Choon","non-dropping-particle":"","parse-names":false,"suffix":""},{"dropping-particle":"","family":"Hyun","given":"Jeong-Hoon","non-dropping-particle":"","parse-names":false,"suffix":""},{"dropping-particle":"","family":"Kim","given":"Bum-Joon","non-dropping-particle":"","parse-names":false,"suffix":""}],"container-title":"ILR Review","id":"ITEM-1","issue":"1","issued":{"date-parts":[["2015","1","30"]]},"page":"53-78","publisher":"Cornell University","title":"Determinants and Performance Effects of Executive Pay Multiples","type":"article-journal","volume":"68"},"uris":["http://www.mendeley.com/documents/?uuid=243c9e97-cc53-3ebc-a3b1-87a36e1e1083"]}],"mendeley":{"formattedCitation":"(Shin et al., 2015)","plainTextFormattedCitation":"(Shin et al., 2015)","previouslyFormattedCitation":"(Shin et al., 2015)"},"properties":{"noteIndex":0},"schema":"https://github.com/citation-style-language/schema/raw/master/csl-citation.json"}</w:instrText>
      </w:r>
      <w:r w:rsidRPr="002C0821">
        <w:rPr>
          <w:rFonts w:cstheme="majorBidi"/>
          <w:sz w:val="22"/>
          <w:szCs w:val="22"/>
        </w:rPr>
        <w:fldChar w:fldCharType="separate"/>
      </w:r>
      <w:r w:rsidR="009D2930" w:rsidRPr="009D2930">
        <w:rPr>
          <w:rFonts w:cstheme="majorBidi"/>
          <w:noProof/>
          <w:sz w:val="22"/>
          <w:szCs w:val="22"/>
        </w:rPr>
        <w:t>(Shin et al., 2015)</w:t>
      </w:r>
      <w:r w:rsidRPr="002C0821">
        <w:rPr>
          <w:rFonts w:cstheme="majorBidi"/>
          <w:sz w:val="22"/>
          <w:szCs w:val="22"/>
        </w:rPr>
        <w:fldChar w:fldCharType="end"/>
      </w:r>
      <w:r w:rsidRPr="002C0821">
        <w:rPr>
          <w:rFonts w:cstheme="majorBidi"/>
          <w:sz w:val="22"/>
          <w:szCs w:val="22"/>
        </w:rPr>
        <w:t xml:space="preserve"> and employee performance </w:t>
      </w:r>
      <w:r w:rsidRPr="002C0821">
        <w:rPr>
          <w:rFonts w:cstheme="majorBidi"/>
          <w:sz w:val="22"/>
          <w:szCs w:val="22"/>
        </w:rPr>
        <w:fldChar w:fldCharType="begin" w:fldLock="1"/>
      </w:r>
      <w:r w:rsidR="002E5440">
        <w:rPr>
          <w:rFonts w:cstheme="majorBidi"/>
          <w:sz w:val="22"/>
          <w:szCs w:val="22"/>
        </w:rPr>
        <w:instrText>ADDIN CSL_CITATION {"citationItems":[{"id":"ITEM-1","itemData":{"DOI":"10.1016/j.jbankfin.2013.03.003","ISSN":"03784266","abstract":"We study the determinants and effects of the relative compensation of top executives and lower-level employees. First, we show that CEO-employee pay ratios depend on the balance of power between the CEO (relative to the board) and ordinary employees (relative to management). Second, our results suggest that employees do not perceive higher pay ratios as an inequitable outcome to be redressed via costly behaviors that lower productivity. We do not find a negative relation between relative pay and employee productivity, either in our full sample or in subsamples where employees are well-informed about executive pay and are protected against career retributions. Rather, we find that productivity increases with relative pay when the firm has fewer employees who are well-informed, and when promotion decisions are predominantly merit-based. We also find that firm value and operating performance both increase with relative pay. We conclude that ordinary employees appear to perceive an opportunity in higher pay ratios but the extent to which such perception incentivizes them depends on the likelihood of success in a series of sequential promotion tournaments. © 2013 Elsevier B.V.","author":[{"dropping-particle":"","family":"Faleye","given":"Olubunmi","non-dropping-particle":"","parse-names":false,"suffix":""},{"dropping-particle":"","family":"Reis","given":"Ebru","non-dropping-particle":"","parse-names":false,"suffix":""},{"dropping-particle":"","family":"Venkateswaran","given":"Anand","non-dropping-particle":"","parse-names":false,"suffix":""}],"container-title":"Journal of Banking and Finance","id":"ITEM-1","issue":"8","issued":{"date-parts":[["2013","8","1"]]},"page":"3258-3272","publisher":"North-Holland","title":"The determinants and effects of CEO-employee pay ratios","type":"article-journal","volume":"37"},"uris":["http://www.mendeley.com/documents/?uuid=e5f3f9b6-68e5-4bc4-9537-454d7779e4e7"]}],"mendeley":{"formattedCitation":"(Faleye et al., 2013)","plainTextFormattedCitation":"(Faleye et al., 2013)","previouslyFormattedCitation":"(Faleye et al., 2013)"},"properties":{"noteIndex":0},"schema":"https://github.com/citation-style-language/schema/raw/master/csl-citation.json"}</w:instrText>
      </w:r>
      <w:r w:rsidRPr="002C0821">
        <w:rPr>
          <w:rFonts w:cstheme="majorBidi"/>
          <w:sz w:val="22"/>
          <w:szCs w:val="22"/>
        </w:rPr>
        <w:fldChar w:fldCharType="separate"/>
      </w:r>
      <w:r w:rsidR="009D2930" w:rsidRPr="009D2930">
        <w:rPr>
          <w:rFonts w:cstheme="majorBidi"/>
          <w:noProof/>
          <w:sz w:val="22"/>
          <w:szCs w:val="22"/>
        </w:rPr>
        <w:t>(Faleye et al., 2013)</w:t>
      </w:r>
      <w:r w:rsidRPr="002C0821">
        <w:rPr>
          <w:rFonts w:cstheme="majorBidi"/>
          <w:sz w:val="22"/>
          <w:szCs w:val="22"/>
        </w:rPr>
        <w:fldChar w:fldCharType="end"/>
      </w:r>
      <w:r w:rsidRPr="002C0821">
        <w:rPr>
          <w:rFonts w:cstheme="majorBidi"/>
          <w:sz w:val="22"/>
          <w:szCs w:val="22"/>
        </w:rPr>
        <w:t>.</w:t>
      </w:r>
    </w:p>
  </w:footnote>
  <w:footnote w:id="6">
    <w:p w14:paraId="6BCA155A" w14:textId="77777777" w:rsidR="00D71EA9" w:rsidRPr="002C0821" w:rsidRDefault="00D71EA9" w:rsidP="00D71EA9">
      <w:pPr>
        <w:spacing w:line="240" w:lineRule="auto"/>
        <w:ind w:firstLine="0"/>
        <w:rPr>
          <w:sz w:val="22"/>
        </w:rPr>
      </w:pPr>
      <w:r w:rsidRPr="002C0821">
        <w:rPr>
          <w:rStyle w:val="FootnoteReference"/>
          <w:sz w:val="22"/>
        </w:rPr>
        <w:footnoteRef/>
      </w:r>
      <w:r w:rsidRPr="002C0821">
        <w:rPr>
          <w:sz w:val="22"/>
        </w:rPr>
        <w:t xml:space="preserve"> We used total CEO remuneration to forecast expected CEO remuneration for two reasons. Firstly, our sample is not limited to large corporations where the executive’s salary is broken down into ﬁxed salary, non-cash beneﬁts and contingent beneﬁts normally in the form of bonuses. Secondly, in cases of CEOs’ salary breakdown availability, there are a large number of zero bonuses.  Labour expenses also include wage and salaries, superannuation and share-based payments.</w:t>
      </w:r>
    </w:p>
    <w:p w14:paraId="42A20ED6" w14:textId="77777777" w:rsidR="00D71EA9" w:rsidRDefault="00D71EA9" w:rsidP="00D71EA9">
      <w:pPr>
        <w:pStyle w:val="FootnoteText"/>
      </w:pPr>
    </w:p>
  </w:footnote>
  <w:footnote w:id="7">
    <w:p w14:paraId="5E200C5F" w14:textId="77777777" w:rsidR="00D71EA9" w:rsidRPr="002C0821" w:rsidRDefault="00D71EA9" w:rsidP="00D71EA9">
      <w:pPr>
        <w:spacing w:after="0" w:line="240" w:lineRule="auto"/>
        <w:ind w:firstLine="0"/>
        <w:rPr>
          <w:sz w:val="22"/>
        </w:rPr>
      </w:pPr>
      <w:r w:rsidRPr="002C0821">
        <w:rPr>
          <w:rStyle w:val="FootnoteReference"/>
          <w:sz w:val="22"/>
        </w:rPr>
        <w:footnoteRef/>
      </w:r>
      <w:r w:rsidRPr="002C0821">
        <w:rPr>
          <w:sz w:val="22"/>
        </w:rPr>
        <w:t xml:space="preserve"> This variable is calculated at the regional level because of data limitations. </w:t>
      </w:r>
    </w:p>
  </w:footnote>
  <w:footnote w:id="8">
    <w:p w14:paraId="0E87702E" w14:textId="61B1E90C" w:rsidR="00D71EA9" w:rsidRPr="002C0821" w:rsidRDefault="00D71EA9" w:rsidP="00D71EA9">
      <w:pPr>
        <w:pStyle w:val="FootnoteText"/>
        <w:ind w:firstLine="0"/>
        <w:rPr>
          <w:sz w:val="22"/>
          <w:szCs w:val="22"/>
          <w:highlight w:val="yellow"/>
        </w:rPr>
      </w:pPr>
      <w:r w:rsidRPr="002C0821">
        <w:rPr>
          <w:rStyle w:val="FootnoteReference"/>
          <w:sz w:val="22"/>
          <w:szCs w:val="22"/>
        </w:rPr>
        <w:footnoteRef/>
      </w:r>
      <w:r w:rsidRPr="002C0821">
        <w:rPr>
          <w:sz w:val="22"/>
          <w:szCs w:val="22"/>
        </w:rPr>
        <w:t xml:space="preserve"> Revenue is </w:t>
      </w:r>
      <w:r w:rsidR="00C55BD0">
        <w:rPr>
          <w:sz w:val="22"/>
          <w:szCs w:val="22"/>
        </w:rPr>
        <w:t>trimmed</w:t>
      </w:r>
      <w:r w:rsidRPr="002C0821">
        <w:rPr>
          <w:sz w:val="22"/>
          <w:szCs w:val="22"/>
        </w:rPr>
        <w:t xml:space="preserve"> at the 5 and 95 percentiles to remove the effect of outliers in the calculation of the Hirschman–Herfindahl index.</w:t>
      </w:r>
    </w:p>
  </w:footnote>
  <w:footnote w:id="9">
    <w:p w14:paraId="7CE75C1D" w14:textId="77777777" w:rsidR="00D71EA9" w:rsidRPr="002C0821" w:rsidRDefault="00D71EA9" w:rsidP="00D71EA9">
      <w:pPr>
        <w:pStyle w:val="FootnoteText"/>
        <w:ind w:firstLine="0"/>
        <w:rPr>
          <w:sz w:val="22"/>
          <w:szCs w:val="22"/>
        </w:rPr>
      </w:pPr>
      <w:r w:rsidRPr="002C0821">
        <w:rPr>
          <w:rStyle w:val="FootnoteReference"/>
          <w:sz w:val="22"/>
          <w:szCs w:val="22"/>
        </w:rPr>
        <w:footnoteRef/>
      </w:r>
      <w:r w:rsidRPr="002C0821">
        <w:rPr>
          <w:sz w:val="22"/>
          <w:szCs w:val="22"/>
        </w:rPr>
        <w:t xml:space="preserve"> The trade union members data are collected from the </w:t>
      </w:r>
      <w:r w:rsidRPr="002C0821">
        <w:rPr>
          <w:rFonts w:cstheme="majorBidi"/>
          <w:sz w:val="22"/>
          <w:szCs w:val="22"/>
        </w:rPr>
        <w:t xml:space="preserve">Australian Bureau of Statistics (ABS), which are presented </w:t>
      </w:r>
      <w:r w:rsidRPr="002C0821">
        <w:rPr>
          <w:sz w:val="22"/>
          <w:szCs w:val="22"/>
        </w:rPr>
        <w:t>at regional level.</w:t>
      </w:r>
    </w:p>
  </w:footnote>
  <w:footnote w:id="10">
    <w:p w14:paraId="52C5C8B5" w14:textId="77777777" w:rsidR="00D71EA9" w:rsidRPr="00A92DA5" w:rsidRDefault="00D71EA9" w:rsidP="00D71EA9">
      <w:pPr>
        <w:pStyle w:val="FootnoteText"/>
        <w:ind w:firstLine="0"/>
        <w:rPr>
          <w:highlight w:val="yellow"/>
        </w:rPr>
      </w:pPr>
      <w:r w:rsidRPr="002C0821">
        <w:rPr>
          <w:rStyle w:val="FootnoteReference"/>
          <w:sz w:val="22"/>
          <w:szCs w:val="22"/>
        </w:rPr>
        <w:footnoteRef/>
      </w:r>
      <w:r w:rsidRPr="002C0821">
        <w:rPr>
          <w:sz w:val="22"/>
          <w:szCs w:val="22"/>
        </w:rPr>
        <w:t xml:space="preserve"> Another proxy, considered in the literature as a proxy of outside opportunity, is industry homogeneity. It is calculated as the mean partial correlation between a firm’s return and an equally weighted industry index. In this study, this variable is not included because the lack of data on an equally weighted GICS industry index.</w:t>
      </w:r>
    </w:p>
  </w:footnote>
  <w:footnote w:id="11">
    <w:p w14:paraId="08B1B17B" w14:textId="6F37695D" w:rsidR="00D71EA9" w:rsidRPr="002C0821" w:rsidRDefault="00D71EA9" w:rsidP="00D71EA9">
      <w:pPr>
        <w:pStyle w:val="FootnoteText"/>
        <w:ind w:firstLine="0"/>
        <w:rPr>
          <w:sz w:val="22"/>
          <w:szCs w:val="22"/>
        </w:rPr>
      </w:pPr>
      <w:r w:rsidRPr="002C0821">
        <w:rPr>
          <w:rStyle w:val="FootnoteReference"/>
          <w:sz w:val="22"/>
          <w:szCs w:val="22"/>
        </w:rPr>
        <w:footnoteRef/>
      </w:r>
      <w:r w:rsidRPr="002C0821">
        <w:rPr>
          <w:sz w:val="22"/>
          <w:szCs w:val="22"/>
        </w:rPr>
        <w:t xml:space="preserve"> Union may have a positive or negative impact on employee performance </w:t>
      </w:r>
      <w:r w:rsidRPr="002C0821">
        <w:rPr>
          <w:sz w:val="22"/>
          <w:szCs w:val="22"/>
        </w:rPr>
        <w:fldChar w:fldCharType="begin" w:fldLock="1"/>
      </w:r>
      <w:r w:rsidR="002E5440">
        <w:rPr>
          <w:sz w:val="22"/>
          <w:szCs w:val="22"/>
        </w:rPr>
        <w:instrText>ADDIN CSL_CITATION {"citationItems":[{"id":"ITEM-1","itemData":{"DOI":"10.1016/j.jbankfin.2013.03.003","ISSN":"03784266","abstract":"We study the determinants and effects of the relative compensation of top executives and lower-level employees. First, we show that CEO-employee pay ratios depend on the balance of power between the CEO (relative to the board) and ordinary employees (relative to management). Second, our results suggest that employees do not perceive higher pay ratios as an inequitable outcome to be redressed via costly behaviors that lower productivity. We do not find a negative relation between relative pay and employee productivity, either in our full sample or in subsamples where employees are well-informed about executive pay and are protected against career retributions. Rather, we find that productivity increases with relative pay when the firm has fewer employees who are well-informed, and when promotion decisions are predominantly merit-based. We also find that firm value and operating performance both increase with relative pay. We conclude that ordinary employees appear to perceive an opportunity in higher pay ratios but the extent to which such perception incentivizes them depends on the likelihood of success in a series of sequential promotion tournaments. © 2013 Elsevier B.V.","author":[{"dropping-particle":"","family":"Faleye","given":"Olubunmi","non-dropping-particle":"","parse-names":false,"suffix":""},{"dropping-particle":"","family":"Reis","given":"Ebru","non-dropping-particle":"","parse-names":false,"suffix":""},{"dropping-particle":"","family":"Venkateswaran","given":"Anand","non-dropping-particle":"","parse-names":false,"suffix":""}],"container-title":"Journal of Banking and Finance","id":"ITEM-1","issue":"8","issued":{"date-parts":[["2013","8","1"]]},"page":"3258-3272","publisher":"North-Holland","title":"The determinants and effects of CEO-employee pay ratios","type":"article-journal","volume":"37"},"uris":["http://www.mendeley.com/documents/?uuid=e5f3f9b6-68e5-4bc4-9537-454d7779e4e7"]}],"mendeley":{"formattedCitation":"(Faleye et al., 2013)","plainTextFormattedCitation":"(Faleye et al., 2013)","previouslyFormattedCitation":"(Faleye et al., 2013)"},"properties":{"noteIndex":0},"schema":"https://github.com/citation-style-language/schema/raw/master/csl-citation.json"}</w:instrText>
      </w:r>
      <w:r w:rsidRPr="002C0821">
        <w:rPr>
          <w:sz w:val="22"/>
          <w:szCs w:val="22"/>
        </w:rPr>
        <w:fldChar w:fldCharType="separate"/>
      </w:r>
      <w:r w:rsidR="009D2930" w:rsidRPr="009D2930">
        <w:rPr>
          <w:noProof/>
          <w:sz w:val="22"/>
          <w:szCs w:val="22"/>
        </w:rPr>
        <w:t>(Faleye et al., 2013)</w:t>
      </w:r>
      <w:r w:rsidRPr="002C0821">
        <w:rPr>
          <w:sz w:val="22"/>
          <w:szCs w:val="22"/>
        </w:rPr>
        <w:fldChar w:fldCharType="end"/>
      </w:r>
      <w:r w:rsidRPr="002C0821">
        <w:rPr>
          <w:sz w:val="22"/>
          <w:szCs w:val="22"/>
        </w:rPr>
        <w:t xml:space="preserve">. </w:t>
      </w:r>
    </w:p>
  </w:footnote>
  <w:footnote w:id="12">
    <w:p w14:paraId="23F27A7A" w14:textId="77777777" w:rsidR="00D71EA9" w:rsidRDefault="00D71EA9" w:rsidP="00D71EA9">
      <w:pPr>
        <w:pStyle w:val="FootnoteText"/>
        <w:ind w:firstLine="0"/>
      </w:pPr>
      <w:r w:rsidRPr="002C0821">
        <w:rPr>
          <w:rStyle w:val="FootnoteReference"/>
          <w:sz w:val="22"/>
          <w:szCs w:val="22"/>
        </w:rPr>
        <w:footnoteRef/>
      </w:r>
      <w:r w:rsidRPr="002C0821">
        <w:rPr>
          <w:sz w:val="22"/>
          <w:szCs w:val="22"/>
        </w:rPr>
        <w:t xml:space="preserve"> Beta and alpha are heterogenous across industries.</w:t>
      </w:r>
    </w:p>
  </w:footnote>
  <w:footnote w:id="13">
    <w:p w14:paraId="563DB363" w14:textId="77777777" w:rsidR="00AE6DC9" w:rsidRPr="002C0821" w:rsidRDefault="00AE6DC9" w:rsidP="00AE6DC9">
      <w:pPr>
        <w:spacing w:after="0" w:line="240" w:lineRule="auto"/>
        <w:ind w:firstLine="0"/>
        <w:rPr>
          <w:sz w:val="22"/>
        </w:rPr>
      </w:pPr>
      <w:r w:rsidRPr="002C0821">
        <w:rPr>
          <w:rStyle w:val="FootnoteReference"/>
          <w:rFonts w:cstheme="majorBidi"/>
          <w:sz w:val="22"/>
        </w:rPr>
        <w:footnoteRef/>
      </w:r>
      <w:r w:rsidRPr="002C0821">
        <w:rPr>
          <w:rFonts w:cstheme="majorBidi"/>
          <w:sz w:val="22"/>
        </w:rPr>
        <w:t xml:space="preserve"> CEO compensation is reported in TRD based on the US dollar. Therefore, we also collect the USD/AUD currency rate from TRD. We calculate CEO compensation in AUD by multiplying CEO compensation in USD by the currency rate in the fiscal date of each firm-year.  </w:t>
      </w:r>
    </w:p>
  </w:footnote>
  <w:footnote w:id="14">
    <w:p w14:paraId="1817AF3E" w14:textId="77777777" w:rsidR="00AE6DC9" w:rsidRPr="002C0821" w:rsidRDefault="00AE6DC9" w:rsidP="00AE6DC9">
      <w:pPr>
        <w:pStyle w:val="FootnoteText"/>
        <w:ind w:firstLine="0"/>
        <w:rPr>
          <w:rFonts w:cstheme="majorBidi"/>
          <w:sz w:val="22"/>
          <w:szCs w:val="22"/>
        </w:rPr>
      </w:pPr>
      <w:r w:rsidRPr="002C0821">
        <w:rPr>
          <w:rStyle w:val="FootnoteReference"/>
          <w:rFonts w:cstheme="majorBidi"/>
          <w:sz w:val="22"/>
          <w:szCs w:val="22"/>
        </w:rPr>
        <w:footnoteRef/>
      </w:r>
      <w:r w:rsidRPr="002C0821">
        <w:rPr>
          <w:rFonts w:cstheme="majorBidi"/>
          <w:sz w:val="22"/>
          <w:szCs w:val="22"/>
        </w:rPr>
        <w:t xml:space="preserve"> If number of employees is missing, we use the employee numbers from the previous year</w:t>
      </w:r>
    </w:p>
  </w:footnote>
  <w:footnote w:id="15">
    <w:p w14:paraId="5FAA9292" w14:textId="6753E71C" w:rsidR="00AE6DC9" w:rsidRPr="00A57CC5" w:rsidRDefault="00AE6DC9" w:rsidP="00AE6DC9">
      <w:pPr>
        <w:pStyle w:val="FootnoteText"/>
        <w:ind w:firstLine="0"/>
      </w:pPr>
      <w:r w:rsidRPr="002C0821">
        <w:rPr>
          <w:rStyle w:val="FootnoteReference"/>
          <w:sz w:val="22"/>
          <w:szCs w:val="22"/>
        </w:rPr>
        <w:footnoteRef/>
      </w:r>
      <w:r w:rsidRPr="002C0821">
        <w:rPr>
          <w:sz w:val="22"/>
          <w:szCs w:val="22"/>
        </w:rPr>
        <w:t xml:space="preserve"> The Australian stock exchange (ASX) uses the GICS method for categorising companies.</w:t>
      </w:r>
      <w:r w:rsidRPr="00A57CC5">
        <w:t xml:space="preserve"> </w:t>
      </w:r>
    </w:p>
  </w:footnote>
  <w:footnote w:id="16">
    <w:p w14:paraId="2DC5DBF5" w14:textId="77777777" w:rsidR="00AE6DC9" w:rsidRPr="002C0821" w:rsidRDefault="00AE6DC9" w:rsidP="00AE6DC9">
      <w:pPr>
        <w:pStyle w:val="FootnoteText"/>
        <w:ind w:firstLine="0"/>
        <w:rPr>
          <w:sz w:val="22"/>
          <w:szCs w:val="22"/>
        </w:rPr>
      </w:pPr>
      <w:r w:rsidRPr="002C0821">
        <w:rPr>
          <w:rStyle w:val="FootnoteReference"/>
          <w:sz w:val="22"/>
          <w:szCs w:val="22"/>
        </w:rPr>
        <w:footnoteRef/>
      </w:r>
      <w:r w:rsidRPr="002C0821">
        <w:rPr>
          <w:sz w:val="22"/>
          <w:szCs w:val="22"/>
        </w:rPr>
        <w:t xml:space="preserve"> We also consider total senior executive compensation or board member compensation to check later that it is possible to manually collect data on CEOs. If we restrict the search to CEOs the number of observations was 543 unique firms and 3882 observations.</w:t>
      </w:r>
    </w:p>
  </w:footnote>
  <w:footnote w:id="17">
    <w:p w14:paraId="1A941595" w14:textId="77777777" w:rsidR="00AE6DC9" w:rsidRPr="002C0821" w:rsidRDefault="00AE6DC9" w:rsidP="008A16C9">
      <w:pPr>
        <w:pStyle w:val="FootnoteText"/>
        <w:ind w:firstLine="0"/>
        <w:rPr>
          <w:sz w:val="22"/>
          <w:szCs w:val="22"/>
        </w:rPr>
      </w:pPr>
      <w:r w:rsidRPr="002C0821">
        <w:rPr>
          <w:rStyle w:val="FootnoteReference"/>
          <w:sz w:val="22"/>
          <w:szCs w:val="22"/>
        </w:rPr>
        <w:footnoteRef/>
      </w:r>
      <w:r w:rsidRPr="002C0821">
        <w:rPr>
          <w:sz w:val="22"/>
          <w:szCs w:val="22"/>
        </w:rPr>
        <w:t xml:space="preserve"> The outliers in variables may render the distribution non-normal, affecting the descriptive statistics. </w:t>
      </w:r>
    </w:p>
  </w:footnote>
  <w:footnote w:id="18">
    <w:p w14:paraId="1B91C531" w14:textId="77777777" w:rsidR="009A7B5F" w:rsidRPr="002C0821" w:rsidRDefault="009A7B5F" w:rsidP="008A16C9">
      <w:pPr>
        <w:spacing w:line="240" w:lineRule="auto"/>
        <w:ind w:firstLine="0"/>
        <w:rPr>
          <w:color w:val="000000" w:themeColor="text1"/>
          <w:sz w:val="22"/>
        </w:rPr>
      </w:pPr>
      <w:r w:rsidRPr="002C0821">
        <w:rPr>
          <w:rStyle w:val="FootnoteReference"/>
          <w:sz w:val="22"/>
        </w:rPr>
        <w:footnoteRef/>
      </w:r>
      <w:r w:rsidRPr="002C0821">
        <w:rPr>
          <w:sz w:val="22"/>
        </w:rPr>
        <w:t xml:space="preserve"> The trend of pay inequality in our sample is consistent with </w:t>
      </w:r>
      <w:r w:rsidRPr="002C0821">
        <w:rPr>
          <w:rFonts w:cstheme="majorBidi"/>
          <w:sz w:val="22"/>
        </w:rPr>
        <w:t>the Productivity Commission’s report in 2009 and the Australian Council of Superannuation Investors (ACSI) report in August 2020.</w:t>
      </w:r>
    </w:p>
    <w:p w14:paraId="4246A558" w14:textId="77777777" w:rsidR="009A7B5F" w:rsidRDefault="009A7B5F" w:rsidP="009A7B5F">
      <w:pPr>
        <w:pStyle w:val="FootnoteText"/>
      </w:pPr>
    </w:p>
  </w:footnote>
  <w:footnote w:id="19">
    <w:p w14:paraId="2B41F1D1" w14:textId="77777777" w:rsidR="009A7B5F" w:rsidRPr="002C0821" w:rsidRDefault="009A7B5F" w:rsidP="002C0821">
      <w:pPr>
        <w:pStyle w:val="FootnoteText"/>
        <w:ind w:firstLine="0"/>
        <w:rPr>
          <w:sz w:val="22"/>
          <w:szCs w:val="22"/>
        </w:rPr>
      </w:pPr>
      <w:r w:rsidRPr="002C0821">
        <w:rPr>
          <w:rStyle w:val="FootnoteReference"/>
          <w:sz w:val="22"/>
          <w:szCs w:val="22"/>
        </w:rPr>
        <w:footnoteRef/>
      </w:r>
      <w:r w:rsidRPr="002C0821">
        <w:rPr>
          <w:sz w:val="22"/>
          <w:szCs w:val="22"/>
        </w:rPr>
        <w:t xml:space="preserve"> Unlogged pay inequality is equal to 20.45 and 21.20. Therefore, we use the natural log of pay inequality in our analyses to reduce the influence of outliers.</w:t>
      </w:r>
    </w:p>
  </w:footnote>
  <w:footnote w:id="20">
    <w:p w14:paraId="04E5DED2" w14:textId="77777777" w:rsidR="009A7B5F" w:rsidRPr="002C0821" w:rsidRDefault="009A7B5F" w:rsidP="009A7B5F">
      <w:pPr>
        <w:autoSpaceDE w:val="0"/>
        <w:autoSpaceDN w:val="0"/>
        <w:adjustRightInd w:val="0"/>
        <w:spacing w:after="0" w:line="240" w:lineRule="auto"/>
        <w:ind w:firstLine="0"/>
        <w:rPr>
          <w:rFonts w:cstheme="majorBidi"/>
          <w:color w:val="000000"/>
          <w:sz w:val="22"/>
        </w:rPr>
      </w:pPr>
      <w:r w:rsidRPr="002C0821">
        <w:rPr>
          <w:rStyle w:val="FootnoteReference"/>
          <w:rFonts w:cstheme="majorBidi"/>
          <w:sz w:val="22"/>
        </w:rPr>
        <w:footnoteRef/>
      </w:r>
      <w:r w:rsidRPr="002C0821">
        <w:rPr>
          <w:rFonts w:cstheme="majorBidi"/>
          <w:sz w:val="22"/>
        </w:rPr>
        <w:t xml:space="preserve"> </w:t>
      </w:r>
      <w:r w:rsidRPr="002C0821">
        <w:rPr>
          <w:rFonts w:cstheme="majorBidi"/>
          <w:color w:val="000000"/>
          <w:sz w:val="22"/>
        </w:rPr>
        <w:t>We do not tabulate the regression result of employee performance on the first lag of pay ratios and the regression result of employee performance at year t+1 on all regressors at time t to conserve space, but they are available upon request.</w:t>
      </w:r>
    </w:p>
  </w:footnote>
  <w:footnote w:id="21">
    <w:p w14:paraId="1A107C96" w14:textId="02C17617" w:rsidR="00322525" w:rsidRDefault="00322525" w:rsidP="005C6C54">
      <w:pPr>
        <w:pStyle w:val="FootnoteText"/>
        <w:ind w:firstLine="0"/>
      </w:pPr>
      <w:r>
        <w:rPr>
          <w:rStyle w:val="FootnoteReference"/>
        </w:rPr>
        <w:footnoteRef/>
      </w:r>
      <w:r>
        <w:t xml:space="preserve"> </w:t>
      </w:r>
      <w:r w:rsidR="00293798">
        <w:t xml:space="preserve">SGMM, in this column, </w:t>
      </w:r>
      <w:r>
        <w:t xml:space="preserve">is different from what </w:t>
      </w:r>
      <w:r w:rsidR="005C6C54">
        <w:t xml:space="preserve">is </w:t>
      </w:r>
      <w:r>
        <w:t xml:space="preserve">explained in the </w:t>
      </w:r>
      <w:r w:rsidR="005C6C54">
        <w:t>text</w:t>
      </w:r>
      <w:r w:rsidR="00293798" w:rsidRPr="004E0226">
        <w:t>. The only difference is that</w:t>
      </w:r>
      <w:r w:rsidRPr="004E0226">
        <w:t xml:space="preserve"> </w:t>
      </w:r>
      <w:r w:rsidR="00293798" w:rsidRPr="004E0226">
        <w:t>the</w:t>
      </w:r>
      <w:r w:rsidRPr="004E0226">
        <w:t xml:space="preserve"> first differences equation uses the first differences of </w:t>
      </w:r>
      <w:r w:rsidR="00293798" w:rsidRPr="004E0226">
        <w:t xml:space="preserve">the third lagged average employee compensation </w:t>
      </w:r>
      <w:r w:rsidRPr="004E0226">
        <w:t>as</w:t>
      </w:r>
      <w:r w:rsidR="00293798" w:rsidRPr="004E0226">
        <w:t xml:space="preserve"> a</w:t>
      </w:r>
      <w:r w:rsidR="005C6C54">
        <w:t>n</w:t>
      </w:r>
      <w:r w:rsidRPr="004E0226">
        <w:t xml:space="preserve"> instrument. </w:t>
      </w:r>
    </w:p>
  </w:footnote>
  <w:footnote w:id="22">
    <w:p w14:paraId="0014F18A" w14:textId="03FE2CF6" w:rsidR="00293798" w:rsidRDefault="00293798" w:rsidP="007D0DB0">
      <w:pPr>
        <w:pStyle w:val="FootnoteText"/>
        <w:ind w:firstLine="0"/>
      </w:pPr>
      <w:r w:rsidRPr="004E0226">
        <w:rPr>
          <w:rStyle w:val="FootnoteReference"/>
        </w:rPr>
        <w:footnoteRef/>
      </w:r>
      <w:r w:rsidRPr="004E0226">
        <w:t xml:space="preserve"> SGMM, in this column, is different from what explained in the paper. The only difference is that the first differences equation uses the first differences of the third lagged average employee compensation as </w:t>
      </w:r>
      <w:proofErr w:type="spellStart"/>
      <w:proofErr w:type="gramStart"/>
      <w:r w:rsidRPr="004E0226">
        <w:t>a</w:t>
      </w:r>
      <w:proofErr w:type="spellEnd"/>
      <w:proofErr w:type="gramEnd"/>
      <w:r w:rsidRPr="004E0226">
        <w:t xml:space="preserve"> instrument. </w:t>
      </w:r>
    </w:p>
  </w:footnote>
  <w:footnote w:id="23">
    <w:p w14:paraId="01A1C555" w14:textId="77777777" w:rsidR="009A7B5F" w:rsidRDefault="009A7B5F" w:rsidP="009A7B5F">
      <w:pPr>
        <w:pStyle w:val="FootnoteText"/>
        <w:ind w:firstLine="0"/>
      </w:pPr>
      <w:r>
        <w:rPr>
          <w:rStyle w:val="FootnoteReference"/>
        </w:rPr>
        <w:footnoteRef/>
      </w:r>
      <w:r>
        <w:t xml:space="preserve"> We use a different method</w:t>
      </w:r>
      <w:r w:rsidRPr="008061F2">
        <w:t xml:space="preserve"> </w:t>
      </w:r>
      <w:r>
        <w:t>because</w:t>
      </w:r>
      <w:r w:rsidRPr="008061F2">
        <w:t xml:space="preserve"> </w:t>
      </w:r>
      <w:r>
        <w:t xml:space="preserve">of </w:t>
      </w:r>
      <w:r w:rsidRPr="008061F2">
        <w:t xml:space="preserve">the lack of </w:t>
      </w:r>
      <w:r>
        <w:t xml:space="preserve">information on </w:t>
      </w:r>
      <w:r w:rsidRPr="008061F2">
        <w:t>executive compensation and the number of executives in TRD</w:t>
      </w:r>
      <w:r>
        <w:t xml:space="preserve"> and </w:t>
      </w:r>
      <w:proofErr w:type="spellStart"/>
      <w:r>
        <w:t>DatAnalysis</w:t>
      </w:r>
      <w:proofErr w:type="spellEnd"/>
      <w:r>
        <w:t>.</w:t>
      </w:r>
    </w:p>
  </w:footnote>
  <w:footnote w:id="24">
    <w:p w14:paraId="361BF358" w14:textId="77777777" w:rsidR="009A7B5F" w:rsidRDefault="009A7B5F" w:rsidP="009A7B5F">
      <w:pPr>
        <w:spacing w:after="0" w:line="240" w:lineRule="auto"/>
        <w:ind w:firstLine="0"/>
      </w:pPr>
      <w:r>
        <w:rPr>
          <w:rStyle w:val="FootnoteReference"/>
        </w:rPr>
        <w:footnoteRef/>
      </w:r>
      <w:r>
        <w:t xml:space="preserve"> </w:t>
      </w:r>
      <w:r w:rsidRPr="00E30DDE">
        <w:rPr>
          <w:sz w:val="20"/>
          <w:szCs w:val="20"/>
        </w:rPr>
        <w:t xml:space="preserve">These theories </w:t>
      </w:r>
      <w:r>
        <w:rPr>
          <w:sz w:val="20"/>
          <w:szCs w:val="20"/>
        </w:rPr>
        <w:t>indicate</w:t>
      </w:r>
      <w:r w:rsidRPr="00E30DDE">
        <w:rPr>
          <w:sz w:val="20"/>
          <w:szCs w:val="20"/>
        </w:rPr>
        <w:t xml:space="preserve"> that social dictates can affect what society tells individuals, what they are entitled to and what they find desirable.</w:t>
      </w:r>
      <w:r>
        <w:t xml:space="preserve"> </w:t>
      </w:r>
    </w:p>
  </w:footnote>
  <w:footnote w:id="25">
    <w:p w14:paraId="695349EA" w14:textId="77777777" w:rsidR="009A7B5F" w:rsidRDefault="009A7B5F" w:rsidP="009A7B5F">
      <w:pPr>
        <w:pStyle w:val="FootnoteText"/>
        <w:ind w:firstLine="0"/>
      </w:pPr>
      <w:r>
        <w:rPr>
          <w:rStyle w:val="FootnoteReference"/>
        </w:rPr>
        <w:footnoteRef/>
      </w:r>
      <w:r>
        <w:t xml:space="preserve"> </w:t>
      </w:r>
      <w:r w:rsidRPr="00320435">
        <w:t>Global wealth report 2019</w:t>
      </w:r>
      <w:r>
        <w:t>, Research institute, October 2019</w:t>
      </w:r>
    </w:p>
  </w:footnote>
  <w:footnote w:id="26">
    <w:p w14:paraId="3B477E3C" w14:textId="77777777" w:rsidR="009A7B5F" w:rsidRPr="002C0821" w:rsidRDefault="009A7B5F" w:rsidP="002C0821">
      <w:pPr>
        <w:pStyle w:val="FootnoteText"/>
        <w:ind w:firstLine="0"/>
        <w:rPr>
          <w:sz w:val="22"/>
          <w:szCs w:val="22"/>
        </w:rPr>
      </w:pPr>
      <w:r w:rsidRPr="002C0821">
        <w:rPr>
          <w:rStyle w:val="FootnoteReference"/>
          <w:sz w:val="22"/>
          <w:szCs w:val="22"/>
        </w:rPr>
        <w:footnoteRef/>
      </w:r>
      <w:r w:rsidRPr="002C0821">
        <w:rPr>
          <w:sz w:val="22"/>
          <w:szCs w:val="22"/>
        </w:rPr>
        <w:t xml:space="preserve"> As in the previous analysis, we also regress employee performance on the lag of our independent variables, and employee performance at year </w:t>
      </w:r>
      <w:r w:rsidRPr="002C0821">
        <w:rPr>
          <w:i/>
          <w:sz w:val="22"/>
          <w:szCs w:val="22"/>
        </w:rPr>
        <w:t>t+1</w:t>
      </w:r>
      <w:r w:rsidRPr="002C0821">
        <w:rPr>
          <w:sz w:val="22"/>
          <w:szCs w:val="22"/>
        </w:rPr>
        <w:t xml:space="preserve"> on all regressors at time </w:t>
      </w:r>
      <w:r w:rsidRPr="002C0821">
        <w:rPr>
          <w:i/>
          <w:sz w:val="22"/>
          <w:szCs w:val="22"/>
        </w:rPr>
        <w:t>t</w:t>
      </w:r>
      <w:r w:rsidRPr="002C0821">
        <w:rPr>
          <w:sz w:val="22"/>
          <w:szCs w:val="22"/>
        </w:rPr>
        <w:t>. Our results remained similar and significant.</w:t>
      </w:r>
    </w:p>
  </w:footnote>
  <w:footnote w:id="27">
    <w:p w14:paraId="40C290AC" w14:textId="3CFB2831" w:rsidR="009A7B5F" w:rsidRDefault="009A7B5F" w:rsidP="002C0821">
      <w:pPr>
        <w:pStyle w:val="FootnoteText"/>
        <w:ind w:firstLine="0"/>
      </w:pPr>
      <w:r w:rsidRPr="002C0821">
        <w:rPr>
          <w:rStyle w:val="FootnoteReference"/>
          <w:sz w:val="22"/>
          <w:szCs w:val="22"/>
        </w:rPr>
        <w:footnoteRef/>
      </w:r>
      <w:r w:rsidRPr="002C0821">
        <w:rPr>
          <w:sz w:val="22"/>
          <w:szCs w:val="22"/>
        </w:rPr>
        <w:t xml:space="preserve"> We do not tabulate these results to conserve </w:t>
      </w:r>
      <w:r w:rsidR="003D3416" w:rsidRPr="002C0821">
        <w:rPr>
          <w:sz w:val="22"/>
          <w:szCs w:val="22"/>
        </w:rPr>
        <w:t>space,</w:t>
      </w:r>
      <w:r w:rsidRPr="002C0821">
        <w:rPr>
          <w:sz w:val="22"/>
          <w:szCs w:val="22"/>
        </w:rPr>
        <w:t xml:space="preserve"> but they are available upon request.</w:t>
      </w:r>
    </w:p>
  </w:footnote>
  <w:footnote w:id="28">
    <w:p w14:paraId="1A672202" w14:textId="420A2F7A" w:rsidR="009A1B64" w:rsidRDefault="009A1B64" w:rsidP="007D0DB0">
      <w:pPr>
        <w:pStyle w:val="FootnoteText"/>
        <w:ind w:firstLine="0"/>
      </w:pPr>
      <w:r>
        <w:rPr>
          <w:rStyle w:val="FootnoteReference"/>
        </w:rPr>
        <w:footnoteRef/>
      </w:r>
      <w:r>
        <w:t xml:space="preserve"> SGMM2 </w:t>
      </w:r>
      <w:r w:rsidRPr="004E0226">
        <w:t xml:space="preserve">and SGMM4 are different from what is explained in the paper. The only difference is that </w:t>
      </w:r>
      <w:r w:rsidR="008664C0" w:rsidRPr="004E0226">
        <w:t>the</w:t>
      </w:r>
      <w:r w:rsidRPr="004E0226">
        <w:t xml:space="preserve"> level equation uses the second lagged values of employee compensation, CEO tenure and industry-level and region-level ratios as their instrument.</w:t>
      </w:r>
    </w:p>
    <w:p w14:paraId="6810235F" w14:textId="01906D3D" w:rsidR="009A1B64" w:rsidRDefault="009A1B64">
      <w:pPr>
        <w:pStyle w:val="FootnoteText"/>
      </w:pPr>
    </w:p>
  </w:footnote>
  <w:footnote w:id="29">
    <w:p w14:paraId="6C6FE688" w14:textId="77777777" w:rsidR="006D4D17" w:rsidRPr="00491A71" w:rsidRDefault="006D4D17" w:rsidP="006D4D17">
      <w:pPr>
        <w:pStyle w:val="FootnoteText"/>
        <w:ind w:firstLine="0"/>
        <w:rPr>
          <w:sz w:val="22"/>
          <w:szCs w:val="22"/>
        </w:rPr>
      </w:pPr>
      <w:r w:rsidRPr="00491A71">
        <w:rPr>
          <w:rStyle w:val="FootnoteReference"/>
          <w:sz w:val="22"/>
          <w:szCs w:val="22"/>
        </w:rPr>
        <w:footnoteRef/>
      </w:r>
      <w:r w:rsidRPr="00491A71">
        <w:rPr>
          <w:sz w:val="22"/>
          <w:szCs w:val="22"/>
        </w:rPr>
        <w:t xml:space="preserve"> Calculated if the data were available for at least 36 months.</w:t>
      </w:r>
    </w:p>
  </w:footnote>
  <w:footnote w:id="30">
    <w:p w14:paraId="1BEBE113" w14:textId="77777777" w:rsidR="006D4D17" w:rsidRDefault="006D4D17" w:rsidP="006D4D17">
      <w:pPr>
        <w:pStyle w:val="FootnoteText"/>
        <w:ind w:firstLine="0"/>
      </w:pPr>
      <w:r w:rsidRPr="00491A71">
        <w:rPr>
          <w:rStyle w:val="FootnoteReference"/>
          <w:sz w:val="22"/>
          <w:szCs w:val="22"/>
        </w:rPr>
        <w:footnoteRef/>
      </w:r>
      <w:r w:rsidRPr="00491A71">
        <w:rPr>
          <w:sz w:val="22"/>
          <w:szCs w:val="22"/>
        </w:rPr>
        <w:t xml:space="preserve"> Calculated if the data were available for at least 36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2538" w14:textId="77777777" w:rsidR="009A7B5F" w:rsidRDefault="009A7B5F" w:rsidP="00FC0869">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218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F27507"/>
    <w:multiLevelType w:val="hybridMultilevel"/>
    <w:tmpl w:val="4A7E2462"/>
    <w:lvl w:ilvl="0" w:tplc="D5628A6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3AF57EAB"/>
    <w:multiLevelType w:val="multilevel"/>
    <w:tmpl w:val="83DCF47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NZ" w:vendorID="64" w:dllVersion="6" w:nlCheck="1" w:checkStyle="1"/>
  <w:activeWritingStyle w:appName="MSWord" w:lang="en-US" w:vendorID="64" w:dllVersion="6" w:nlCheck="1" w:checkStyle="1"/>
  <w:activeWritingStyle w:appName="MSWord" w:lang="en-US" w:vendorID="64" w:dllVersion="0" w:nlCheck="1" w:checkStyle="0"/>
  <w:activeWritingStyle w:appName="MSWord" w:lang="en-NZ" w:vendorID="64" w:dllVersion="0" w:nlCheck="1" w:checkStyle="0"/>
  <w:activeWritingStyle w:appName="MSWord" w:lang="en-US" w:vendorID="64" w:dllVersion="4096" w:nlCheck="1" w:checkStyle="0"/>
  <w:activeWritingStyle w:appName="MSWord" w:lang="en-NZ"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7IwtzQxMjMzNzNX0lEKTi0uzszPAykwqgUA5/IrFy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31F8E"/>
    <w:rsid w:val="00001896"/>
    <w:rsid w:val="00001C5B"/>
    <w:rsid w:val="00002211"/>
    <w:rsid w:val="000026A6"/>
    <w:rsid w:val="00002783"/>
    <w:rsid w:val="00002B0F"/>
    <w:rsid w:val="000036B0"/>
    <w:rsid w:val="00003DB7"/>
    <w:rsid w:val="00003EC8"/>
    <w:rsid w:val="000042AA"/>
    <w:rsid w:val="00005865"/>
    <w:rsid w:val="00005C9D"/>
    <w:rsid w:val="000063DA"/>
    <w:rsid w:val="00006812"/>
    <w:rsid w:val="00006D3F"/>
    <w:rsid w:val="00006EE5"/>
    <w:rsid w:val="000079C4"/>
    <w:rsid w:val="00007F55"/>
    <w:rsid w:val="000104D8"/>
    <w:rsid w:val="000108EF"/>
    <w:rsid w:val="00010CAF"/>
    <w:rsid w:val="0001289E"/>
    <w:rsid w:val="00013468"/>
    <w:rsid w:val="00014407"/>
    <w:rsid w:val="0001458A"/>
    <w:rsid w:val="000155D8"/>
    <w:rsid w:val="00015742"/>
    <w:rsid w:val="000159D0"/>
    <w:rsid w:val="00015FF5"/>
    <w:rsid w:val="00016408"/>
    <w:rsid w:val="000169D5"/>
    <w:rsid w:val="00017505"/>
    <w:rsid w:val="000176E7"/>
    <w:rsid w:val="00017A85"/>
    <w:rsid w:val="0002050F"/>
    <w:rsid w:val="00020809"/>
    <w:rsid w:val="0002145C"/>
    <w:rsid w:val="000217D5"/>
    <w:rsid w:val="00021DF4"/>
    <w:rsid w:val="0002252A"/>
    <w:rsid w:val="00023C03"/>
    <w:rsid w:val="00023DAB"/>
    <w:rsid w:val="0002454F"/>
    <w:rsid w:val="00025B42"/>
    <w:rsid w:val="000265E4"/>
    <w:rsid w:val="00026ADB"/>
    <w:rsid w:val="0002766D"/>
    <w:rsid w:val="00027828"/>
    <w:rsid w:val="00030234"/>
    <w:rsid w:val="000303D3"/>
    <w:rsid w:val="00030575"/>
    <w:rsid w:val="000310C2"/>
    <w:rsid w:val="00031C67"/>
    <w:rsid w:val="00031F27"/>
    <w:rsid w:val="00032725"/>
    <w:rsid w:val="00033884"/>
    <w:rsid w:val="00034A24"/>
    <w:rsid w:val="00034F58"/>
    <w:rsid w:val="00034F63"/>
    <w:rsid w:val="000377B7"/>
    <w:rsid w:val="00040D13"/>
    <w:rsid w:val="000415BF"/>
    <w:rsid w:val="0004161D"/>
    <w:rsid w:val="000419EF"/>
    <w:rsid w:val="0004230B"/>
    <w:rsid w:val="00042889"/>
    <w:rsid w:val="00042E99"/>
    <w:rsid w:val="000434F3"/>
    <w:rsid w:val="000435E2"/>
    <w:rsid w:val="000435F3"/>
    <w:rsid w:val="000436A6"/>
    <w:rsid w:val="000436B3"/>
    <w:rsid w:val="000451E2"/>
    <w:rsid w:val="00045ADB"/>
    <w:rsid w:val="00047256"/>
    <w:rsid w:val="000472A7"/>
    <w:rsid w:val="00050426"/>
    <w:rsid w:val="00050AD1"/>
    <w:rsid w:val="00050F0B"/>
    <w:rsid w:val="0005291D"/>
    <w:rsid w:val="00052C60"/>
    <w:rsid w:val="00053007"/>
    <w:rsid w:val="000533D3"/>
    <w:rsid w:val="0005526A"/>
    <w:rsid w:val="0005529D"/>
    <w:rsid w:val="00055F82"/>
    <w:rsid w:val="00056958"/>
    <w:rsid w:val="00057561"/>
    <w:rsid w:val="00057B9A"/>
    <w:rsid w:val="00057FB1"/>
    <w:rsid w:val="00061141"/>
    <w:rsid w:val="00061447"/>
    <w:rsid w:val="00061951"/>
    <w:rsid w:val="000623EE"/>
    <w:rsid w:val="0006324F"/>
    <w:rsid w:val="00063EF9"/>
    <w:rsid w:val="000643BD"/>
    <w:rsid w:val="00065C44"/>
    <w:rsid w:val="0006631B"/>
    <w:rsid w:val="00066B5A"/>
    <w:rsid w:val="00067D60"/>
    <w:rsid w:val="00070803"/>
    <w:rsid w:val="00070F6D"/>
    <w:rsid w:val="00071517"/>
    <w:rsid w:val="00071AE4"/>
    <w:rsid w:val="00071FA9"/>
    <w:rsid w:val="00072010"/>
    <w:rsid w:val="00072800"/>
    <w:rsid w:val="000737DE"/>
    <w:rsid w:val="000740DC"/>
    <w:rsid w:val="00074187"/>
    <w:rsid w:val="00075BD7"/>
    <w:rsid w:val="00076C47"/>
    <w:rsid w:val="00077924"/>
    <w:rsid w:val="000801C2"/>
    <w:rsid w:val="00080579"/>
    <w:rsid w:val="000806F4"/>
    <w:rsid w:val="0008082E"/>
    <w:rsid w:val="00080C38"/>
    <w:rsid w:val="00080D05"/>
    <w:rsid w:val="00082D9B"/>
    <w:rsid w:val="0008577B"/>
    <w:rsid w:val="000862C6"/>
    <w:rsid w:val="00086319"/>
    <w:rsid w:val="00086F10"/>
    <w:rsid w:val="000879AB"/>
    <w:rsid w:val="00087B3A"/>
    <w:rsid w:val="00090861"/>
    <w:rsid w:val="00091315"/>
    <w:rsid w:val="0009191E"/>
    <w:rsid w:val="000920AB"/>
    <w:rsid w:val="000925C2"/>
    <w:rsid w:val="00092920"/>
    <w:rsid w:val="00093BA0"/>
    <w:rsid w:val="0009441D"/>
    <w:rsid w:val="0009493C"/>
    <w:rsid w:val="00094B10"/>
    <w:rsid w:val="00096C37"/>
    <w:rsid w:val="00097344"/>
    <w:rsid w:val="000973E9"/>
    <w:rsid w:val="0009741F"/>
    <w:rsid w:val="00097702"/>
    <w:rsid w:val="000A0367"/>
    <w:rsid w:val="000A0514"/>
    <w:rsid w:val="000A0E2A"/>
    <w:rsid w:val="000A0E4A"/>
    <w:rsid w:val="000A1F59"/>
    <w:rsid w:val="000A2609"/>
    <w:rsid w:val="000A2BF7"/>
    <w:rsid w:val="000A40E8"/>
    <w:rsid w:val="000A50B3"/>
    <w:rsid w:val="000A5675"/>
    <w:rsid w:val="000A594C"/>
    <w:rsid w:val="000A6780"/>
    <w:rsid w:val="000A7F64"/>
    <w:rsid w:val="000B00EA"/>
    <w:rsid w:val="000B0C13"/>
    <w:rsid w:val="000B0D72"/>
    <w:rsid w:val="000B0E6B"/>
    <w:rsid w:val="000B0EBF"/>
    <w:rsid w:val="000B3FED"/>
    <w:rsid w:val="000B415D"/>
    <w:rsid w:val="000B421A"/>
    <w:rsid w:val="000B51B6"/>
    <w:rsid w:val="000B52CA"/>
    <w:rsid w:val="000B6030"/>
    <w:rsid w:val="000B72C3"/>
    <w:rsid w:val="000C02B0"/>
    <w:rsid w:val="000C1794"/>
    <w:rsid w:val="000C1A2D"/>
    <w:rsid w:val="000C1AD4"/>
    <w:rsid w:val="000C2B97"/>
    <w:rsid w:val="000C3105"/>
    <w:rsid w:val="000C37D1"/>
    <w:rsid w:val="000C4031"/>
    <w:rsid w:val="000C4C8A"/>
    <w:rsid w:val="000C4D76"/>
    <w:rsid w:val="000C555E"/>
    <w:rsid w:val="000C5971"/>
    <w:rsid w:val="000C5F5A"/>
    <w:rsid w:val="000C6780"/>
    <w:rsid w:val="000C6DA6"/>
    <w:rsid w:val="000D11E0"/>
    <w:rsid w:val="000D1967"/>
    <w:rsid w:val="000D3695"/>
    <w:rsid w:val="000D3A88"/>
    <w:rsid w:val="000D4DB7"/>
    <w:rsid w:val="000D500D"/>
    <w:rsid w:val="000D59D9"/>
    <w:rsid w:val="000D5E24"/>
    <w:rsid w:val="000D5E94"/>
    <w:rsid w:val="000D62EE"/>
    <w:rsid w:val="000D6614"/>
    <w:rsid w:val="000D69D6"/>
    <w:rsid w:val="000D7289"/>
    <w:rsid w:val="000D7756"/>
    <w:rsid w:val="000D7C1B"/>
    <w:rsid w:val="000E0421"/>
    <w:rsid w:val="000E0603"/>
    <w:rsid w:val="000E140C"/>
    <w:rsid w:val="000E1C97"/>
    <w:rsid w:val="000E262D"/>
    <w:rsid w:val="000E2B33"/>
    <w:rsid w:val="000E448A"/>
    <w:rsid w:val="000E4E3B"/>
    <w:rsid w:val="000E5403"/>
    <w:rsid w:val="000E5A7E"/>
    <w:rsid w:val="000E5BA5"/>
    <w:rsid w:val="000E639B"/>
    <w:rsid w:val="000E6A6A"/>
    <w:rsid w:val="000F00C6"/>
    <w:rsid w:val="000F0364"/>
    <w:rsid w:val="000F1AD9"/>
    <w:rsid w:val="000F28A4"/>
    <w:rsid w:val="000F465A"/>
    <w:rsid w:val="000F46B2"/>
    <w:rsid w:val="000F619D"/>
    <w:rsid w:val="000F62E0"/>
    <w:rsid w:val="000F6421"/>
    <w:rsid w:val="000F69BD"/>
    <w:rsid w:val="000F72D7"/>
    <w:rsid w:val="000F7577"/>
    <w:rsid w:val="00100A2D"/>
    <w:rsid w:val="00100FD5"/>
    <w:rsid w:val="001016C9"/>
    <w:rsid w:val="00101B2D"/>
    <w:rsid w:val="001029E0"/>
    <w:rsid w:val="00103EF5"/>
    <w:rsid w:val="00104947"/>
    <w:rsid w:val="00104FBD"/>
    <w:rsid w:val="001065B9"/>
    <w:rsid w:val="00106675"/>
    <w:rsid w:val="001069FF"/>
    <w:rsid w:val="00107BED"/>
    <w:rsid w:val="00107DA7"/>
    <w:rsid w:val="00107E65"/>
    <w:rsid w:val="00110140"/>
    <w:rsid w:val="00110146"/>
    <w:rsid w:val="00110433"/>
    <w:rsid w:val="001112A9"/>
    <w:rsid w:val="001116CB"/>
    <w:rsid w:val="00112A63"/>
    <w:rsid w:val="00112F73"/>
    <w:rsid w:val="00113F60"/>
    <w:rsid w:val="0011529D"/>
    <w:rsid w:val="001164D0"/>
    <w:rsid w:val="00116AF3"/>
    <w:rsid w:val="00116CF1"/>
    <w:rsid w:val="00117630"/>
    <w:rsid w:val="001214C1"/>
    <w:rsid w:val="00122217"/>
    <w:rsid w:val="001223F3"/>
    <w:rsid w:val="00122EC4"/>
    <w:rsid w:val="00122FBF"/>
    <w:rsid w:val="001236F3"/>
    <w:rsid w:val="00124B5B"/>
    <w:rsid w:val="00124D0F"/>
    <w:rsid w:val="001255A9"/>
    <w:rsid w:val="00125EF8"/>
    <w:rsid w:val="00126392"/>
    <w:rsid w:val="00126AB2"/>
    <w:rsid w:val="00127687"/>
    <w:rsid w:val="00127B8A"/>
    <w:rsid w:val="0013100C"/>
    <w:rsid w:val="001312B5"/>
    <w:rsid w:val="00131E35"/>
    <w:rsid w:val="00131E3B"/>
    <w:rsid w:val="00133C3B"/>
    <w:rsid w:val="00134D9C"/>
    <w:rsid w:val="0013511F"/>
    <w:rsid w:val="0013560B"/>
    <w:rsid w:val="0013576B"/>
    <w:rsid w:val="001357FF"/>
    <w:rsid w:val="00135A66"/>
    <w:rsid w:val="00135C2A"/>
    <w:rsid w:val="001369C5"/>
    <w:rsid w:val="00137F89"/>
    <w:rsid w:val="001404E2"/>
    <w:rsid w:val="001414B9"/>
    <w:rsid w:val="00141CF1"/>
    <w:rsid w:val="00142045"/>
    <w:rsid w:val="0014299C"/>
    <w:rsid w:val="00142AC0"/>
    <w:rsid w:val="00143C8B"/>
    <w:rsid w:val="001448BA"/>
    <w:rsid w:val="00144BBA"/>
    <w:rsid w:val="00144F12"/>
    <w:rsid w:val="001450E2"/>
    <w:rsid w:val="00145D45"/>
    <w:rsid w:val="0014688A"/>
    <w:rsid w:val="00146CD4"/>
    <w:rsid w:val="00147360"/>
    <w:rsid w:val="00151221"/>
    <w:rsid w:val="001515DA"/>
    <w:rsid w:val="00151A0D"/>
    <w:rsid w:val="00151C4B"/>
    <w:rsid w:val="00152167"/>
    <w:rsid w:val="0015251D"/>
    <w:rsid w:val="00153B27"/>
    <w:rsid w:val="00153C55"/>
    <w:rsid w:val="00153E56"/>
    <w:rsid w:val="00153E75"/>
    <w:rsid w:val="001541C0"/>
    <w:rsid w:val="001546FF"/>
    <w:rsid w:val="00154C16"/>
    <w:rsid w:val="0015553C"/>
    <w:rsid w:val="00155721"/>
    <w:rsid w:val="00155999"/>
    <w:rsid w:val="00155AE4"/>
    <w:rsid w:val="001569DE"/>
    <w:rsid w:val="001573EA"/>
    <w:rsid w:val="0015785F"/>
    <w:rsid w:val="00157ABD"/>
    <w:rsid w:val="00157C90"/>
    <w:rsid w:val="00161633"/>
    <w:rsid w:val="0016216C"/>
    <w:rsid w:val="0016230F"/>
    <w:rsid w:val="001627CD"/>
    <w:rsid w:val="0016388A"/>
    <w:rsid w:val="00164C53"/>
    <w:rsid w:val="00164CB6"/>
    <w:rsid w:val="00164E9A"/>
    <w:rsid w:val="00164FF2"/>
    <w:rsid w:val="00165BF7"/>
    <w:rsid w:val="0016637F"/>
    <w:rsid w:val="0016706D"/>
    <w:rsid w:val="00170895"/>
    <w:rsid w:val="00170BDC"/>
    <w:rsid w:val="001727AD"/>
    <w:rsid w:val="00173F38"/>
    <w:rsid w:val="00174A45"/>
    <w:rsid w:val="00175BD3"/>
    <w:rsid w:val="00175D7A"/>
    <w:rsid w:val="00176004"/>
    <w:rsid w:val="001762E3"/>
    <w:rsid w:val="00176C27"/>
    <w:rsid w:val="0018091B"/>
    <w:rsid w:val="00181A16"/>
    <w:rsid w:val="001823F3"/>
    <w:rsid w:val="001826BE"/>
    <w:rsid w:val="00184290"/>
    <w:rsid w:val="001858CC"/>
    <w:rsid w:val="00186ACA"/>
    <w:rsid w:val="00186C52"/>
    <w:rsid w:val="0018721D"/>
    <w:rsid w:val="00187C01"/>
    <w:rsid w:val="00190488"/>
    <w:rsid w:val="001907E9"/>
    <w:rsid w:val="00191CF8"/>
    <w:rsid w:val="0019321F"/>
    <w:rsid w:val="00193A8B"/>
    <w:rsid w:val="001942B3"/>
    <w:rsid w:val="00194B57"/>
    <w:rsid w:val="00195594"/>
    <w:rsid w:val="00195688"/>
    <w:rsid w:val="00195E1B"/>
    <w:rsid w:val="00196806"/>
    <w:rsid w:val="001971D9"/>
    <w:rsid w:val="001A077D"/>
    <w:rsid w:val="001A1388"/>
    <w:rsid w:val="001A1950"/>
    <w:rsid w:val="001A19EF"/>
    <w:rsid w:val="001A2CD9"/>
    <w:rsid w:val="001A376F"/>
    <w:rsid w:val="001A3FCB"/>
    <w:rsid w:val="001A4E3D"/>
    <w:rsid w:val="001A5125"/>
    <w:rsid w:val="001A5256"/>
    <w:rsid w:val="001A5A0D"/>
    <w:rsid w:val="001A6E14"/>
    <w:rsid w:val="001A764F"/>
    <w:rsid w:val="001B01B6"/>
    <w:rsid w:val="001B1536"/>
    <w:rsid w:val="001B1B1C"/>
    <w:rsid w:val="001B1ED2"/>
    <w:rsid w:val="001B37F3"/>
    <w:rsid w:val="001B393A"/>
    <w:rsid w:val="001B3CCB"/>
    <w:rsid w:val="001B3CDE"/>
    <w:rsid w:val="001B4BA6"/>
    <w:rsid w:val="001B629E"/>
    <w:rsid w:val="001B659C"/>
    <w:rsid w:val="001B67A8"/>
    <w:rsid w:val="001B7597"/>
    <w:rsid w:val="001B75A9"/>
    <w:rsid w:val="001B7727"/>
    <w:rsid w:val="001B777F"/>
    <w:rsid w:val="001B77A9"/>
    <w:rsid w:val="001B7B19"/>
    <w:rsid w:val="001C02A8"/>
    <w:rsid w:val="001C03E5"/>
    <w:rsid w:val="001C0B36"/>
    <w:rsid w:val="001C181A"/>
    <w:rsid w:val="001C18EB"/>
    <w:rsid w:val="001C212F"/>
    <w:rsid w:val="001C3241"/>
    <w:rsid w:val="001C3CF2"/>
    <w:rsid w:val="001C4D12"/>
    <w:rsid w:val="001C585A"/>
    <w:rsid w:val="001C613E"/>
    <w:rsid w:val="001C6347"/>
    <w:rsid w:val="001C63C5"/>
    <w:rsid w:val="001C6C88"/>
    <w:rsid w:val="001C72B9"/>
    <w:rsid w:val="001D071E"/>
    <w:rsid w:val="001D087C"/>
    <w:rsid w:val="001D11DF"/>
    <w:rsid w:val="001D121B"/>
    <w:rsid w:val="001D181C"/>
    <w:rsid w:val="001D1926"/>
    <w:rsid w:val="001D1FA6"/>
    <w:rsid w:val="001D26DA"/>
    <w:rsid w:val="001D322E"/>
    <w:rsid w:val="001D4677"/>
    <w:rsid w:val="001D46DA"/>
    <w:rsid w:val="001D47C2"/>
    <w:rsid w:val="001D5C0B"/>
    <w:rsid w:val="001D6103"/>
    <w:rsid w:val="001D700B"/>
    <w:rsid w:val="001D7984"/>
    <w:rsid w:val="001E1AE5"/>
    <w:rsid w:val="001E2FDE"/>
    <w:rsid w:val="001E40CB"/>
    <w:rsid w:val="001E43B0"/>
    <w:rsid w:val="001E4A57"/>
    <w:rsid w:val="001E5C1C"/>
    <w:rsid w:val="001F0316"/>
    <w:rsid w:val="001F1EBC"/>
    <w:rsid w:val="001F1FD1"/>
    <w:rsid w:val="001F2761"/>
    <w:rsid w:val="001F27EF"/>
    <w:rsid w:val="001F2F1E"/>
    <w:rsid w:val="001F3866"/>
    <w:rsid w:val="001F3B48"/>
    <w:rsid w:val="001F419F"/>
    <w:rsid w:val="001F47F0"/>
    <w:rsid w:val="001F49ED"/>
    <w:rsid w:val="001F4B70"/>
    <w:rsid w:val="001F4F49"/>
    <w:rsid w:val="001F5B55"/>
    <w:rsid w:val="001F6671"/>
    <w:rsid w:val="001F6CB3"/>
    <w:rsid w:val="001F6E30"/>
    <w:rsid w:val="001F7E82"/>
    <w:rsid w:val="0020161C"/>
    <w:rsid w:val="0020391A"/>
    <w:rsid w:val="002039BA"/>
    <w:rsid w:val="00205CB4"/>
    <w:rsid w:val="00206EF8"/>
    <w:rsid w:val="002077DC"/>
    <w:rsid w:val="00207832"/>
    <w:rsid w:val="00210CC6"/>
    <w:rsid w:val="00210F23"/>
    <w:rsid w:val="0021140D"/>
    <w:rsid w:val="00211C9E"/>
    <w:rsid w:val="00211EDB"/>
    <w:rsid w:val="00213317"/>
    <w:rsid w:val="0021362F"/>
    <w:rsid w:val="00213F7C"/>
    <w:rsid w:val="00214F12"/>
    <w:rsid w:val="002154A1"/>
    <w:rsid w:val="00215EF3"/>
    <w:rsid w:val="00216762"/>
    <w:rsid w:val="00216D3C"/>
    <w:rsid w:val="00216D4F"/>
    <w:rsid w:val="00217E45"/>
    <w:rsid w:val="00220B42"/>
    <w:rsid w:val="00220DA8"/>
    <w:rsid w:val="00220EDE"/>
    <w:rsid w:val="002217C8"/>
    <w:rsid w:val="0022355B"/>
    <w:rsid w:val="00223846"/>
    <w:rsid w:val="00224656"/>
    <w:rsid w:val="00224929"/>
    <w:rsid w:val="00224D40"/>
    <w:rsid w:val="00224DCA"/>
    <w:rsid w:val="00224F7F"/>
    <w:rsid w:val="00225842"/>
    <w:rsid w:val="00225AB5"/>
    <w:rsid w:val="0022675B"/>
    <w:rsid w:val="0022691F"/>
    <w:rsid w:val="00226B89"/>
    <w:rsid w:val="00226BB8"/>
    <w:rsid w:val="002303C5"/>
    <w:rsid w:val="00230F23"/>
    <w:rsid w:val="00231421"/>
    <w:rsid w:val="00231773"/>
    <w:rsid w:val="00232887"/>
    <w:rsid w:val="002328F7"/>
    <w:rsid w:val="00233167"/>
    <w:rsid w:val="002334DF"/>
    <w:rsid w:val="00233C71"/>
    <w:rsid w:val="00233FE0"/>
    <w:rsid w:val="002342A6"/>
    <w:rsid w:val="00235C1D"/>
    <w:rsid w:val="002362AD"/>
    <w:rsid w:val="00237050"/>
    <w:rsid w:val="00240751"/>
    <w:rsid w:val="00241824"/>
    <w:rsid w:val="002429B4"/>
    <w:rsid w:val="00243352"/>
    <w:rsid w:val="00243A90"/>
    <w:rsid w:val="00243C25"/>
    <w:rsid w:val="002444B4"/>
    <w:rsid w:val="00244DEF"/>
    <w:rsid w:val="00245E0E"/>
    <w:rsid w:val="002464BE"/>
    <w:rsid w:val="00247B87"/>
    <w:rsid w:val="00247D90"/>
    <w:rsid w:val="00250A27"/>
    <w:rsid w:val="00250BD5"/>
    <w:rsid w:val="00250D11"/>
    <w:rsid w:val="00250FD4"/>
    <w:rsid w:val="00252915"/>
    <w:rsid w:val="0025343C"/>
    <w:rsid w:val="002539C7"/>
    <w:rsid w:val="00253BA4"/>
    <w:rsid w:val="00253C56"/>
    <w:rsid w:val="00253D37"/>
    <w:rsid w:val="0025457E"/>
    <w:rsid w:val="00254C9D"/>
    <w:rsid w:val="0025559E"/>
    <w:rsid w:val="0025563D"/>
    <w:rsid w:val="002559B8"/>
    <w:rsid w:val="0025635C"/>
    <w:rsid w:val="0025714E"/>
    <w:rsid w:val="002575BD"/>
    <w:rsid w:val="002604D5"/>
    <w:rsid w:val="00261B43"/>
    <w:rsid w:val="002628D2"/>
    <w:rsid w:val="002630C5"/>
    <w:rsid w:val="00263805"/>
    <w:rsid w:val="002639EE"/>
    <w:rsid w:val="00263CBD"/>
    <w:rsid w:val="00264028"/>
    <w:rsid w:val="00264282"/>
    <w:rsid w:val="002642BF"/>
    <w:rsid w:val="00264A16"/>
    <w:rsid w:val="00265332"/>
    <w:rsid w:val="00265CA3"/>
    <w:rsid w:val="00265E97"/>
    <w:rsid w:val="002671B9"/>
    <w:rsid w:val="00267B12"/>
    <w:rsid w:val="00270672"/>
    <w:rsid w:val="00273107"/>
    <w:rsid w:val="00273ACC"/>
    <w:rsid w:val="00273FD7"/>
    <w:rsid w:val="002745BD"/>
    <w:rsid w:val="0027463B"/>
    <w:rsid w:val="002761C9"/>
    <w:rsid w:val="00276917"/>
    <w:rsid w:val="00276E89"/>
    <w:rsid w:val="00277B16"/>
    <w:rsid w:val="00280607"/>
    <w:rsid w:val="002808B8"/>
    <w:rsid w:val="00281667"/>
    <w:rsid w:val="00282EB2"/>
    <w:rsid w:val="00282ED3"/>
    <w:rsid w:val="00283385"/>
    <w:rsid w:val="002839FF"/>
    <w:rsid w:val="00284C77"/>
    <w:rsid w:val="00284CF7"/>
    <w:rsid w:val="00286D12"/>
    <w:rsid w:val="00286D51"/>
    <w:rsid w:val="00286F60"/>
    <w:rsid w:val="00287097"/>
    <w:rsid w:val="00287231"/>
    <w:rsid w:val="00287FC8"/>
    <w:rsid w:val="00290423"/>
    <w:rsid w:val="002913DA"/>
    <w:rsid w:val="0029197D"/>
    <w:rsid w:val="00291CF5"/>
    <w:rsid w:val="0029233E"/>
    <w:rsid w:val="0029278E"/>
    <w:rsid w:val="00292E0D"/>
    <w:rsid w:val="00293798"/>
    <w:rsid w:val="00293AA4"/>
    <w:rsid w:val="00293D8F"/>
    <w:rsid w:val="00293F56"/>
    <w:rsid w:val="0029418B"/>
    <w:rsid w:val="002947D9"/>
    <w:rsid w:val="00294B59"/>
    <w:rsid w:val="00294BCE"/>
    <w:rsid w:val="00295541"/>
    <w:rsid w:val="0029574D"/>
    <w:rsid w:val="002958D0"/>
    <w:rsid w:val="002970B5"/>
    <w:rsid w:val="00297A9C"/>
    <w:rsid w:val="002A00B6"/>
    <w:rsid w:val="002A0482"/>
    <w:rsid w:val="002A220F"/>
    <w:rsid w:val="002A228C"/>
    <w:rsid w:val="002A274E"/>
    <w:rsid w:val="002A3219"/>
    <w:rsid w:val="002A33B9"/>
    <w:rsid w:val="002A3F1B"/>
    <w:rsid w:val="002A5F74"/>
    <w:rsid w:val="002A720D"/>
    <w:rsid w:val="002A7A40"/>
    <w:rsid w:val="002B0365"/>
    <w:rsid w:val="002B0A15"/>
    <w:rsid w:val="002B0CAD"/>
    <w:rsid w:val="002B0D74"/>
    <w:rsid w:val="002B1529"/>
    <w:rsid w:val="002B3877"/>
    <w:rsid w:val="002B3947"/>
    <w:rsid w:val="002B3DF5"/>
    <w:rsid w:val="002B5671"/>
    <w:rsid w:val="002B66B4"/>
    <w:rsid w:val="002B6DF8"/>
    <w:rsid w:val="002B757B"/>
    <w:rsid w:val="002B7CE8"/>
    <w:rsid w:val="002B7F1E"/>
    <w:rsid w:val="002C0821"/>
    <w:rsid w:val="002C0C29"/>
    <w:rsid w:val="002C104C"/>
    <w:rsid w:val="002C1198"/>
    <w:rsid w:val="002C13CC"/>
    <w:rsid w:val="002C1906"/>
    <w:rsid w:val="002C241C"/>
    <w:rsid w:val="002C258C"/>
    <w:rsid w:val="002C25A0"/>
    <w:rsid w:val="002C4914"/>
    <w:rsid w:val="002C5297"/>
    <w:rsid w:val="002C5A54"/>
    <w:rsid w:val="002C5A84"/>
    <w:rsid w:val="002C612A"/>
    <w:rsid w:val="002C630C"/>
    <w:rsid w:val="002C6880"/>
    <w:rsid w:val="002C7FE1"/>
    <w:rsid w:val="002D045B"/>
    <w:rsid w:val="002D0785"/>
    <w:rsid w:val="002D17EC"/>
    <w:rsid w:val="002D264B"/>
    <w:rsid w:val="002D2ED8"/>
    <w:rsid w:val="002D4D07"/>
    <w:rsid w:val="002D504C"/>
    <w:rsid w:val="002D5EF2"/>
    <w:rsid w:val="002D6D30"/>
    <w:rsid w:val="002D7619"/>
    <w:rsid w:val="002D78A1"/>
    <w:rsid w:val="002D7BD6"/>
    <w:rsid w:val="002D7CA8"/>
    <w:rsid w:val="002E0242"/>
    <w:rsid w:val="002E0453"/>
    <w:rsid w:val="002E256B"/>
    <w:rsid w:val="002E2768"/>
    <w:rsid w:val="002E2818"/>
    <w:rsid w:val="002E2895"/>
    <w:rsid w:val="002E2AA0"/>
    <w:rsid w:val="002E3CFA"/>
    <w:rsid w:val="002E43FF"/>
    <w:rsid w:val="002E467A"/>
    <w:rsid w:val="002E5440"/>
    <w:rsid w:val="002E54EA"/>
    <w:rsid w:val="002E5AF3"/>
    <w:rsid w:val="002E6236"/>
    <w:rsid w:val="002E6399"/>
    <w:rsid w:val="002E6B4A"/>
    <w:rsid w:val="002E7309"/>
    <w:rsid w:val="002E73B5"/>
    <w:rsid w:val="002E7D44"/>
    <w:rsid w:val="002F00E9"/>
    <w:rsid w:val="002F12E1"/>
    <w:rsid w:val="002F13F4"/>
    <w:rsid w:val="002F1A51"/>
    <w:rsid w:val="002F1E08"/>
    <w:rsid w:val="002F24EC"/>
    <w:rsid w:val="002F28BC"/>
    <w:rsid w:val="002F3061"/>
    <w:rsid w:val="002F465F"/>
    <w:rsid w:val="002F497D"/>
    <w:rsid w:val="002F50D8"/>
    <w:rsid w:val="002F5D76"/>
    <w:rsid w:val="002F6253"/>
    <w:rsid w:val="002F76FE"/>
    <w:rsid w:val="002F7EE8"/>
    <w:rsid w:val="00300231"/>
    <w:rsid w:val="003015CB"/>
    <w:rsid w:val="00301EE7"/>
    <w:rsid w:val="00302375"/>
    <w:rsid w:val="0030267A"/>
    <w:rsid w:val="00302CA5"/>
    <w:rsid w:val="0030364D"/>
    <w:rsid w:val="00303C5E"/>
    <w:rsid w:val="00304E0A"/>
    <w:rsid w:val="00305079"/>
    <w:rsid w:val="00305245"/>
    <w:rsid w:val="003064E0"/>
    <w:rsid w:val="00306E4E"/>
    <w:rsid w:val="00307071"/>
    <w:rsid w:val="00307125"/>
    <w:rsid w:val="003079BE"/>
    <w:rsid w:val="00310FF4"/>
    <w:rsid w:val="0031117F"/>
    <w:rsid w:val="003113EE"/>
    <w:rsid w:val="00311CC1"/>
    <w:rsid w:val="00312D65"/>
    <w:rsid w:val="0031364B"/>
    <w:rsid w:val="0031433D"/>
    <w:rsid w:val="00314E4B"/>
    <w:rsid w:val="0031567E"/>
    <w:rsid w:val="00315B5A"/>
    <w:rsid w:val="00316509"/>
    <w:rsid w:val="00316A42"/>
    <w:rsid w:val="00316D87"/>
    <w:rsid w:val="00316F00"/>
    <w:rsid w:val="00317D8E"/>
    <w:rsid w:val="003217D4"/>
    <w:rsid w:val="00322062"/>
    <w:rsid w:val="0032214D"/>
    <w:rsid w:val="00322255"/>
    <w:rsid w:val="0032235F"/>
    <w:rsid w:val="00322525"/>
    <w:rsid w:val="0032272E"/>
    <w:rsid w:val="00322AB2"/>
    <w:rsid w:val="00322CFF"/>
    <w:rsid w:val="00322E68"/>
    <w:rsid w:val="00323FA3"/>
    <w:rsid w:val="0032467E"/>
    <w:rsid w:val="00324B0D"/>
    <w:rsid w:val="00324FE4"/>
    <w:rsid w:val="00325131"/>
    <w:rsid w:val="003252B1"/>
    <w:rsid w:val="00325A68"/>
    <w:rsid w:val="00325F19"/>
    <w:rsid w:val="003262D0"/>
    <w:rsid w:val="00326371"/>
    <w:rsid w:val="00326CFD"/>
    <w:rsid w:val="003270BA"/>
    <w:rsid w:val="00327F5F"/>
    <w:rsid w:val="00330DEF"/>
    <w:rsid w:val="0033179E"/>
    <w:rsid w:val="00331BD8"/>
    <w:rsid w:val="00331BF4"/>
    <w:rsid w:val="00331D71"/>
    <w:rsid w:val="0033222D"/>
    <w:rsid w:val="00332D6A"/>
    <w:rsid w:val="00333696"/>
    <w:rsid w:val="00334343"/>
    <w:rsid w:val="00335292"/>
    <w:rsid w:val="00335329"/>
    <w:rsid w:val="00335680"/>
    <w:rsid w:val="00336EFE"/>
    <w:rsid w:val="00337351"/>
    <w:rsid w:val="00337603"/>
    <w:rsid w:val="00337AC0"/>
    <w:rsid w:val="00337C21"/>
    <w:rsid w:val="003403AB"/>
    <w:rsid w:val="00340A71"/>
    <w:rsid w:val="00340C56"/>
    <w:rsid w:val="00342472"/>
    <w:rsid w:val="0034292F"/>
    <w:rsid w:val="00342DBE"/>
    <w:rsid w:val="003430E8"/>
    <w:rsid w:val="0034552B"/>
    <w:rsid w:val="0034594E"/>
    <w:rsid w:val="00346134"/>
    <w:rsid w:val="0034630E"/>
    <w:rsid w:val="00347923"/>
    <w:rsid w:val="00347AD3"/>
    <w:rsid w:val="0035067C"/>
    <w:rsid w:val="00350C00"/>
    <w:rsid w:val="00350C3D"/>
    <w:rsid w:val="00351693"/>
    <w:rsid w:val="00352B95"/>
    <w:rsid w:val="00352D65"/>
    <w:rsid w:val="00352E9D"/>
    <w:rsid w:val="00353C6C"/>
    <w:rsid w:val="00355066"/>
    <w:rsid w:val="0035510B"/>
    <w:rsid w:val="003570D6"/>
    <w:rsid w:val="00357794"/>
    <w:rsid w:val="00360037"/>
    <w:rsid w:val="003601BF"/>
    <w:rsid w:val="0036169D"/>
    <w:rsid w:val="00361A9B"/>
    <w:rsid w:val="0036251B"/>
    <w:rsid w:val="003625ED"/>
    <w:rsid w:val="00363DBF"/>
    <w:rsid w:val="00363F3A"/>
    <w:rsid w:val="00364952"/>
    <w:rsid w:val="00365357"/>
    <w:rsid w:val="003657CF"/>
    <w:rsid w:val="00365C9D"/>
    <w:rsid w:val="00365DF9"/>
    <w:rsid w:val="00366369"/>
    <w:rsid w:val="00366739"/>
    <w:rsid w:val="00366B1C"/>
    <w:rsid w:val="0036794F"/>
    <w:rsid w:val="00370408"/>
    <w:rsid w:val="00370FD8"/>
    <w:rsid w:val="003710FE"/>
    <w:rsid w:val="003724B4"/>
    <w:rsid w:val="00373302"/>
    <w:rsid w:val="00373C55"/>
    <w:rsid w:val="00374013"/>
    <w:rsid w:val="003745AE"/>
    <w:rsid w:val="00374659"/>
    <w:rsid w:val="003747D2"/>
    <w:rsid w:val="00374FBB"/>
    <w:rsid w:val="00375726"/>
    <w:rsid w:val="00376C72"/>
    <w:rsid w:val="003773CD"/>
    <w:rsid w:val="00377B7C"/>
    <w:rsid w:val="0038024F"/>
    <w:rsid w:val="0038043F"/>
    <w:rsid w:val="00381ABA"/>
    <w:rsid w:val="00383506"/>
    <w:rsid w:val="003847DC"/>
    <w:rsid w:val="003853B5"/>
    <w:rsid w:val="00385B92"/>
    <w:rsid w:val="00385FA3"/>
    <w:rsid w:val="003866FA"/>
    <w:rsid w:val="003868E8"/>
    <w:rsid w:val="00386996"/>
    <w:rsid w:val="00386BBD"/>
    <w:rsid w:val="003879E9"/>
    <w:rsid w:val="00387A6F"/>
    <w:rsid w:val="00390E9B"/>
    <w:rsid w:val="00391309"/>
    <w:rsid w:val="00391F76"/>
    <w:rsid w:val="00392B69"/>
    <w:rsid w:val="00392F18"/>
    <w:rsid w:val="0039310F"/>
    <w:rsid w:val="00393CD3"/>
    <w:rsid w:val="00394337"/>
    <w:rsid w:val="00394870"/>
    <w:rsid w:val="00394B26"/>
    <w:rsid w:val="0039528F"/>
    <w:rsid w:val="00395BE5"/>
    <w:rsid w:val="00395D21"/>
    <w:rsid w:val="00395E52"/>
    <w:rsid w:val="00396320"/>
    <w:rsid w:val="00396745"/>
    <w:rsid w:val="00396B70"/>
    <w:rsid w:val="00397531"/>
    <w:rsid w:val="00397934"/>
    <w:rsid w:val="00397E78"/>
    <w:rsid w:val="003A00E6"/>
    <w:rsid w:val="003A06F5"/>
    <w:rsid w:val="003A0990"/>
    <w:rsid w:val="003A2366"/>
    <w:rsid w:val="003A28A2"/>
    <w:rsid w:val="003A4FD7"/>
    <w:rsid w:val="003A50A9"/>
    <w:rsid w:val="003A5418"/>
    <w:rsid w:val="003A7E47"/>
    <w:rsid w:val="003B1CD2"/>
    <w:rsid w:val="003B1FC7"/>
    <w:rsid w:val="003B354A"/>
    <w:rsid w:val="003B3C93"/>
    <w:rsid w:val="003B3FC1"/>
    <w:rsid w:val="003B4C5E"/>
    <w:rsid w:val="003B56C4"/>
    <w:rsid w:val="003B5B1F"/>
    <w:rsid w:val="003B5F58"/>
    <w:rsid w:val="003B660D"/>
    <w:rsid w:val="003B73FD"/>
    <w:rsid w:val="003B751F"/>
    <w:rsid w:val="003B7BD4"/>
    <w:rsid w:val="003C068B"/>
    <w:rsid w:val="003C09D5"/>
    <w:rsid w:val="003C14C9"/>
    <w:rsid w:val="003C156D"/>
    <w:rsid w:val="003C1930"/>
    <w:rsid w:val="003C19E4"/>
    <w:rsid w:val="003C23D9"/>
    <w:rsid w:val="003C3406"/>
    <w:rsid w:val="003C3DE3"/>
    <w:rsid w:val="003C4CA3"/>
    <w:rsid w:val="003C4ED4"/>
    <w:rsid w:val="003C6943"/>
    <w:rsid w:val="003C7E66"/>
    <w:rsid w:val="003C7F06"/>
    <w:rsid w:val="003D07B9"/>
    <w:rsid w:val="003D0C11"/>
    <w:rsid w:val="003D1957"/>
    <w:rsid w:val="003D21A9"/>
    <w:rsid w:val="003D2C39"/>
    <w:rsid w:val="003D3416"/>
    <w:rsid w:val="003D3F23"/>
    <w:rsid w:val="003D3F6B"/>
    <w:rsid w:val="003D44EF"/>
    <w:rsid w:val="003D49E3"/>
    <w:rsid w:val="003D4C81"/>
    <w:rsid w:val="003D6F15"/>
    <w:rsid w:val="003D7730"/>
    <w:rsid w:val="003E0702"/>
    <w:rsid w:val="003E195A"/>
    <w:rsid w:val="003E244A"/>
    <w:rsid w:val="003E25F4"/>
    <w:rsid w:val="003E4873"/>
    <w:rsid w:val="003E4A06"/>
    <w:rsid w:val="003E5551"/>
    <w:rsid w:val="003E55AE"/>
    <w:rsid w:val="003E6244"/>
    <w:rsid w:val="003E6635"/>
    <w:rsid w:val="003E6920"/>
    <w:rsid w:val="003E698D"/>
    <w:rsid w:val="003F0715"/>
    <w:rsid w:val="003F0B5B"/>
    <w:rsid w:val="003F0E00"/>
    <w:rsid w:val="003F1ACC"/>
    <w:rsid w:val="003F221C"/>
    <w:rsid w:val="003F325C"/>
    <w:rsid w:val="003F4C5A"/>
    <w:rsid w:val="003F4E9B"/>
    <w:rsid w:val="003F5A3B"/>
    <w:rsid w:val="003F71D7"/>
    <w:rsid w:val="003F7BED"/>
    <w:rsid w:val="00400AD3"/>
    <w:rsid w:val="00400C71"/>
    <w:rsid w:val="00400F38"/>
    <w:rsid w:val="004026E9"/>
    <w:rsid w:val="00402817"/>
    <w:rsid w:val="0040331A"/>
    <w:rsid w:val="00403ADC"/>
    <w:rsid w:val="00405119"/>
    <w:rsid w:val="0040579A"/>
    <w:rsid w:val="0040580D"/>
    <w:rsid w:val="00406362"/>
    <w:rsid w:val="00406F40"/>
    <w:rsid w:val="0040700D"/>
    <w:rsid w:val="00407503"/>
    <w:rsid w:val="0040763E"/>
    <w:rsid w:val="0041003A"/>
    <w:rsid w:val="00410140"/>
    <w:rsid w:val="00410CE7"/>
    <w:rsid w:val="004125CB"/>
    <w:rsid w:val="00412797"/>
    <w:rsid w:val="00413091"/>
    <w:rsid w:val="00413C9C"/>
    <w:rsid w:val="00413C9E"/>
    <w:rsid w:val="0041434D"/>
    <w:rsid w:val="004143A9"/>
    <w:rsid w:val="004144E7"/>
    <w:rsid w:val="004149C4"/>
    <w:rsid w:val="00414AA2"/>
    <w:rsid w:val="00414B60"/>
    <w:rsid w:val="00414CA3"/>
    <w:rsid w:val="0041598C"/>
    <w:rsid w:val="00416F82"/>
    <w:rsid w:val="00416FD2"/>
    <w:rsid w:val="004205D3"/>
    <w:rsid w:val="00420724"/>
    <w:rsid w:val="00421941"/>
    <w:rsid w:val="00421E99"/>
    <w:rsid w:val="00422094"/>
    <w:rsid w:val="00422677"/>
    <w:rsid w:val="00422D6E"/>
    <w:rsid w:val="00423420"/>
    <w:rsid w:val="00423615"/>
    <w:rsid w:val="00423E7B"/>
    <w:rsid w:val="00423F57"/>
    <w:rsid w:val="004241F3"/>
    <w:rsid w:val="00425275"/>
    <w:rsid w:val="004268ED"/>
    <w:rsid w:val="00426B91"/>
    <w:rsid w:val="0042725F"/>
    <w:rsid w:val="004300AF"/>
    <w:rsid w:val="004302AF"/>
    <w:rsid w:val="00430720"/>
    <w:rsid w:val="00432102"/>
    <w:rsid w:val="00433543"/>
    <w:rsid w:val="00433896"/>
    <w:rsid w:val="004338F0"/>
    <w:rsid w:val="00433BD9"/>
    <w:rsid w:val="00433D76"/>
    <w:rsid w:val="00433F4B"/>
    <w:rsid w:val="0043426F"/>
    <w:rsid w:val="004346FC"/>
    <w:rsid w:val="00434F79"/>
    <w:rsid w:val="00435719"/>
    <w:rsid w:val="00435987"/>
    <w:rsid w:val="00435CEF"/>
    <w:rsid w:val="004360CB"/>
    <w:rsid w:val="00436D96"/>
    <w:rsid w:val="0043718A"/>
    <w:rsid w:val="00437D85"/>
    <w:rsid w:val="00440C1A"/>
    <w:rsid w:val="0044365E"/>
    <w:rsid w:val="00443A7D"/>
    <w:rsid w:val="00444890"/>
    <w:rsid w:val="0044528A"/>
    <w:rsid w:val="00445579"/>
    <w:rsid w:val="004459E7"/>
    <w:rsid w:val="00446E9C"/>
    <w:rsid w:val="00446FA7"/>
    <w:rsid w:val="00447044"/>
    <w:rsid w:val="00447368"/>
    <w:rsid w:val="00447444"/>
    <w:rsid w:val="004500F7"/>
    <w:rsid w:val="0045032C"/>
    <w:rsid w:val="004504B8"/>
    <w:rsid w:val="004508C9"/>
    <w:rsid w:val="00450C61"/>
    <w:rsid w:val="00450F3C"/>
    <w:rsid w:val="004517FC"/>
    <w:rsid w:val="00452205"/>
    <w:rsid w:val="0045441E"/>
    <w:rsid w:val="00454936"/>
    <w:rsid w:val="0045498D"/>
    <w:rsid w:val="004559E6"/>
    <w:rsid w:val="0045635B"/>
    <w:rsid w:val="00456451"/>
    <w:rsid w:val="00457BD5"/>
    <w:rsid w:val="00460154"/>
    <w:rsid w:val="00460C61"/>
    <w:rsid w:val="00461672"/>
    <w:rsid w:val="00461F54"/>
    <w:rsid w:val="00462C78"/>
    <w:rsid w:val="00463200"/>
    <w:rsid w:val="004634E1"/>
    <w:rsid w:val="00463BB2"/>
    <w:rsid w:val="0046435D"/>
    <w:rsid w:val="00465AE0"/>
    <w:rsid w:val="00467110"/>
    <w:rsid w:val="00467244"/>
    <w:rsid w:val="00467529"/>
    <w:rsid w:val="0047189E"/>
    <w:rsid w:val="00471E7F"/>
    <w:rsid w:val="0047279B"/>
    <w:rsid w:val="00474481"/>
    <w:rsid w:val="00474C3B"/>
    <w:rsid w:val="00474F88"/>
    <w:rsid w:val="004753B7"/>
    <w:rsid w:val="00477879"/>
    <w:rsid w:val="0047788A"/>
    <w:rsid w:val="00480733"/>
    <w:rsid w:val="00480E7C"/>
    <w:rsid w:val="00481CB1"/>
    <w:rsid w:val="00482710"/>
    <w:rsid w:val="004836F4"/>
    <w:rsid w:val="004837DC"/>
    <w:rsid w:val="004848FE"/>
    <w:rsid w:val="0048566E"/>
    <w:rsid w:val="0048568F"/>
    <w:rsid w:val="00486EE6"/>
    <w:rsid w:val="0048797D"/>
    <w:rsid w:val="00487EA8"/>
    <w:rsid w:val="0049075A"/>
    <w:rsid w:val="00490C7C"/>
    <w:rsid w:val="00491319"/>
    <w:rsid w:val="00491617"/>
    <w:rsid w:val="00491A71"/>
    <w:rsid w:val="00492067"/>
    <w:rsid w:val="004921BE"/>
    <w:rsid w:val="00494661"/>
    <w:rsid w:val="004A2D28"/>
    <w:rsid w:val="004A3587"/>
    <w:rsid w:val="004A3589"/>
    <w:rsid w:val="004A46C7"/>
    <w:rsid w:val="004A5E79"/>
    <w:rsid w:val="004A624B"/>
    <w:rsid w:val="004A64D3"/>
    <w:rsid w:val="004A65D2"/>
    <w:rsid w:val="004A6EE3"/>
    <w:rsid w:val="004A70C2"/>
    <w:rsid w:val="004B01F5"/>
    <w:rsid w:val="004B02C6"/>
    <w:rsid w:val="004B047F"/>
    <w:rsid w:val="004B07B4"/>
    <w:rsid w:val="004B0B3C"/>
    <w:rsid w:val="004B0D2F"/>
    <w:rsid w:val="004B0E14"/>
    <w:rsid w:val="004B1861"/>
    <w:rsid w:val="004B1956"/>
    <w:rsid w:val="004B1F1E"/>
    <w:rsid w:val="004B1F65"/>
    <w:rsid w:val="004B3AC1"/>
    <w:rsid w:val="004B40E6"/>
    <w:rsid w:val="004B4807"/>
    <w:rsid w:val="004B4F1B"/>
    <w:rsid w:val="004B64E5"/>
    <w:rsid w:val="004C02B1"/>
    <w:rsid w:val="004C031D"/>
    <w:rsid w:val="004C1B6A"/>
    <w:rsid w:val="004C1F72"/>
    <w:rsid w:val="004C1FAB"/>
    <w:rsid w:val="004C2E89"/>
    <w:rsid w:val="004C3419"/>
    <w:rsid w:val="004C3D24"/>
    <w:rsid w:val="004C3FCB"/>
    <w:rsid w:val="004C4053"/>
    <w:rsid w:val="004C464D"/>
    <w:rsid w:val="004C4F99"/>
    <w:rsid w:val="004C5D30"/>
    <w:rsid w:val="004C5FE5"/>
    <w:rsid w:val="004C669C"/>
    <w:rsid w:val="004C6EDF"/>
    <w:rsid w:val="004C76E1"/>
    <w:rsid w:val="004C776E"/>
    <w:rsid w:val="004C7E22"/>
    <w:rsid w:val="004D03BD"/>
    <w:rsid w:val="004D1BE3"/>
    <w:rsid w:val="004D1EE9"/>
    <w:rsid w:val="004D2380"/>
    <w:rsid w:val="004D3552"/>
    <w:rsid w:val="004D3991"/>
    <w:rsid w:val="004D3A5E"/>
    <w:rsid w:val="004D3A94"/>
    <w:rsid w:val="004D3C35"/>
    <w:rsid w:val="004D42DC"/>
    <w:rsid w:val="004D4A9C"/>
    <w:rsid w:val="004D6776"/>
    <w:rsid w:val="004D68C8"/>
    <w:rsid w:val="004D6A34"/>
    <w:rsid w:val="004D6F6A"/>
    <w:rsid w:val="004D7056"/>
    <w:rsid w:val="004E0226"/>
    <w:rsid w:val="004E0AC1"/>
    <w:rsid w:val="004E0F20"/>
    <w:rsid w:val="004E1021"/>
    <w:rsid w:val="004E137B"/>
    <w:rsid w:val="004E157A"/>
    <w:rsid w:val="004E1984"/>
    <w:rsid w:val="004E1AF2"/>
    <w:rsid w:val="004E4260"/>
    <w:rsid w:val="004E4DFF"/>
    <w:rsid w:val="004E5406"/>
    <w:rsid w:val="004E55C8"/>
    <w:rsid w:val="004E5686"/>
    <w:rsid w:val="004E5C0F"/>
    <w:rsid w:val="004E78CB"/>
    <w:rsid w:val="004F031A"/>
    <w:rsid w:val="004F0AFC"/>
    <w:rsid w:val="004F110D"/>
    <w:rsid w:val="004F2BE2"/>
    <w:rsid w:val="004F33CD"/>
    <w:rsid w:val="004F3B3E"/>
    <w:rsid w:val="004F3BE9"/>
    <w:rsid w:val="004F4703"/>
    <w:rsid w:val="004F512F"/>
    <w:rsid w:val="004F518B"/>
    <w:rsid w:val="004F641C"/>
    <w:rsid w:val="004F6525"/>
    <w:rsid w:val="005008C7"/>
    <w:rsid w:val="00502506"/>
    <w:rsid w:val="00503358"/>
    <w:rsid w:val="00503A29"/>
    <w:rsid w:val="0050409B"/>
    <w:rsid w:val="005045FF"/>
    <w:rsid w:val="00504E7B"/>
    <w:rsid w:val="0050530F"/>
    <w:rsid w:val="00505BB6"/>
    <w:rsid w:val="00505E2D"/>
    <w:rsid w:val="005060E8"/>
    <w:rsid w:val="00506B3A"/>
    <w:rsid w:val="00506BBB"/>
    <w:rsid w:val="0050789A"/>
    <w:rsid w:val="00507A47"/>
    <w:rsid w:val="00510141"/>
    <w:rsid w:val="00510771"/>
    <w:rsid w:val="00511235"/>
    <w:rsid w:val="00511F30"/>
    <w:rsid w:val="005124EF"/>
    <w:rsid w:val="005126D0"/>
    <w:rsid w:val="00513843"/>
    <w:rsid w:val="00514002"/>
    <w:rsid w:val="00514411"/>
    <w:rsid w:val="0051510B"/>
    <w:rsid w:val="0051553E"/>
    <w:rsid w:val="0051779E"/>
    <w:rsid w:val="00517A5A"/>
    <w:rsid w:val="00517B0F"/>
    <w:rsid w:val="00517C9E"/>
    <w:rsid w:val="00520BAB"/>
    <w:rsid w:val="00520C9D"/>
    <w:rsid w:val="005223AB"/>
    <w:rsid w:val="0052283F"/>
    <w:rsid w:val="00523A27"/>
    <w:rsid w:val="00523AD8"/>
    <w:rsid w:val="00525C5C"/>
    <w:rsid w:val="00526FFD"/>
    <w:rsid w:val="0053051B"/>
    <w:rsid w:val="005310CA"/>
    <w:rsid w:val="00531491"/>
    <w:rsid w:val="00531B7A"/>
    <w:rsid w:val="00532275"/>
    <w:rsid w:val="00532DE8"/>
    <w:rsid w:val="0053383D"/>
    <w:rsid w:val="00533EEE"/>
    <w:rsid w:val="005341D9"/>
    <w:rsid w:val="00534B8E"/>
    <w:rsid w:val="005350B7"/>
    <w:rsid w:val="005357D2"/>
    <w:rsid w:val="00535C55"/>
    <w:rsid w:val="0053604A"/>
    <w:rsid w:val="0053642F"/>
    <w:rsid w:val="005367EB"/>
    <w:rsid w:val="00536AE7"/>
    <w:rsid w:val="00536B38"/>
    <w:rsid w:val="0054043A"/>
    <w:rsid w:val="00540BBB"/>
    <w:rsid w:val="00540D99"/>
    <w:rsid w:val="00541CEF"/>
    <w:rsid w:val="00542126"/>
    <w:rsid w:val="005428CF"/>
    <w:rsid w:val="00542991"/>
    <w:rsid w:val="0054411D"/>
    <w:rsid w:val="005444DB"/>
    <w:rsid w:val="005445AE"/>
    <w:rsid w:val="005449B8"/>
    <w:rsid w:val="00544C97"/>
    <w:rsid w:val="00544D49"/>
    <w:rsid w:val="005466F6"/>
    <w:rsid w:val="00546EC9"/>
    <w:rsid w:val="00550060"/>
    <w:rsid w:val="00550369"/>
    <w:rsid w:val="0055045F"/>
    <w:rsid w:val="00550B11"/>
    <w:rsid w:val="00550B7F"/>
    <w:rsid w:val="00550DCC"/>
    <w:rsid w:val="00551563"/>
    <w:rsid w:val="00551A4F"/>
    <w:rsid w:val="00552850"/>
    <w:rsid w:val="00553400"/>
    <w:rsid w:val="00554098"/>
    <w:rsid w:val="00554E0F"/>
    <w:rsid w:val="00554E73"/>
    <w:rsid w:val="00555260"/>
    <w:rsid w:val="00556614"/>
    <w:rsid w:val="00557228"/>
    <w:rsid w:val="00557258"/>
    <w:rsid w:val="00557C93"/>
    <w:rsid w:val="00557E43"/>
    <w:rsid w:val="00560800"/>
    <w:rsid w:val="00560BAA"/>
    <w:rsid w:val="00561A3A"/>
    <w:rsid w:val="00562342"/>
    <w:rsid w:val="00562A05"/>
    <w:rsid w:val="00563958"/>
    <w:rsid w:val="00563FB9"/>
    <w:rsid w:val="00565648"/>
    <w:rsid w:val="00565C9F"/>
    <w:rsid w:val="00566B27"/>
    <w:rsid w:val="00567BDD"/>
    <w:rsid w:val="00570283"/>
    <w:rsid w:val="005707DC"/>
    <w:rsid w:val="00571061"/>
    <w:rsid w:val="00571FAC"/>
    <w:rsid w:val="00572745"/>
    <w:rsid w:val="00572DEB"/>
    <w:rsid w:val="0057366E"/>
    <w:rsid w:val="00574EBC"/>
    <w:rsid w:val="00575794"/>
    <w:rsid w:val="00576657"/>
    <w:rsid w:val="005777E9"/>
    <w:rsid w:val="0057787A"/>
    <w:rsid w:val="00577B8A"/>
    <w:rsid w:val="0058027C"/>
    <w:rsid w:val="0058034A"/>
    <w:rsid w:val="00581B2F"/>
    <w:rsid w:val="00581C2B"/>
    <w:rsid w:val="00582C04"/>
    <w:rsid w:val="00583969"/>
    <w:rsid w:val="00584049"/>
    <w:rsid w:val="00584EAB"/>
    <w:rsid w:val="005857A9"/>
    <w:rsid w:val="00585BFD"/>
    <w:rsid w:val="00585CDA"/>
    <w:rsid w:val="00585ED6"/>
    <w:rsid w:val="00586104"/>
    <w:rsid w:val="00586680"/>
    <w:rsid w:val="005906FB"/>
    <w:rsid w:val="00590B2F"/>
    <w:rsid w:val="00590F4D"/>
    <w:rsid w:val="005917A5"/>
    <w:rsid w:val="00592A0F"/>
    <w:rsid w:val="00593147"/>
    <w:rsid w:val="00593A0B"/>
    <w:rsid w:val="00594142"/>
    <w:rsid w:val="00594516"/>
    <w:rsid w:val="005946A7"/>
    <w:rsid w:val="0059475B"/>
    <w:rsid w:val="005947CD"/>
    <w:rsid w:val="00594F29"/>
    <w:rsid w:val="005959F1"/>
    <w:rsid w:val="00595C4C"/>
    <w:rsid w:val="0059677A"/>
    <w:rsid w:val="00596D76"/>
    <w:rsid w:val="00596E4C"/>
    <w:rsid w:val="005A018C"/>
    <w:rsid w:val="005A0437"/>
    <w:rsid w:val="005A05C3"/>
    <w:rsid w:val="005A169F"/>
    <w:rsid w:val="005A1C7A"/>
    <w:rsid w:val="005A2BDE"/>
    <w:rsid w:val="005A2E19"/>
    <w:rsid w:val="005A3226"/>
    <w:rsid w:val="005A389C"/>
    <w:rsid w:val="005A4708"/>
    <w:rsid w:val="005A4A50"/>
    <w:rsid w:val="005A5274"/>
    <w:rsid w:val="005A5F1C"/>
    <w:rsid w:val="005A6499"/>
    <w:rsid w:val="005A7019"/>
    <w:rsid w:val="005A737E"/>
    <w:rsid w:val="005B0EE9"/>
    <w:rsid w:val="005B102F"/>
    <w:rsid w:val="005B149F"/>
    <w:rsid w:val="005B1984"/>
    <w:rsid w:val="005B1BEE"/>
    <w:rsid w:val="005B1CEB"/>
    <w:rsid w:val="005B2BD5"/>
    <w:rsid w:val="005B3825"/>
    <w:rsid w:val="005B503A"/>
    <w:rsid w:val="005B5598"/>
    <w:rsid w:val="005B5D68"/>
    <w:rsid w:val="005B678A"/>
    <w:rsid w:val="005B6E85"/>
    <w:rsid w:val="005B78FB"/>
    <w:rsid w:val="005C018B"/>
    <w:rsid w:val="005C0560"/>
    <w:rsid w:val="005C0ADF"/>
    <w:rsid w:val="005C1498"/>
    <w:rsid w:val="005C1F2B"/>
    <w:rsid w:val="005C2F62"/>
    <w:rsid w:val="005C32AF"/>
    <w:rsid w:val="005C33F5"/>
    <w:rsid w:val="005C3BF3"/>
    <w:rsid w:val="005C4082"/>
    <w:rsid w:val="005C499B"/>
    <w:rsid w:val="005C5B4C"/>
    <w:rsid w:val="005C5B5E"/>
    <w:rsid w:val="005C5B9A"/>
    <w:rsid w:val="005C65FD"/>
    <w:rsid w:val="005C6C54"/>
    <w:rsid w:val="005C7783"/>
    <w:rsid w:val="005C7B65"/>
    <w:rsid w:val="005D0334"/>
    <w:rsid w:val="005D046F"/>
    <w:rsid w:val="005D05F2"/>
    <w:rsid w:val="005D084C"/>
    <w:rsid w:val="005D0D92"/>
    <w:rsid w:val="005D1060"/>
    <w:rsid w:val="005D172B"/>
    <w:rsid w:val="005D1762"/>
    <w:rsid w:val="005D195C"/>
    <w:rsid w:val="005D19E3"/>
    <w:rsid w:val="005D1E89"/>
    <w:rsid w:val="005D2957"/>
    <w:rsid w:val="005D2BA9"/>
    <w:rsid w:val="005D318D"/>
    <w:rsid w:val="005D3693"/>
    <w:rsid w:val="005D4E5C"/>
    <w:rsid w:val="005D4F66"/>
    <w:rsid w:val="005D51D0"/>
    <w:rsid w:val="005D5B05"/>
    <w:rsid w:val="005D5E56"/>
    <w:rsid w:val="005D603A"/>
    <w:rsid w:val="005D7224"/>
    <w:rsid w:val="005D7879"/>
    <w:rsid w:val="005D7E6A"/>
    <w:rsid w:val="005E0BB9"/>
    <w:rsid w:val="005E14D9"/>
    <w:rsid w:val="005E21EC"/>
    <w:rsid w:val="005E2FFB"/>
    <w:rsid w:val="005E3C41"/>
    <w:rsid w:val="005E3CE3"/>
    <w:rsid w:val="005E3D72"/>
    <w:rsid w:val="005E3D86"/>
    <w:rsid w:val="005E3F37"/>
    <w:rsid w:val="005E508C"/>
    <w:rsid w:val="005E5BB8"/>
    <w:rsid w:val="005E5E3F"/>
    <w:rsid w:val="005E63D4"/>
    <w:rsid w:val="005E7B34"/>
    <w:rsid w:val="005F00A0"/>
    <w:rsid w:val="005F0530"/>
    <w:rsid w:val="005F0C17"/>
    <w:rsid w:val="005F0D54"/>
    <w:rsid w:val="005F1360"/>
    <w:rsid w:val="005F26B4"/>
    <w:rsid w:val="005F3337"/>
    <w:rsid w:val="005F333A"/>
    <w:rsid w:val="005F3B04"/>
    <w:rsid w:val="005F3BEA"/>
    <w:rsid w:val="005F455D"/>
    <w:rsid w:val="005F4D5E"/>
    <w:rsid w:val="005F51B7"/>
    <w:rsid w:val="005F53D5"/>
    <w:rsid w:val="005F6280"/>
    <w:rsid w:val="005F694C"/>
    <w:rsid w:val="005F6A94"/>
    <w:rsid w:val="005F74E3"/>
    <w:rsid w:val="00600327"/>
    <w:rsid w:val="0060115B"/>
    <w:rsid w:val="00602141"/>
    <w:rsid w:val="0060237F"/>
    <w:rsid w:val="0060327D"/>
    <w:rsid w:val="00604430"/>
    <w:rsid w:val="006047AC"/>
    <w:rsid w:val="00604A5A"/>
    <w:rsid w:val="00604D07"/>
    <w:rsid w:val="0060525F"/>
    <w:rsid w:val="00605975"/>
    <w:rsid w:val="00605C09"/>
    <w:rsid w:val="00606CC0"/>
    <w:rsid w:val="006074A4"/>
    <w:rsid w:val="00607960"/>
    <w:rsid w:val="00607F40"/>
    <w:rsid w:val="00610213"/>
    <w:rsid w:val="0061065D"/>
    <w:rsid w:val="00610A3B"/>
    <w:rsid w:val="00610E0C"/>
    <w:rsid w:val="006132D5"/>
    <w:rsid w:val="00613998"/>
    <w:rsid w:val="00613F8D"/>
    <w:rsid w:val="00615309"/>
    <w:rsid w:val="00615A7B"/>
    <w:rsid w:val="00620215"/>
    <w:rsid w:val="00620453"/>
    <w:rsid w:val="00620540"/>
    <w:rsid w:val="00622D32"/>
    <w:rsid w:val="00623673"/>
    <w:rsid w:val="006238D5"/>
    <w:rsid w:val="00623A96"/>
    <w:rsid w:val="00623AF6"/>
    <w:rsid w:val="00623B8E"/>
    <w:rsid w:val="0062450A"/>
    <w:rsid w:val="0062475A"/>
    <w:rsid w:val="006248F8"/>
    <w:rsid w:val="00625A87"/>
    <w:rsid w:val="00625D23"/>
    <w:rsid w:val="00625FBE"/>
    <w:rsid w:val="00630B25"/>
    <w:rsid w:val="00631F8E"/>
    <w:rsid w:val="00632590"/>
    <w:rsid w:val="00634BC8"/>
    <w:rsid w:val="00635FF8"/>
    <w:rsid w:val="0063611A"/>
    <w:rsid w:val="006373E4"/>
    <w:rsid w:val="00637D8D"/>
    <w:rsid w:val="006413C1"/>
    <w:rsid w:val="00641DCE"/>
    <w:rsid w:val="00643D63"/>
    <w:rsid w:val="00645433"/>
    <w:rsid w:val="00645D7B"/>
    <w:rsid w:val="006467E2"/>
    <w:rsid w:val="0064699D"/>
    <w:rsid w:val="00646BDD"/>
    <w:rsid w:val="00646C4F"/>
    <w:rsid w:val="00646E2A"/>
    <w:rsid w:val="00647FA0"/>
    <w:rsid w:val="00650B21"/>
    <w:rsid w:val="00651C30"/>
    <w:rsid w:val="00652904"/>
    <w:rsid w:val="00652906"/>
    <w:rsid w:val="006546A4"/>
    <w:rsid w:val="00655385"/>
    <w:rsid w:val="00655D2E"/>
    <w:rsid w:val="00655D9F"/>
    <w:rsid w:val="00656C58"/>
    <w:rsid w:val="00657641"/>
    <w:rsid w:val="00657953"/>
    <w:rsid w:val="0066054E"/>
    <w:rsid w:val="00660849"/>
    <w:rsid w:val="00661BD9"/>
    <w:rsid w:val="006620AD"/>
    <w:rsid w:val="00662AEA"/>
    <w:rsid w:val="00663463"/>
    <w:rsid w:val="00664F15"/>
    <w:rsid w:val="006652B3"/>
    <w:rsid w:val="006657E5"/>
    <w:rsid w:val="00666941"/>
    <w:rsid w:val="00666966"/>
    <w:rsid w:val="006701A6"/>
    <w:rsid w:val="00670242"/>
    <w:rsid w:val="006706A7"/>
    <w:rsid w:val="00670A9E"/>
    <w:rsid w:val="006725FE"/>
    <w:rsid w:val="00672CE5"/>
    <w:rsid w:val="00672F8E"/>
    <w:rsid w:val="00675F9D"/>
    <w:rsid w:val="0067621B"/>
    <w:rsid w:val="00676DC4"/>
    <w:rsid w:val="00676E71"/>
    <w:rsid w:val="0068025F"/>
    <w:rsid w:val="00680805"/>
    <w:rsid w:val="0068161E"/>
    <w:rsid w:val="00681638"/>
    <w:rsid w:val="006816C4"/>
    <w:rsid w:val="00681BFC"/>
    <w:rsid w:val="0068220C"/>
    <w:rsid w:val="00682D81"/>
    <w:rsid w:val="00683888"/>
    <w:rsid w:val="006841F1"/>
    <w:rsid w:val="00684521"/>
    <w:rsid w:val="00684787"/>
    <w:rsid w:val="00684C21"/>
    <w:rsid w:val="00684D14"/>
    <w:rsid w:val="00684FD5"/>
    <w:rsid w:val="00685261"/>
    <w:rsid w:val="006872B7"/>
    <w:rsid w:val="0069074A"/>
    <w:rsid w:val="006908E6"/>
    <w:rsid w:val="006913C6"/>
    <w:rsid w:val="00691C19"/>
    <w:rsid w:val="00691EF5"/>
    <w:rsid w:val="006921BA"/>
    <w:rsid w:val="00693716"/>
    <w:rsid w:val="0069591A"/>
    <w:rsid w:val="00695DDE"/>
    <w:rsid w:val="00695F1C"/>
    <w:rsid w:val="0069745B"/>
    <w:rsid w:val="006976B5"/>
    <w:rsid w:val="00697BE8"/>
    <w:rsid w:val="006A0DAA"/>
    <w:rsid w:val="006A2EB1"/>
    <w:rsid w:val="006A30F3"/>
    <w:rsid w:val="006A3466"/>
    <w:rsid w:val="006A3EF8"/>
    <w:rsid w:val="006A5860"/>
    <w:rsid w:val="006A6A45"/>
    <w:rsid w:val="006A7BB8"/>
    <w:rsid w:val="006B0A7B"/>
    <w:rsid w:val="006B1FAF"/>
    <w:rsid w:val="006B296C"/>
    <w:rsid w:val="006B2A73"/>
    <w:rsid w:val="006B2B98"/>
    <w:rsid w:val="006B319E"/>
    <w:rsid w:val="006B3967"/>
    <w:rsid w:val="006B3A55"/>
    <w:rsid w:val="006B42E9"/>
    <w:rsid w:val="006B430E"/>
    <w:rsid w:val="006B4968"/>
    <w:rsid w:val="006B4D89"/>
    <w:rsid w:val="006B4F83"/>
    <w:rsid w:val="006B63FC"/>
    <w:rsid w:val="006B661A"/>
    <w:rsid w:val="006C0E77"/>
    <w:rsid w:val="006C1C36"/>
    <w:rsid w:val="006C2B35"/>
    <w:rsid w:val="006C37FA"/>
    <w:rsid w:val="006C3FFD"/>
    <w:rsid w:val="006C41AE"/>
    <w:rsid w:val="006C4457"/>
    <w:rsid w:val="006C47AE"/>
    <w:rsid w:val="006C6143"/>
    <w:rsid w:val="006C659A"/>
    <w:rsid w:val="006C67AF"/>
    <w:rsid w:val="006C6B3C"/>
    <w:rsid w:val="006C714D"/>
    <w:rsid w:val="006C76E0"/>
    <w:rsid w:val="006D1E91"/>
    <w:rsid w:val="006D22AA"/>
    <w:rsid w:val="006D25C2"/>
    <w:rsid w:val="006D2996"/>
    <w:rsid w:val="006D3430"/>
    <w:rsid w:val="006D3E9A"/>
    <w:rsid w:val="006D4389"/>
    <w:rsid w:val="006D4527"/>
    <w:rsid w:val="006D48FC"/>
    <w:rsid w:val="006D4D17"/>
    <w:rsid w:val="006D5682"/>
    <w:rsid w:val="006D588F"/>
    <w:rsid w:val="006D68F2"/>
    <w:rsid w:val="006D76E4"/>
    <w:rsid w:val="006E0231"/>
    <w:rsid w:val="006E0BB1"/>
    <w:rsid w:val="006E16B2"/>
    <w:rsid w:val="006E1BD7"/>
    <w:rsid w:val="006E1D3B"/>
    <w:rsid w:val="006E2D7D"/>
    <w:rsid w:val="006E2F26"/>
    <w:rsid w:val="006E4A42"/>
    <w:rsid w:val="006E587C"/>
    <w:rsid w:val="006E6B94"/>
    <w:rsid w:val="006E71DF"/>
    <w:rsid w:val="006E75BF"/>
    <w:rsid w:val="006F0401"/>
    <w:rsid w:val="006F21FE"/>
    <w:rsid w:val="006F3B78"/>
    <w:rsid w:val="006F479E"/>
    <w:rsid w:val="006F49FD"/>
    <w:rsid w:val="006F570C"/>
    <w:rsid w:val="006F58A8"/>
    <w:rsid w:val="006F5938"/>
    <w:rsid w:val="006F5B49"/>
    <w:rsid w:val="006F60DB"/>
    <w:rsid w:val="006F64AF"/>
    <w:rsid w:val="006F6604"/>
    <w:rsid w:val="006F7CB6"/>
    <w:rsid w:val="00701048"/>
    <w:rsid w:val="00701B09"/>
    <w:rsid w:val="00702ACB"/>
    <w:rsid w:val="00702BAD"/>
    <w:rsid w:val="00703099"/>
    <w:rsid w:val="0070377E"/>
    <w:rsid w:val="00705837"/>
    <w:rsid w:val="00705AB0"/>
    <w:rsid w:val="00705ECF"/>
    <w:rsid w:val="0070655D"/>
    <w:rsid w:val="00707E10"/>
    <w:rsid w:val="00710AA2"/>
    <w:rsid w:val="00712BDF"/>
    <w:rsid w:val="00713F06"/>
    <w:rsid w:val="00714C2A"/>
    <w:rsid w:val="007155CD"/>
    <w:rsid w:val="00715CE3"/>
    <w:rsid w:val="00715DD7"/>
    <w:rsid w:val="007162EE"/>
    <w:rsid w:val="0071763B"/>
    <w:rsid w:val="00717888"/>
    <w:rsid w:val="0072042A"/>
    <w:rsid w:val="00720F89"/>
    <w:rsid w:val="00721471"/>
    <w:rsid w:val="00722966"/>
    <w:rsid w:val="0072398B"/>
    <w:rsid w:val="00723E2C"/>
    <w:rsid w:val="00724FB0"/>
    <w:rsid w:val="00725948"/>
    <w:rsid w:val="007264F8"/>
    <w:rsid w:val="007269BE"/>
    <w:rsid w:val="00726CB8"/>
    <w:rsid w:val="00726EA4"/>
    <w:rsid w:val="007277D6"/>
    <w:rsid w:val="00727F16"/>
    <w:rsid w:val="00730783"/>
    <w:rsid w:val="0073078C"/>
    <w:rsid w:val="00730F96"/>
    <w:rsid w:val="00731EFA"/>
    <w:rsid w:val="00733B01"/>
    <w:rsid w:val="00734257"/>
    <w:rsid w:val="007360E0"/>
    <w:rsid w:val="00736D95"/>
    <w:rsid w:val="00737D09"/>
    <w:rsid w:val="00737DF2"/>
    <w:rsid w:val="00737FCA"/>
    <w:rsid w:val="007403C8"/>
    <w:rsid w:val="00741F49"/>
    <w:rsid w:val="0074278C"/>
    <w:rsid w:val="007427B8"/>
    <w:rsid w:val="00742D7C"/>
    <w:rsid w:val="00743591"/>
    <w:rsid w:val="007435F1"/>
    <w:rsid w:val="00743770"/>
    <w:rsid w:val="00743F5F"/>
    <w:rsid w:val="00744BB7"/>
    <w:rsid w:val="00746714"/>
    <w:rsid w:val="00746FD7"/>
    <w:rsid w:val="00747C4A"/>
    <w:rsid w:val="00747EE4"/>
    <w:rsid w:val="0075092D"/>
    <w:rsid w:val="0075139D"/>
    <w:rsid w:val="00752946"/>
    <w:rsid w:val="00752A90"/>
    <w:rsid w:val="00752BB8"/>
    <w:rsid w:val="00752D4D"/>
    <w:rsid w:val="007537C2"/>
    <w:rsid w:val="00753CC0"/>
    <w:rsid w:val="007549E0"/>
    <w:rsid w:val="00754E33"/>
    <w:rsid w:val="00754F52"/>
    <w:rsid w:val="00755661"/>
    <w:rsid w:val="007556AF"/>
    <w:rsid w:val="00755F1A"/>
    <w:rsid w:val="00757A7C"/>
    <w:rsid w:val="00760449"/>
    <w:rsid w:val="007607BB"/>
    <w:rsid w:val="0076083D"/>
    <w:rsid w:val="00760D6F"/>
    <w:rsid w:val="00761BBA"/>
    <w:rsid w:val="00761FF0"/>
    <w:rsid w:val="00763B87"/>
    <w:rsid w:val="00764E5C"/>
    <w:rsid w:val="007655E1"/>
    <w:rsid w:val="007657F7"/>
    <w:rsid w:val="0076611B"/>
    <w:rsid w:val="00766C48"/>
    <w:rsid w:val="0076735E"/>
    <w:rsid w:val="007674D3"/>
    <w:rsid w:val="00767554"/>
    <w:rsid w:val="00767F71"/>
    <w:rsid w:val="00767F9E"/>
    <w:rsid w:val="00770459"/>
    <w:rsid w:val="007707C5"/>
    <w:rsid w:val="00770EC4"/>
    <w:rsid w:val="00770F8D"/>
    <w:rsid w:val="00771998"/>
    <w:rsid w:val="00772388"/>
    <w:rsid w:val="0077252B"/>
    <w:rsid w:val="00772DE9"/>
    <w:rsid w:val="007736B5"/>
    <w:rsid w:val="00774EB6"/>
    <w:rsid w:val="00776A4B"/>
    <w:rsid w:val="00776DD6"/>
    <w:rsid w:val="00777125"/>
    <w:rsid w:val="00777CB5"/>
    <w:rsid w:val="007813C3"/>
    <w:rsid w:val="007815F4"/>
    <w:rsid w:val="00781842"/>
    <w:rsid w:val="007818C0"/>
    <w:rsid w:val="00782FB7"/>
    <w:rsid w:val="0078697D"/>
    <w:rsid w:val="00787672"/>
    <w:rsid w:val="007901F7"/>
    <w:rsid w:val="007913C9"/>
    <w:rsid w:val="007916AA"/>
    <w:rsid w:val="0079240B"/>
    <w:rsid w:val="0079311E"/>
    <w:rsid w:val="0079489E"/>
    <w:rsid w:val="00795773"/>
    <w:rsid w:val="00795779"/>
    <w:rsid w:val="007974E7"/>
    <w:rsid w:val="007A036E"/>
    <w:rsid w:val="007A1CB0"/>
    <w:rsid w:val="007A236D"/>
    <w:rsid w:val="007A264B"/>
    <w:rsid w:val="007A2F93"/>
    <w:rsid w:val="007A3C39"/>
    <w:rsid w:val="007A3DD1"/>
    <w:rsid w:val="007A4A72"/>
    <w:rsid w:val="007A5834"/>
    <w:rsid w:val="007A5BA9"/>
    <w:rsid w:val="007A63FD"/>
    <w:rsid w:val="007A6A88"/>
    <w:rsid w:val="007A7583"/>
    <w:rsid w:val="007A7AB2"/>
    <w:rsid w:val="007A7CEF"/>
    <w:rsid w:val="007B12CD"/>
    <w:rsid w:val="007B1400"/>
    <w:rsid w:val="007B1448"/>
    <w:rsid w:val="007B1862"/>
    <w:rsid w:val="007B1DC4"/>
    <w:rsid w:val="007B26CF"/>
    <w:rsid w:val="007B3808"/>
    <w:rsid w:val="007B3F9C"/>
    <w:rsid w:val="007B4C8A"/>
    <w:rsid w:val="007B52FB"/>
    <w:rsid w:val="007B6003"/>
    <w:rsid w:val="007B66E1"/>
    <w:rsid w:val="007B7F2F"/>
    <w:rsid w:val="007B7F38"/>
    <w:rsid w:val="007C041D"/>
    <w:rsid w:val="007C071A"/>
    <w:rsid w:val="007C0E62"/>
    <w:rsid w:val="007C111E"/>
    <w:rsid w:val="007C13FE"/>
    <w:rsid w:val="007C195D"/>
    <w:rsid w:val="007C2735"/>
    <w:rsid w:val="007C2740"/>
    <w:rsid w:val="007C2D04"/>
    <w:rsid w:val="007C35FF"/>
    <w:rsid w:val="007C36DC"/>
    <w:rsid w:val="007C37AE"/>
    <w:rsid w:val="007C3F22"/>
    <w:rsid w:val="007C5460"/>
    <w:rsid w:val="007C5497"/>
    <w:rsid w:val="007C56D6"/>
    <w:rsid w:val="007C755D"/>
    <w:rsid w:val="007D0417"/>
    <w:rsid w:val="007D067F"/>
    <w:rsid w:val="007D0745"/>
    <w:rsid w:val="007D0DB0"/>
    <w:rsid w:val="007D2460"/>
    <w:rsid w:val="007D3A53"/>
    <w:rsid w:val="007D4623"/>
    <w:rsid w:val="007D4BBC"/>
    <w:rsid w:val="007D5472"/>
    <w:rsid w:val="007D5F99"/>
    <w:rsid w:val="007D78A2"/>
    <w:rsid w:val="007E0D6C"/>
    <w:rsid w:val="007E2AC9"/>
    <w:rsid w:val="007E2E13"/>
    <w:rsid w:val="007E3A1A"/>
    <w:rsid w:val="007E41C3"/>
    <w:rsid w:val="007E4856"/>
    <w:rsid w:val="007E4D01"/>
    <w:rsid w:val="007E70AF"/>
    <w:rsid w:val="007E739E"/>
    <w:rsid w:val="007E7838"/>
    <w:rsid w:val="007E79C7"/>
    <w:rsid w:val="007F1558"/>
    <w:rsid w:val="007F1FE0"/>
    <w:rsid w:val="007F2E79"/>
    <w:rsid w:val="007F2F25"/>
    <w:rsid w:val="007F2FB3"/>
    <w:rsid w:val="007F3085"/>
    <w:rsid w:val="007F3373"/>
    <w:rsid w:val="007F5FE3"/>
    <w:rsid w:val="007F78DD"/>
    <w:rsid w:val="007F7C9A"/>
    <w:rsid w:val="0080050E"/>
    <w:rsid w:val="00801855"/>
    <w:rsid w:val="00802D3A"/>
    <w:rsid w:val="00803449"/>
    <w:rsid w:val="00803A34"/>
    <w:rsid w:val="00803A36"/>
    <w:rsid w:val="00803E87"/>
    <w:rsid w:val="008049BD"/>
    <w:rsid w:val="00804B42"/>
    <w:rsid w:val="00804DEC"/>
    <w:rsid w:val="008057B5"/>
    <w:rsid w:val="00807492"/>
    <w:rsid w:val="00810AFF"/>
    <w:rsid w:val="00811070"/>
    <w:rsid w:val="008129C9"/>
    <w:rsid w:val="00812F47"/>
    <w:rsid w:val="00812F9A"/>
    <w:rsid w:val="00813EAC"/>
    <w:rsid w:val="00814158"/>
    <w:rsid w:val="008146CA"/>
    <w:rsid w:val="008147F9"/>
    <w:rsid w:val="0081484A"/>
    <w:rsid w:val="008159AE"/>
    <w:rsid w:val="00816476"/>
    <w:rsid w:val="00817909"/>
    <w:rsid w:val="00820442"/>
    <w:rsid w:val="00820751"/>
    <w:rsid w:val="008223B6"/>
    <w:rsid w:val="00822669"/>
    <w:rsid w:val="0082269C"/>
    <w:rsid w:val="00822B6C"/>
    <w:rsid w:val="00822C4D"/>
    <w:rsid w:val="00822C4E"/>
    <w:rsid w:val="00822C8D"/>
    <w:rsid w:val="00823490"/>
    <w:rsid w:val="0082400E"/>
    <w:rsid w:val="008259C6"/>
    <w:rsid w:val="00825A1E"/>
    <w:rsid w:val="008260D6"/>
    <w:rsid w:val="00827508"/>
    <w:rsid w:val="0083039A"/>
    <w:rsid w:val="008308B2"/>
    <w:rsid w:val="00830BB9"/>
    <w:rsid w:val="0083102B"/>
    <w:rsid w:val="00831B9A"/>
    <w:rsid w:val="00831BE7"/>
    <w:rsid w:val="00831F05"/>
    <w:rsid w:val="00832828"/>
    <w:rsid w:val="00832E1E"/>
    <w:rsid w:val="008330BF"/>
    <w:rsid w:val="0083390E"/>
    <w:rsid w:val="00833B25"/>
    <w:rsid w:val="008356EE"/>
    <w:rsid w:val="00836875"/>
    <w:rsid w:val="00836B4E"/>
    <w:rsid w:val="00836C5F"/>
    <w:rsid w:val="00837DB8"/>
    <w:rsid w:val="008409C5"/>
    <w:rsid w:val="00840CEF"/>
    <w:rsid w:val="00841D88"/>
    <w:rsid w:val="00842345"/>
    <w:rsid w:val="00842D5F"/>
    <w:rsid w:val="00843069"/>
    <w:rsid w:val="00843087"/>
    <w:rsid w:val="00843A35"/>
    <w:rsid w:val="00843A54"/>
    <w:rsid w:val="00844503"/>
    <w:rsid w:val="00844CB1"/>
    <w:rsid w:val="00844E1C"/>
    <w:rsid w:val="00844E55"/>
    <w:rsid w:val="0084554E"/>
    <w:rsid w:val="00845702"/>
    <w:rsid w:val="00846292"/>
    <w:rsid w:val="00846895"/>
    <w:rsid w:val="00846A5D"/>
    <w:rsid w:val="00847E85"/>
    <w:rsid w:val="008503AE"/>
    <w:rsid w:val="00850D17"/>
    <w:rsid w:val="0085138E"/>
    <w:rsid w:val="00852751"/>
    <w:rsid w:val="0085281E"/>
    <w:rsid w:val="00852A08"/>
    <w:rsid w:val="00853595"/>
    <w:rsid w:val="0085446B"/>
    <w:rsid w:val="00854B03"/>
    <w:rsid w:val="00854B88"/>
    <w:rsid w:val="00856C9A"/>
    <w:rsid w:val="008572DA"/>
    <w:rsid w:val="0086099D"/>
    <w:rsid w:val="00861C8C"/>
    <w:rsid w:val="00862440"/>
    <w:rsid w:val="00862462"/>
    <w:rsid w:val="00862B0A"/>
    <w:rsid w:val="008633FB"/>
    <w:rsid w:val="00863C1F"/>
    <w:rsid w:val="00865387"/>
    <w:rsid w:val="00865604"/>
    <w:rsid w:val="0086561D"/>
    <w:rsid w:val="008664C0"/>
    <w:rsid w:val="00870844"/>
    <w:rsid w:val="00871231"/>
    <w:rsid w:val="008712E9"/>
    <w:rsid w:val="00871D8E"/>
    <w:rsid w:val="008720E2"/>
    <w:rsid w:val="00873775"/>
    <w:rsid w:val="00873D31"/>
    <w:rsid w:val="00874B51"/>
    <w:rsid w:val="00874BCA"/>
    <w:rsid w:val="0087508C"/>
    <w:rsid w:val="00877B55"/>
    <w:rsid w:val="008803FC"/>
    <w:rsid w:val="00881047"/>
    <w:rsid w:val="00881070"/>
    <w:rsid w:val="00881C19"/>
    <w:rsid w:val="00882434"/>
    <w:rsid w:val="008827D4"/>
    <w:rsid w:val="00882A13"/>
    <w:rsid w:val="00883D77"/>
    <w:rsid w:val="008863B2"/>
    <w:rsid w:val="008864F6"/>
    <w:rsid w:val="00886883"/>
    <w:rsid w:val="00886F9F"/>
    <w:rsid w:val="008906CD"/>
    <w:rsid w:val="00890D4E"/>
    <w:rsid w:val="008914E5"/>
    <w:rsid w:val="00891A5F"/>
    <w:rsid w:val="0089224F"/>
    <w:rsid w:val="00892CF8"/>
    <w:rsid w:val="00893FAB"/>
    <w:rsid w:val="0089459B"/>
    <w:rsid w:val="00894DE3"/>
    <w:rsid w:val="00895B96"/>
    <w:rsid w:val="008963EE"/>
    <w:rsid w:val="00896923"/>
    <w:rsid w:val="008A00BF"/>
    <w:rsid w:val="008A1393"/>
    <w:rsid w:val="008A16C9"/>
    <w:rsid w:val="008A2A33"/>
    <w:rsid w:val="008A3699"/>
    <w:rsid w:val="008A5C44"/>
    <w:rsid w:val="008A76E6"/>
    <w:rsid w:val="008A79DA"/>
    <w:rsid w:val="008B01D5"/>
    <w:rsid w:val="008B0A3C"/>
    <w:rsid w:val="008B0CDC"/>
    <w:rsid w:val="008B1BF8"/>
    <w:rsid w:val="008B1CF4"/>
    <w:rsid w:val="008B1F06"/>
    <w:rsid w:val="008B2FD6"/>
    <w:rsid w:val="008B323C"/>
    <w:rsid w:val="008B4CB8"/>
    <w:rsid w:val="008B5C9C"/>
    <w:rsid w:val="008B70FE"/>
    <w:rsid w:val="008B7F7A"/>
    <w:rsid w:val="008C0198"/>
    <w:rsid w:val="008C0975"/>
    <w:rsid w:val="008C0FB9"/>
    <w:rsid w:val="008C1024"/>
    <w:rsid w:val="008C18F0"/>
    <w:rsid w:val="008C1C6E"/>
    <w:rsid w:val="008C201F"/>
    <w:rsid w:val="008C2B83"/>
    <w:rsid w:val="008C2DC7"/>
    <w:rsid w:val="008C300C"/>
    <w:rsid w:val="008C303C"/>
    <w:rsid w:val="008C465F"/>
    <w:rsid w:val="008C4CD0"/>
    <w:rsid w:val="008C54ED"/>
    <w:rsid w:val="008C7CC8"/>
    <w:rsid w:val="008C7D82"/>
    <w:rsid w:val="008D00E9"/>
    <w:rsid w:val="008D061F"/>
    <w:rsid w:val="008D0A44"/>
    <w:rsid w:val="008D1261"/>
    <w:rsid w:val="008D237E"/>
    <w:rsid w:val="008D34A4"/>
    <w:rsid w:val="008D3572"/>
    <w:rsid w:val="008D3B18"/>
    <w:rsid w:val="008D5405"/>
    <w:rsid w:val="008D5F63"/>
    <w:rsid w:val="008D61B4"/>
    <w:rsid w:val="008D6D35"/>
    <w:rsid w:val="008D6EF1"/>
    <w:rsid w:val="008D71AC"/>
    <w:rsid w:val="008D728A"/>
    <w:rsid w:val="008D7B29"/>
    <w:rsid w:val="008E0045"/>
    <w:rsid w:val="008E06C6"/>
    <w:rsid w:val="008E0C8A"/>
    <w:rsid w:val="008E0CC8"/>
    <w:rsid w:val="008E1710"/>
    <w:rsid w:val="008E1714"/>
    <w:rsid w:val="008E187D"/>
    <w:rsid w:val="008E1F6F"/>
    <w:rsid w:val="008E20F9"/>
    <w:rsid w:val="008E2119"/>
    <w:rsid w:val="008E2806"/>
    <w:rsid w:val="008E347E"/>
    <w:rsid w:val="008E4497"/>
    <w:rsid w:val="008E47F4"/>
    <w:rsid w:val="008E5003"/>
    <w:rsid w:val="008E561D"/>
    <w:rsid w:val="008E60B1"/>
    <w:rsid w:val="008E66BF"/>
    <w:rsid w:val="008E6720"/>
    <w:rsid w:val="008E68A4"/>
    <w:rsid w:val="008E68D1"/>
    <w:rsid w:val="008E6D61"/>
    <w:rsid w:val="008E7583"/>
    <w:rsid w:val="008F0852"/>
    <w:rsid w:val="008F16B6"/>
    <w:rsid w:val="008F1AFF"/>
    <w:rsid w:val="008F1F92"/>
    <w:rsid w:val="008F2794"/>
    <w:rsid w:val="008F27C5"/>
    <w:rsid w:val="008F3783"/>
    <w:rsid w:val="008F50EA"/>
    <w:rsid w:val="008F52B6"/>
    <w:rsid w:val="008F5D71"/>
    <w:rsid w:val="008F60B6"/>
    <w:rsid w:val="008F618D"/>
    <w:rsid w:val="008F6C40"/>
    <w:rsid w:val="008F792C"/>
    <w:rsid w:val="008F7ECB"/>
    <w:rsid w:val="0090033D"/>
    <w:rsid w:val="009004D6"/>
    <w:rsid w:val="00901502"/>
    <w:rsid w:val="00902435"/>
    <w:rsid w:val="009028BA"/>
    <w:rsid w:val="00902917"/>
    <w:rsid w:val="00903F08"/>
    <w:rsid w:val="00903FF8"/>
    <w:rsid w:val="00904299"/>
    <w:rsid w:val="00904E61"/>
    <w:rsid w:val="009063B7"/>
    <w:rsid w:val="0091107D"/>
    <w:rsid w:val="00911170"/>
    <w:rsid w:val="00911472"/>
    <w:rsid w:val="0091157C"/>
    <w:rsid w:val="00911FFC"/>
    <w:rsid w:val="0091305A"/>
    <w:rsid w:val="0091426B"/>
    <w:rsid w:val="00914807"/>
    <w:rsid w:val="009153F0"/>
    <w:rsid w:val="00916073"/>
    <w:rsid w:val="00916124"/>
    <w:rsid w:val="00916199"/>
    <w:rsid w:val="009164B9"/>
    <w:rsid w:val="009165CE"/>
    <w:rsid w:val="00916652"/>
    <w:rsid w:val="009178BF"/>
    <w:rsid w:val="00920098"/>
    <w:rsid w:val="009200A6"/>
    <w:rsid w:val="0092054A"/>
    <w:rsid w:val="00921268"/>
    <w:rsid w:val="0092236C"/>
    <w:rsid w:val="009236D6"/>
    <w:rsid w:val="009245C6"/>
    <w:rsid w:val="009246FE"/>
    <w:rsid w:val="009254C5"/>
    <w:rsid w:val="0092559E"/>
    <w:rsid w:val="0092588D"/>
    <w:rsid w:val="00926114"/>
    <w:rsid w:val="00926154"/>
    <w:rsid w:val="009261BE"/>
    <w:rsid w:val="009262C9"/>
    <w:rsid w:val="0092710B"/>
    <w:rsid w:val="00927217"/>
    <w:rsid w:val="0092736C"/>
    <w:rsid w:val="0092763C"/>
    <w:rsid w:val="00927862"/>
    <w:rsid w:val="00930C54"/>
    <w:rsid w:val="0093130C"/>
    <w:rsid w:val="00931FE5"/>
    <w:rsid w:val="00932159"/>
    <w:rsid w:val="0093250A"/>
    <w:rsid w:val="009328CC"/>
    <w:rsid w:val="00932BB5"/>
    <w:rsid w:val="009330B2"/>
    <w:rsid w:val="00934AF2"/>
    <w:rsid w:val="009355ED"/>
    <w:rsid w:val="0093569D"/>
    <w:rsid w:val="00936B8C"/>
    <w:rsid w:val="00936ED3"/>
    <w:rsid w:val="009379B2"/>
    <w:rsid w:val="00937A15"/>
    <w:rsid w:val="00937C50"/>
    <w:rsid w:val="00940A09"/>
    <w:rsid w:val="009410A0"/>
    <w:rsid w:val="009430B5"/>
    <w:rsid w:val="00943AE0"/>
    <w:rsid w:val="00943B03"/>
    <w:rsid w:val="00943CAE"/>
    <w:rsid w:val="009440D8"/>
    <w:rsid w:val="009447E1"/>
    <w:rsid w:val="00944977"/>
    <w:rsid w:val="00944C6C"/>
    <w:rsid w:val="00944F47"/>
    <w:rsid w:val="00945A52"/>
    <w:rsid w:val="00945B49"/>
    <w:rsid w:val="00946576"/>
    <w:rsid w:val="00947332"/>
    <w:rsid w:val="00947C40"/>
    <w:rsid w:val="00947C77"/>
    <w:rsid w:val="00950104"/>
    <w:rsid w:val="009506EE"/>
    <w:rsid w:val="00951030"/>
    <w:rsid w:val="00951862"/>
    <w:rsid w:val="009521FF"/>
    <w:rsid w:val="00953145"/>
    <w:rsid w:val="0095385B"/>
    <w:rsid w:val="00954520"/>
    <w:rsid w:val="00954A13"/>
    <w:rsid w:val="00955ADC"/>
    <w:rsid w:val="00955EFB"/>
    <w:rsid w:val="00956595"/>
    <w:rsid w:val="009575D6"/>
    <w:rsid w:val="00960B44"/>
    <w:rsid w:val="00961C3E"/>
    <w:rsid w:val="00962502"/>
    <w:rsid w:val="0096262F"/>
    <w:rsid w:val="00962C6F"/>
    <w:rsid w:val="0096317E"/>
    <w:rsid w:val="009637D5"/>
    <w:rsid w:val="00963AB5"/>
    <w:rsid w:val="00963BA3"/>
    <w:rsid w:val="0096438C"/>
    <w:rsid w:val="00964840"/>
    <w:rsid w:val="009648AD"/>
    <w:rsid w:val="00964E6D"/>
    <w:rsid w:val="0096579A"/>
    <w:rsid w:val="00965A9E"/>
    <w:rsid w:val="00966406"/>
    <w:rsid w:val="009664A3"/>
    <w:rsid w:val="00966693"/>
    <w:rsid w:val="009667CB"/>
    <w:rsid w:val="009669D1"/>
    <w:rsid w:val="00966D6D"/>
    <w:rsid w:val="009679D6"/>
    <w:rsid w:val="00970F83"/>
    <w:rsid w:val="00971603"/>
    <w:rsid w:val="0097241D"/>
    <w:rsid w:val="00972C85"/>
    <w:rsid w:val="009734DA"/>
    <w:rsid w:val="00973A38"/>
    <w:rsid w:val="0097544C"/>
    <w:rsid w:val="00975F25"/>
    <w:rsid w:val="009802EC"/>
    <w:rsid w:val="009803D7"/>
    <w:rsid w:val="009807E8"/>
    <w:rsid w:val="00980AF3"/>
    <w:rsid w:val="00981507"/>
    <w:rsid w:val="00982263"/>
    <w:rsid w:val="00983004"/>
    <w:rsid w:val="009830E8"/>
    <w:rsid w:val="00983A55"/>
    <w:rsid w:val="00983DBA"/>
    <w:rsid w:val="00983DCE"/>
    <w:rsid w:val="00985B52"/>
    <w:rsid w:val="0098626C"/>
    <w:rsid w:val="00986558"/>
    <w:rsid w:val="0098702D"/>
    <w:rsid w:val="0099067E"/>
    <w:rsid w:val="00991682"/>
    <w:rsid w:val="009916A4"/>
    <w:rsid w:val="00992D1D"/>
    <w:rsid w:val="00993BDE"/>
    <w:rsid w:val="0099469A"/>
    <w:rsid w:val="00995004"/>
    <w:rsid w:val="009A022B"/>
    <w:rsid w:val="009A07BC"/>
    <w:rsid w:val="009A098B"/>
    <w:rsid w:val="009A11E5"/>
    <w:rsid w:val="009A12C6"/>
    <w:rsid w:val="009A1668"/>
    <w:rsid w:val="009A16C2"/>
    <w:rsid w:val="009A1B64"/>
    <w:rsid w:val="009A1C8C"/>
    <w:rsid w:val="009A2055"/>
    <w:rsid w:val="009A2A35"/>
    <w:rsid w:val="009A2FFA"/>
    <w:rsid w:val="009A33D6"/>
    <w:rsid w:val="009A3DE7"/>
    <w:rsid w:val="009A3E1E"/>
    <w:rsid w:val="009A441A"/>
    <w:rsid w:val="009A498E"/>
    <w:rsid w:val="009A4B93"/>
    <w:rsid w:val="009A4BB0"/>
    <w:rsid w:val="009A5EB1"/>
    <w:rsid w:val="009A61D7"/>
    <w:rsid w:val="009A62F7"/>
    <w:rsid w:val="009A696C"/>
    <w:rsid w:val="009A6C04"/>
    <w:rsid w:val="009A6F16"/>
    <w:rsid w:val="009A729F"/>
    <w:rsid w:val="009A7B5F"/>
    <w:rsid w:val="009B05C1"/>
    <w:rsid w:val="009B0712"/>
    <w:rsid w:val="009B0FA9"/>
    <w:rsid w:val="009B1AB6"/>
    <w:rsid w:val="009B2145"/>
    <w:rsid w:val="009B25A8"/>
    <w:rsid w:val="009B30B4"/>
    <w:rsid w:val="009B472A"/>
    <w:rsid w:val="009B4DD7"/>
    <w:rsid w:val="009B5BB3"/>
    <w:rsid w:val="009B6222"/>
    <w:rsid w:val="009B650B"/>
    <w:rsid w:val="009B67A6"/>
    <w:rsid w:val="009C043A"/>
    <w:rsid w:val="009C19BE"/>
    <w:rsid w:val="009C1BB8"/>
    <w:rsid w:val="009C36D8"/>
    <w:rsid w:val="009C4E9B"/>
    <w:rsid w:val="009C50A1"/>
    <w:rsid w:val="009C51FE"/>
    <w:rsid w:val="009C5A6E"/>
    <w:rsid w:val="009C632B"/>
    <w:rsid w:val="009C654E"/>
    <w:rsid w:val="009C7365"/>
    <w:rsid w:val="009C7E5F"/>
    <w:rsid w:val="009C7F33"/>
    <w:rsid w:val="009D1519"/>
    <w:rsid w:val="009D17AB"/>
    <w:rsid w:val="009D238D"/>
    <w:rsid w:val="009D2930"/>
    <w:rsid w:val="009D2B99"/>
    <w:rsid w:val="009D3CA3"/>
    <w:rsid w:val="009D5494"/>
    <w:rsid w:val="009D5590"/>
    <w:rsid w:val="009D571A"/>
    <w:rsid w:val="009D782D"/>
    <w:rsid w:val="009D7A3B"/>
    <w:rsid w:val="009D7E93"/>
    <w:rsid w:val="009E05B0"/>
    <w:rsid w:val="009E0FB3"/>
    <w:rsid w:val="009E1618"/>
    <w:rsid w:val="009E1F2D"/>
    <w:rsid w:val="009E24B9"/>
    <w:rsid w:val="009E3711"/>
    <w:rsid w:val="009E4161"/>
    <w:rsid w:val="009E4E20"/>
    <w:rsid w:val="009E5A29"/>
    <w:rsid w:val="009F107E"/>
    <w:rsid w:val="009F137A"/>
    <w:rsid w:val="009F2BEA"/>
    <w:rsid w:val="009F2CBA"/>
    <w:rsid w:val="009F3B50"/>
    <w:rsid w:val="009F3C2F"/>
    <w:rsid w:val="009F3C5C"/>
    <w:rsid w:val="009F4151"/>
    <w:rsid w:val="009F43FF"/>
    <w:rsid w:val="009F46DF"/>
    <w:rsid w:val="009F4870"/>
    <w:rsid w:val="009F533D"/>
    <w:rsid w:val="009F5667"/>
    <w:rsid w:val="009F7C2D"/>
    <w:rsid w:val="00A008F4"/>
    <w:rsid w:val="00A02649"/>
    <w:rsid w:val="00A02D64"/>
    <w:rsid w:val="00A02F0D"/>
    <w:rsid w:val="00A031C9"/>
    <w:rsid w:val="00A035F9"/>
    <w:rsid w:val="00A037BE"/>
    <w:rsid w:val="00A03C67"/>
    <w:rsid w:val="00A04DD6"/>
    <w:rsid w:val="00A057A7"/>
    <w:rsid w:val="00A0629A"/>
    <w:rsid w:val="00A06AB6"/>
    <w:rsid w:val="00A06DD7"/>
    <w:rsid w:val="00A0737A"/>
    <w:rsid w:val="00A110F1"/>
    <w:rsid w:val="00A1121F"/>
    <w:rsid w:val="00A113D4"/>
    <w:rsid w:val="00A11B01"/>
    <w:rsid w:val="00A11E22"/>
    <w:rsid w:val="00A135E0"/>
    <w:rsid w:val="00A137CC"/>
    <w:rsid w:val="00A13CB7"/>
    <w:rsid w:val="00A13FEE"/>
    <w:rsid w:val="00A144B9"/>
    <w:rsid w:val="00A14685"/>
    <w:rsid w:val="00A14D2B"/>
    <w:rsid w:val="00A14D62"/>
    <w:rsid w:val="00A14E6E"/>
    <w:rsid w:val="00A152E2"/>
    <w:rsid w:val="00A15C73"/>
    <w:rsid w:val="00A15F1E"/>
    <w:rsid w:val="00A1671B"/>
    <w:rsid w:val="00A17998"/>
    <w:rsid w:val="00A20668"/>
    <w:rsid w:val="00A20F99"/>
    <w:rsid w:val="00A21F88"/>
    <w:rsid w:val="00A227B3"/>
    <w:rsid w:val="00A23091"/>
    <w:rsid w:val="00A237EE"/>
    <w:rsid w:val="00A237FB"/>
    <w:rsid w:val="00A243E4"/>
    <w:rsid w:val="00A24D9E"/>
    <w:rsid w:val="00A25988"/>
    <w:rsid w:val="00A25F36"/>
    <w:rsid w:val="00A26950"/>
    <w:rsid w:val="00A27933"/>
    <w:rsid w:val="00A30FDA"/>
    <w:rsid w:val="00A31E6E"/>
    <w:rsid w:val="00A32540"/>
    <w:rsid w:val="00A3262E"/>
    <w:rsid w:val="00A32EBC"/>
    <w:rsid w:val="00A339E2"/>
    <w:rsid w:val="00A33ACF"/>
    <w:rsid w:val="00A33C98"/>
    <w:rsid w:val="00A35677"/>
    <w:rsid w:val="00A35D6A"/>
    <w:rsid w:val="00A36028"/>
    <w:rsid w:val="00A37455"/>
    <w:rsid w:val="00A37B58"/>
    <w:rsid w:val="00A40B61"/>
    <w:rsid w:val="00A4377E"/>
    <w:rsid w:val="00A43899"/>
    <w:rsid w:val="00A44412"/>
    <w:rsid w:val="00A4461D"/>
    <w:rsid w:val="00A4467B"/>
    <w:rsid w:val="00A4572C"/>
    <w:rsid w:val="00A45926"/>
    <w:rsid w:val="00A45EDE"/>
    <w:rsid w:val="00A462F9"/>
    <w:rsid w:val="00A463A4"/>
    <w:rsid w:val="00A47099"/>
    <w:rsid w:val="00A471C8"/>
    <w:rsid w:val="00A47230"/>
    <w:rsid w:val="00A47E9B"/>
    <w:rsid w:val="00A51462"/>
    <w:rsid w:val="00A51ED5"/>
    <w:rsid w:val="00A52BA9"/>
    <w:rsid w:val="00A5383B"/>
    <w:rsid w:val="00A543E2"/>
    <w:rsid w:val="00A54692"/>
    <w:rsid w:val="00A54B32"/>
    <w:rsid w:val="00A55A09"/>
    <w:rsid w:val="00A56208"/>
    <w:rsid w:val="00A566DE"/>
    <w:rsid w:val="00A57B3A"/>
    <w:rsid w:val="00A57E17"/>
    <w:rsid w:val="00A60033"/>
    <w:rsid w:val="00A60423"/>
    <w:rsid w:val="00A60A06"/>
    <w:rsid w:val="00A6187F"/>
    <w:rsid w:val="00A61F6B"/>
    <w:rsid w:val="00A61FD6"/>
    <w:rsid w:val="00A6312F"/>
    <w:rsid w:val="00A63BCC"/>
    <w:rsid w:val="00A64C78"/>
    <w:rsid w:val="00A64F43"/>
    <w:rsid w:val="00A65962"/>
    <w:rsid w:val="00A65BB1"/>
    <w:rsid w:val="00A65DC7"/>
    <w:rsid w:val="00A66F98"/>
    <w:rsid w:val="00A6710E"/>
    <w:rsid w:val="00A67F06"/>
    <w:rsid w:val="00A70138"/>
    <w:rsid w:val="00A703E9"/>
    <w:rsid w:val="00A70F57"/>
    <w:rsid w:val="00A71234"/>
    <w:rsid w:val="00A71CB2"/>
    <w:rsid w:val="00A71D16"/>
    <w:rsid w:val="00A71EB9"/>
    <w:rsid w:val="00A720CE"/>
    <w:rsid w:val="00A72668"/>
    <w:rsid w:val="00A746BD"/>
    <w:rsid w:val="00A75599"/>
    <w:rsid w:val="00A75625"/>
    <w:rsid w:val="00A75722"/>
    <w:rsid w:val="00A7586E"/>
    <w:rsid w:val="00A75A1C"/>
    <w:rsid w:val="00A75A25"/>
    <w:rsid w:val="00A75D2E"/>
    <w:rsid w:val="00A76B60"/>
    <w:rsid w:val="00A773FB"/>
    <w:rsid w:val="00A80C12"/>
    <w:rsid w:val="00A81C7E"/>
    <w:rsid w:val="00A82111"/>
    <w:rsid w:val="00A82EB6"/>
    <w:rsid w:val="00A82F7F"/>
    <w:rsid w:val="00A82FAD"/>
    <w:rsid w:val="00A8351B"/>
    <w:rsid w:val="00A838E0"/>
    <w:rsid w:val="00A83DCF"/>
    <w:rsid w:val="00A842B9"/>
    <w:rsid w:val="00A848EF"/>
    <w:rsid w:val="00A85F0D"/>
    <w:rsid w:val="00A86893"/>
    <w:rsid w:val="00A872E6"/>
    <w:rsid w:val="00A91F5A"/>
    <w:rsid w:val="00A9266F"/>
    <w:rsid w:val="00A92DCB"/>
    <w:rsid w:val="00A93437"/>
    <w:rsid w:val="00A93BE0"/>
    <w:rsid w:val="00A9453B"/>
    <w:rsid w:val="00A9485D"/>
    <w:rsid w:val="00A94DC0"/>
    <w:rsid w:val="00A94E4A"/>
    <w:rsid w:val="00A95DE7"/>
    <w:rsid w:val="00A97A18"/>
    <w:rsid w:val="00AA039A"/>
    <w:rsid w:val="00AA0737"/>
    <w:rsid w:val="00AA0F91"/>
    <w:rsid w:val="00AA17C3"/>
    <w:rsid w:val="00AA1951"/>
    <w:rsid w:val="00AA227E"/>
    <w:rsid w:val="00AA2E8F"/>
    <w:rsid w:val="00AA3349"/>
    <w:rsid w:val="00AA3AD5"/>
    <w:rsid w:val="00AA3B9C"/>
    <w:rsid w:val="00AA3D9D"/>
    <w:rsid w:val="00AA4009"/>
    <w:rsid w:val="00AA4776"/>
    <w:rsid w:val="00AA4C9F"/>
    <w:rsid w:val="00AA60C6"/>
    <w:rsid w:val="00AA66FF"/>
    <w:rsid w:val="00AA69F6"/>
    <w:rsid w:val="00AA6CE1"/>
    <w:rsid w:val="00AA71CD"/>
    <w:rsid w:val="00AB0634"/>
    <w:rsid w:val="00AB12D1"/>
    <w:rsid w:val="00AB2724"/>
    <w:rsid w:val="00AB34EF"/>
    <w:rsid w:val="00AB3C09"/>
    <w:rsid w:val="00AB4969"/>
    <w:rsid w:val="00AB5DBF"/>
    <w:rsid w:val="00AB600C"/>
    <w:rsid w:val="00AB6C24"/>
    <w:rsid w:val="00AB725E"/>
    <w:rsid w:val="00AB75E2"/>
    <w:rsid w:val="00AC1AF1"/>
    <w:rsid w:val="00AC2054"/>
    <w:rsid w:val="00AC2363"/>
    <w:rsid w:val="00AC2779"/>
    <w:rsid w:val="00AC2F85"/>
    <w:rsid w:val="00AC353E"/>
    <w:rsid w:val="00AC3912"/>
    <w:rsid w:val="00AC3CED"/>
    <w:rsid w:val="00AC3E94"/>
    <w:rsid w:val="00AC4051"/>
    <w:rsid w:val="00AC4967"/>
    <w:rsid w:val="00AC5A58"/>
    <w:rsid w:val="00AC6D52"/>
    <w:rsid w:val="00AC6EB4"/>
    <w:rsid w:val="00AD0EAB"/>
    <w:rsid w:val="00AD206F"/>
    <w:rsid w:val="00AD20C9"/>
    <w:rsid w:val="00AD23A2"/>
    <w:rsid w:val="00AD3480"/>
    <w:rsid w:val="00AD3520"/>
    <w:rsid w:val="00AD3F19"/>
    <w:rsid w:val="00AD576C"/>
    <w:rsid w:val="00AD59BA"/>
    <w:rsid w:val="00AD6103"/>
    <w:rsid w:val="00AD7CEF"/>
    <w:rsid w:val="00AE005A"/>
    <w:rsid w:val="00AE0CD4"/>
    <w:rsid w:val="00AE29DE"/>
    <w:rsid w:val="00AE55D6"/>
    <w:rsid w:val="00AE5A0D"/>
    <w:rsid w:val="00AE5EB8"/>
    <w:rsid w:val="00AE6767"/>
    <w:rsid w:val="00AE6DC9"/>
    <w:rsid w:val="00AF01B1"/>
    <w:rsid w:val="00AF1114"/>
    <w:rsid w:val="00AF12AF"/>
    <w:rsid w:val="00AF189E"/>
    <w:rsid w:val="00AF1EAF"/>
    <w:rsid w:val="00AF3D8F"/>
    <w:rsid w:val="00AF3DF1"/>
    <w:rsid w:val="00AF48A5"/>
    <w:rsid w:val="00AF5DF0"/>
    <w:rsid w:val="00AF65A3"/>
    <w:rsid w:val="00AF6AA7"/>
    <w:rsid w:val="00AF7D11"/>
    <w:rsid w:val="00AF7DA9"/>
    <w:rsid w:val="00B00079"/>
    <w:rsid w:val="00B0008C"/>
    <w:rsid w:val="00B01930"/>
    <w:rsid w:val="00B01B3D"/>
    <w:rsid w:val="00B02E45"/>
    <w:rsid w:val="00B03102"/>
    <w:rsid w:val="00B031C8"/>
    <w:rsid w:val="00B03627"/>
    <w:rsid w:val="00B0404C"/>
    <w:rsid w:val="00B0462D"/>
    <w:rsid w:val="00B04F5D"/>
    <w:rsid w:val="00B05F41"/>
    <w:rsid w:val="00B077C5"/>
    <w:rsid w:val="00B11482"/>
    <w:rsid w:val="00B11563"/>
    <w:rsid w:val="00B11761"/>
    <w:rsid w:val="00B11A29"/>
    <w:rsid w:val="00B11C62"/>
    <w:rsid w:val="00B1206D"/>
    <w:rsid w:val="00B1239A"/>
    <w:rsid w:val="00B13F1F"/>
    <w:rsid w:val="00B1433F"/>
    <w:rsid w:val="00B143F1"/>
    <w:rsid w:val="00B16508"/>
    <w:rsid w:val="00B16AAA"/>
    <w:rsid w:val="00B16D80"/>
    <w:rsid w:val="00B16E82"/>
    <w:rsid w:val="00B170E5"/>
    <w:rsid w:val="00B177E0"/>
    <w:rsid w:val="00B17885"/>
    <w:rsid w:val="00B17C88"/>
    <w:rsid w:val="00B20274"/>
    <w:rsid w:val="00B208E8"/>
    <w:rsid w:val="00B208F8"/>
    <w:rsid w:val="00B20976"/>
    <w:rsid w:val="00B2133B"/>
    <w:rsid w:val="00B22630"/>
    <w:rsid w:val="00B22C9C"/>
    <w:rsid w:val="00B239C3"/>
    <w:rsid w:val="00B25232"/>
    <w:rsid w:val="00B25404"/>
    <w:rsid w:val="00B25524"/>
    <w:rsid w:val="00B26AE7"/>
    <w:rsid w:val="00B26D6E"/>
    <w:rsid w:val="00B2738A"/>
    <w:rsid w:val="00B275A7"/>
    <w:rsid w:val="00B27AAC"/>
    <w:rsid w:val="00B30110"/>
    <w:rsid w:val="00B30465"/>
    <w:rsid w:val="00B31821"/>
    <w:rsid w:val="00B329F4"/>
    <w:rsid w:val="00B3335E"/>
    <w:rsid w:val="00B333FF"/>
    <w:rsid w:val="00B336EA"/>
    <w:rsid w:val="00B33C20"/>
    <w:rsid w:val="00B33DAB"/>
    <w:rsid w:val="00B351F7"/>
    <w:rsid w:val="00B36536"/>
    <w:rsid w:val="00B36D36"/>
    <w:rsid w:val="00B375CA"/>
    <w:rsid w:val="00B40FC1"/>
    <w:rsid w:val="00B41523"/>
    <w:rsid w:val="00B42F75"/>
    <w:rsid w:val="00B43AFC"/>
    <w:rsid w:val="00B46012"/>
    <w:rsid w:val="00B469AE"/>
    <w:rsid w:val="00B46C70"/>
    <w:rsid w:val="00B5048A"/>
    <w:rsid w:val="00B507BA"/>
    <w:rsid w:val="00B509A1"/>
    <w:rsid w:val="00B509CF"/>
    <w:rsid w:val="00B50DEE"/>
    <w:rsid w:val="00B5154D"/>
    <w:rsid w:val="00B53997"/>
    <w:rsid w:val="00B53B54"/>
    <w:rsid w:val="00B53C54"/>
    <w:rsid w:val="00B5433B"/>
    <w:rsid w:val="00B54C64"/>
    <w:rsid w:val="00B55212"/>
    <w:rsid w:val="00B5616D"/>
    <w:rsid w:val="00B56299"/>
    <w:rsid w:val="00B56884"/>
    <w:rsid w:val="00B61123"/>
    <w:rsid w:val="00B61941"/>
    <w:rsid w:val="00B61FBA"/>
    <w:rsid w:val="00B62AF5"/>
    <w:rsid w:val="00B63557"/>
    <w:rsid w:val="00B64066"/>
    <w:rsid w:val="00B64EA7"/>
    <w:rsid w:val="00B6557D"/>
    <w:rsid w:val="00B66325"/>
    <w:rsid w:val="00B669A1"/>
    <w:rsid w:val="00B66E66"/>
    <w:rsid w:val="00B6728B"/>
    <w:rsid w:val="00B700EC"/>
    <w:rsid w:val="00B703DD"/>
    <w:rsid w:val="00B70CCB"/>
    <w:rsid w:val="00B729E6"/>
    <w:rsid w:val="00B72A3B"/>
    <w:rsid w:val="00B732BB"/>
    <w:rsid w:val="00B74A30"/>
    <w:rsid w:val="00B74CE3"/>
    <w:rsid w:val="00B75482"/>
    <w:rsid w:val="00B75EED"/>
    <w:rsid w:val="00B76118"/>
    <w:rsid w:val="00B77119"/>
    <w:rsid w:val="00B773F5"/>
    <w:rsid w:val="00B801FD"/>
    <w:rsid w:val="00B818EF"/>
    <w:rsid w:val="00B82174"/>
    <w:rsid w:val="00B827BD"/>
    <w:rsid w:val="00B82C30"/>
    <w:rsid w:val="00B832D8"/>
    <w:rsid w:val="00B83E23"/>
    <w:rsid w:val="00B84292"/>
    <w:rsid w:val="00B84AEA"/>
    <w:rsid w:val="00B85E62"/>
    <w:rsid w:val="00B86A5F"/>
    <w:rsid w:val="00B878D7"/>
    <w:rsid w:val="00B903FC"/>
    <w:rsid w:val="00B907D6"/>
    <w:rsid w:val="00B91FB8"/>
    <w:rsid w:val="00B9312A"/>
    <w:rsid w:val="00B93F92"/>
    <w:rsid w:val="00B9421F"/>
    <w:rsid w:val="00B9446D"/>
    <w:rsid w:val="00B94B1C"/>
    <w:rsid w:val="00B94D42"/>
    <w:rsid w:val="00B95E15"/>
    <w:rsid w:val="00B96AF6"/>
    <w:rsid w:val="00B979F0"/>
    <w:rsid w:val="00B97F6C"/>
    <w:rsid w:val="00BA2FA3"/>
    <w:rsid w:val="00BA3907"/>
    <w:rsid w:val="00BA39D2"/>
    <w:rsid w:val="00BA4C6E"/>
    <w:rsid w:val="00BA4EA3"/>
    <w:rsid w:val="00BA58BD"/>
    <w:rsid w:val="00BA5E65"/>
    <w:rsid w:val="00BA5FD8"/>
    <w:rsid w:val="00BA6052"/>
    <w:rsid w:val="00BA6949"/>
    <w:rsid w:val="00BA6FD4"/>
    <w:rsid w:val="00BB0A39"/>
    <w:rsid w:val="00BB0C22"/>
    <w:rsid w:val="00BB0EEC"/>
    <w:rsid w:val="00BB0FBA"/>
    <w:rsid w:val="00BB0FE8"/>
    <w:rsid w:val="00BB1359"/>
    <w:rsid w:val="00BB13FD"/>
    <w:rsid w:val="00BB14D3"/>
    <w:rsid w:val="00BB1B5C"/>
    <w:rsid w:val="00BB1D3A"/>
    <w:rsid w:val="00BB1E12"/>
    <w:rsid w:val="00BB1F25"/>
    <w:rsid w:val="00BB44EC"/>
    <w:rsid w:val="00BB4BF7"/>
    <w:rsid w:val="00BB4E0D"/>
    <w:rsid w:val="00BB5B55"/>
    <w:rsid w:val="00BB653E"/>
    <w:rsid w:val="00BB6FAA"/>
    <w:rsid w:val="00BB75D3"/>
    <w:rsid w:val="00BB7EBD"/>
    <w:rsid w:val="00BC0412"/>
    <w:rsid w:val="00BC0D84"/>
    <w:rsid w:val="00BC0EBD"/>
    <w:rsid w:val="00BC1BF4"/>
    <w:rsid w:val="00BC3455"/>
    <w:rsid w:val="00BC3A47"/>
    <w:rsid w:val="00BC3EF0"/>
    <w:rsid w:val="00BC4302"/>
    <w:rsid w:val="00BC5889"/>
    <w:rsid w:val="00BC66C3"/>
    <w:rsid w:val="00BC770E"/>
    <w:rsid w:val="00BC7B9A"/>
    <w:rsid w:val="00BD007D"/>
    <w:rsid w:val="00BD01F4"/>
    <w:rsid w:val="00BD0396"/>
    <w:rsid w:val="00BD0986"/>
    <w:rsid w:val="00BD1172"/>
    <w:rsid w:val="00BD136A"/>
    <w:rsid w:val="00BD170A"/>
    <w:rsid w:val="00BD26B0"/>
    <w:rsid w:val="00BD2C0C"/>
    <w:rsid w:val="00BD2DBC"/>
    <w:rsid w:val="00BD2FAC"/>
    <w:rsid w:val="00BD3924"/>
    <w:rsid w:val="00BD47F8"/>
    <w:rsid w:val="00BD50C6"/>
    <w:rsid w:val="00BD526B"/>
    <w:rsid w:val="00BD5E30"/>
    <w:rsid w:val="00BD67E8"/>
    <w:rsid w:val="00BD6E06"/>
    <w:rsid w:val="00BD714E"/>
    <w:rsid w:val="00BD75A9"/>
    <w:rsid w:val="00BD7901"/>
    <w:rsid w:val="00BE0007"/>
    <w:rsid w:val="00BE0113"/>
    <w:rsid w:val="00BE02D0"/>
    <w:rsid w:val="00BE1350"/>
    <w:rsid w:val="00BE291E"/>
    <w:rsid w:val="00BE30AC"/>
    <w:rsid w:val="00BE39D0"/>
    <w:rsid w:val="00BE4779"/>
    <w:rsid w:val="00BE47F6"/>
    <w:rsid w:val="00BE5563"/>
    <w:rsid w:val="00BE5564"/>
    <w:rsid w:val="00BE6432"/>
    <w:rsid w:val="00BE6E6C"/>
    <w:rsid w:val="00BE72DA"/>
    <w:rsid w:val="00BE740E"/>
    <w:rsid w:val="00BE747F"/>
    <w:rsid w:val="00BF0267"/>
    <w:rsid w:val="00BF1D33"/>
    <w:rsid w:val="00BF2B5A"/>
    <w:rsid w:val="00BF40B5"/>
    <w:rsid w:val="00BF4A63"/>
    <w:rsid w:val="00BF59AD"/>
    <w:rsid w:val="00BF611D"/>
    <w:rsid w:val="00BF6122"/>
    <w:rsid w:val="00BF6B4E"/>
    <w:rsid w:val="00BF7A9A"/>
    <w:rsid w:val="00BF7B10"/>
    <w:rsid w:val="00BF7D11"/>
    <w:rsid w:val="00C00A63"/>
    <w:rsid w:val="00C02E42"/>
    <w:rsid w:val="00C02FD9"/>
    <w:rsid w:val="00C0345C"/>
    <w:rsid w:val="00C03AC5"/>
    <w:rsid w:val="00C03D47"/>
    <w:rsid w:val="00C05581"/>
    <w:rsid w:val="00C05AA5"/>
    <w:rsid w:val="00C066DB"/>
    <w:rsid w:val="00C101B2"/>
    <w:rsid w:val="00C10372"/>
    <w:rsid w:val="00C10CA8"/>
    <w:rsid w:val="00C10E78"/>
    <w:rsid w:val="00C116A3"/>
    <w:rsid w:val="00C119D6"/>
    <w:rsid w:val="00C11B34"/>
    <w:rsid w:val="00C1205A"/>
    <w:rsid w:val="00C12A79"/>
    <w:rsid w:val="00C136A9"/>
    <w:rsid w:val="00C14CF1"/>
    <w:rsid w:val="00C15615"/>
    <w:rsid w:val="00C16EE1"/>
    <w:rsid w:val="00C17692"/>
    <w:rsid w:val="00C17859"/>
    <w:rsid w:val="00C17FC0"/>
    <w:rsid w:val="00C221A7"/>
    <w:rsid w:val="00C222FC"/>
    <w:rsid w:val="00C22B08"/>
    <w:rsid w:val="00C23CD4"/>
    <w:rsid w:val="00C23E08"/>
    <w:rsid w:val="00C241E0"/>
    <w:rsid w:val="00C244A1"/>
    <w:rsid w:val="00C25233"/>
    <w:rsid w:val="00C260AE"/>
    <w:rsid w:val="00C271DF"/>
    <w:rsid w:val="00C27598"/>
    <w:rsid w:val="00C27E4C"/>
    <w:rsid w:val="00C306FD"/>
    <w:rsid w:val="00C311EC"/>
    <w:rsid w:val="00C311EE"/>
    <w:rsid w:val="00C313B5"/>
    <w:rsid w:val="00C313F5"/>
    <w:rsid w:val="00C319E0"/>
    <w:rsid w:val="00C31F7E"/>
    <w:rsid w:val="00C321BA"/>
    <w:rsid w:val="00C325A8"/>
    <w:rsid w:val="00C34986"/>
    <w:rsid w:val="00C354E9"/>
    <w:rsid w:val="00C3695F"/>
    <w:rsid w:val="00C372AF"/>
    <w:rsid w:val="00C375DE"/>
    <w:rsid w:val="00C37733"/>
    <w:rsid w:val="00C40022"/>
    <w:rsid w:val="00C401B9"/>
    <w:rsid w:val="00C4037C"/>
    <w:rsid w:val="00C40DB9"/>
    <w:rsid w:val="00C41D69"/>
    <w:rsid w:val="00C42159"/>
    <w:rsid w:val="00C43852"/>
    <w:rsid w:val="00C439EE"/>
    <w:rsid w:val="00C45042"/>
    <w:rsid w:val="00C455BA"/>
    <w:rsid w:val="00C47A1F"/>
    <w:rsid w:val="00C47D02"/>
    <w:rsid w:val="00C47DA5"/>
    <w:rsid w:val="00C500CC"/>
    <w:rsid w:val="00C50305"/>
    <w:rsid w:val="00C506CB"/>
    <w:rsid w:val="00C50CAA"/>
    <w:rsid w:val="00C523F7"/>
    <w:rsid w:val="00C52DF5"/>
    <w:rsid w:val="00C52FCD"/>
    <w:rsid w:val="00C53C47"/>
    <w:rsid w:val="00C549DB"/>
    <w:rsid w:val="00C55BD0"/>
    <w:rsid w:val="00C56094"/>
    <w:rsid w:val="00C56CE2"/>
    <w:rsid w:val="00C574C5"/>
    <w:rsid w:val="00C57B26"/>
    <w:rsid w:val="00C6049B"/>
    <w:rsid w:val="00C61100"/>
    <w:rsid w:val="00C61A6D"/>
    <w:rsid w:val="00C61A9F"/>
    <w:rsid w:val="00C62549"/>
    <w:rsid w:val="00C63072"/>
    <w:rsid w:val="00C6442A"/>
    <w:rsid w:val="00C646DF"/>
    <w:rsid w:val="00C64B20"/>
    <w:rsid w:val="00C66D8B"/>
    <w:rsid w:val="00C67853"/>
    <w:rsid w:val="00C67E05"/>
    <w:rsid w:val="00C71250"/>
    <w:rsid w:val="00C7184E"/>
    <w:rsid w:val="00C71CBB"/>
    <w:rsid w:val="00C73477"/>
    <w:rsid w:val="00C73E31"/>
    <w:rsid w:val="00C745F5"/>
    <w:rsid w:val="00C75013"/>
    <w:rsid w:val="00C753AC"/>
    <w:rsid w:val="00C75593"/>
    <w:rsid w:val="00C75943"/>
    <w:rsid w:val="00C76FE3"/>
    <w:rsid w:val="00C77660"/>
    <w:rsid w:val="00C8028E"/>
    <w:rsid w:val="00C80732"/>
    <w:rsid w:val="00C80866"/>
    <w:rsid w:val="00C814A1"/>
    <w:rsid w:val="00C81C4D"/>
    <w:rsid w:val="00C820D6"/>
    <w:rsid w:val="00C820DE"/>
    <w:rsid w:val="00C821BA"/>
    <w:rsid w:val="00C82801"/>
    <w:rsid w:val="00C82B87"/>
    <w:rsid w:val="00C83B96"/>
    <w:rsid w:val="00C84172"/>
    <w:rsid w:val="00C849DF"/>
    <w:rsid w:val="00C85328"/>
    <w:rsid w:val="00C857F6"/>
    <w:rsid w:val="00C8588F"/>
    <w:rsid w:val="00C85C44"/>
    <w:rsid w:val="00C87308"/>
    <w:rsid w:val="00C90042"/>
    <w:rsid w:val="00C90DE7"/>
    <w:rsid w:val="00C91AC4"/>
    <w:rsid w:val="00C9216C"/>
    <w:rsid w:val="00C92790"/>
    <w:rsid w:val="00C92ADB"/>
    <w:rsid w:val="00C93383"/>
    <w:rsid w:val="00C941B3"/>
    <w:rsid w:val="00C9470C"/>
    <w:rsid w:val="00C9486C"/>
    <w:rsid w:val="00C95186"/>
    <w:rsid w:val="00C9657A"/>
    <w:rsid w:val="00C96680"/>
    <w:rsid w:val="00C96ACA"/>
    <w:rsid w:val="00CA073A"/>
    <w:rsid w:val="00CA117C"/>
    <w:rsid w:val="00CA20A9"/>
    <w:rsid w:val="00CA2BD6"/>
    <w:rsid w:val="00CA3144"/>
    <w:rsid w:val="00CA36BE"/>
    <w:rsid w:val="00CA422B"/>
    <w:rsid w:val="00CA44EA"/>
    <w:rsid w:val="00CA47E1"/>
    <w:rsid w:val="00CA4875"/>
    <w:rsid w:val="00CA4CD2"/>
    <w:rsid w:val="00CA69B3"/>
    <w:rsid w:val="00CA6FFE"/>
    <w:rsid w:val="00CA77A5"/>
    <w:rsid w:val="00CB10D0"/>
    <w:rsid w:val="00CB189F"/>
    <w:rsid w:val="00CB1F3D"/>
    <w:rsid w:val="00CB3B9B"/>
    <w:rsid w:val="00CB4574"/>
    <w:rsid w:val="00CB4890"/>
    <w:rsid w:val="00CB6A83"/>
    <w:rsid w:val="00CB6D1F"/>
    <w:rsid w:val="00CB6EA9"/>
    <w:rsid w:val="00CC0A1B"/>
    <w:rsid w:val="00CC0F7F"/>
    <w:rsid w:val="00CC194E"/>
    <w:rsid w:val="00CC3F48"/>
    <w:rsid w:val="00CC43F8"/>
    <w:rsid w:val="00CC6516"/>
    <w:rsid w:val="00CC6AE1"/>
    <w:rsid w:val="00CC7268"/>
    <w:rsid w:val="00CD070E"/>
    <w:rsid w:val="00CD09AE"/>
    <w:rsid w:val="00CD1E88"/>
    <w:rsid w:val="00CD1EF9"/>
    <w:rsid w:val="00CD2BE8"/>
    <w:rsid w:val="00CD2CAD"/>
    <w:rsid w:val="00CD3C34"/>
    <w:rsid w:val="00CD3C80"/>
    <w:rsid w:val="00CD55B8"/>
    <w:rsid w:val="00CD578B"/>
    <w:rsid w:val="00CD68B8"/>
    <w:rsid w:val="00CD6C17"/>
    <w:rsid w:val="00CD72D8"/>
    <w:rsid w:val="00CD7410"/>
    <w:rsid w:val="00CD7C11"/>
    <w:rsid w:val="00CE06CD"/>
    <w:rsid w:val="00CE0764"/>
    <w:rsid w:val="00CE11B0"/>
    <w:rsid w:val="00CE142D"/>
    <w:rsid w:val="00CE149E"/>
    <w:rsid w:val="00CE1958"/>
    <w:rsid w:val="00CE1A48"/>
    <w:rsid w:val="00CE208E"/>
    <w:rsid w:val="00CE33CA"/>
    <w:rsid w:val="00CE40F6"/>
    <w:rsid w:val="00CE4552"/>
    <w:rsid w:val="00CE4B29"/>
    <w:rsid w:val="00CE5CF7"/>
    <w:rsid w:val="00CE6C68"/>
    <w:rsid w:val="00CE7049"/>
    <w:rsid w:val="00CF0D8C"/>
    <w:rsid w:val="00CF0E87"/>
    <w:rsid w:val="00CF0F0E"/>
    <w:rsid w:val="00CF1769"/>
    <w:rsid w:val="00CF2027"/>
    <w:rsid w:val="00CF2C58"/>
    <w:rsid w:val="00CF4E59"/>
    <w:rsid w:val="00CF54C2"/>
    <w:rsid w:val="00CF5B88"/>
    <w:rsid w:val="00CF5D16"/>
    <w:rsid w:val="00CF62AC"/>
    <w:rsid w:val="00CF6529"/>
    <w:rsid w:val="00CF7082"/>
    <w:rsid w:val="00CF74F0"/>
    <w:rsid w:val="00D00DF4"/>
    <w:rsid w:val="00D0237F"/>
    <w:rsid w:val="00D026EC"/>
    <w:rsid w:val="00D02CFD"/>
    <w:rsid w:val="00D03314"/>
    <w:rsid w:val="00D03729"/>
    <w:rsid w:val="00D0451D"/>
    <w:rsid w:val="00D04B89"/>
    <w:rsid w:val="00D04DD3"/>
    <w:rsid w:val="00D061C0"/>
    <w:rsid w:val="00D071B3"/>
    <w:rsid w:val="00D101FB"/>
    <w:rsid w:val="00D13DCA"/>
    <w:rsid w:val="00D13ECA"/>
    <w:rsid w:val="00D1419E"/>
    <w:rsid w:val="00D15E04"/>
    <w:rsid w:val="00D16FB2"/>
    <w:rsid w:val="00D17CDF"/>
    <w:rsid w:val="00D207D9"/>
    <w:rsid w:val="00D20A46"/>
    <w:rsid w:val="00D21A2D"/>
    <w:rsid w:val="00D22BDE"/>
    <w:rsid w:val="00D259EA"/>
    <w:rsid w:val="00D25DB2"/>
    <w:rsid w:val="00D26362"/>
    <w:rsid w:val="00D26FF9"/>
    <w:rsid w:val="00D270CA"/>
    <w:rsid w:val="00D273D2"/>
    <w:rsid w:val="00D27D2C"/>
    <w:rsid w:val="00D305FD"/>
    <w:rsid w:val="00D30708"/>
    <w:rsid w:val="00D30CBE"/>
    <w:rsid w:val="00D31BF4"/>
    <w:rsid w:val="00D31D57"/>
    <w:rsid w:val="00D31DA7"/>
    <w:rsid w:val="00D31ED6"/>
    <w:rsid w:val="00D3234F"/>
    <w:rsid w:val="00D325C7"/>
    <w:rsid w:val="00D32C95"/>
    <w:rsid w:val="00D33CDB"/>
    <w:rsid w:val="00D33EAC"/>
    <w:rsid w:val="00D34559"/>
    <w:rsid w:val="00D34F6D"/>
    <w:rsid w:val="00D36E89"/>
    <w:rsid w:val="00D424FF"/>
    <w:rsid w:val="00D42580"/>
    <w:rsid w:val="00D44607"/>
    <w:rsid w:val="00D44F41"/>
    <w:rsid w:val="00D45926"/>
    <w:rsid w:val="00D45B18"/>
    <w:rsid w:val="00D46AF4"/>
    <w:rsid w:val="00D507A1"/>
    <w:rsid w:val="00D5131B"/>
    <w:rsid w:val="00D5148D"/>
    <w:rsid w:val="00D539D9"/>
    <w:rsid w:val="00D53A33"/>
    <w:rsid w:val="00D5446C"/>
    <w:rsid w:val="00D54638"/>
    <w:rsid w:val="00D54D9F"/>
    <w:rsid w:val="00D55A1E"/>
    <w:rsid w:val="00D55A92"/>
    <w:rsid w:val="00D55B7E"/>
    <w:rsid w:val="00D55D3B"/>
    <w:rsid w:val="00D56855"/>
    <w:rsid w:val="00D573B8"/>
    <w:rsid w:val="00D57EEB"/>
    <w:rsid w:val="00D60007"/>
    <w:rsid w:val="00D601A1"/>
    <w:rsid w:val="00D60684"/>
    <w:rsid w:val="00D60E79"/>
    <w:rsid w:val="00D61084"/>
    <w:rsid w:val="00D611E6"/>
    <w:rsid w:val="00D61943"/>
    <w:rsid w:val="00D64747"/>
    <w:rsid w:val="00D64D52"/>
    <w:rsid w:val="00D65058"/>
    <w:rsid w:val="00D668B1"/>
    <w:rsid w:val="00D66BA4"/>
    <w:rsid w:val="00D66CD1"/>
    <w:rsid w:val="00D70413"/>
    <w:rsid w:val="00D70510"/>
    <w:rsid w:val="00D7135F"/>
    <w:rsid w:val="00D71EA9"/>
    <w:rsid w:val="00D72D30"/>
    <w:rsid w:val="00D74285"/>
    <w:rsid w:val="00D74E73"/>
    <w:rsid w:val="00D756FD"/>
    <w:rsid w:val="00D75D70"/>
    <w:rsid w:val="00D75EBF"/>
    <w:rsid w:val="00D760B8"/>
    <w:rsid w:val="00D76601"/>
    <w:rsid w:val="00D76D52"/>
    <w:rsid w:val="00D76D77"/>
    <w:rsid w:val="00D77D84"/>
    <w:rsid w:val="00D77FE8"/>
    <w:rsid w:val="00D8058C"/>
    <w:rsid w:val="00D807F3"/>
    <w:rsid w:val="00D808A9"/>
    <w:rsid w:val="00D81137"/>
    <w:rsid w:val="00D81AD6"/>
    <w:rsid w:val="00D81B98"/>
    <w:rsid w:val="00D82122"/>
    <w:rsid w:val="00D825BE"/>
    <w:rsid w:val="00D83356"/>
    <w:rsid w:val="00D844C0"/>
    <w:rsid w:val="00D848D9"/>
    <w:rsid w:val="00D84B8A"/>
    <w:rsid w:val="00D85B48"/>
    <w:rsid w:val="00D866A4"/>
    <w:rsid w:val="00D8733A"/>
    <w:rsid w:val="00D8756E"/>
    <w:rsid w:val="00D87932"/>
    <w:rsid w:val="00D87F1B"/>
    <w:rsid w:val="00D87F65"/>
    <w:rsid w:val="00D90761"/>
    <w:rsid w:val="00D90875"/>
    <w:rsid w:val="00D91940"/>
    <w:rsid w:val="00D91AB7"/>
    <w:rsid w:val="00D91E2A"/>
    <w:rsid w:val="00D92646"/>
    <w:rsid w:val="00D93726"/>
    <w:rsid w:val="00D938A2"/>
    <w:rsid w:val="00D95BFE"/>
    <w:rsid w:val="00D95ECC"/>
    <w:rsid w:val="00D96AA6"/>
    <w:rsid w:val="00DA0668"/>
    <w:rsid w:val="00DA0AB9"/>
    <w:rsid w:val="00DA19C4"/>
    <w:rsid w:val="00DA3718"/>
    <w:rsid w:val="00DA3890"/>
    <w:rsid w:val="00DA3CB5"/>
    <w:rsid w:val="00DA4C1A"/>
    <w:rsid w:val="00DA5842"/>
    <w:rsid w:val="00DA5E3D"/>
    <w:rsid w:val="00DA72D7"/>
    <w:rsid w:val="00DA77AE"/>
    <w:rsid w:val="00DB0697"/>
    <w:rsid w:val="00DB091B"/>
    <w:rsid w:val="00DB20DA"/>
    <w:rsid w:val="00DB217D"/>
    <w:rsid w:val="00DB2253"/>
    <w:rsid w:val="00DB2B4F"/>
    <w:rsid w:val="00DB3C9E"/>
    <w:rsid w:val="00DB43EB"/>
    <w:rsid w:val="00DB455B"/>
    <w:rsid w:val="00DB4C16"/>
    <w:rsid w:val="00DB537B"/>
    <w:rsid w:val="00DB581E"/>
    <w:rsid w:val="00DB6432"/>
    <w:rsid w:val="00DB6A2A"/>
    <w:rsid w:val="00DB6C9E"/>
    <w:rsid w:val="00DB7D7C"/>
    <w:rsid w:val="00DC086A"/>
    <w:rsid w:val="00DC13C1"/>
    <w:rsid w:val="00DC1870"/>
    <w:rsid w:val="00DC1E66"/>
    <w:rsid w:val="00DC258F"/>
    <w:rsid w:val="00DC30DD"/>
    <w:rsid w:val="00DC333C"/>
    <w:rsid w:val="00DC4597"/>
    <w:rsid w:val="00DC49DD"/>
    <w:rsid w:val="00DC4B75"/>
    <w:rsid w:val="00DC4CB7"/>
    <w:rsid w:val="00DC5DC4"/>
    <w:rsid w:val="00DC5FA3"/>
    <w:rsid w:val="00DC6832"/>
    <w:rsid w:val="00DC6AF5"/>
    <w:rsid w:val="00DC7EEB"/>
    <w:rsid w:val="00DD0888"/>
    <w:rsid w:val="00DD092B"/>
    <w:rsid w:val="00DD368E"/>
    <w:rsid w:val="00DD5AF0"/>
    <w:rsid w:val="00DD5C30"/>
    <w:rsid w:val="00DD60B3"/>
    <w:rsid w:val="00DD6E84"/>
    <w:rsid w:val="00DD7844"/>
    <w:rsid w:val="00DE0305"/>
    <w:rsid w:val="00DE0B7E"/>
    <w:rsid w:val="00DE0CCB"/>
    <w:rsid w:val="00DE0CEA"/>
    <w:rsid w:val="00DE19EB"/>
    <w:rsid w:val="00DE244D"/>
    <w:rsid w:val="00DE2A44"/>
    <w:rsid w:val="00DE2E11"/>
    <w:rsid w:val="00DE3438"/>
    <w:rsid w:val="00DE375C"/>
    <w:rsid w:val="00DE3B62"/>
    <w:rsid w:val="00DE473B"/>
    <w:rsid w:val="00DE523D"/>
    <w:rsid w:val="00DE561E"/>
    <w:rsid w:val="00DE5778"/>
    <w:rsid w:val="00DE5822"/>
    <w:rsid w:val="00DF0062"/>
    <w:rsid w:val="00DF0776"/>
    <w:rsid w:val="00DF0E87"/>
    <w:rsid w:val="00DF128F"/>
    <w:rsid w:val="00DF1D2B"/>
    <w:rsid w:val="00DF2325"/>
    <w:rsid w:val="00DF26E5"/>
    <w:rsid w:val="00DF312C"/>
    <w:rsid w:val="00DF34A4"/>
    <w:rsid w:val="00DF44B0"/>
    <w:rsid w:val="00DF460E"/>
    <w:rsid w:val="00DF56E2"/>
    <w:rsid w:val="00DF5EFA"/>
    <w:rsid w:val="00DF611E"/>
    <w:rsid w:val="00DF768C"/>
    <w:rsid w:val="00DF7FA5"/>
    <w:rsid w:val="00E0253D"/>
    <w:rsid w:val="00E03833"/>
    <w:rsid w:val="00E04791"/>
    <w:rsid w:val="00E0544C"/>
    <w:rsid w:val="00E05C92"/>
    <w:rsid w:val="00E0621C"/>
    <w:rsid w:val="00E06828"/>
    <w:rsid w:val="00E074B9"/>
    <w:rsid w:val="00E07507"/>
    <w:rsid w:val="00E07E7C"/>
    <w:rsid w:val="00E103BB"/>
    <w:rsid w:val="00E107EF"/>
    <w:rsid w:val="00E10DBC"/>
    <w:rsid w:val="00E12C07"/>
    <w:rsid w:val="00E14204"/>
    <w:rsid w:val="00E14340"/>
    <w:rsid w:val="00E16C27"/>
    <w:rsid w:val="00E16F5A"/>
    <w:rsid w:val="00E175C6"/>
    <w:rsid w:val="00E208A4"/>
    <w:rsid w:val="00E210C3"/>
    <w:rsid w:val="00E213C5"/>
    <w:rsid w:val="00E21453"/>
    <w:rsid w:val="00E21910"/>
    <w:rsid w:val="00E23740"/>
    <w:rsid w:val="00E25763"/>
    <w:rsid w:val="00E26194"/>
    <w:rsid w:val="00E264F1"/>
    <w:rsid w:val="00E265C3"/>
    <w:rsid w:val="00E26624"/>
    <w:rsid w:val="00E270CC"/>
    <w:rsid w:val="00E271A5"/>
    <w:rsid w:val="00E27D51"/>
    <w:rsid w:val="00E30375"/>
    <w:rsid w:val="00E308A5"/>
    <w:rsid w:val="00E30B67"/>
    <w:rsid w:val="00E31020"/>
    <w:rsid w:val="00E31BBC"/>
    <w:rsid w:val="00E31E42"/>
    <w:rsid w:val="00E32394"/>
    <w:rsid w:val="00E32BAF"/>
    <w:rsid w:val="00E32FFF"/>
    <w:rsid w:val="00E331D3"/>
    <w:rsid w:val="00E332AC"/>
    <w:rsid w:val="00E339F2"/>
    <w:rsid w:val="00E34864"/>
    <w:rsid w:val="00E34902"/>
    <w:rsid w:val="00E34996"/>
    <w:rsid w:val="00E351DD"/>
    <w:rsid w:val="00E3543F"/>
    <w:rsid w:val="00E3592E"/>
    <w:rsid w:val="00E3668D"/>
    <w:rsid w:val="00E36C0C"/>
    <w:rsid w:val="00E376BD"/>
    <w:rsid w:val="00E40BE1"/>
    <w:rsid w:val="00E41329"/>
    <w:rsid w:val="00E414B8"/>
    <w:rsid w:val="00E41B3C"/>
    <w:rsid w:val="00E41DA4"/>
    <w:rsid w:val="00E42581"/>
    <w:rsid w:val="00E42E26"/>
    <w:rsid w:val="00E42EC1"/>
    <w:rsid w:val="00E43B11"/>
    <w:rsid w:val="00E43EBA"/>
    <w:rsid w:val="00E4423A"/>
    <w:rsid w:val="00E4466F"/>
    <w:rsid w:val="00E44B98"/>
    <w:rsid w:val="00E45973"/>
    <w:rsid w:val="00E45EDF"/>
    <w:rsid w:val="00E46C59"/>
    <w:rsid w:val="00E46EA4"/>
    <w:rsid w:val="00E47279"/>
    <w:rsid w:val="00E47871"/>
    <w:rsid w:val="00E47A90"/>
    <w:rsid w:val="00E47F94"/>
    <w:rsid w:val="00E509EF"/>
    <w:rsid w:val="00E5136E"/>
    <w:rsid w:val="00E5275A"/>
    <w:rsid w:val="00E53707"/>
    <w:rsid w:val="00E53F34"/>
    <w:rsid w:val="00E54105"/>
    <w:rsid w:val="00E55044"/>
    <w:rsid w:val="00E55359"/>
    <w:rsid w:val="00E55BA2"/>
    <w:rsid w:val="00E56A69"/>
    <w:rsid w:val="00E57495"/>
    <w:rsid w:val="00E57E8D"/>
    <w:rsid w:val="00E6007D"/>
    <w:rsid w:val="00E60917"/>
    <w:rsid w:val="00E61BE4"/>
    <w:rsid w:val="00E6216A"/>
    <w:rsid w:val="00E62722"/>
    <w:rsid w:val="00E648F6"/>
    <w:rsid w:val="00E651D2"/>
    <w:rsid w:val="00E65342"/>
    <w:rsid w:val="00E657A6"/>
    <w:rsid w:val="00E66572"/>
    <w:rsid w:val="00E6700D"/>
    <w:rsid w:val="00E67417"/>
    <w:rsid w:val="00E675EC"/>
    <w:rsid w:val="00E70041"/>
    <w:rsid w:val="00E70729"/>
    <w:rsid w:val="00E709E9"/>
    <w:rsid w:val="00E7296C"/>
    <w:rsid w:val="00E729D9"/>
    <w:rsid w:val="00E737C7"/>
    <w:rsid w:val="00E741FA"/>
    <w:rsid w:val="00E74288"/>
    <w:rsid w:val="00E745F3"/>
    <w:rsid w:val="00E75598"/>
    <w:rsid w:val="00E75E9A"/>
    <w:rsid w:val="00E75F6A"/>
    <w:rsid w:val="00E75FD6"/>
    <w:rsid w:val="00E76A61"/>
    <w:rsid w:val="00E76DCA"/>
    <w:rsid w:val="00E77E82"/>
    <w:rsid w:val="00E814B9"/>
    <w:rsid w:val="00E81C37"/>
    <w:rsid w:val="00E82DEF"/>
    <w:rsid w:val="00E82E58"/>
    <w:rsid w:val="00E832B2"/>
    <w:rsid w:val="00E834C8"/>
    <w:rsid w:val="00E83C46"/>
    <w:rsid w:val="00E83DD5"/>
    <w:rsid w:val="00E85114"/>
    <w:rsid w:val="00E85C13"/>
    <w:rsid w:val="00E867D7"/>
    <w:rsid w:val="00E8737B"/>
    <w:rsid w:val="00E900F1"/>
    <w:rsid w:val="00E90E32"/>
    <w:rsid w:val="00E90EB9"/>
    <w:rsid w:val="00E960A3"/>
    <w:rsid w:val="00E96727"/>
    <w:rsid w:val="00E96749"/>
    <w:rsid w:val="00E96BCE"/>
    <w:rsid w:val="00E96C7B"/>
    <w:rsid w:val="00E97CC3"/>
    <w:rsid w:val="00EA0A03"/>
    <w:rsid w:val="00EA0A3C"/>
    <w:rsid w:val="00EA123D"/>
    <w:rsid w:val="00EA1D2B"/>
    <w:rsid w:val="00EA40C6"/>
    <w:rsid w:val="00EA420F"/>
    <w:rsid w:val="00EA47E3"/>
    <w:rsid w:val="00EA55EA"/>
    <w:rsid w:val="00EA589B"/>
    <w:rsid w:val="00EA5AFA"/>
    <w:rsid w:val="00EA612B"/>
    <w:rsid w:val="00EA62EA"/>
    <w:rsid w:val="00EA75EE"/>
    <w:rsid w:val="00EB129B"/>
    <w:rsid w:val="00EB2271"/>
    <w:rsid w:val="00EB2FD4"/>
    <w:rsid w:val="00EB31DB"/>
    <w:rsid w:val="00EB3539"/>
    <w:rsid w:val="00EB4440"/>
    <w:rsid w:val="00EB470E"/>
    <w:rsid w:val="00EB47A7"/>
    <w:rsid w:val="00EB4A29"/>
    <w:rsid w:val="00EB4C4D"/>
    <w:rsid w:val="00EB5980"/>
    <w:rsid w:val="00EB68FA"/>
    <w:rsid w:val="00EB6D88"/>
    <w:rsid w:val="00EB7398"/>
    <w:rsid w:val="00EB7AE4"/>
    <w:rsid w:val="00EB7E48"/>
    <w:rsid w:val="00EC0452"/>
    <w:rsid w:val="00EC111B"/>
    <w:rsid w:val="00EC210B"/>
    <w:rsid w:val="00EC3998"/>
    <w:rsid w:val="00EC42FA"/>
    <w:rsid w:val="00EC468B"/>
    <w:rsid w:val="00EC4C11"/>
    <w:rsid w:val="00EC59C0"/>
    <w:rsid w:val="00EC5D33"/>
    <w:rsid w:val="00EC64AE"/>
    <w:rsid w:val="00EC6A63"/>
    <w:rsid w:val="00ED01CD"/>
    <w:rsid w:val="00ED0802"/>
    <w:rsid w:val="00ED1B7A"/>
    <w:rsid w:val="00ED2749"/>
    <w:rsid w:val="00ED301C"/>
    <w:rsid w:val="00ED34BF"/>
    <w:rsid w:val="00ED3A25"/>
    <w:rsid w:val="00ED44AD"/>
    <w:rsid w:val="00ED4578"/>
    <w:rsid w:val="00ED6B58"/>
    <w:rsid w:val="00ED6B6B"/>
    <w:rsid w:val="00ED7FD8"/>
    <w:rsid w:val="00EE0170"/>
    <w:rsid w:val="00EE0FAB"/>
    <w:rsid w:val="00EE1667"/>
    <w:rsid w:val="00EE1DB8"/>
    <w:rsid w:val="00EE2833"/>
    <w:rsid w:val="00EE30F5"/>
    <w:rsid w:val="00EE4440"/>
    <w:rsid w:val="00EE52BD"/>
    <w:rsid w:val="00EE5312"/>
    <w:rsid w:val="00EF0B1C"/>
    <w:rsid w:val="00EF12D9"/>
    <w:rsid w:val="00EF15F7"/>
    <w:rsid w:val="00EF19F4"/>
    <w:rsid w:val="00EF2FA3"/>
    <w:rsid w:val="00EF3920"/>
    <w:rsid w:val="00EF3AF5"/>
    <w:rsid w:val="00EF6093"/>
    <w:rsid w:val="00EF614E"/>
    <w:rsid w:val="00EF6236"/>
    <w:rsid w:val="00EF63F5"/>
    <w:rsid w:val="00EF744E"/>
    <w:rsid w:val="00EF783C"/>
    <w:rsid w:val="00F008B0"/>
    <w:rsid w:val="00F01535"/>
    <w:rsid w:val="00F0154A"/>
    <w:rsid w:val="00F017C0"/>
    <w:rsid w:val="00F01C1D"/>
    <w:rsid w:val="00F01D96"/>
    <w:rsid w:val="00F01F5A"/>
    <w:rsid w:val="00F030D3"/>
    <w:rsid w:val="00F038BD"/>
    <w:rsid w:val="00F042E9"/>
    <w:rsid w:val="00F049CC"/>
    <w:rsid w:val="00F04B3F"/>
    <w:rsid w:val="00F04D90"/>
    <w:rsid w:val="00F05202"/>
    <w:rsid w:val="00F057E9"/>
    <w:rsid w:val="00F07FCE"/>
    <w:rsid w:val="00F10209"/>
    <w:rsid w:val="00F11C8D"/>
    <w:rsid w:val="00F121DD"/>
    <w:rsid w:val="00F13076"/>
    <w:rsid w:val="00F143B2"/>
    <w:rsid w:val="00F15078"/>
    <w:rsid w:val="00F150C1"/>
    <w:rsid w:val="00F163E5"/>
    <w:rsid w:val="00F16CAE"/>
    <w:rsid w:val="00F17078"/>
    <w:rsid w:val="00F20572"/>
    <w:rsid w:val="00F2175A"/>
    <w:rsid w:val="00F218A1"/>
    <w:rsid w:val="00F21FE3"/>
    <w:rsid w:val="00F234AF"/>
    <w:rsid w:val="00F237B8"/>
    <w:rsid w:val="00F23A79"/>
    <w:rsid w:val="00F24255"/>
    <w:rsid w:val="00F25274"/>
    <w:rsid w:val="00F25BAD"/>
    <w:rsid w:val="00F2627B"/>
    <w:rsid w:val="00F264F0"/>
    <w:rsid w:val="00F266D7"/>
    <w:rsid w:val="00F2681D"/>
    <w:rsid w:val="00F26DCB"/>
    <w:rsid w:val="00F26E42"/>
    <w:rsid w:val="00F27172"/>
    <w:rsid w:val="00F300F6"/>
    <w:rsid w:val="00F30811"/>
    <w:rsid w:val="00F30C41"/>
    <w:rsid w:val="00F3280B"/>
    <w:rsid w:val="00F32DEF"/>
    <w:rsid w:val="00F32F60"/>
    <w:rsid w:val="00F34B59"/>
    <w:rsid w:val="00F35538"/>
    <w:rsid w:val="00F35712"/>
    <w:rsid w:val="00F36AF7"/>
    <w:rsid w:val="00F370D1"/>
    <w:rsid w:val="00F3720F"/>
    <w:rsid w:val="00F41423"/>
    <w:rsid w:val="00F416D1"/>
    <w:rsid w:val="00F41E6A"/>
    <w:rsid w:val="00F428F7"/>
    <w:rsid w:val="00F42B9B"/>
    <w:rsid w:val="00F437A0"/>
    <w:rsid w:val="00F44143"/>
    <w:rsid w:val="00F4417C"/>
    <w:rsid w:val="00F44CCA"/>
    <w:rsid w:val="00F45684"/>
    <w:rsid w:val="00F45833"/>
    <w:rsid w:val="00F461CA"/>
    <w:rsid w:val="00F461F2"/>
    <w:rsid w:val="00F4647D"/>
    <w:rsid w:val="00F46A65"/>
    <w:rsid w:val="00F46B07"/>
    <w:rsid w:val="00F472D2"/>
    <w:rsid w:val="00F50137"/>
    <w:rsid w:val="00F51D62"/>
    <w:rsid w:val="00F51D7B"/>
    <w:rsid w:val="00F5240F"/>
    <w:rsid w:val="00F5258F"/>
    <w:rsid w:val="00F52ADB"/>
    <w:rsid w:val="00F5321E"/>
    <w:rsid w:val="00F532E0"/>
    <w:rsid w:val="00F54483"/>
    <w:rsid w:val="00F54A19"/>
    <w:rsid w:val="00F558B5"/>
    <w:rsid w:val="00F55D97"/>
    <w:rsid w:val="00F56091"/>
    <w:rsid w:val="00F56563"/>
    <w:rsid w:val="00F57298"/>
    <w:rsid w:val="00F57E38"/>
    <w:rsid w:val="00F57FA6"/>
    <w:rsid w:val="00F60D41"/>
    <w:rsid w:val="00F6156F"/>
    <w:rsid w:val="00F62F38"/>
    <w:rsid w:val="00F639E2"/>
    <w:rsid w:val="00F63F64"/>
    <w:rsid w:val="00F643FA"/>
    <w:rsid w:val="00F64F99"/>
    <w:rsid w:val="00F65D2E"/>
    <w:rsid w:val="00F66581"/>
    <w:rsid w:val="00F670D9"/>
    <w:rsid w:val="00F671F9"/>
    <w:rsid w:val="00F67A76"/>
    <w:rsid w:val="00F70B66"/>
    <w:rsid w:val="00F72775"/>
    <w:rsid w:val="00F72BE6"/>
    <w:rsid w:val="00F736E0"/>
    <w:rsid w:val="00F74E49"/>
    <w:rsid w:val="00F76515"/>
    <w:rsid w:val="00F77071"/>
    <w:rsid w:val="00F80292"/>
    <w:rsid w:val="00F80E9C"/>
    <w:rsid w:val="00F8279D"/>
    <w:rsid w:val="00F841F0"/>
    <w:rsid w:val="00F8429A"/>
    <w:rsid w:val="00F84667"/>
    <w:rsid w:val="00F854F2"/>
    <w:rsid w:val="00F858F2"/>
    <w:rsid w:val="00F864D6"/>
    <w:rsid w:val="00F86BFC"/>
    <w:rsid w:val="00F90A52"/>
    <w:rsid w:val="00F90E4D"/>
    <w:rsid w:val="00F922D5"/>
    <w:rsid w:val="00F922F0"/>
    <w:rsid w:val="00F92FA0"/>
    <w:rsid w:val="00F934E7"/>
    <w:rsid w:val="00F93DB7"/>
    <w:rsid w:val="00F95AC8"/>
    <w:rsid w:val="00F9651F"/>
    <w:rsid w:val="00F97E53"/>
    <w:rsid w:val="00FA10DB"/>
    <w:rsid w:val="00FA2BAA"/>
    <w:rsid w:val="00FA31E9"/>
    <w:rsid w:val="00FA3CDC"/>
    <w:rsid w:val="00FA4293"/>
    <w:rsid w:val="00FA4F4C"/>
    <w:rsid w:val="00FA5BE2"/>
    <w:rsid w:val="00FA5C2D"/>
    <w:rsid w:val="00FA717E"/>
    <w:rsid w:val="00FA7E13"/>
    <w:rsid w:val="00FB218D"/>
    <w:rsid w:val="00FB294A"/>
    <w:rsid w:val="00FB2D4D"/>
    <w:rsid w:val="00FB5A42"/>
    <w:rsid w:val="00FB5F86"/>
    <w:rsid w:val="00FB65D9"/>
    <w:rsid w:val="00FB6DFE"/>
    <w:rsid w:val="00FB73F9"/>
    <w:rsid w:val="00FC0C85"/>
    <w:rsid w:val="00FC0D8E"/>
    <w:rsid w:val="00FC0F4D"/>
    <w:rsid w:val="00FC1877"/>
    <w:rsid w:val="00FC1E96"/>
    <w:rsid w:val="00FC2105"/>
    <w:rsid w:val="00FC3098"/>
    <w:rsid w:val="00FC3948"/>
    <w:rsid w:val="00FC5EEE"/>
    <w:rsid w:val="00FC6330"/>
    <w:rsid w:val="00FC65B1"/>
    <w:rsid w:val="00FD0191"/>
    <w:rsid w:val="00FD0845"/>
    <w:rsid w:val="00FD0C6A"/>
    <w:rsid w:val="00FD0FEB"/>
    <w:rsid w:val="00FD10EE"/>
    <w:rsid w:val="00FD16D5"/>
    <w:rsid w:val="00FD231E"/>
    <w:rsid w:val="00FD26C9"/>
    <w:rsid w:val="00FD3489"/>
    <w:rsid w:val="00FD3783"/>
    <w:rsid w:val="00FD3EDB"/>
    <w:rsid w:val="00FD4920"/>
    <w:rsid w:val="00FD4B21"/>
    <w:rsid w:val="00FD5468"/>
    <w:rsid w:val="00FD5B72"/>
    <w:rsid w:val="00FD5FD4"/>
    <w:rsid w:val="00FD6737"/>
    <w:rsid w:val="00FD69DC"/>
    <w:rsid w:val="00FD6AB4"/>
    <w:rsid w:val="00FD6CFD"/>
    <w:rsid w:val="00FD78A9"/>
    <w:rsid w:val="00FD7FBB"/>
    <w:rsid w:val="00FE0D1B"/>
    <w:rsid w:val="00FE2C44"/>
    <w:rsid w:val="00FE3CE8"/>
    <w:rsid w:val="00FE3F29"/>
    <w:rsid w:val="00FE629E"/>
    <w:rsid w:val="00FE6CEB"/>
    <w:rsid w:val="00FE6EF2"/>
    <w:rsid w:val="00FE76E7"/>
    <w:rsid w:val="00FE7754"/>
    <w:rsid w:val="00FF058B"/>
    <w:rsid w:val="00FF06BC"/>
    <w:rsid w:val="00FF1EE1"/>
    <w:rsid w:val="00FF296C"/>
    <w:rsid w:val="00FF299D"/>
    <w:rsid w:val="00FF2DD6"/>
    <w:rsid w:val="00FF3D31"/>
    <w:rsid w:val="00FF3D84"/>
    <w:rsid w:val="00FF4439"/>
    <w:rsid w:val="00FF4B97"/>
    <w:rsid w:val="00FF4EFE"/>
    <w:rsid w:val="00FF5F5A"/>
    <w:rsid w:val="00FF6073"/>
    <w:rsid w:val="00FF6496"/>
    <w:rsid w:val="00FF6EB8"/>
    <w:rsid w:val="00FF72B7"/>
    <w:rsid w:val="00FF72F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765B1"/>
  <w15:docId w15:val="{2930DA6E-777E-43BD-BEB6-4FA07C8B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C90"/>
    <w:pPr>
      <w:spacing w:line="288" w:lineRule="auto"/>
      <w:ind w:firstLine="567"/>
      <w:jc w:val="both"/>
    </w:pPr>
    <w:rPr>
      <w:rFonts w:asciiTheme="majorBidi" w:hAnsiTheme="majorBidi"/>
      <w:sz w:val="24"/>
    </w:rPr>
  </w:style>
  <w:style w:type="paragraph" w:styleId="Heading1">
    <w:name w:val="heading 1"/>
    <w:basedOn w:val="Normal"/>
    <w:next w:val="Normal"/>
    <w:link w:val="Heading1Char"/>
    <w:uiPriority w:val="9"/>
    <w:qFormat/>
    <w:rsid w:val="00186C52"/>
    <w:pPr>
      <w:keepNext/>
      <w:keepLines/>
      <w:ind w:firstLine="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D7619"/>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D761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9A7B5F"/>
    <w:pPr>
      <w:keepNext/>
      <w:keepLines/>
      <w:spacing w:before="40" w:after="0" w:line="360" w:lineRule="auto"/>
      <w:ind w:left="864" w:hanging="864"/>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next w:val="Normal"/>
    <w:link w:val="Heading5Char"/>
    <w:uiPriority w:val="9"/>
    <w:semiHidden/>
    <w:unhideWhenUsed/>
    <w:qFormat/>
    <w:rsid w:val="009A7B5F"/>
    <w:pPr>
      <w:keepNext/>
      <w:keepLines/>
      <w:spacing w:before="40" w:after="0" w:line="360" w:lineRule="auto"/>
      <w:ind w:left="1008" w:hanging="1008"/>
      <w:outlineLvl w:val="4"/>
    </w:pPr>
    <w:rPr>
      <w:rFonts w:asciiTheme="majorHAnsi" w:eastAsiaTheme="majorEastAsia" w:hAnsiTheme="majorHAnsi" w:cstheme="majorBidi"/>
      <w:color w:val="2E74B5" w:themeColor="accent1" w:themeShade="BF"/>
      <w:lang w:eastAsia="en-US"/>
    </w:rPr>
  </w:style>
  <w:style w:type="paragraph" w:styleId="Heading6">
    <w:name w:val="heading 6"/>
    <w:basedOn w:val="Normal"/>
    <w:next w:val="Normal"/>
    <w:link w:val="Heading6Char"/>
    <w:uiPriority w:val="9"/>
    <w:semiHidden/>
    <w:unhideWhenUsed/>
    <w:qFormat/>
    <w:rsid w:val="009A7B5F"/>
    <w:pPr>
      <w:keepNext/>
      <w:keepLines/>
      <w:spacing w:before="40" w:after="0" w:line="360" w:lineRule="auto"/>
      <w:ind w:left="1152" w:hanging="1152"/>
      <w:outlineLvl w:val="5"/>
    </w:pPr>
    <w:rPr>
      <w:rFonts w:asciiTheme="majorHAnsi" w:eastAsiaTheme="majorEastAsia" w:hAnsiTheme="majorHAnsi" w:cstheme="majorBidi"/>
      <w:color w:val="1F4D78" w:themeColor="accent1" w:themeShade="7F"/>
      <w:lang w:eastAsia="en-US"/>
    </w:rPr>
  </w:style>
  <w:style w:type="paragraph" w:styleId="Heading7">
    <w:name w:val="heading 7"/>
    <w:basedOn w:val="Normal"/>
    <w:next w:val="Normal"/>
    <w:link w:val="Heading7Char"/>
    <w:uiPriority w:val="9"/>
    <w:semiHidden/>
    <w:unhideWhenUsed/>
    <w:qFormat/>
    <w:rsid w:val="009A7B5F"/>
    <w:pPr>
      <w:keepNext/>
      <w:keepLines/>
      <w:spacing w:before="40" w:after="0" w:line="360" w:lineRule="auto"/>
      <w:ind w:left="1296" w:hanging="1296"/>
      <w:outlineLvl w:val="6"/>
    </w:pPr>
    <w:rPr>
      <w:rFonts w:asciiTheme="majorHAnsi" w:eastAsiaTheme="majorEastAsia" w:hAnsiTheme="majorHAnsi" w:cstheme="majorBidi"/>
      <w:i/>
      <w:iCs/>
      <w:color w:val="1F4D78" w:themeColor="accent1" w:themeShade="7F"/>
      <w:lang w:eastAsia="en-US"/>
    </w:rPr>
  </w:style>
  <w:style w:type="paragraph" w:styleId="Heading8">
    <w:name w:val="heading 8"/>
    <w:basedOn w:val="Normal"/>
    <w:next w:val="Normal"/>
    <w:link w:val="Heading8Char"/>
    <w:uiPriority w:val="9"/>
    <w:semiHidden/>
    <w:unhideWhenUsed/>
    <w:qFormat/>
    <w:rsid w:val="009A7B5F"/>
    <w:pPr>
      <w:keepNext/>
      <w:keepLines/>
      <w:spacing w:before="40" w:after="0" w:line="360"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A7B5F"/>
    <w:pPr>
      <w:keepNext/>
      <w:keepLines/>
      <w:spacing w:before="40" w:after="0" w:line="360"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C52"/>
    <w:rPr>
      <w:rFonts w:asciiTheme="majorBidi" w:eastAsiaTheme="majorEastAsia" w:hAnsiTheme="majorBidi" w:cstheme="majorBidi"/>
      <w:b/>
      <w:sz w:val="24"/>
      <w:szCs w:val="32"/>
    </w:rPr>
  </w:style>
  <w:style w:type="character" w:customStyle="1" w:styleId="Heading2Char">
    <w:name w:val="Heading 2 Char"/>
    <w:basedOn w:val="DefaultParagraphFont"/>
    <w:link w:val="Heading2"/>
    <w:uiPriority w:val="9"/>
    <w:rsid w:val="002D7619"/>
    <w:rPr>
      <w:rFonts w:asciiTheme="majorBidi" w:eastAsiaTheme="majorEastAsia" w:hAnsiTheme="majorBidi" w:cstheme="majorBidi"/>
      <w:b/>
      <w:sz w:val="24"/>
      <w:szCs w:val="26"/>
    </w:rPr>
  </w:style>
  <w:style w:type="paragraph" w:customStyle="1" w:styleId="EndNoteBibliographyTitle">
    <w:name w:val="EndNote Bibliography Title"/>
    <w:basedOn w:val="Normal"/>
    <w:link w:val="EndNoteBibliographyTitleChar"/>
    <w:rsid w:val="00F8279D"/>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F8279D"/>
    <w:rPr>
      <w:rFonts w:ascii="Calibri" w:hAnsi="Calibri" w:cs="Calibri"/>
      <w:noProof/>
    </w:rPr>
  </w:style>
  <w:style w:type="paragraph" w:customStyle="1" w:styleId="EndNoteBibliography">
    <w:name w:val="EndNote Bibliography"/>
    <w:basedOn w:val="Normal"/>
    <w:link w:val="EndNoteBibliographyChar"/>
    <w:rsid w:val="00F8279D"/>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F8279D"/>
    <w:rPr>
      <w:rFonts w:ascii="Calibri" w:hAnsi="Calibri" w:cs="Calibri"/>
      <w:noProof/>
    </w:rPr>
  </w:style>
  <w:style w:type="character" w:styleId="Hyperlink">
    <w:name w:val="Hyperlink"/>
    <w:basedOn w:val="DefaultParagraphFont"/>
    <w:uiPriority w:val="99"/>
    <w:unhideWhenUsed/>
    <w:rsid w:val="00F8279D"/>
    <w:rPr>
      <w:color w:val="0563C1" w:themeColor="hyperlink"/>
      <w:u w:val="single"/>
    </w:rPr>
  </w:style>
  <w:style w:type="paragraph" w:styleId="Header">
    <w:name w:val="header"/>
    <w:basedOn w:val="Normal"/>
    <w:link w:val="HeaderChar"/>
    <w:uiPriority w:val="99"/>
    <w:unhideWhenUsed/>
    <w:rsid w:val="0091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652"/>
  </w:style>
  <w:style w:type="paragraph" w:styleId="Footer">
    <w:name w:val="footer"/>
    <w:basedOn w:val="Normal"/>
    <w:link w:val="FooterChar"/>
    <w:uiPriority w:val="99"/>
    <w:unhideWhenUsed/>
    <w:rsid w:val="0091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652"/>
  </w:style>
  <w:style w:type="paragraph" w:styleId="BalloonText">
    <w:name w:val="Balloon Text"/>
    <w:basedOn w:val="Normal"/>
    <w:link w:val="BalloonTextChar"/>
    <w:uiPriority w:val="99"/>
    <w:semiHidden/>
    <w:unhideWhenUsed/>
    <w:rsid w:val="005D4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E5C"/>
    <w:rPr>
      <w:rFonts w:ascii="Segoe UI" w:hAnsi="Segoe UI" w:cs="Segoe UI"/>
      <w:sz w:val="18"/>
      <w:szCs w:val="18"/>
    </w:rPr>
  </w:style>
  <w:style w:type="paragraph" w:styleId="NoSpacing">
    <w:name w:val="No Spacing"/>
    <w:uiPriority w:val="1"/>
    <w:qFormat/>
    <w:rsid w:val="00DD6E84"/>
    <w:pPr>
      <w:spacing w:after="0" w:line="240" w:lineRule="auto"/>
    </w:pPr>
  </w:style>
  <w:style w:type="paragraph" w:styleId="FootnoteText">
    <w:name w:val="footnote text"/>
    <w:basedOn w:val="Normal"/>
    <w:link w:val="FootnoteTextChar"/>
    <w:uiPriority w:val="99"/>
    <w:unhideWhenUsed/>
    <w:rsid w:val="00A71EB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A71EB9"/>
    <w:rPr>
      <w:rFonts w:eastAsiaTheme="minorHAnsi"/>
      <w:sz w:val="20"/>
      <w:szCs w:val="20"/>
      <w:lang w:eastAsia="en-US"/>
    </w:rPr>
  </w:style>
  <w:style w:type="paragraph" w:styleId="Title">
    <w:name w:val="Title"/>
    <w:basedOn w:val="Normal"/>
    <w:next w:val="Normal"/>
    <w:link w:val="TitleChar"/>
    <w:qFormat/>
    <w:rsid w:val="00157C90"/>
    <w:pPr>
      <w:pBdr>
        <w:bottom w:val="single" w:sz="4" w:space="1" w:color="auto"/>
      </w:pBdr>
      <w:spacing w:after="0" w:line="240" w:lineRule="auto"/>
      <w:contextualSpacing/>
    </w:pPr>
    <w:rPr>
      <w:rFonts w:eastAsiaTheme="majorEastAsia" w:cstheme="majorBidi"/>
      <w:b/>
      <w:spacing w:val="5"/>
      <w:szCs w:val="52"/>
      <w:lang w:val="en-US" w:eastAsia="ko-KR"/>
    </w:rPr>
  </w:style>
  <w:style w:type="character" w:customStyle="1" w:styleId="TitleChar">
    <w:name w:val="Title Char"/>
    <w:basedOn w:val="DefaultParagraphFont"/>
    <w:link w:val="Title"/>
    <w:rsid w:val="00157C90"/>
    <w:rPr>
      <w:rFonts w:asciiTheme="majorBidi" w:eastAsiaTheme="majorEastAsia" w:hAnsiTheme="majorBidi" w:cstheme="majorBidi"/>
      <w:b/>
      <w:spacing w:val="5"/>
      <w:sz w:val="24"/>
      <w:szCs w:val="52"/>
      <w:lang w:val="en-US" w:eastAsia="ko-KR"/>
    </w:rPr>
  </w:style>
  <w:style w:type="paragraph" w:customStyle="1" w:styleId="Default">
    <w:name w:val="Default"/>
    <w:rsid w:val="00A71EB9"/>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customStyle="1" w:styleId="CM1">
    <w:name w:val="CM1"/>
    <w:basedOn w:val="Default"/>
    <w:next w:val="Default"/>
    <w:rsid w:val="00A71EB9"/>
    <w:pPr>
      <w:widowControl w:val="0"/>
      <w:spacing w:line="323" w:lineRule="atLeast"/>
    </w:pPr>
    <w:rPr>
      <w:color w:val="auto"/>
      <w:lang w:val="en-US" w:eastAsia="en-US"/>
    </w:rPr>
  </w:style>
  <w:style w:type="paragraph" w:customStyle="1" w:styleId="CM3">
    <w:name w:val="CM3"/>
    <w:basedOn w:val="Default"/>
    <w:next w:val="Default"/>
    <w:rsid w:val="00A71EB9"/>
    <w:pPr>
      <w:widowControl w:val="0"/>
    </w:pPr>
    <w:rPr>
      <w:color w:val="auto"/>
      <w:lang w:val="en-US" w:eastAsia="en-US"/>
    </w:rPr>
  </w:style>
  <w:style w:type="paragraph" w:customStyle="1" w:styleId="CM22">
    <w:name w:val="CM22"/>
    <w:basedOn w:val="Default"/>
    <w:next w:val="Default"/>
    <w:rsid w:val="00A71EB9"/>
    <w:pPr>
      <w:widowControl w:val="0"/>
      <w:spacing w:after="65"/>
    </w:pPr>
    <w:rPr>
      <w:color w:val="auto"/>
      <w:lang w:val="en-US" w:eastAsia="en-US"/>
    </w:rPr>
  </w:style>
  <w:style w:type="paragraph" w:customStyle="1" w:styleId="CM4">
    <w:name w:val="CM4"/>
    <w:basedOn w:val="Default"/>
    <w:next w:val="Default"/>
    <w:rsid w:val="00A71EB9"/>
    <w:pPr>
      <w:widowControl w:val="0"/>
      <w:spacing w:line="253" w:lineRule="atLeast"/>
    </w:pPr>
    <w:rPr>
      <w:color w:val="auto"/>
      <w:lang w:val="en-US" w:eastAsia="en-US"/>
    </w:rPr>
  </w:style>
  <w:style w:type="paragraph" w:customStyle="1" w:styleId="CM23">
    <w:name w:val="CM23"/>
    <w:basedOn w:val="Default"/>
    <w:next w:val="Default"/>
    <w:rsid w:val="00A71EB9"/>
    <w:pPr>
      <w:widowControl w:val="0"/>
      <w:spacing w:after="233"/>
    </w:pPr>
    <w:rPr>
      <w:color w:val="auto"/>
      <w:lang w:val="en-US" w:eastAsia="en-US"/>
    </w:rPr>
  </w:style>
  <w:style w:type="paragraph" w:styleId="ListParagraph">
    <w:name w:val="List Paragraph"/>
    <w:basedOn w:val="Normal"/>
    <w:uiPriority w:val="34"/>
    <w:qFormat/>
    <w:rsid w:val="005350B7"/>
    <w:pPr>
      <w:ind w:left="720"/>
      <w:contextualSpacing/>
    </w:pPr>
  </w:style>
  <w:style w:type="character" w:styleId="CommentReference">
    <w:name w:val="annotation reference"/>
    <w:basedOn w:val="DefaultParagraphFont"/>
    <w:uiPriority w:val="99"/>
    <w:semiHidden/>
    <w:unhideWhenUsed/>
    <w:rsid w:val="00CA422B"/>
    <w:rPr>
      <w:sz w:val="16"/>
      <w:szCs w:val="16"/>
    </w:rPr>
  </w:style>
  <w:style w:type="paragraph" w:styleId="CommentText">
    <w:name w:val="annotation text"/>
    <w:basedOn w:val="Normal"/>
    <w:link w:val="CommentTextChar"/>
    <w:uiPriority w:val="99"/>
    <w:semiHidden/>
    <w:unhideWhenUsed/>
    <w:rsid w:val="00CA422B"/>
    <w:pPr>
      <w:spacing w:line="240" w:lineRule="auto"/>
    </w:pPr>
    <w:rPr>
      <w:sz w:val="20"/>
      <w:szCs w:val="20"/>
    </w:rPr>
  </w:style>
  <w:style w:type="character" w:customStyle="1" w:styleId="CommentTextChar">
    <w:name w:val="Comment Text Char"/>
    <w:basedOn w:val="DefaultParagraphFont"/>
    <w:link w:val="CommentText"/>
    <w:uiPriority w:val="99"/>
    <w:semiHidden/>
    <w:rsid w:val="00CA422B"/>
    <w:rPr>
      <w:sz w:val="20"/>
      <w:szCs w:val="20"/>
    </w:rPr>
  </w:style>
  <w:style w:type="paragraph" w:styleId="CommentSubject">
    <w:name w:val="annotation subject"/>
    <w:basedOn w:val="CommentText"/>
    <w:next w:val="CommentText"/>
    <w:link w:val="CommentSubjectChar"/>
    <w:uiPriority w:val="99"/>
    <w:semiHidden/>
    <w:unhideWhenUsed/>
    <w:rsid w:val="00CA422B"/>
    <w:rPr>
      <w:b/>
      <w:bCs/>
    </w:rPr>
  </w:style>
  <w:style w:type="character" w:customStyle="1" w:styleId="CommentSubjectChar">
    <w:name w:val="Comment Subject Char"/>
    <w:basedOn w:val="CommentTextChar"/>
    <w:link w:val="CommentSubject"/>
    <w:uiPriority w:val="99"/>
    <w:semiHidden/>
    <w:rsid w:val="00CA422B"/>
    <w:rPr>
      <w:b/>
      <w:bCs/>
      <w:sz w:val="20"/>
      <w:szCs w:val="20"/>
    </w:rPr>
  </w:style>
  <w:style w:type="character" w:styleId="UnresolvedMention">
    <w:name w:val="Unresolved Mention"/>
    <w:basedOn w:val="DefaultParagraphFont"/>
    <w:uiPriority w:val="99"/>
    <w:semiHidden/>
    <w:unhideWhenUsed/>
    <w:rsid w:val="00186C52"/>
    <w:rPr>
      <w:color w:val="605E5C"/>
      <w:shd w:val="clear" w:color="auto" w:fill="E1DFDD"/>
    </w:rPr>
  </w:style>
  <w:style w:type="character" w:styleId="FootnoteReference">
    <w:name w:val="footnote reference"/>
    <w:basedOn w:val="DefaultParagraphFont"/>
    <w:uiPriority w:val="99"/>
    <w:semiHidden/>
    <w:unhideWhenUsed/>
    <w:rsid w:val="00186C52"/>
    <w:rPr>
      <w:vertAlign w:val="superscript"/>
    </w:rPr>
  </w:style>
  <w:style w:type="character" w:customStyle="1" w:styleId="Heading3Char">
    <w:name w:val="Heading 3 Char"/>
    <w:basedOn w:val="DefaultParagraphFont"/>
    <w:link w:val="Heading3"/>
    <w:uiPriority w:val="9"/>
    <w:rsid w:val="002D761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9A7B5F"/>
    <w:pPr>
      <w:spacing w:before="120" w:after="200" w:line="360" w:lineRule="auto"/>
      <w:ind w:firstLine="284"/>
    </w:pPr>
    <w:rPr>
      <w:rFonts w:eastAsiaTheme="minorHAnsi"/>
      <w:i/>
      <w:iCs/>
      <w:color w:val="44546A" w:themeColor="text2"/>
      <w:sz w:val="18"/>
      <w:szCs w:val="18"/>
      <w:lang w:eastAsia="en-US"/>
    </w:rPr>
  </w:style>
  <w:style w:type="table" w:customStyle="1" w:styleId="TableGrid1">
    <w:name w:val="Table Grid1"/>
    <w:basedOn w:val="TableNormal"/>
    <w:next w:val="TableGrid"/>
    <w:uiPriority w:val="39"/>
    <w:rsid w:val="009A7B5F"/>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A7B5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uiPriority w:val="9"/>
    <w:semiHidden/>
    <w:rsid w:val="009A7B5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uiPriority w:val="9"/>
    <w:semiHidden/>
    <w:rsid w:val="009A7B5F"/>
    <w:rPr>
      <w:rFonts w:asciiTheme="majorHAnsi" w:eastAsiaTheme="majorEastAsia" w:hAnsiTheme="majorHAnsi" w:cstheme="majorBidi"/>
      <w:color w:val="1F4D78" w:themeColor="accent1" w:themeShade="7F"/>
      <w:sz w:val="24"/>
      <w:lang w:eastAsia="en-US"/>
    </w:rPr>
  </w:style>
  <w:style w:type="character" w:customStyle="1" w:styleId="Heading7Char">
    <w:name w:val="Heading 7 Char"/>
    <w:basedOn w:val="DefaultParagraphFont"/>
    <w:link w:val="Heading7"/>
    <w:uiPriority w:val="9"/>
    <w:semiHidden/>
    <w:rsid w:val="009A7B5F"/>
    <w:rPr>
      <w:rFonts w:asciiTheme="majorHAnsi" w:eastAsiaTheme="majorEastAsia" w:hAnsiTheme="majorHAnsi" w:cstheme="majorBidi"/>
      <w:i/>
      <w:iCs/>
      <w:color w:val="1F4D78" w:themeColor="accent1" w:themeShade="7F"/>
      <w:sz w:val="24"/>
      <w:lang w:eastAsia="en-US"/>
    </w:rPr>
  </w:style>
  <w:style w:type="character" w:customStyle="1" w:styleId="Heading8Char">
    <w:name w:val="Heading 8 Char"/>
    <w:basedOn w:val="DefaultParagraphFont"/>
    <w:link w:val="Heading8"/>
    <w:uiPriority w:val="9"/>
    <w:semiHidden/>
    <w:rsid w:val="009A7B5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A7B5F"/>
    <w:rPr>
      <w:rFonts w:asciiTheme="majorHAnsi" w:eastAsiaTheme="majorEastAsia" w:hAnsiTheme="majorHAnsi" w:cstheme="majorBidi"/>
      <w:i/>
      <w:iCs/>
      <w:color w:val="272727" w:themeColor="text1" w:themeTint="D8"/>
      <w:sz w:val="21"/>
      <w:szCs w:val="21"/>
      <w:lang w:eastAsia="en-US"/>
    </w:rPr>
  </w:style>
  <w:style w:type="character" w:customStyle="1" w:styleId="UnresolvedMention1">
    <w:name w:val="Unresolved Mention1"/>
    <w:basedOn w:val="DefaultParagraphFont"/>
    <w:uiPriority w:val="99"/>
    <w:semiHidden/>
    <w:unhideWhenUsed/>
    <w:rsid w:val="009A7B5F"/>
    <w:rPr>
      <w:color w:val="605E5C"/>
      <w:shd w:val="clear" w:color="auto" w:fill="E1DFDD"/>
    </w:rPr>
  </w:style>
  <w:style w:type="table" w:customStyle="1" w:styleId="PlainTable21">
    <w:name w:val="Plain Table 21"/>
    <w:basedOn w:val="TableNormal"/>
    <w:uiPriority w:val="42"/>
    <w:rsid w:val="009A7B5F"/>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9A7B5F"/>
    <w:pPr>
      <w:spacing w:before="100" w:beforeAutospacing="1" w:after="100" w:afterAutospacing="1" w:line="360" w:lineRule="auto"/>
      <w:ind w:firstLine="0"/>
      <w:jc w:val="left"/>
    </w:pPr>
    <w:rPr>
      <w:rFonts w:ascii="Times New Roman" w:hAnsi="Times New Roman" w:cs="Times New Roman"/>
      <w:szCs w:val="24"/>
    </w:rPr>
  </w:style>
  <w:style w:type="paragraph" w:customStyle="1" w:styleId="Normal0">
    <w:name w:val="[Normal]"/>
    <w:rsid w:val="009A7B5F"/>
    <w:pPr>
      <w:widowControl w:val="0"/>
      <w:autoSpaceDE w:val="0"/>
      <w:autoSpaceDN w:val="0"/>
      <w:adjustRightInd w:val="0"/>
      <w:spacing w:after="0" w:line="240" w:lineRule="auto"/>
    </w:pPr>
    <w:rPr>
      <w:rFonts w:ascii="Arial" w:hAnsi="Arial" w:cs="Arial"/>
      <w:sz w:val="24"/>
      <w:szCs w:val="24"/>
      <w:lang w:val="en-US"/>
    </w:rPr>
  </w:style>
  <w:style w:type="paragraph" w:styleId="TOCHeading">
    <w:name w:val="TOC Heading"/>
    <w:basedOn w:val="Heading1"/>
    <w:next w:val="Normal"/>
    <w:uiPriority w:val="39"/>
    <w:unhideWhenUsed/>
    <w:qFormat/>
    <w:rsid w:val="009A7B5F"/>
    <w:pPr>
      <w:spacing w:before="240" w:after="0" w:line="259" w:lineRule="auto"/>
      <w:jc w:val="left"/>
      <w:outlineLvl w:val="9"/>
    </w:pPr>
    <w:rPr>
      <w:rFonts w:asciiTheme="majorHAnsi" w:hAnsiTheme="majorHAnsi"/>
      <w:b w:val="0"/>
      <w:color w:val="000000" w:themeColor="text1"/>
      <w:sz w:val="32"/>
      <w:lang w:eastAsia="en-US"/>
    </w:rPr>
  </w:style>
  <w:style w:type="paragraph" w:styleId="TOC1">
    <w:name w:val="toc 1"/>
    <w:basedOn w:val="Normal"/>
    <w:next w:val="Normal"/>
    <w:autoRedefine/>
    <w:uiPriority w:val="39"/>
    <w:unhideWhenUsed/>
    <w:rsid w:val="009A7B5F"/>
    <w:pPr>
      <w:tabs>
        <w:tab w:val="left" w:pos="142"/>
        <w:tab w:val="right" w:leader="dot" w:pos="9350"/>
      </w:tabs>
      <w:spacing w:before="120" w:after="100" w:line="360" w:lineRule="auto"/>
      <w:ind w:hanging="142"/>
    </w:pPr>
    <w:rPr>
      <w:rFonts w:eastAsiaTheme="minorHAnsi"/>
      <w:lang w:eastAsia="en-US"/>
    </w:rPr>
  </w:style>
  <w:style w:type="paragraph" w:styleId="TOC2">
    <w:name w:val="toc 2"/>
    <w:basedOn w:val="Normal"/>
    <w:next w:val="Normal"/>
    <w:autoRedefine/>
    <w:uiPriority w:val="39"/>
    <w:unhideWhenUsed/>
    <w:rsid w:val="009A7B5F"/>
    <w:pPr>
      <w:tabs>
        <w:tab w:val="left" w:pos="142"/>
        <w:tab w:val="left" w:pos="426"/>
        <w:tab w:val="right" w:leader="dot" w:pos="9350"/>
      </w:tabs>
      <w:spacing w:before="120" w:after="100" w:line="360" w:lineRule="auto"/>
      <w:ind w:left="180" w:hanging="142"/>
    </w:pPr>
    <w:rPr>
      <w:rFonts w:eastAsiaTheme="minorHAnsi"/>
      <w:lang w:eastAsia="en-US"/>
    </w:rPr>
  </w:style>
  <w:style w:type="paragraph" w:styleId="TOC3">
    <w:name w:val="toc 3"/>
    <w:basedOn w:val="Normal"/>
    <w:next w:val="Normal"/>
    <w:autoRedefine/>
    <w:uiPriority w:val="39"/>
    <w:unhideWhenUsed/>
    <w:rsid w:val="009A7B5F"/>
    <w:pPr>
      <w:tabs>
        <w:tab w:val="left" w:pos="142"/>
        <w:tab w:val="left" w:pos="540"/>
        <w:tab w:val="left" w:pos="993"/>
        <w:tab w:val="right" w:leader="dot" w:pos="9350"/>
      </w:tabs>
      <w:spacing w:before="120" w:after="100" w:line="360" w:lineRule="auto"/>
      <w:ind w:left="540" w:hanging="142"/>
    </w:pPr>
    <w:rPr>
      <w:rFonts w:eastAsiaTheme="minorHAnsi"/>
      <w:lang w:eastAsia="en-US"/>
    </w:rPr>
  </w:style>
  <w:style w:type="table" w:customStyle="1" w:styleId="GridTable1Light1">
    <w:name w:val="Grid Table 1 Light1"/>
    <w:basedOn w:val="TableNormal"/>
    <w:uiPriority w:val="46"/>
    <w:rsid w:val="009A7B5F"/>
    <w:pPr>
      <w:spacing w:after="0" w:line="240" w:lineRule="auto"/>
    </w:pPr>
    <w:rPr>
      <w:rFonts w:eastAsiaTheme="minorHAns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9A7B5F"/>
    <w:pPr>
      <w:spacing w:before="120" w:after="0" w:line="360" w:lineRule="auto"/>
      <w:ind w:firstLine="284"/>
    </w:pPr>
    <w:rPr>
      <w:rFonts w:eastAsiaTheme="minorHAnsi"/>
      <w:lang w:eastAsia="en-US"/>
    </w:rPr>
  </w:style>
  <w:style w:type="table" w:customStyle="1" w:styleId="PlainTable51">
    <w:name w:val="Plain Table 51"/>
    <w:basedOn w:val="TableNormal"/>
    <w:uiPriority w:val="45"/>
    <w:rsid w:val="009A7B5F"/>
    <w:pPr>
      <w:spacing w:after="0" w:line="240" w:lineRule="auto"/>
    </w:pPr>
    <w:rPr>
      <w:rFonts w:eastAsiaTheme="minorHAnsi"/>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TableNormal"/>
    <w:uiPriority w:val="49"/>
    <w:rsid w:val="009A7B5F"/>
    <w:pPr>
      <w:spacing w:after="0" w:line="240" w:lineRule="auto"/>
    </w:pPr>
    <w:rPr>
      <w:rFonts w:eastAsiaTheme="minorHAnsi"/>
      <w:lang w:val="en-US"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9A7B5F"/>
    <w:rPr>
      <w:color w:val="954F72" w:themeColor="followedHyperlink"/>
      <w:u w:val="single"/>
    </w:rPr>
  </w:style>
  <w:style w:type="paragraph" w:styleId="EndnoteText">
    <w:name w:val="endnote text"/>
    <w:basedOn w:val="Normal"/>
    <w:link w:val="EndnoteTextChar"/>
    <w:uiPriority w:val="99"/>
    <w:semiHidden/>
    <w:unhideWhenUsed/>
    <w:rsid w:val="009A7B5F"/>
    <w:pPr>
      <w:spacing w:after="0" w:line="360" w:lineRule="auto"/>
      <w:ind w:firstLine="284"/>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9A7B5F"/>
    <w:rPr>
      <w:rFonts w:asciiTheme="majorBidi" w:eastAsiaTheme="minorHAnsi" w:hAnsiTheme="majorBidi"/>
      <w:sz w:val="20"/>
      <w:szCs w:val="20"/>
      <w:lang w:eastAsia="en-US"/>
    </w:rPr>
  </w:style>
  <w:style w:type="character" w:styleId="EndnoteReference">
    <w:name w:val="endnote reference"/>
    <w:basedOn w:val="DefaultParagraphFont"/>
    <w:uiPriority w:val="99"/>
    <w:semiHidden/>
    <w:unhideWhenUsed/>
    <w:rsid w:val="009A7B5F"/>
    <w:rPr>
      <w:vertAlign w:val="superscript"/>
    </w:rPr>
  </w:style>
  <w:style w:type="character" w:styleId="PlaceholderText">
    <w:name w:val="Placeholder Text"/>
    <w:basedOn w:val="DefaultParagraphFont"/>
    <w:uiPriority w:val="99"/>
    <w:semiHidden/>
    <w:rsid w:val="009A7B5F"/>
    <w:rPr>
      <w:color w:val="808080"/>
    </w:rPr>
  </w:style>
  <w:style w:type="character" w:customStyle="1" w:styleId="a">
    <w:name w:val="_"/>
    <w:basedOn w:val="DefaultParagraphFont"/>
    <w:rsid w:val="009A7B5F"/>
  </w:style>
  <w:style w:type="character" w:customStyle="1" w:styleId="ff3">
    <w:name w:val="ff3"/>
    <w:basedOn w:val="DefaultParagraphFont"/>
    <w:rsid w:val="009A7B5F"/>
  </w:style>
  <w:style w:type="character" w:customStyle="1" w:styleId="ff2">
    <w:name w:val="ff2"/>
    <w:basedOn w:val="DefaultParagraphFont"/>
    <w:rsid w:val="009A7B5F"/>
  </w:style>
  <w:style w:type="character" w:customStyle="1" w:styleId="UnresolvedMention2">
    <w:name w:val="Unresolved Mention2"/>
    <w:basedOn w:val="DefaultParagraphFont"/>
    <w:uiPriority w:val="99"/>
    <w:semiHidden/>
    <w:unhideWhenUsed/>
    <w:rsid w:val="009A7B5F"/>
    <w:rPr>
      <w:color w:val="605E5C"/>
      <w:shd w:val="clear" w:color="auto" w:fill="E1DFDD"/>
    </w:rPr>
  </w:style>
  <w:style w:type="paragraph" w:styleId="Revision">
    <w:name w:val="Revision"/>
    <w:hidden/>
    <w:uiPriority w:val="99"/>
    <w:semiHidden/>
    <w:rsid w:val="009A7B5F"/>
    <w:pPr>
      <w:spacing w:after="0" w:line="240" w:lineRule="auto"/>
    </w:pPr>
    <w:rPr>
      <w:rFonts w:asciiTheme="majorBidi" w:eastAsiaTheme="minorHAnsi" w:hAnsiTheme="maj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540">
      <w:bodyDiv w:val="1"/>
      <w:marLeft w:val="0"/>
      <w:marRight w:val="0"/>
      <w:marTop w:val="0"/>
      <w:marBottom w:val="0"/>
      <w:divBdr>
        <w:top w:val="none" w:sz="0" w:space="0" w:color="auto"/>
        <w:left w:val="none" w:sz="0" w:space="0" w:color="auto"/>
        <w:bottom w:val="none" w:sz="0" w:space="0" w:color="auto"/>
        <w:right w:val="none" w:sz="0" w:space="0" w:color="auto"/>
      </w:divBdr>
    </w:div>
    <w:div w:id="21632375">
      <w:bodyDiv w:val="1"/>
      <w:marLeft w:val="0"/>
      <w:marRight w:val="0"/>
      <w:marTop w:val="0"/>
      <w:marBottom w:val="0"/>
      <w:divBdr>
        <w:top w:val="none" w:sz="0" w:space="0" w:color="auto"/>
        <w:left w:val="none" w:sz="0" w:space="0" w:color="auto"/>
        <w:bottom w:val="none" w:sz="0" w:space="0" w:color="auto"/>
        <w:right w:val="none" w:sz="0" w:space="0" w:color="auto"/>
      </w:divBdr>
    </w:div>
    <w:div w:id="27460730">
      <w:bodyDiv w:val="1"/>
      <w:marLeft w:val="0"/>
      <w:marRight w:val="0"/>
      <w:marTop w:val="0"/>
      <w:marBottom w:val="0"/>
      <w:divBdr>
        <w:top w:val="none" w:sz="0" w:space="0" w:color="auto"/>
        <w:left w:val="none" w:sz="0" w:space="0" w:color="auto"/>
        <w:bottom w:val="none" w:sz="0" w:space="0" w:color="auto"/>
        <w:right w:val="none" w:sz="0" w:space="0" w:color="auto"/>
      </w:divBdr>
    </w:div>
    <w:div w:id="47845270">
      <w:bodyDiv w:val="1"/>
      <w:marLeft w:val="0"/>
      <w:marRight w:val="0"/>
      <w:marTop w:val="0"/>
      <w:marBottom w:val="0"/>
      <w:divBdr>
        <w:top w:val="none" w:sz="0" w:space="0" w:color="auto"/>
        <w:left w:val="none" w:sz="0" w:space="0" w:color="auto"/>
        <w:bottom w:val="none" w:sz="0" w:space="0" w:color="auto"/>
        <w:right w:val="none" w:sz="0" w:space="0" w:color="auto"/>
      </w:divBdr>
    </w:div>
    <w:div w:id="48844538">
      <w:bodyDiv w:val="1"/>
      <w:marLeft w:val="0"/>
      <w:marRight w:val="0"/>
      <w:marTop w:val="0"/>
      <w:marBottom w:val="0"/>
      <w:divBdr>
        <w:top w:val="none" w:sz="0" w:space="0" w:color="auto"/>
        <w:left w:val="none" w:sz="0" w:space="0" w:color="auto"/>
        <w:bottom w:val="none" w:sz="0" w:space="0" w:color="auto"/>
        <w:right w:val="none" w:sz="0" w:space="0" w:color="auto"/>
      </w:divBdr>
    </w:div>
    <w:div w:id="79984881">
      <w:bodyDiv w:val="1"/>
      <w:marLeft w:val="0"/>
      <w:marRight w:val="0"/>
      <w:marTop w:val="0"/>
      <w:marBottom w:val="0"/>
      <w:divBdr>
        <w:top w:val="none" w:sz="0" w:space="0" w:color="auto"/>
        <w:left w:val="none" w:sz="0" w:space="0" w:color="auto"/>
        <w:bottom w:val="none" w:sz="0" w:space="0" w:color="auto"/>
        <w:right w:val="none" w:sz="0" w:space="0" w:color="auto"/>
      </w:divBdr>
    </w:div>
    <w:div w:id="82068667">
      <w:bodyDiv w:val="1"/>
      <w:marLeft w:val="0"/>
      <w:marRight w:val="0"/>
      <w:marTop w:val="0"/>
      <w:marBottom w:val="0"/>
      <w:divBdr>
        <w:top w:val="none" w:sz="0" w:space="0" w:color="auto"/>
        <w:left w:val="none" w:sz="0" w:space="0" w:color="auto"/>
        <w:bottom w:val="none" w:sz="0" w:space="0" w:color="auto"/>
        <w:right w:val="none" w:sz="0" w:space="0" w:color="auto"/>
      </w:divBdr>
    </w:div>
    <w:div w:id="119299842">
      <w:bodyDiv w:val="1"/>
      <w:marLeft w:val="0"/>
      <w:marRight w:val="0"/>
      <w:marTop w:val="0"/>
      <w:marBottom w:val="0"/>
      <w:divBdr>
        <w:top w:val="none" w:sz="0" w:space="0" w:color="auto"/>
        <w:left w:val="none" w:sz="0" w:space="0" w:color="auto"/>
        <w:bottom w:val="none" w:sz="0" w:space="0" w:color="auto"/>
        <w:right w:val="none" w:sz="0" w:space="0" w:color="auto"/>
      </w:divBdr>
    </w:div>
    <w:div w:id="125246361">
      <w:bodyDiv w:val="1"/>
      <w:marLeft w:val="0"/>
      <w:marRight w:val="0"/>
      <w:marTop w:val="0"/>
      <w:marBottom w:val="0"/>
      <w:divBdr>
        <w:top w:val="none" w:sz="0" w:space="0" w:color="auto"/>
        <w:left w:val="none" w:sz="0" w:space="0" w:color="auto"/>
        <w:bottom w:val="none" w:sz="0" w:space="0" w:color="auto"/>
        <w:right w:val="none" w:sz="0" w:space="0" w:color="auto"/>
      </w:divBdr>
    </w:div>
    <w:div w:id="153231182">
      <w:bodyDiv w:val="1"/>
      <w:marLeft w:val="0"/>
      <w:marRight w:val="0"/>
      <w:marTop w:val="0"/>
      <w:marBottom w:val="0"/>
      <w:divBdr>
        <w:top w:val="none" w:sz="0" w:space="0" w:color="auto"/>
        <w:left w:val="none" w:sz="0" w:space="0" w:color="auto"/>
        <w:bottom w:val="none" w:sz="0" w:space="0" w:color="auto"/>
        <w:right w:val="none" w:sz="0" w:space="0" w:color="auto"/>
      </w:divBdr>
    </w:div>
    <w:div w:id="157696357">
      <w:bodyDiv w:val="1"/>
      <w:marLeft w:val="0"/>
      <w:marRight w:val="0"/>
      <w:marTop w:val="0"/>
      <w:marBottom w:val="0"/>
      <w:divBdr>
        <w:top w:val="none" w:sz="0" w:space="0" w:color="auto"/>
        <w:left w:val="none" w:sz="0" w:space="0" w:color="auto"/>
        <w:bottom w:val="none" w:sz="0" w:space="0" w:color="auto"/>
        <w:right w:val="none" w:sz="0" w:space="0" w:color="auto"/>
      </w:divBdr>
    </w:div>
    <w:div w:id="166602938">
      <w:bodyDiv w:val="1"/>
      <w:marLeft w:val="0"/>
      <w:marRight w:val="0"/>
      <w:marTop w:val="0"/>
      <w:marBottom w:val="0"/>
      <w:divBdr>
        <w:top w:val="none" w:sz="0" w:space="0" w:color="auto"/>
        <w:left w:val="none" w:sz="0" w:space="0" w:color="auto"/>
        <w:bottom w:val="none" w:sz="0" w:space="0" w:color="auto"/>
        <w:right w:val="none" w:sz="0" w:space="0" w:color="auto"/>
      </w:divBdr>
    </w:div>
    <w:div w:id="170461952">
      <w:bodyDiv w:val="1"/>
      <w:marLeft w:val="0"/>
      <w:marRight w:val="0"/>
      <w:marTop w:val="0"/>
      <w:marBottom w:val="0"/>
      <w:divBdr>
        <w:top w:val="none" w:sz="0" w:space="0" w:color="auto"/>
        <w:left w:val="none" w:sz="0" w:space="0" w:color="auto"/>
        <w:bottom w:val="none" w:sz="0" w:space="0" w:color="auto"/>
        <w:right w:val="none" w:sz="0" w:space="0" w:color="auto"/>
      </w:divBdr>
    </w:div>
    <w:div w:id="176384581">
      <w:bodyDiv w:val="1"/>
      <w:marLeft w:val="0"/>
      <w:marRight w:val="0"/>
      <w:marTop w:val="0"/>
      <w:marBottom w:val="0"/>
      <w:divBdr>
        <w:top w:val="none" w:sz="0" w:space="0" w:color="auto"/>
        <w:left w:val="none" w:sz="0" w:space="0" w:color="auto"/>
        <w:bottom w:val="none" w:sz="0" w:space="0" w:color="auto"/>
        <w:right w:val="none" w:sz="0" w:space="0" w:color="auto"/>
      </w:divBdr>
    </w:div>
    <w:div w:id="193427396">
      <w:bodyDiv w:val="1"/>
      <w:marLeft w:val="0"/>
      <w:marRight w:val="0"/>
      <w:marTop w:val="0"/>
      <w:marBottom w:val="0"/>
      <w:divBdr>
        <w:top w:val="none" w:sz="0" w:space="0" w:color="auto"/>
        <w:left w:val="none" w:sz="0" w:space="0" w:color="auto"/>
        <w:bottom w:val="none" w:sz="0" w:space="0" w:color="auto"/>
        <w:right w:val="none" w:sz="0" w:space="0" w:color="auto"/>
      </w:divBdr>
    </w:div>
    <w:div w:id="213124902">
      <w:bodyDiv w:val="1"/>
      <w:marLeft w:val="0"/>
      <w:marRight w:val="0"/>
      <w:marTop w:val="0"/>
      <w:marBottom w:val="0"/>
      <w:divBdr>
        <w:top w:val="none" w:sz="0" w:space="0" w:color="auto"/>
        <w:left w:val="none" w:sz="0" w:space="0" w:color="auto"/>
        <w:bottom w:val="none" w:sz="0" w:space="0" w:color="auto"/>
        <w:right w:val="none" w:sz="0" w:space="0" w:color="auto"/>
      </w:divBdr>
    </w:div>
    <w:div w:id="228687311">
      <w:bodyDiv w:val="1"/>
      <w:marLeft w:val="0"/>
      <w:marRight w:val="0"/>
      <w:marTop w:val="0"/>
      <w:marBottom w:val="0"/>
      <w:divBdr>
        <w:top w:val="none" w:sz="0" w:space="0" w:color="auto"/>
        <w:left w:val="none" w:sz="0" w:space="0" w:color="auto"/>
        <w:bottom w:val="none" w:sz="0" w:space="0" w:color="auto"/>
        <w:right w:val="none" w:sz="0" w:space="0" w:color="auto"/>
      </w:divBdr>
    </w:div>
    <w:div w:id="229924192">
      <w:bodyDiv w:val="1"/>
      <w:marLeft w:val="0"/>
      <w:marRight w:val="0"/>
      <w:marTop w:val="0"/>
      <w:marBottom w:val="0"/>
      <w:divBdr>
        <w:top w:val="none" w:sz="0" w:space="0" w:color="auto"/>
        <w:left w:val="none" w:sz="0" w:space="0" w:color="auto"/>
        <w:bottom w:val="none" w:sz="0" w:space="0" w:color="auto"/>
        <w:right w:val="none" w:sz="0" w:space="0" w:color="auto"/>
      </w:divBdr>
    </w:div>
    <w:div w:id="243957657">
      <w:bodyDiv w:val="1"/>
      <w:marLeft w:val="0"/>
      <w:marRight w:val="0"/>
      <w:marTop w:val="0"/>
      <w:marBottom w:val="0"/>
      <w:divBdr>
        <w:top w:val="none" w:sz="0" w:space="0" w:color="auto"/>
        <w:left w:val="none" w:sz="0" w:space="0" w:color="auto"/>
        <w:bottom w:val="none" w:sz="0" w:space="0" w:color="auto"/>
        <w:right w:val="none" w:sz="0" w:space="0" w:color="auto"/>
      </w:divBdr>
    </w:div>
    <w:div w:id="266472985">
      <w:bodyDiv w:val="1"/>
      <w:marLeft w:val="0"/>
      <w:marRight w:val="0"/>
      <w:marTop w:val="0"/>
      <w:marBottom w:val="0"/>
      <w:divBdr>
        <w:top w:val="none" w:sz="0" w:space="0" w:color="auto"/>
        <w:left w:val="none" w:sz="0" w:space="0" w:color="auto"/>
        <w:bottom w:val="none" w:sz="0" w:space="0" w:color="auto"/>
        <w:right w:val="none" w:sz="0" w:space="0" w:color="auto"/>
      </w:divBdr>
    </w:div>
    <w:div w:id="278145498">
      <w:bodyDiv w:val="1"/>
      <w:marLeft w:val="0"/>
      <w:marRight w:val="0"/>
      <w:marTop w:val="0"/>
      <w:marBottom w:val="0"/>
      <w:divBdr>
        <w:top w:val="none" w:sz="0" w:space="0" w:color="auto"/>
        <w:left w:val="none" w:sz="0" w:space="0" w:color="auto"/>
        <w:bottom w:val="none" w:sz="0" w:space="0" w:color="auto"/>
        <w:right w:val="none" w:sz="0" w:space="0" w:color="auto"/>
      </w:divBdr>
    </w:div>
    <w:div w:id="297804106">
      <w:bodyDiv w:val="1"/>
      <w:marLeft w:val="0"/>
      <w:marRight w:val="0"/>
      <w:marTop w:val="0"/>
      <w:marBottom w:val="0"/>
      <w:divBdr>
        <w:top w:val="none" w:sz="0" w:space="0" w:color="auto"/>
        <w:left w:val="none" w:sz="0" w:space="0" w:color="auto"/>
        <w:bottom w:val="none" w:sz="0" w:space="0" w:color="auto"/>
        <w:right w:val="none" w:sz="0" w:space="0" w:color="auto"/>
      </w:divBdr>
    </w:div>
    <w:div w:id="348024153">
      <w:bodyDiv w:val="1"/>
      <w:marLeft w:val="0"/>
      <w:marRight w:val="0"/>
      <w:marTop w:val="0"/>
      <w:marBottom w:val="0"/>
      <w:divBdr>
        <w:top w:val="none" w:sz="0" w:space="0" w:color="auto"/>
        <w:left w:val="none" w:sz="0" w:space="0" w:color="auto"/>
        <w:bottom w:val="none" w:sz="0" w:space="0" w:color="auto"/>
        <w:right w:val="none" w:sz="0" w:space="0" w:color="auto"/>
      </w:divBdr>
    </w:div>
    <w:div w:id="349725953">
      <w:bodyDiv w:val="1"/>
      <w:marLeft w:val="0"/>
      <w:marRight w:val="0"/>
      <w:marTop w:val="0"/>
      <w:marBottom w:val="0"/>
      <w:divBdr>
        <w:top w:val="none" w:sz="0" w:space="0" w:color="auto"/>
        <w:left w:val="none" w:sz="0" w:space="0" w:color="auto"/>
        <w:bottom w:val="none" w:sz="0" w:space="0" w:color="auto"/>
        <w:right w:val="none" w:sz="0" w:space="0" w:color="auto"/>
      </w:divBdr>
    </w:div>
    <w:div w:id="371076617">
      <w:bodyDiv w:val="1"/>
      <w:marLeft w:val="0"/>
      <w:marRight w:val="0"/>
      <w:marTop w:val="0"/>
      <w:marBottom w:val="0"/>
      <w:divBdr>
        <w:top w:val="none" w:sz="0" w:space="0" w:color="auto"/>
        <w:left w:val="none" w:sz="0" w:space="0" w:color="auto"/>
        <w:bottom w:val="none" w:sz="0" w:space="0" w:color="auto"/>
        <w:right w:val="none" w:sz="0" w:space="0" w:color="auto"/>
      </w:divBdr>
    </w:div>
    <w:div w:id="379089737">
      <w:bodyDiv w:val="1"/>
      <w:marLeft w:val="0"/>
      <w:marRight w:val="0"/>
      <w:marTop w:val="0"/>
      <w:marBottom w:val="0"/>
      <w:divBdr>
        <w:top w:val="none" w:sz="0" w:space="0" w:color="auto"/>
        <w:left w:val="none" w:sz="0" w:space="0" w:color="auto"/>
        <w:bottom w:val="none" w:sz="0" w:space="0" w:color="auto"/>
        <w:right w:val="none" w:sz="0" w:space="0" w:color="auto"/>
      </w:divBdr>
    </w:div>
    <w:div w:id="403456504">
      <w:bodyDiv w:val="1"/>
      <w:marLeft w:val="0"/>
      <w:marRight w:val="0"/>
      <w:marTop w:val="0"/>
      <w:marBottom w:val="0"/>
      <w:divBdr>
        <w:top w:val="none" w:sz="0" w:space="0" w:color="auto"/>
        <w:left w:val="none" w:sz="0" w:space="0" w:color="auto"/>
        <w:bottom w:val="none" w:sz="0" w:space="0" w:color="auto"/>
        <w:right w:val="none" w:sz="0" w:space="0" w:color="auto"/>
      </w:divBdr>
    </w:div>
    <w:div w:id="415833753">
      <w:bodyDiv w:val="1"/>
      <w:marLeft w:val="0"/>
      <w:marRight w:val="0"/>
      <w:marTop w:val="0"/>
      <w:marBottom w:val="0"/>
      <w:divBdr>
        <w:top w:val="none" w:sz="0" w:space="0" w:color="auto"/>
        <w:left w:val="none" w:sz="0" w:space="0" w:color="auto"/>
        <w:bottom w:val="none" w:sz="0" w:space="0" w:color="auto"/>
        <w:right w:val="none" w:sz="0" w:space="0" w:color="auto"/>
      </w:divBdr>
    </w:div>
    <w:div w:id="426460011">
      <w:bodyDiv w:val="1"/>
      <w:marLeft w:val="0"/>
      <w:marRight w:val="0"/>
      <w:marTop w:val="0"/>
      <w:marBottom w:val="0"/>
      <w:divBdr>
        <w:top w:val="none" w:sz="0" w:space="0" w:color="auto"/>
        <w:left w:val="none" w:sz="0" w:space="0" w:color="auto"/>
        <w:bottom w:val="none" w:sz="0" w:space="0" w:color="auto"/>
        <w:right w:val="none" w:sz="0" w:space="0" w:color="auto"/>
      </w:divBdr>
    </w:div>
    <w:div w:id="450176517">
      <w:bodyDiv w:val="1"/>
      <w:marLeft w:val="0"/>
      <w:marRight w:val="0"/>
      <w:marTop w:val="0"/>
      <w:marBottom w:val="0"/>
      <w:divBdr>
        <w:top w:val="none" w:sz="0" w:space="0" w:color="auto"/>
        <w:left w:val="none" w:sz="0" w:space="0" w:color="auto"/>
        <w:bottom w:val="none" w:sz="0" w:space="0" w:color="auto"/>
        <w:right w:val="none" w:sz="0" w:space="0" w:color="auto"/>
      </w:divBdr>
    </w:div>
    <w:div w:id="463625578">
      <w:bodyDiv w:val="1"/>
      <w:marLeft w:val="0"/>
      <w:marRight w:val="0"/>
      <w:marTop w:val="0"/>
      <w:marBottom w:val="0"/>
      <w:divBdr>
        <w:top w:val="none" w:sz="0" w:space="0" w:color="auto"/>
        <w:left w:val="none" w:sz="0" w:space="0" w:color="auto"/>
        <w:bottom w:val="none" w:sz="0" w:space="0" w:color="auto"/>
        <w:right w:val="none" w:sz="0" w:space="0" w:color="auto"/>
      </w:divBdr>
    </w:div>
    <w:div w:id="464547251">
      <w:bodyDiv w:val="1"/>
      <w:marLeft w:val="0"/>
      <w:marRight w:val="0"/>
      <w:marTop w:val="0"/>
      <w:marBottom w:val="0"/>
      <w:divBdr>
        <w:top w:val="none" w:sz="0" w:space="0" w:color="auto"/>
        <w:left w:val="none" w:sz="0" w:space="0" w:color="auto"/>
        <w:bottom w:val="none" w:sz="0" w:space="0" w:color="auto"/>
        <w:right w:val="none" w:sz="0" w:space="0" w:color="auto"/>
      </w:divBdr>
    </w:div>
    <w:div w:id="494613378">
      <w:bodyDiv w:val="1"/>
      <w:marLeft w:val="0"/>
      <w:marRight w:val="0"/>
      <w:marTop w:val="0"/>
      <w:marBottom w:val="0"/>
      <w:divBdr>
        <w:top w:val="none" w:sz="0" w:space="0" w:color="auto"/>
        <w:left w:val="none" w:sz="0" w:space="0" w:color="auto"/>
        <w:bottom w:val="none" w:sz="0" w:space="0" w:color="auto"/>
        <w:right w:val="none" w:sz="0" w:space="0" w:color="auto"/>
      </w:divBdr>
    </w:div>
    <w:div w:id="528185160">
      <w:bodyDiv w:val="1"/>
      <w:marLeft w:val="0"/>
      <w:marRight w:val="0"/>
      <w:marTop w:val="0"/>
      <w:marBottom w:val="0"/>
      <w:divBdr>
        <w:top w:val="none" w:sz="0" w:space="0" w:color="auto"/>
        <w:left w:val="none" w:sz="0" w:space="0" w:color="auto"/>
        <w:bottom w:val="none" w:sz="0" w:space="0" w:color="auto"/>
        <w:right w:val="none" w:sz="0" w:space="0" w:color="auto"/>
      </w:divBdr>
    </w:div>
    <w:div w:id="542903902">
      <w:bodyDiv w:val="1"/>
      <w:marLeft w:val="0"/>
      <w:marRight w:val="0"/>
      <w:marTop w:val="0"/>
      <w:marBottom w:val="0"/>
      <w:divBdr>
        <w:top w:val="none" w:sz="0" w:space="0" w:color="auto"/>
        <w:left w:val="none" w:sz="0" w:space="0" w:color="auto"/>
        <w:bottom w:val="none" w:sz="0" w:space="0" w:color="auto"/>
        <w:right w:val="none" w:sz="0" w:space="0" w:color="auto"/>
      </w:divBdr>
    </w:div>
    <w:div w:id="543257380">
      <w:bodyDiv w:val="1"/>
      <w:marLeft w:val="0"/>
      <w:marRight w:val="0"/>
      <w:marTop w:val="0"/>
      <w:marBottom w:val="0"/>
      <w:divBdr>
        <w:top w:val="none" w:sz="0" w:space="0" w:color="auto"/>
        <w:left w:val="none" w:sz="0" w:space="0" w:color="auto"/>
        <w:bottom w:val="none" w:sz="0" w:space="0" w:color="auto"/>
        <w:right w:val="none" w:sz="0" w:space="0" w:color="auto"/>
      </w:divBdr>
    </w:div>
    <w:div w:id="551699735">
      <w:bodyDiv w:val="1"/>
      <w:marLeft w:val="0"/>
      <w:marRight w:val="0"/>
      <w:marTop w:val="0"/>
      <w:marBottom w:val="0"/>
      <w:divBdr>
        <w:top w:val="none" w:sz="0" w:space="0" w:color="auto"/>
        <w:left w:val="none" w:sz="0" w:space="0" w:color="auto"/>
        <w:bottom w:val="none" w:sz="0" w:space="0" w:color="auto"/>
        <w:right w:val="none" w:sz="0" w:space="0" w:color="auto"/>
      </w:divBdr>
    </w:div>
    <w:div w:id="553392687">
      <w:bodyDiv w:val="1"/>
      <w:marLeft w:val="0"/>
      <w:marRight w:val="0"/>
      <w:marTop w:val="0"/>
      <w:marBottom w:val="0"/>
      <w:divBdr>
        <w:top w:val="none" w:sz="0" w:space="0" w:color="auto"/>
        <w:left w:val="none" w:sz="0" w:space="0" w:color="auto"/>
        <w:bottom w:val="none" w:sz="0" w:space="0" w:color="auto"/>
        <w:right w:val="none" w:sz="0" w:space="0" w:color="auto"/>
      </w:divBdr>
    </w:div>
    <w:div w:id="606695022">
      <w:bodyDiv w:val="1"/>
      <w:marLeft w:val="0"/>
      <w:marRight w:val="0"/>
      <w:marTop w:val="0"/>
      <w:marBottom w:val="0"/>
      <w:divBdr>
        <w:top w:val="none" w:sz="0" w:space="0" w:color="auto"/>
        <w:left w:val="none" w:sz="0" w:space="0" w:color="auto"/>
        <w:bottom w:val="none" w:sz="0" w:space="0" w:color="auto"/>
        <w:right w:val="none" w:sz="0" w:space="0" w:color="auto"/>
      </w:divBdr>
    </w:div>
    <w:div w:id="615796891">
      <w:bodyDiv w:val="1"/>
      <w:marLeft w:val="0"/>
      <w:marRight w:val="0"/>
      <w:marTop w:val="0"/>
      <w:marBottom w:val="0"/>
      <w:divBdr>
        <w:top w:val="none" w:sz="0" w:space="0" w:color="auto"/>
        <w:left w:val="none" w:sz="0" w:space="0" w:color="auto"/>
        <w:bottom w:val="none" w:sz="0" w:space="0" w:color="auto"/>
        <w:right w:val="none" w:sz="0" w:space="0" w:color="auto"/>
      </w:divBdr>
    </w:div>
    <w:div w:id="625506426">
      <w:bodyDiv w:val="1"/>
      <w:marLeft w:val="0"/>
      <w:marRight w:val="0"/>
      <w:marTop w:val="0"/>
      <w:marBottom w:val="0"/>
      <w:divBdr>
        <w:top w:val="none" w:sz="0" w:space="0" w:color="auto"/>
        <w:left w:val="none" w:sz="0" w:space="0" w:color="auto"/>
        <w:bottom w:val="none" w:sz="0" w:space="0" w:color="auto"/>
        <w:right w:val="none" w:sz="0" w:space="0" w:color="auto"/>
      </w:divBdr>
    </w:div>
    <w:div w:id="627974168">
      <w:bodyDiv w:val="1"/>
      <w:marLeft w:val="0"/>
      <w:marRight w:val="0"/>
      <w:marTop w:val="0"/>
      <w:marBottom w:val="0"/>
      <w:divBdr>
        <w:top w:val="none" w:sz="0" w:space="0" w:color="auto"/>
        <w:left w:val="none" w:sz="0" w:space="0" w:color="auto"/>
        <w:bottom w:val="none" w:sz="0" w:space="0" w:color="auto"/>
        <w:right w:val="none" w:sz="0" w:space="0" w:color="auto"/>
      </w:divBdr>
    </w:div>
    <w:div w:id="639501231">
      <w:bodyDiv w:val="1"/>
      <w:marLeft w:val="0"/>
      <w:marRight w:val="0"/>
      <w:marTop w:val="0"/>
      <w:marBottom w:val="0"/>
      <w:divBdr>
        <w:top w:val="none" w:sz="0" w:space="0" w:color="auto"/>
        <w:left w:val="none" w:sz="0" w:space="0" w:color="auto"/>
        <w:bottom w:val="none" w:sz="0" w:space="0" w:color="auto"/>
        <w:right w:val="none" w:sz="0" w:space="0" w:color="auto"/>
      </w:divBdr>
    </w:div>
    <w:div w:id="671034868">
      <w:bodyDiv w:val="1"/>
      <w:marLeft w:val="0"/>
      <w:marRight w:val="0"/>
      <w:marTop w:val="0"/>
      <w:marBottom w:val="0"/>
      <w:divBdr>
        <w:top w:val="none" w:sz="0" w:space="0" w:color="auto"/>
        <w:left w:val="none" w:sz="0" w:space="0" w:color="auto"/>
        <w:bottom w:val="none" w:sz="0" w:space="0" w:color="auto"/>
        <w:right w:val="none" w:sz="0" w:space="0" w:color="auto"/>
      </w:divBdr>
    </w:div>
    <w:div w:id="678967479">
      <w:bodyDiv w:val="1"/>
      <w:marLeft w:val="0"/>
      <w:marRight w:val="0"/>
      <w:marTop w:val="0"/>
      <w:marBottom w:val="0"/>
      <w:divBdr>
        <w:top w:val="none" w:sz="0" w:space="0" w:color="auto"/>
        <w:left w:val="none" w:sz="0" w:space="0" w:color="auto"/>
        <w:bottom w:val="none" w:sz="0" w:space="0" w:color="auto"/>
        <w:right w:val="none" w:sz="0" w:space="0" w:color="auto"/>
      </w:divBdr>
    </w:div>
    <w:div w:id="691539224">
      <w:bodyDiv w:val="1"/>
      <w:marLeft w:val="0"/>
      <w:marRight w:val="0"/>
      <w:marTop w:val="0"/>
      <w:marBottom w:val="0"/>
      <w:divBdr>
        <w:top w:val="none" w:sz="0" w:space="0" w:color="auto"/>
        <w:left w:val="none" w:sz="0" w:space="0" w:color="auto"/>
        <w:bottom w:val="none" w:sz="0" w:space="0" w:color="auto"/>
        <w:right w:val="none" w:sz="0" w:space="0" w:color="auto"/>
      </w:divBdr>
    </w:div>
    <w:div w:id="698817717">
      <w:bodyDiv w:val="1"/>
      <w:marLeft w:val="0"/>
      <w:marRight w:val="0"/>
      <w:marTop w:val="0"/>
      <w:marBottom w:val="0"/>
      <w:divBdr>
        <w:top w:val="none" w:sz="0" w:space="0" w:color="auto"/>
        <w:left w:val="none" w:sz="0" w:space="0" w:color="auto"/>
        <w:bottom w:val="none" w:sz="0" w:space="0" w:color="auto"/>
        <w:right w:val="none" w:sz="0" w:space="0" w:color="auto"/>
      </w:divBdr>
    </w:div>
    <w:div w:id="701243761">
      <w:bodyDiv w:val="1"/>
      <w:marLeft w:val="0"/>
      <w:marRight w:val="0"/>
      <w:marTop w:val="0"/>
      <w:marBottom w:val="0"/>
      <w:divBdr>
        <w:top w:val="none" w:sz="0" w:space="0" w:color="auto"/>
        <w:left w:val="none" w:sz="0" w:space="0" w:color="auto"/>
        <w:bottom w:val="none" w:sz="0" w:space="0" w:color="auto"/>
        <w:right w:val="none" w:sz="0" w:space="0" w:color="auto"/>
      </w:divBdr>
    </w:div>
    <w:div w:id="707417384">
      <w:bodyDiv w:val="1"/>
      <w:marLeft w:val="0"/>
      <w:marRight w:val="0"/>
      <w:marTop w:val="0"/>
      <w:marBottom w:val="0"/>
      <w:divBdr>
        <w:top w:val="none" w:sz="0" w:space="0" w:color="auto"/>
        <w:left w:val="none" w:sz="0" w:space="0" w:color="auto"/>
        <w:bottom w:val="none" w:sz="0" w:space="0" w:color="auto"/>
        <w:right w:val="none" w:sz="0" w:space="0" w:color="auto"/>
      </w:divBdr>
    </w:div>
    <w:div w:id="761991969">
      <w:bodyDiv w:val="1"/>
      <w:marLeft w:val="0"/>
      <w:marRight w:val="0"/>
      <w:marTop w:val="0"/>
      <w:marBottom w:val="0"/>
      <w:divBdr>
        <w:top w:val="none" w:sz="0" w:space="0" w:color="auto"/>
        <w:left w:val="none" w:sz="0" w:space="0" w:color="auto"/>
        <w:bottom w:val="none" w:sz="0" w:space="0" w:color="auto"/>
        <w:right w:val="none" w:sz="0" w:space="0" w:color="auto"/>
      </w:divBdr>
    </w:div>
    <w:div w:id="788813869">
      <w:bodyDiv w:val="1"/>
      <w:marLeft w:val="0"/>
      <w:marRight w:val="0"/>
      <w:marTop w:val="0"/>
      <w:marBottom w:val="0"/>
      <w:divBdr>
        <w:top w:val="none" w:sz="0" w:space="0" w:color="auto"/>
        <w:left w:val="none" w:sz="0" w:space="0" w:color="auto"/>
        <w:bottom w:val="none" w:sz="0" w:space="0" w:color="auto"/>
        <w:right w:val="none" w:sz="0" w:space="0" w:color="auto"/>
      </w:divBdr>
    </w:div>
    <w:div w:id="827359154">
      <w:bodyDiv w:val="1"/>
      <w:marLeft w:val="0"/>
      <w:marRight w:val="0"/>
      <w:marTop w:val="0"/>
      <w:marBottom w:val="0"/>
      <w:divBdr>
        <w:top w:val="none" w:sz="0" w:space="0" w:color="auto"/>
        <w:left w:val="none" w:sz="0" w:space="0" w:color="auto"/>
        <w:bottom w:val="none" w:sz="0" w:space="0" w:color="auto"/>
        <w:right w:val="none" w:sz="0" w:space="0" w:color="auto"/>
      </w:divBdr>
    </w:div>
    <w:div w:id="835926753">
      <w:bodyDiv w:val="1"/>
      <w:marLeft w:val="0"/>
      <w:marRight w:val="0"/>
      <w:marTop w:val="0"/>
      <w:marBottom w:val="0"/>
      <w:divBdr>
        <w:top w:val="none" w:sz="0" w:space="0" w:color="auto"/>
        <w:left w:val="none" w:sz="0" w:space="0" w:color="auto"/>
        <w:bottom w:val="none" w:sz="0" w:space="0" w:color="auto"/>
        <w:right w:val="none" w:sz="0" w:space="0" w:color="auto"/>
      </w:divBdr>
    </w:div>
    <w:div w:id="858935238">
      <w:bodyDiv w:val="1"/>
      <w:marLeft w:val="0"/>
      <w:marRight w:val="0"/>
      <w:marTop w:val="0"/>
      <w:marBottom w:val="0"/>
      <w:divBdr>
        <w:top w:val="none" w:sz="0" w:space="0" w:color="auto"/>
        <w:left w:val="none" w:sz="0" w:space="0" w:color="auto"/>
        <w:bottom w:val="none" w:sz="0" w:space="0" w:color="auto"/>
        <w:right w:val="none" w:sz="0" w:space="0" w:color="auto"/>
      </w:divBdr>
    </w:div>
    <w:div w:id="861741446">
      <w:bodyDiv w:val="1"/>
      <w:marLeft w:val="0"/>
      <w:marRight w:val="0"/>
      <w:marTop w:val="0"/>
      <w:marBottom w:val="0"/>
      <w:divBdr>
        <w:top w:val="none" w:sz="0" w:space="0" w:color="auto"/>
        <w:left w:val="none" w:sz="0" w:space="0" w:color="auto"/>
        <w:bottom w:val="none" w:sz="0" w:space="0" w:color="auto"/>
        <w:right w:val="none" w:sz="0" w:space="0" w:color="auto"/>
      </w:divBdr>
    </w:div>
    <w:div w:id="931160688">
      <w:bodyDiv w:val="1"/>
      <w:marLeft w:val="0"/>
      <w:marRight w:val="0"/>
      <w:marTop w:val="0"/>
      <w:marBottom w:val="0"/>
      <w:divBdr>
        <w:top w:val="none" w:sz="0" w:space="0" w:color="auto"/>
        <w:left w:val="none" w:sz="0" w:space="0" w:color="auto"/>
        <w:bottom w:val="none" w:sz="0" w:space="0" w:color="auto"/>
        <w:right w:val="none" w:sz="0" w:space="0" w:color="auto"/>
      </w:divBdr>
    </w:div>
    <w:div w:id="941844184">
      <w:bodyDiv w:val="1"/>
      <w:marLeft w:val="0"/>
      <w:marRight w:val="0"/>
      <w:marTop w:val="0"/>
      <w:marBottom w:val="0"/>
      <w:divBdr>
        <w:top w:val="none" w:sz="0" w:space="0" w:color="auto"/>
        <w:left w:val="none" w:sz="0" w:space="0" w:color="auto"/>
        <w:bottom w:val="none" w:sz="0" w:space="0" w:color="auto"/>
        <w:right w:val="none" w:sz="0" w:space="0" w:color="auto"/>
      </w:divBdr>
    </w:div>
    <w:div w:id="948466049">
      <w:bodyDiv w:val="1"/>
      <w:marLeft w:val="0"/>
      <w:marRight w:val="0"/>
      <w:marTop w:val="0"/>
      <w:marBottom w:val="0"/>
      <w:divBdr>
        <w:top w:val="none" w:sz="0" w:space="0" w:color="auto"/>
        <w:left w:val="none" w:sz="0" w:space="0" w:color="auto"/>
        <w:bottom w:val="none" w:sz="0" w:space="0" w:color="auto"/>
        <w:right w:val="none" w:sz="0" w:space="0" w:color="auto"/>
      </w:divBdr>
    </w:div>
    <w:div w:id="963772951">
      <w:bodyDiv w:val="1"/>
      <w:marLeft w:val="0"/>
      <w:marRight w:val="0"/>
      <w:marTop w:val="0"/>
      <w:marBottom w:val="0"/>
      <w:divBdr>
        <w:top w:val="none" w:sz="0" w:space="0" w:color="auto"/>
        <w:left w:val="none" w:sz="0" w:space="0" w:color="auto"/>
        <w:bottom w:val="none" w:sz="0" w:space="0" w:color="auto"/>
        <w:right w:val="none" w:sz="0" w:space="0" w:color="auto"/>
      </w:divBdr>
    </w:div>
    <w:div w:id="963804570">
      <w:bodyDiv w:val="1"/>
      <w:marLeft w:val="0"/>
      <w:marRight w:val="0"/>
      <w:marTop w:val="0"/>
      <w:marBottom w:val="0"/>
      <w:divBdr>
        <w:top w:val="none" w:sz="0" w:space="0" w:color="auto"/>
        <w:left w:val="none" w:sz="0" w:space="0" w:color="auto"/>
        <w:bottom w:val="none" w:sz="0" w:space="0" w:color="auto"/>
        <w:right w:val="none" w:sz="0" w:space="0" w:color="auto"/>
      </w:divBdr>
    </w:div>
    <w:div w:id="991568309">
      <w:bodyDiv w:val="1"/>
      <w:marLeft w:val="0"/>
      <w:marRight w:val="0"/>
      <w:marTop w:val="0"/>
      <w:marBottom w:val="0"/>
      <w:divBdr>
        <w:top w:val="none" w:sz="0" w:space="0" w:color="auto"/>
        <w:left w:val="none" w:sz="0" w:space="0" w:color="auto"/>
        <w:bottom w:val="none" w:sz="0" w:space="0" w:color="auto"/>
        <w:right w:val="none" w:sz="0" w:space="0" w:color="auto"/>
      </w:divBdr>
    </w:div>
    <w:div w:id="1021250181">
      <w:bodyDiv w:val="1"/>
      <w:marLeft w:val="0"/>
      <w:marRight w:val="0"/>
      <w:marTop w:val="0"/>
      <w:marBottom w:val="0"/>
      <w:divBdr>
        <w:top w:val="none" w:sz="0" w:space="0" w:color="auto"/>
        <w:left w:val="none" w:sz="0" w:space="0" w:color="auto"/>
        <w:bottom w:val="none" w:sz="0" w:space="0" w:color="auto"/>
        <w:right w:val="none" w:sz="0" w:space="0" w:color="auto"/>
      </w:divBdr>
    </w:div>
    <w:div w:id="1024407619">
      <w:bodyDiv w:val="1"/>
      <w:marLeft w:val="0"/>
      <w:marRight w:val="0"/>
      <w:marTop w:val="0"/>
      <w:marBottom w:val="0"/>
      <w:divBdr>
        <w:top w:val="none" w:sz="0" w:space="0" w:color="auto"/>
        <w:left w:val="none" w:sz="0" w:space="0" w:color="auto"/>
        <w:bottom w:val="none" w:sz="0" w:space="0" w:color="auto"/>
        <w:right w:val="none" w:sz="0" w:space="0" w:color="auto"/>
      </w:divBdr>
    </w:div>
    <w:div w:id="1051924806">
      <w:bodyDiv w:val="1"/>
      <w:marLeft w:val="0"/>
      <w:marRight w:val="0"/>
      <w:marTop w:val="0"/>
      <w:marBottom w:val="0"/>
      <w:divBdr>
        <w:top w:val="none" w:sz="0" w:space="0" w:color="auto"/>
        <w:left w:val="none" w:sz="0" w:space="0" w:color="auto"/>
        <w:bottom w:val="none" w:sz="0" w:space="0" w:color="auto"/>
        <w:right w:val="none" w:sz="0" w:space="0" w:color="auto"/>
      </w:divBdr>
    </w:div>
    <w:div w:id="1062941940">
      <w:bodyDiv w:val="1"/>
      <w:marLeft w:val="0"/>
      <w:marRight w:val="0"/>
      <w:marTop w:val="0"/>
      <w:marBottom w:val="0"/>
      <w:divBdr>
        <w:top w:val="none" w:sz="0" w:space="0" w:color="auto"/>
        <w:left w:val="none" w:sz="0" w:space="0" w:color="auto"/>
        <w:bottom w:val="none" w:sz="0" w:space="0" w:color="auto"/>
        <w:right w:val="none" w:sz="0" w:space="0" w:color="auto"/>
      </w:divBdr>
    </w:div>
    <w:div w:id="1079979691">
      <w:bodyDiv w:val="1"/>
      <w:marLeft w:val="0"/>
      <w:marRight w:val="0"/>
      <w:marTop w:val="0"/>
      <w:marBottom w:val="0"/>
      <w:divBdr>
        <w:top w:val="none" w:sz="0" w:space="0" w:color="auto"/>
        <w:left w:val="none" w:sz="0" w:space="0" w:color="auto"/>
        <w:bottom w:val="none" w:sz="0" w:space="0" w:color="auto"/>
        <w:right w:val="none" w:sz="0" w:space="0" w:color="auto"/>
      </w:divBdr>
    </w:div>
    <w:div w:id="1102797658">
      <w:bodyDiv w:val="1"/>
      <w:marLeft w:val="0"/>
      <w:marRight w:val="0"/>
      <w:marTop w:val="0"/>
      <w:marBottom w:val="0"/>
      <w:divBdr>
        <w:top w:val="none" w:sz="0" w:space="0" w:color="auto"/>
        <w:left w:val="none" w:sz="0" w:space="0" w:color="auto"/>
        <w:bottom w:val="none" w:sz="0" w:space="0" w:color="auto"/>
        <w:right w:val="none" w:sz="0" w:space="0" w:color="auto"/>
      </w:divBdr>
    </w:div>
    <w:div w:id="1180044302">
      <w:bodyDiv w:val="1"/>
      <w:marLeft w:val="0"/>
      <w:marRight w:val="0"/>
      <w:marTop w:val="0"/>
      <w:marBottom w:val="0"/>
      <w:divBdr>
        <w:top w:val="none" w:sz="0" w:space="0" w:color="auto"/>
        <w:left w:val="none" w:sz="0" w:space="0" w:color="auto"/>
        <w:bottom w:val="none" w:sz="0" w:space="0" w:color="auto"/>
        <w:right w:val="none" w:sz="0" w:space="0" w:color="auto"/>
      </w:divBdr>
    </w:div>
    <w:div w:id="1203320716">
      <w:bodyDiv w:val="1"/>
      <w:marLeft w:val="0"/>
      <w:marRight w:val="0"/>
      <w:marTop w:val="0"/>
      <w:marBottom w:val="0"/>
      <w:divBdr>
        <w:top w:val="none" w:sz="0" w:space="0" w:color="auto"/>
        <w:left w:val="none" w:sz="0" w:space="0" w:color="auto"/>
        <w:bottom w:val="none" w:sz="0" w:space="0" w:color="auto"/>
        <w:right w:val="none" w:sz="0" w:space="0" w:color="auto"/>
      </w:divBdr>
    </w:div>
    <w:div w:id="1225798152">
      <w:bodyDiv w:val="1"/>
      <w:marLeft w:val="0"/>
      <w:marRight w:val="0"/>
      <w:marTop w:val="0"/>
      <w:marBottom w:val="0"/>
      <w:divBdr>
        <w:top w:val="none" w:sz="0" w:space="0" w:color="auto"/>
        <w:left w:val="none" w:sz="0" w:space="0" w:color="auto"/>
        <w:bottom w:val="none" w:sz="0" w:space="0" w:color="auto"/>
        <w:right w:val="none" w:sz="0" w:space="0" w:color="auto"/>
      </w:divBdr>
    </w:div>
    <w:div w:id="1236479579">
      <w:bodyDiv w:val="1"/>
      <w:marLeft w:val="0"/>
      <w:marRight w:val="0"/>
      <w:marTop w:val="0"/>
      <w:marBottom w:val="0"/>
      <w:divBdr>
        <w:top w:val="none" w:sz="0" w:space="0" w:color="auto"/>
        <w:left w:val="none" w:sz="0" w:space="0" w:color="auto"/>
        <w:bottom w:val="none" w:sz="0" w:space="0" w:color="auto"/>
        <w:right w:val="none" w:sz="0" w:space="0" w:color="auto"/>
      </w:divBdr>
    </w:div>
    <w:div w:id="1260989128">
      <w:bodyDiv w:val="1"/>
      <w:marLeft w:val="0"/>
      <w:marRight w:val="0"/>
      <w:marTop w:val="0"/>
      <w:marBottom w:val="0"/>
      <w:divBdr>
        <w:top w:val="none" w:sz="0" w:space="0" w:color="auto"/>
        <w:left w:val="none" w:sz="0" w:space="0" w:color="auto"/>
        <w:bottom w:val="none" w:sz="0" w:space="0" w:color="auto"/>
        <w:right w:val="none" w:sz="0" w:space="0" w:color="auto"/>
      </w:divBdr>
    </w:div>
    <w:div w:id="1306426993">
      <w:bodyDiv w:val="1"/>
      <w:marLeft w:val="0"/>
      <w:marRight w:val="0"/>
      <w:marTop w:val="0"/>
      <w:marBottom w:val="0"/>
      <w:divBdr>
        <w:top w:val="none" w:sz="0" w:space="0" w:color="auto"/>
        <w:left w:val="none" w:sz="0" w:space="0" w:color="auto"/>
        <w:bottom w:val="none" w:sz="0" w:space="0" w:color="auto"/>
        <w:right w:val="none" w:sz="0" w:space="0" w:color="auto"/>
      </w:divBdr>
    </w:div>
    <w:div w:id="1318655290">
      <w:bodyDiv w:val="1"/>
      <w:marLeft w:val="0"/>
      <w:marRight w:val="0"/>
      <w:marTop w:val="0"/>
      <w:marBottom w:val="0"/>
      <w:divBdr>
        <w:top w:val="none" w:sz="0" w:space="0" w:color="auto"/>
        <w:left w:val="none" w:sz="0" w:space="0" w:color="auto"/>
        <w:bottom w:val="none" w:sz="0" w:space="0" w:color="auto"/>
        <w:right w:val="none" w:sz="0" w:space="0" w:color="auto"/>
      </w:divBdr>
    </w:div>
    <w:div w:id="1321687908">
      <w:bodyDiv w:val="1"/>
      <w:marLeft w:val="0"/>
      <w:marRight w:val="0"/>
      <w:marTop w:val="0"/>
      <w:marBottom w:val="0"/>
      <w:divBdr>
        <w:top w:val="none" w:sz="0" w:space="0" w:color="auto"/>
        <w:left w:val="none" w:sz="0" w:space="0" w:color="auto"/>
        <w:bottom w:val="none" w:sz="0" w:space="0" w:color="auto"/>
        <w:right w:val="none" w:sz="0" w:space="0" w:color="auto"/>
      </w:divBdr>
    </w:div>
    <w:div w:id="1322853051">
      <w:bodyDiv w:val="1"/>
      <w:marLeft w:val="0"/>
      <w:marRight w:val="0"/>
      <w:marTop w:val="0"/>
      <w:marBottom w:val="0"/>
      <w:divBdr>
        <w:top w:val="none" w:sz="0" w:space="0" w:color="auto"/>
        <w:left w:val="none" w:sz="0" w:space="0" w:color="auto"/>
        <w:bottom w:val="none" w:sz="0" w:space="0" w:color="auto"/>
        <w:right w:val="none" w:sz="0" w:space="0" w:color="auto"/>
      </w:divBdr>
    </w:div>
    <w:div w:id="1330256167">
      <w:bodyDiv w:val="1"/>
      <w:marLeft w:val="0"/>
      <w:marRight w:val="0"/>
      <w:marTop w:val="0"/>
      <w:marBottom w:val="0"/>
      <w:divBdr>
        <w:top w:val="none" w:sz="0" w:space="0" w:color="auto"/>
        <w:left w:val="none" w:sz="0" w:space="0" w:color="auto"/>
        <w:bottom w:val="none" w:sz="0" w:space="0" w:color="auto"/>
        <w:right w:val="none" w:sz="0" w:space="0" w:color="auto"/>
      </w:divBdr>
    </w:div>
    <w:div w:id="1354918599">
      <w:bodyDiv w:val="1"/>
      <w:marLeft w:val="0"/>
      <w:marRight w:val="0"/>
      <w:marTop w:val="0"/>
      <w:marBottom w:val="0"/>
      <w:divBdr>
        <w:top w:val="none" w:sz="0" w:space="0" w:color="auto"/>
        <w:left w:val="none" w:sz="0" w:space="0" w:color="auto"/>
        <w:bottom w:val="none" w:sz="0" w:space="0" w:color="auto"/>
        <w:right w:val="none" w:sz="0" w:space="0" w:color="auto"/>
      </w:divBdr>
    </w:div>
    <w:div w:id="1359237718">
      <w:bodyDiv w:val="1"/>
      <w:marLeft w:val="0"/>
      <w:marRight w:val="0"/>
      <w:marTop w:val="0"/>
      <w:marBottom w:val="0"/>
      <w:divBdr>
        <w:top w:val="none" w:sz="0" w:space="0" w:color="auto"/>
        <w:left w:val="none" w:sz="0" w:space="0" w:color="auto"/>
        <w:bottom w:val="none" w:sz="0" w:space="0" w:color="auto"/>
        <w:right w:val="none" w:sz="0" w:space="0" w:color="auto"/>
      </w:divBdr>
    </w:div>
    <w:div w:id="1377774050">
      <w:bodyDiv w:val="1"/>
      <w:marLeft w:val="0"/>
      <w:marRight w:val="0"/>
      <w:marTop w:val="0"/>
      <w:marBottom w:val="0"/>
      <w:divBdr>
        <w:top w:val="none" w:sz="0" w:space="0" w:color="auto"/>
        <w:left w:val="none" w:sz="0" w:space="0" w:color="auto"/>
        <w:bottom w:val="none" w:sz="0" w:space="0" w:color="auto"/>
        <w:right w:val="none" w:sz="0" w:space="0" w:color="auto"/>
      </w:divBdr>
    </w:div>
    <w:div w:id="1391805389">
      <w:bodyDiv w:val="1"/>
      <w:marLeft w:val="0"/>
      <w:marRight w:val="0"/>
      <w:marTop w:val="0"/>
      <w:marBottom w:val="0"/>
      <w:divBdr>
        <w:top w:val="none" w:sz="0" w:space="0" w:color="auto"/>
        <w:left w:val="none" w:sz="0" w:space="0" w:color="auto"/>
        <w:bottom w:val="none" w:sz="0" w:space="0" w:color="auto"/>
        <w:right w:val="none" w:sz="0" w:space="0" w:color="auto"/>
      </w:divBdr>
    </w:div>
    <w:div w:id="1524324881">
      <w:bodyDiv w:val="1"/>
      <w:marLeft w:val="0"/>
      <w:marRight w:val="0"/>
      <w:marTop w:val="0"/>
      <w:marBottom w:val="0"/>
      <w:divBdr>
        <w:top w:val="none" w:sz="0" w:space="0" w:color="auto"/>
        <w:left w:val="none" w:sz="0" w:space="0" w:color="auto"/>
        <w:bottom w:val="none" w:sz="0" w:space="0" w:color="auto"/>
        <w:right w:val="none" w:sz="0" w:space="0" w:color="auto"/>
      </w:divBdr>
    </w:div>
    <w:div w:id="1558013803">
      <w:bodyDiv w:val="1"/>
      <w:marLeft w:val="0"/>
      <w:marRight w:val="0"/>
      <w:marTop w:val="0"/>
      <w:marBottom w:val="0"/>
      <w:divBdr>
        <w:top w:val="none" w:sz="0" w:space="0" w:color="auto"/>
        <w:left w:val="none" w:sz="0" w:space="0" w:color="auto"/>
        <w:bottom w:val="none" w:sz="0" w:space="0" w:color="auto"/>
        <w:right w:val="none" w:sz="0" w:space="0" w:color="auto"/>
      </w:divBdr>
    </w:div>
    <w:div w:id="1558586965">
      <w:bodyDiv w:val="1"/>
      <w:marLeft w:val="0"/>
      <w:marRight w:val="0"/>
      <w:marTop w:val="0"/>
      <w:marBottom w:val="0"/>
      <w:divBdr>
        <w:top w:val="none" w:sz="0" w:space="0" w:color="auto"/>
        <w:left w:val="none" w:sz="0" w:space="0" w:color="auto"/>
        <w:bottom w:val="none" w:sz="0" w:space="0" w:color="auto"/>
        <w:right w:val="none" w:sz="0" w:space="0" w:color="auto"/>
      </w:divBdr>
    </w:div>
    <w:div w:id="1597012244">
      <w:bodyDiv w:val="1"/>
      <w:marLeft w:val="0"/>
      <w:marRight w:val="0"/>
      <w:marTop w:val="0"/>
      <w:marBottom w:val="0"/>
      <w:divBdr>
        <w:top w:val="none" w:sz="0" w:space="0" w:color="auto"/>
        <w:left w:val="none" w:sz="0" w:space="0" w:color="auto"/>
        <w:bottom w:val="none" w:sz="0" w:space="0" w:color="auto"/>
        <w:right w:val="none" w:sz="0" w:space="0" w:color="auto"/>
      </w:divBdr>
    </w:div>
    <w:div w:id="1597977450">
      <w:bodyDiv w:val="1"/>
      <w:marLeft w:val="0"/>
      <w:marRight w:val="0"/>
      <w:marTop w:val="0"/>
      <w:marBottom w:val="0"/>
      <w:divBdr>
        <w:top w:val="none" w:sz="0" w:space="0" w:color="auto"/>
        <w:left w:val="none" w:sz="0" w:space="0" w:color="auto"/>
        <w:bottom w:val="none" w:sz="0" w:space="0" w:color="auto"/>
        <w:right w:val="none" w:sz="0" w:space="0" w:color="auto"/>
      </w:divBdr>
    </w:div>
    <w:div w:id="1600989229">
      <w:bodyDiv w:val="1"/>
      <w:marLeft w:val="0"/>
      <w:marRight w:val="0"/>
      <w:marTop w:val="0"/>
      <w:marBottom w:val="0"/>
      <w:divBdr>
        <w:top w:val="none" w:sz="0" w:space="0" w:color="auto"/>
        <w:left w:val="none" w:sz="0" w:space="0" w:color="auto"/>
        <w:bottom w:val="none" w:sz="0" w:space="0" w:color="auto"/>
        <w:right w:val="none" w:sz="0" w:space="0" w:color="auto"/>
      </w:divBdr>
    </w:div>
    <w:div w:id="1604410591">
      <w:bodyDiv w:val="1"/>
      <w:marLeft w:val="0"/>
      <w:marRight w:val="0"/>
      <w:marTop w:val="0"/>
      <w:marBottom w:val="0"/>
      <w:divBdr>
        <w:top w:val="none" w:sz="0" w:space="0" w:color="auto"/>
        <w:left w:val="none" w:sz="0" w:space="0" w:color="auto"/>
        <w:bottom w:val="none" w:sz="0" w:space="0" w:color="auto"/>
        <w:right w:val="none" w:sz="0" w:space="0" w:color="auto"/>
      </w:divBdr>
    </w:div>
    <w:div w:id="1647277039">
      <w:bodyDiv w:val="1"/>
      <w:marLeft w:val="0"/>
      <w:marRight w:val="0"/>
      <w:marTop w:val="0"/>
      <w:marBottom w:val="0"/>
      <w:divBdr>
        <w:top w:val="none" w:sz="0" w:space="0" w:color="auto"/>
        <w:left w:val="none" w:sz="0" w:space="0" w:color="auto"/>
        <w:bottom w:val="none" w:sz="0" w:space="0" w:color="auto"/>
        <w:right w:val="none" w:sz="0" w:space="0" w:color="auto"/>
      </w:divBdr>
    </w:div>
    <w:div w:id="1648239698">
      <w:bodyDiv w:val="1"/>
      <w:marLeft w:val="0"/>
      <w:marRight w:val="0"/>
      <w:marTop w:val="0"/>
      <w:marBottom w:val="0"/>
      <w:divBdr>
        <w:top w:val="none" w:sz="0" w:space="0" w:color="auto"/>
        <w:left w:val="none" w:sz="0" w:space="0" w:color="auto"/>
        <w:bottom w:val="none" w:sz="0" w:space="0" w:color="auto"/>
        <w:right w:val="none" w:sz="0" w:space="0" w:color="auto"/>
      </w:divBdr>
    </w:div>
    <w:div w:id="1697850950">
      <w:bodyDiv w:val="1"/>
      <w:marLeft w:val="0"/>
      <w:marRight w:val="0"/>
      <w:marTop w:val="0"/>
      <w:marBottom w:val="0"/>
      <w:divBdr>
        <w:top w:val="none" w:sz="0" w:space="0" w:color="auto"/>
        <w:left w:val="none" w:sz="0" w:space="0" w:color="auto"/>
        <w:bottom w:val="none" w:sz="0" w:space="0" w:color="auto"/>
        <w:right w:val="none" w:sz="0" w:space="0" w:color="auto"/>
      </w:divBdr>
    </w:div>
    <w:div w:id="1722047849">
      <w:bodyDiv w:val="1"/>
      <w:marLeft w:val="0"/>
      <w:marRight w:val="0"/>
      <w:marTop w:val="0"/>
      <w:marBottom w:val="0"/>
      <w:divBdr>
        <w:top w:val="none" w:sz="0" w:space="0" w:color="auto"/>
        <w:left w:val="none" w:sz="0" w:space="0" w:color="auto"/>
        <w:bottom w:val="none" w:sz="0" w:space="0" w:color="auto"/>
        <w:right w:val="none" w:sz="0" w:space="0" w:color="auto"/>
      </w:divBdr>
    </w:div>
    <w:div w:id="1744176643">
      <w:bodyDiv w:val="1"/>
      <w:marLeft w:val="0"/>
      <w:marRight w:val="0"/>
      <w:marTop w:val="0"/>
      <w:marBottom w:val="0"/>
      <w:divBdr>
        <w:top w:val="none" w:sz="0" w:space="0" w:color="auto"/>
        <w:left w:val="none" w:sz="0" w:space="0" w:color="auto"/>
        <w:bottom w:val="none" w:sz="0" w:space="0" w:color="auto"/>
        <w:right w:val="none" w:sz="0" w:space="0" w:color="auto"/>
      </w:divBdr>
    </w:div>
    <w:div w:id="1770159984">
      <w:bodyDiv w:val="1"/>
      <w:marLeft w:val="0"/>
      <w:marRight w:val="0"/>
      <w:marTop w:val="0"/>
      <w:marBottom w:val="0"/>
      <w:divBdr>
        <w:top w:val="none" w:sz="0" w:space="0" w:color="auto"/>
        <w:left w:val="none" w:sz="0" w:space="0" w:color="auto"/>
        <w:bottom w:val="none" w:sz="0" w:space="0" w:color="auto"/>
        <w:right w:val="none" w:sz="0" w:space="0" w:color="auto"/>
      </w:divBdr>
    </w:div>
    <w:div w:id="1779786496">
      <w:bodyDiv w:val="1"/>
      <w:marLeft w:val="0"/>
      <w:marRight w:val="0"/>
      <w:marTop w:val="0"/>
      <w:marBottom w:val="0"/>
      <w:divBdr>
        <w:top w:val="none" w:sz="0" w:space="0" w:color="auto"/>
        <w:left w:val="none" w:sz="0" w:space="0" w:color="auto"/>
        <w:bottom w:val="none" w:sz="0" w:space="0" w:color="auto"/>
        <w:right w:val="none" w:sz="0" w:space="0" w:color="auto"/>
      </w:divBdr>
    </w:div>
    <w:div w:id="1789399141">
      <w:bodyDiv w:val="1"/>
      <w:marLeft w:val="0"/>
      <w:marRight w:val="0"/>
      <w:marTop w:val="0"/>
      <w:marBottom w:val="0"/>
      <w:divBdr>
        <w:top w:val="none" w:sz="0" w:space="0" w:color="auto"/>
        <w:left w:val="none" w:sz="0" w:space="0" w:color="auto"/>
        <w:bottom w:val="none" w:sz="0" w:space="0" w:color="auto"/>
        <w:right w:val="none" w:sz="0" w:space="0" w:color="auto"/>
      </w:divBdr>
    </w:div>
    <w:div w:id="1791515613">
      <w:bodyDiv w:val="1"/>
      <w:marLeft w:val="0"/>
      <w:marRight w:val="0"/>
      <w:marTop w:val="0"/>
      <w:marBottom w:val="0"/>
      <w:divBdr>
        <w:top w:val="none" w:sz="0" w:space="0" w:color="auto"/>
        <w:left w:val="none" w:sz="0" w:space="0" w:color="auto"/>
        <w:bottom w:val="none" w:sz="0" w:space="0" w:color="auto"/>
        <w:right w:val="none" w:sz="0" w:space="0" w:color="auto"/>
      </w:divBdr>
    </w:div>
    <w:div w:id="1791588937">
      <w:bodyDiv w:val="1"/>
      <w:marLeft w:val="0"/>
      <w:marRight w:val="0"/>
      <w:marTop w:val="0"/>
      <w:marBottom w:val="0"/>
      <w:divBdr>
        <w:top w:val="none" w:sz="0" w:space="0" w:color="auto"/>
        <w:left w:val="none" w:sz="0" w:space="0" w:color="auto"/>
        <w:bottom w:val="none" w:sz="0" w:space="0" w:color="auto"/>
        <w:right w:val="none" w:sz="0" w:space="0" w:color="auto"/>
      </w:divBdr>
    </w:div>
    <w:div w:id="1904755418">
      <w:bodyDiv w:val="1"/>
      <w:marLeft w:val="0"/>
      <w:marRight w:val="0"/>
      <w:marTop w:val="0"/>
      <w:marBottom w:val="0"/>
      <w:divBdr>
        <w:top w:val="none" w:sz="0" w:space="0" w:color="auto"/>
        <w:left w:val="none" w:sz="0" w:space="0" w:color="auto"/>
        <w:bottom w:val="none" w:sz="0" w:space="0" w:color="auto"/>
        <w:right w:val="none" w:sz="0" w:space="0" w:color="auto"/>
      </w:divBdr>
    </w:div>
    <w:div w:id="1921212977">
      <w:bodyDiv w:val="1"/>
      <w:marLeft w:val="0"/>
      <w:marRight w:val="0"/>
      <w:marTop w:val="0"/>
      <w:marBottom w:val="0"/>
      <w:divBdr>
        <w:top w:val="none" w:sz="0" w:space="0" w:color="auto"/>
        <w:left w:val="none" w:sz="0" w:space="0" w:color="auto"/>
        <w:bottom w:val="none" w:sz="0" w:space="0" w:color="auto"/>
        <w:right w:val="none" w:sz="0" w:space="0" w:color="auto"/>
      </w:divBdr>
    </w:div>
    <w:div w:id="1932591623">
      <w:bodyDiv w:val="1"/>
      <w:marLeft w:val="0"/>
      <w:marRight w:val="0"/>
      <w:marTop w:val="0"/>
      <w:marBottom w:val="0"/>
      <w:divBdr>
        <w:top w:val="none" w:sz="0" w:space="0" w:color="auto"/>
        <w:left w:val="none" w:sz="0" w:space="0" w:color="auto"/>
        <w:bottom w:val="none" w:sz="0" w:space="0" w:color="auto"/>
        <w:right w:val="none" w:sz="0" w:space="0" w:color="auto"/>
      </w:divBdr>
    </w:div>
    <w:div w:id="1932885704">
      <w:bodyDiv w:val="1"/>
      <w:marLeft w:val="0"/>
      <w:marRight w:val="0"/>
      <w:marTop w:val="0"/>
      <w:marBottom w:val="0"/>
      <w:divBdr>
        <w:top w:val="none" w:sz="0" w:space="0" w:color="auto"/>
        <w:left w:val="none" w:sz="0" w:space="0" w:color="auto"/>
        <w:bottom w:val="none" w:sz="0" w:space="0" w:color="auto"/>
        <w:right w:val="none" w:sz="0" w:space="0" w:color="auto"/>
      </w:divBdr>
    </w:div>
    <w:div w:id="1937057201">
      <w:bodyDiv w:val="1"/>
      <w:marLeft w:val="0"/>
      <w:marRight w:val="0"/>
      <w:marTop w:val="0"/>
      <w:marBottom w:val="0"/>
      <w:divBdr>
        <w:top w:val="none" w:sz="0" w:space="0" w:color="auto"/>
        <w:left w:val="none" w:sz="0" w:space="0" w:color="auto"/>
        <w:bottom w:val="none" w:sz="0" w:space="0" w:color="auto"/>
        <w:right w:val="none" w:sz="0" w:space="0" w:color="auto"/>
      </w:divBdr>
    </w:div>
    <w:div w:id="1945071557">
      <w:bodyDiv w:val="1"/>
      <w:marLeft w:val="0"/>
      <w:marRight w:val="0"/>
      <w:marTop w:val="0"/>
      <w:marBottom w:val="0"/>
      <w:divBdr>
        <w:top w:val="none" w:sz="0" w:space="0" w:color="auto"/>
        <w:left w:val="none" w:sz="0" w:space="0" w:color="auto"/>
        <w:bottom w:val="none" w:sz="0" w:space="0" w:color="auto"/>
        <w:right w:val="none" w:sz="0" w:space="0" w:color="auto"/>
      </w:divBdr>
    </w:div>
    <w:div w:id="1969317889">
      <w:bodyDiv w:val="1"/>
      <w:marLeft w:val="0"/>
      <w:marRight w:val="0"/>
      <w:marTop w:val="0"/>
      <w:marBottom w:val="0"/>
      <w:divBdr>
        <w:top w:val="none" w:sz="0" w:space="0" w:color="auto"/>
        <w:left w:val="none" w:sz="0" w:space="0" w:color="auto"/>
        <w:bottom w:val="none" w:sz="0" w:space="0" w:color="auto"/>
        <w:right w:val="none" w:sz="0" w:space="0" w:color="auto"/>
      </w:divBdr>
    </w:div>
    <w:div w:id="1992903898">
      <w:bodyDiv w:val="1"/>
      <w:marLeft w:val="0"/>
      <w:marRight w:val="0"/>
      <w:marTop w:val="0"/>
      <w:marBottom w:val="0"/>
      <w:divBdr>
        <w:top w:val="none" w:sz="0" w:space="0" w:color="auto"/>
        <w:left w:val="none" w:sz="0" w:space="0" w:color="auto"/>
        <w:bottom w:val="none" w:sz="0" w:space="0" w:color="auto"/>
        <w:right w:val="none" w:sz="0" w:space="0" w:color="auto"/>
      </w:divBdr>
    </w:div>
    <w:div w:id="1994525276">
      <w:bodyDiv w:val="1"/>
      <w:marLeft w:val="0"/>
      <w:marRight w:val="0"/>
      <w:marTop w:val="0"/>
      <w:marBottom w:val="0"/>
      <w:divBdr>
        <w:top w:val="none" w:sz="0" w:space="0" w:color="auto"/>
        <w:left w:val="none" w:sz="0" w:space="0" w:color="auto"/>
        <w:bottom w:val="none" w:sz="0" w:space="0" w:color="auto"/>
        <w:right w:val="none" w:sz="0" w:space="0" w:color="auto"/>
      </w:divBdr>
    </w:div>
    <w:div w:id="2021198485">
      <w:bodyDiv w:val="1"/>
      <w:marLeft w:val="0"/>
      <w:marRight w:val="0"/>
      <w:marTop w:val="0"/>
      <w:marBottom w:val="0"/>
      <w:divBdr>
        <w:top w:val="none" w:sz="0" w:space="0" w:color="auto"/>
        <w:left w:val="none" w:sz="0" w:space="0" w:color="auto"/>
        <w:bottom w:val="none" w:sz="0" w:space="0" w:color="auto"/>
        <w:right w:val="none" w:sz="0" w:space="0" w:color="auto"/>
      </w:divBdr>
    </w:div>
    <w:div w:id="2038389620">
      <w:bodyDiv w:val="1"/>
      <w:marLeft w:val="0"/>
      <w:marRight w:val="0"/>
      <w:marTop w:val="0"/>
      <w:marBottom w:val="0"/>
      <w:divBdr>
        <w:top w:val="none" w:sz="0" w:space="0" w:color="auto"/>
        <w:left w:val="none" w:sz="0" w:space="0" w:color="auto"/>
        <w:bottom w:val="none" w:sz="0" w:space="0" w:color="auto"/>
        <w:right w:val="none" w:sz="0" w:space="0" w:color="auto"/>
      </w:divBdr>
    </w:div>
    <w:div w:id="2132630522">
      <w:bodyDiv w:val="1"/>
      <w:marLeft w:val="0"/>
      <w:marRight w:val="0"/>
      <w:marTop w:val="0"/>
      <w:marBottom w:val="0"/>
      <w:divBdr>
        <w:top w:val="none" w:sz="0" w:space="0" w:color="auto"/>
        <w:left w:val="none" w:sz="0" w:space="0" w:color="auto"/>
        <w:bottom w:val="none" w:sz="0" w:space="0" w:color="auto"/>
        <w:right w:val="none" w:sz="0" w:space="0" w:color="auto"/>
      </w:divBdr>
    </w:div>
    <w:div w:id="21336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E95C3-55B0-4623-A8D0-BF46C920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24840</Words>
  <Characters>141592</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166100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 Raheem, Jahan</dc:creator>
  <cp:lastModifiedBy>Geua Boe-Gibson</cp:lastModifiedBy>
  <cp:revision>3</cp:revision>
  <cp:lastPrinted>2021-11-06T01:57:00Z</cp:lastPrinted>
  <dcterms:created xsi:type="dcterms:W3CDTF">2021-11-06T01:50:00Z</dcterms:created>
  <dcterms:modified xsi:type="dcterms:W3CDTF">2021-11-06T02:04:00Z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http://csl.mendeley.com/styles/28319301/apa-2</vt:lpwstr>
  </property>
  <property fmtid="{D5CDD505-2E9C-101B-9397-08002B2CF9AE}" pid="7" name="Mendeley Recent Style Name 2_1">
    <vt:lpwstr>American Psychological Association 7th edition - roya taherifar</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06c19f74-e79d-33f1-b52a-00948d72c771</vt:lpwstr>
  </property>
  <property fmtid="{D5CDD505-2E9C-101B-9397-08002B2CF9AE}" pid="24" name="Mendeley Citation Style_1">
    <vt:lpwstr>http://csl.mendeley.com/styles/28319301/apa-2</vt:lpwstr>
  </property>
</Properties>
</file>