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79" w:rsidRDefault="00E67C79" w:rsidP="00E67C79">
      <w:pPr>
        <w:spacing w:after="0" w:line="300" w:lineRule="auto"/>
        <w:rPr>
          <w:rFonts w:eastAsia="Times New Roman"/>
          <w:b/>
          <w:bCs/>
          <w:sz w:val="28"/>
          <w:lang w:val="en-US"/>
        </w:rPr>
      </w:pP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Hamilton</w:t>
      </w: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New Zealand</w:t>
      </w: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p>
    <w:p w:rsidR="00E67C79" w:rsidRPr="00E67C79" w:rsidRDefault="00D943DD" w:rsidP="00037AF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bCs/>
          <w:sz w:val="14"/>
          <w:szCs w:val="14"/>
        </w:rPr>
      </w:pPr>
      <w:r w:rsidRPr="00D943DD">
        <w:rPr>
          <w:rFonts w:asciiTheme="majorBidi" w:hAnsiTheme="majorBidi" w:cstheme="majorBidi"/>
          <w:b/>
          <w:bCs/>
          <w:sz w:val="12"/>
          <w:szCs w:val="12"/>
        </w:rPr>
        <w:br/>
      </w:r>
      <w:r w:rsidR="00037AFC">
        <w:rPr>
          <w:rFonts w:asciiTheme="majorBidi" w:hAnsiTheme="majorBidi" w:cstheme="majorBidi"/>
          <w:b/>
          <w:bCs/>
          <w:sz w:val="28"/>
          <w:szCs w:val="28"/>
        </w:rPr>
        <w:t>The Rollout of COVID-19 Booster Vaccines is Associated</w:t>
      </w:r>
      <w:r w:rsidR="00E67C79" w:rsidRPr="00E67C79">
        <w:rPr>
          <w:rFonts w:cs="Arial"/>
          <w:b/>
          <w:bCs/>
          <w:sz w:val="28"/>
          <w:szCs w:val="28"/>
        </w:rPr>
        <w:br/>
      </w:r>
      <w:r w:rsidR="00037AFC">
        <w:rPr>
          <w:rFonts w:asciiTheme="majorBidi" w:hAnsiTheme="majorBidi" w:cstheme="majorBidi"/>
          <w:b/>
          <w:bCs/>
          <w:sz w:val="28"/>
          <w:szCs w:val="28"/>
        </w:rPr>
        <w:t xml:space="preserve">With Rising Excess Mortality in </w:t>
      </w:r>
      <w:r w:rsidR="00E67C79" w:rsidRPr="00E67C79">
        <w:rPr>
          <w:rFonts w:asciiTheme="majorBidi" w:hAnsiTheme="majorBidi" w:cstheme="majorBidi"/>
          <w:b/>
          <w:bCs/>
          <w:sz w:val="28"/>
          <w:szCs w:val="28"/>
        </w:rPr>
        <w:t>New Zealand</w:t>
      </w:r>
      <w:r w:rsidR="00E67C79" w:rsidRPr="00E67C79">
        <w:rPr>
          <w:rFonts w:cs="Arial"/>
          <w:b/>
          <w:bCs/>
          <w:sz w:val="28"/>
          <w:szCs w:val="28"/>
        </w:rPr>
        <w:br/>
      </w:r>
      <w:r w:rsidR="00E67C79" w:rsidRPr="00E67C79">
        <w:rPr>
          <w:rFonts w:ascii="Times New Roman" w:hAnsi="Times New Roman"/>
          <w:b/>
          <w:bCs/>
          <w:sz w:val="28"/>
          <w:szCs w:val="28"/>
        </w:rPr>
        <w:t xml:space="preserve"> </w:t>
      </w:r>
    </w:p>
    <w:p w:rsidR="00E67C79" w:rsidRDefault="00E67C79" w:rsidP="00037AF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Gibson </w:t>
      </w:r>
    </w:p>
    <w:p w:rsidR="00E67C79" w:rsidRDefault="00E67C79" w:rsidP="00E67C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E67C79" w:rsidRDefault="00E67C79" w:rsidP="00E67C79">
      <w:pPr>
        <w:pStyle w:val="PlainText"/>
        <w:tabs>
          <w:tab w:val="left" w:pos="284"/>
        </w:tabs>
        <w:rPr>
          <w:rFonts w:ascii="Times New Roman" w:hAnsi="Times New Roman"/>
          <w:b/>
          <w:sz w:val="28"/>
        </w:rPr>
      </w:pPr>
    </w:p>
    <w:p w:rsidR="00E67C79" w:rsidRDefault="00E67C79" w:rsidP="00E67C79">
      <w:pPr>
        <w:pStyle w:val="PlainText"/>
        <w:tabs>
          <w:tab w:val="left" w:pos="284"/>
        </w:tabs>
        <w:rPr>
          <w:rFonts w:ascii="Times New Roman" w:hAnsi="Times New Roman"/>
          <w:b/>
          <w:sz w:val="28"/>
        </w:rPr>
      </w:pPr>
    </w:p>
    <w:p w:rsidR="00E67C79" w:rsidRDefault="00037AFC" w:rsidP="00E67C7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11/22</w:t>
      </w:r>
    </w:p>
    <w:p w:rsidR="00E67C79" w:rsidRDefault="00037AFC" w:rsidP="00E67C79">
      <w:pPr>
        <w:pStyle w:val="PlainText"/>
        <w:tabs>
          <w:tab w:val="left" w:pos="284"/>
        </w:tabs>
        <w:spacing w:before="100" w:line="360" w:lineRule="auto"/>
        <w:jc w:val="center"/>
        <w:rPr>
          <w:rFonts w:ascii="Times New Roman" w:hAnsi="Times New Roman"/>
          <w:sz w:val="28"/>
        </w:rPr>
      </w:pPr>
      <w:r>
        <w:rPr>
          <w:rFonts w:ascii="Times New Roman" w:hAnsi="Times New Roman"/>
          <w:sz w:val="28"/>
        </w:rPr>
        <w:t>June 2022</w:t>
      </w:r>
    </w:p>
    <w:p w:rsidR="00AE73E2" w:rsidRPr="005B2FFB" w:rsidRDefault="00AE73E2" w:rsidP="00037AFC">
      <w:pPr>
        <w:spacing w:after="0" w:line="276" w:lineRule="auto"/>
        <w:jc w:val="center"/>
        <w:rPr>
          <w:b/>
          <w:bCs/>
          <w:sz w:val="12"/>
          <w:szCs w:val="12"/>
        </w:rPr>
      </w:pPr>
      <w:r>
        <w:rPr>
          <w:sz w:val="32"/>
          <w:szCs w:val="32"/>
        </w:rPr>
        <w:br/>
      </w:r>
    </w:p>
    <w:p w:rsidR="00AE73E2" w:rsidRPr="0076045F" w:rsidRDefault="00AE73E2" w:rsidP="00AE73E2">
      <w:pPr>
        <w:pStyle w:val="CM4"/>
        <w:spacing w:before="60" w:line="240" w:lineRule="auto"/>
        <w:jc w:val="center"/>
      </w:pPr>
      <w:r w:rsidRPr="0076045F">
        <w:rPr>
          <w:b/>
          <w:bCs/>
        </w:rPr>
        <w:t>John Gibson</w:t>
      </w:r>
    </w:p>
    <w:p w:rsidR="00AE73E2" w:rsidRDefault="00AE73E2" w:rsidP="00AE73E2">
      <w:pPr>
        <w:pStyle w:val="CM23"/>
        <w:spacing w:after="0"/>
        <w:jc w:val="center"/>
      </w:pPr>
      <w:r w:rsidRPr="0076045F">
        <w:t xml:space="preserve">School of Accounting, Finance </w:t>
      </w:r>
    </w:p>
    <w:p w:rsidR="00AE73E2" w:rsidRPr="0076045F" w:rsidRDefault="00AE73E2" w:rsidP="00AE73E2">
      <w:pPr>
        <w:pStyle w:val="CM23"/>
        <w:spacing w:after="0"/>
        <w:jc w:val="center"/>
      </w:pPr>
      <w:r>
        <w:t xml:space="preserve">and </w:t>
      </w:r>
      <w:r w:rsidRPr="0076045F">
        <w:t>Economics</w:t>
      </w:r>
    </w:p>
    <w:p w:rsidR="00AE73E2" w:rsidRPr="0076045F" w:rsidRDefault="00AE73E2" w:rsidP="00AE73E2">
      <w:pPr>
        <w:pStyle w:val="CM23"/>
        <w:spacing w:after="0"/>
        <w:jc w:val="center"/>
      </w:pPr>
      <w:r w:rsidRPr="0076045F">
        <w:t>University of Waikato</w:t>
      </w:r>
    </w:p>
    <w:p w:rsidR="00AE73E2" w:rsidRPr="0076045F" w:rsidRDefault="00AE73E2" w:rsidP="00AE73E2">
      <w:pPr>
        <w:pStyle w:val="CM23"/>
        <w:spacing w:after="0"/>
        <w:jc w:val="center"/>
      </w:pPr>
      <w:r w:rsidRPr="0076045F">
        <w:t>Private Bag 3105</w:t>
      </w:r>
    </w:p>
    <w:p w:rsidR="00AE73E2" w:rsidRPr="0076045F" w:rsidRDefault="00AE73E2" w:rsidP="00AE73E2">
      <w:pPr>
        <w:pStyle w:val="CM23"/>
        <w:spacing w:after="0"/>
        <w:jc w:val="center"/>
      </w:pPr>
      <w:r w:rsidRPr="0076045F">
        <w:t>Hamilton, 3240</w:t>
      </w:r>
    </w:p>
    <w:p w:rsidR="00AE73E2" w:rsidRPr="0076045F" w:rsidRDefault="00AE73E2" w:rsidP="00AE73E2">
      <w:pPr>
        <w:pStyle w:val="CM23"/>
        <w:spacing w:after="0"/>
        <w:jc w:val="center"/>
      </w:pPr>
      <w:r w:rsidRPr="0076045F">
        <w:t xml:space="preserve">New Zealand </w:t>
      </w:r>
    </w:p>
    <w:p w:rsidR="00AE73E2" w:rsidRPr="00CD094B" w:rsidRDefault="00AE73E2" w:rsidP="00AE73E2">
      <w:pPr>
        <w:pStyle w:val="Default"/>
        <w:rPr>
          <w:sz w:val="12"/>
          <w:szCs w:val="12"/>
        </w:rPr>
      </w:pPr>
    </w:p>
    <w:p w:rsidR="00AE73E2" w:rsidRPr="0076045F" w:rsidRDefault="00AE73E2" w:rsidP="00AE73E2">
      <w:pPr>
        <w:pStyle w:val="Default"/>
        <w:jc w:val="center"/>
      </w:pPr>
      <w:r w:rsidRPr="0076045F">
        <w:t>Tel: +64 (7) 838 4289</w:t>
      </w:r>
    </w:p>
    <w:p w:rsidR="00AE73E2" w:rsidRPr="0076045F" w:rsidRDefault="00AE73E2" w:rsidP="00AE73E2">
      <w:pPr>
        <w:pStyle w:val="CM3"/>
        <w:jc w:val="center"/>
        <w:rPr>
          <w:bCs/>
        </w:rPr>
      </w:pPr>
      <w:r w:rsidRPr="0076045F">
        <w:rPr>
          <w:bCs/>
        </w:rPr>
        <w:t>Email: jkgibson@waikato.ac.nz</w:t>
      </w:r>
    </w:p>
    <w:p w:rsidR="00AE73E2" w:rsidRPr="00AE73E2" w:rsidRDefault="00AE73E2" w:rsidP="00AE73E2">
      <w:pPr>
        <w:spacing w:after="0" w:line="276" w:lineRule="auto"/>
        <w:jc w:val="center"/>
        <w:rPr>
          <w:lang w:val="en-US"/>
        </w:rPr>
      </w:pPr>
    </w:p>
    <w:p w:rsidR="005D3F48" w:rsidRDefault="005D3F48" w:rsidP="005D3F48">
      <w:pPr>
        <w:spacing w:line="240" w:lineRule="auto"/>
        <w:jc w:val="center"/>
        <w:rPr>
          <w:b/>
          <w:bCs/>
        </w:rPr>
      </w:pPr>
    </w:p>
    <w:p w:rsidR="005D3F48" w:rsidRDefault="005D3F48" w:rsidP="005D3F48">
      <w:pPr>
        <w:spacing w:line="240" w:lineRule="auto"/>
        <w:jc w:val="center"/>
        <w:rPr>
          <w:b/>
          <w:bCs/>
        </w:rPr>
      </w:pPr>
    </w:p>
    <w:p w:rsidR="00037AFC" w:rsidRDefault="00037AFC">
      <w:pPr>
        <w:rPr>
          <w:b/>
          <w:bCs/>
        </w:rPr>
      </w:pPr>
      <w:r>
        <w:rPr>
          <w:b/>
          <w:bCs/>
        </w:rPr>
        <w:br w:type="page"/>
      </w:r>
    </w:p>
    <w:p w:rsidR="005D3F48" w:rsidRDefault="005D3F48" w:rsidP="005D3F48">
      <w:pPr>
        <w:spacing w:line="240" w:lineRule="auto"/>
        <w:jc w:val="center"/>
        <w:rPr>
          <w:b/>
          <w:bCs/>
        </w:rPr>
      </w:pPr>
    </w:p>
    <w:p w:rsidR="00E67C79" w:rsidRDefault="00E67C79" w:rsidP="005D3F48">
      <w:pPr>
        <w:spacing w:line="240" w:lineRule="auto"/>
        <w:jc w:val="center"/>
        <w:rPr>
          <w:b/>
        </w:rPr>
      </w:pPr>
      <w:r w:rsidRPr="00AF7EC2">
        <w:rPr>
          <w:b/>
        </w:rPr>
        <w:t>Abstract</w:t>
      </w:r>
    </w:p>
    <w:p w:rsidR="005D3F48" w:rsidRPr="00AF7EC2" w:rsidRDefault="005D3F48" w:rsidP="005D3F48">
      <w:pPr>
        <w:spacing w:line="240" w:lineRule="auto"/>
        <w:jc w:val="center"/>
        <w:rPr>
          <w:b/>
        </w:rPr>
      </w:pPr>
    </w:p>
    <w:p w:rsidR="00BC47D3" w:rsidRPr="001D2F72" w:rsidRDefault="00147A8D" w:rsidP="0041227B">
      <w:pPr>
        <w:spacing w:after="0" w:line="360" w:lineRule="auto"/>
        <w:jc w:val="both"/>
        <w:rPr>
          <w:rFonts w:asciiTheme="majorBidi" w:hAnsiTheme="majorBidi" w:cstheme="majorBidi"/>
          <w:bCs/>
          <w:lang w:val="en-US"/>
        </w:rPr>
      </w:pPr>
      <w:r>
        <w:rPr>
          <w:rFonts w:asciiTheme="majorBidi" w:hAnsiTheme="majorBidi" w:cstheme="majorBidi"/>
          <w:bCs/>
          <w:lang w:val="en-AU"/>
        </w:rPr>
        <w:t>T</w:t>
      </w:r>
      <w:r w:rsidRPr="008A622D">
        <w:rPr>
          <w:rFonts w:asciiTheme="majorBidi" w:hAnsiTheme="majorBidi" w:cstheme="majorBidi"/>
          <w:bCs/>
          <w:lang w:val="en-US"/>
        </w:rPr>
        <w:t xml:space="preserve">he </w:t>
      </w:r>
      <w:r>
        <w:rPr>
          <w:rFonts w:asciiTheme="majorBidi" w:hAnsiTheme="majorBidi" w:cstheme="majorBidi"/>
          <w:bCs/>
          <w:lang w:val="en-US"/>
        </w:rPr>
        <w:t xml:space="preserve">rollout of booster doses of COVID-19 vaccines to the general population is controversial. The ratio of vaccine risk to benefits likely has swung more towards risk than during the original randomized trials, due to dose-dependent adverse events and to fixation of immune responses on a variant no longer circulating, yet the evidence underpinning mass use of boosters is weaker than was the evidence for the original vaccine rollout. In light of an unsatisfactory risk-evidence situation, </w:t>
      </w:r>
      <w:r w:rsidR="001D2F72">
        <w:rPr>
          <w:rFonts w:asciiTheme="majorBidi" w:hAnsiTheme="majorBidi" w:cstheme="majorBidi"/>
          <w:bCs/>
          <w:lang w:val="en-US"/>
        </w:rPr>
        <w:t xml:space="preserve">aggregate weekly data on excess mortality in New Zealand are used here to study the impacts of rolling out booster doses. Instrumental variables estimates using a plausible source of exogenous variation in the rate of booster </w:t>
      </w:r>
      <w:r w:rsidR="0041227B">
        <w:rPr>
          <w:rFonts w:asciiTheme="majorBidi" w:hAnsiTheme="majorBidi" w:cstheme="majorBidi"/>
          <w:bCs/>
          <w:lang w:val="en-US"/>
        </w:rPr>
        <w:t>dose rollout</w:t>
      </w:r>
      <w:r w:rsidR="001D2F72">
        <w:rPr>
          <w:rFonts w:asciiTheme="majorBidi" w:hAnsiTheme="majorBidi" w:cstheme="majorBidi"/>
          <w:bCs/>
          <w:lang w:val="en-US"/>
        </w:rPr>
        <w:t xml:space="preserve"> indicate 16 excess deaths per 100,000 booster doses, totaling over 400 excess deaths from New Zealand’s booster rollout to date. The value of </w:t>
      </w:r>
      <w:r w:rsidR="009F2A5D">
        <w:rPr>
          <w:rFonts w:asciiTheme="majorBidi" w:hAnsiTheme="majorBidi" w:cstheme="majorBidi"/>
          <w:bCs/>
          <w:lang w:val="en-US"/>
        </w:rPr>
        <w:t xml:space="preserve">statistical life of </w:t>
      </w:r>
      <w:r w:rsidR="001D2F72">
        <w:rPr>
          <w:rFonts w:asciiTheme="majorBidi" w:hAnsiTheme="majorBidi" w:cstheme="majorBidi"/>
          <w:bCs/>
          <w:lang w:val="en-US"/>
        </w:rPr>
        <w:t xml:space="preserve">these excess deaths is over $1.6 billion. </w:t>
      </w:r>
      <w:r w:rsidR="00BC47D3">
        <w:rPr>
          <w:rFonts w:asciiTheme="majorBidi" w:hAnsiTheme="majorBidi" w:cstheme="majorBidi"/>
          <w:bCs/>
          <w:lang w:val="en-US"/>
        </w:rPr>
        <w:t xml:space="preserve">The age groups most likely to use boosters had 7–10 percentage point rises in excess mortality rates as boosters were rolled out while the age group </w:t>
      </w:r>
      <w:r w:rsidR="00A10CFF">
        <w:rPr>
          <w:rFonts w:asciiTheme="majorBidi" w:hAnsiTheme="majorBidi" w:cstheme="majorBidi"/>
          <w:bCs/>
          <w:lang w:val="en-US"/>
        </w:rPr>
        <w:t xml:space="preserve">that is </w:t>
      </w:r>
      <w:r w:rsidR="00BC47D3">
        <w:rPr>
          <w:rFonts w:asciiTheme="majorBidi" w:hAnsiTheme="majorBidi" w:cstheme="majorBidi"/>
          <w:bCs/>
          <w:lang w:val="en-US"/>
        </w:rPr>
        <w:t xml:space="preserve">mostly </w:t>
      </w:r>
      <w:r w:rsidR="00A10CFF">
        <w:rPr>
          <w:rFonts w:asciiTheme="majorBidi" w:hAnsiTheme="majorBidi" w:cstheme="majorBidi"/>
          <w:bCs/>
          <w:lang w:val="en-US"/>
        </w:rPr>
        <w:t xml:space="preserve">too young </w:t>
      </w:r>
      <w:r w:rsidR="00BC47D3">
        <w:rPr>
          <w:rFonts w:asciiTheme="majorBidi" w:hAnsiTheme="majorBidi" w:cstheme="majorBidi"/>
          <w:bCs/>
          <w:lang w:val="en-US"/>
        </w:rPr>
        <w:t>for boosters saw no rise in excess mortality.</w:t>
      </w:r>
    </w:p>
    <w:p w:rsidR="00E67C79" w:rsidRPr="00A10CFF" w:rsidRDefault="00E67C79" w:rsidP="00E67C79">
      <w:pPr>
        <w:tabs>
          <w:tab w:val="left" w:pos="426"/>
        </w:tabs>
        <w:spacing w:line="300" w:lineRule="auto"/>
        <w:rPr>
          <w:lang w:val="en-US"/>
        </w:rPr>
      </w:pPr>
    </w:p>
    <w:p w:rsidR="00FE5311" w:rsidRDefault="00FE5311" w:rsidP="00E67C79">
      <w:pPr>
        <w:tabs>
          <w:tab w:val="left" w:pos="426"/>
        </w:tabs>
        <w:spacing w:line="300" w:lineRule="auto"/>
      </w:pP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Keywords</w:t>
      </w:r>
    </w:p>
    <w:p w:rsidR="00E67C79" w:rsidRDefault="00982ECF" w:rsidP="00B668C8">
      <w:pPr>
        <w:spacing w:after="0" w:line="360" w:lineRule="auto"/>
        <w:jc w:val="center"/>
        <w:rPr>
          <w:rFonts w:eastAsia="Times New Roman"/>
          <w:bCs/>
          <w:lang w:val="en-US"/>
        </w:rPr>
      </w:pPr>
      <w:r>
        <w:rPr>
          <w:rFonts w:eastAsia="Batang"/>
          <w:lang w:val="en-US" w:eastAsia="ko-KR"/>
        </w:rPr>
        <w:t>COVID-19</w:t>
      </w:r>
    </w:p>
    <w:p w:rsidR="00E67C79" w:rsidRDefault="00982ECF" w:rsidP="00B668C8">
      <w:pPr>
        <w:spacing w:after="0" w:line="360" w:lineRule="auto"/>
        <w:jc w:val="center"/>
        <w:rPr>
          <w:rFonts w:eastAsia="Times New Roman"/>
          <w:bCs/>
          <w:lang w:val="en-US"/>
        </w:rPr>
      </w:pPr>
      <w:r>
        <w:rPr>
          <w:rFonts w:eastAsia="Batang"/>
          <w:lang w:val="en-US" w:eastAsia="ko-KR"/>
        </w:rPr>
        <w:t>excess mortality</w:t>
      </w:r>
    </w:p>
    <w:p w:rsidR="00982ECF" w:rsidRDefault="00982ECF" w:rsidP="00982ECF">
      <w:pPr>
        <w:spacing w:after="0" w:line="360" w:lineRule="auto"/>
        <w:jc w:val="center"/>
        <w:rPr>
          <w:rFonts w:eastAsia="Times New Roman"/>
          <w:bCs/>
          <w:lang w:val="en-US"/>
        </w:rPr>
      </w:pPr>
      <w:r>
        <w:rPr>
          <w:rFonts w:eastAsia="Times New Roman"/>
          <w:bCs/>
          <w:lang w:val="en-US"/>
        </w:rPr>
        <w:t>instrumental variables</w:t>
      </w:r>
    </w:p>
    <w:p w:rsidR="00982ECF" w:rsidRDefault="00982ECF" w:rsidP="00982ECF">
      <w:pPr>
        <w:spacing w:after="0" w:line="360" w:lineRule="auto"/>
        <w:jc w:val="center"/>
        <w:rPr>
          <w:rFonts w:eastAsia="Times New Roman"/>
          <w:bCs/>
          <w:lang w:val="en-US"/>
        </w:rPr>
      </w:pPr>
      <w:r>
        <w:rPr>
          <w:rFonts w:eastAsia="Times New Roman"/>
          <w:bCs/>
          <w:lang w:val="en-US"/>
        </w:rPr>
        <w:t>vaccines</w:t>
      </w:r>
    </w:p>
    <w:p w:rsidR="00E67C79" w:rsidRPr="00CC12E6" w:rsidRDefault="005D3F48" w:rsidP="00B668C8">
      <w:pPr>
        <w:spacing w:after="0" w:line="360" w:lineRule="auto"/>
        <w:jc w:val="center"/>
        <w:rPr>
          <w:rFonts w:eastAsia="Times New Roman"/>
          <w:bCs/>
          <w:lang w:val="en-US"/>
        </w:rPr>
      </w:pPr>
      <w:r>
        <w:rPr>
          <w:rFonts w:eastAsia="Times New Roman"/>
          <w:bCs/>
          <w:lang w:val="en-US"/>
        </w:rPr>
        <w:t>New Zealand</w:t>
      </w:r>
      <w:r>
        <w:rPr>
          <w:rFonts w:eastAsia="Times New Roman"/>
          <w:bCs/>
          <w:lang w:val="en-US"/>
        </w:rPr>
        <w:br/>
      </w: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JEL Classification</w:t>
      </w:r>
    </w:p>
    <w:p w:rsidR="005D3F48" w:rsidRDefault="00982ECF" w:rsidP="00AE73E2">
      <w:pPr>
        <w:spacing w:after="0" w:line="300" w:lineRule="auto"/>
        <w:jc w:val="center"/>
        <w:rPr>
          <w:rFonts w:eastAsia="Batang"/>
          <w:lang w:val="en-US" w:eastAsia="ko-KR"/>
        </w:rPr>
      </w:pPr>
      <w:r>
        <w:rPr>
          <w:rFonts w:eastAsia="Batang"/>
          <w:lang w:val="en-US" w:eastAsia="ko-KR"/>
        </w:rPr>
        <w:t>D</w:t>
      </w:r>
      <w:r w:rsidR="00AE73E2">
        <w:rPr>
          <w:rFonts w:eastAsia="Batang"/>
          <w:lang w:val="en-US" w:eastAsia="ko-KR"/>
        </w:rPr>
        <w:t>61</w:t>
      </w:r>
    </w:p>
    <w:p w:rsidR="00E67C79" w:rsidRPr="00E67C79" w:rsidRDefault="00982ECF" w:rsidP="00AE73E2">
      <w:pPr>
        <w:spacing w:after="0" w:line="300" w:lineRule="auto"/>
        <w:jc w:val="center"/>
        <w:rPr>
          <w:rFonts w:eastAsia="Times New Roman"/>
          <w:bCs/>
        </w:rPr>
      </w:pPr>
      <w:r>
        <w:rPr>
          <w:rFonts w:eastAsia="Batang"/>
          <w:lang w:val="en-US" w:eastAsia="ko-KR"/>
        </w:rPr>
        <w:t>I18</w:t>
      </w:r>
    </w:p>
    <w:p w:rsidR="00E67C79" w:rsidRPr="00E67C79" w:rsidRDefault="00E67C79" w:rsidP="00E67C79">
      <w:pPr>
        <w:spacing w:after="0" w:line="300" w:lineRule="auto"/>
        <w:rPr>
          <w:rFonts w:eastAsia="Times New Roman"/>
          <w:bCs/>
        </w:rPr>
      </w:pPr>
    </w:p>
    <w:p w:rsidR="00E67C79" w:rsidRDefault="00E67C79"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Pr="00E67C79" w:rsidRDefault="00B668C8" w:rsidP="00E67C79">
      <w:pPr>
        <w:spacing w:after="0" w:line="300" w:lineRule="auto"/>
        <w:rPr>
          <w:rFonts w:eastAsia="Times New Roman"/>
          <w:bCs/>
        </w:rPr>
      </w:pPr>
    </w:p>
    <w:p w:rsidR="00E67C79" w:rsidRPr="005D3F48" w:rsidRDefault="00E67C79" w:rsidP="005D3F48">
      <w:pPr>
        <w:tabs>
          <w:tab w:val="left" w:pos="426"/>
        </w:tabs>
        <w:spacing w:line="300" w:lineRule="auto"/>
        <w:jc w:val="both"/>
        <w:rPr>
          <w:bCs/>
        </w:rPr>
      </w:pPr>
    </w:p>
    <w:p w:rsidR="005D3F48" w:rsidRDefault="005D3F48">
      <w:pPr>
        <w:rPr>
          <w:rFonts w:cs="Arial"/>
          <w:b/>
          <w:bCs/>
          <w:sz w:val="28"/>
          <w:szCs w:val="28"/>
        </w:rPr>
      </w:pPr>
      <w:r>
        <w:rPr>
          <w:rFonts w:cs="Arial"/>
          <w:b/>
          <w:bCs/>
          <w:sz w:val="28"/>
          <w:szCs w:val="28"/>
        </w:rPr>
        <w:br w:type="page"/>
      </w:r>
    </w:p>
    <w:p w:rsidR="002C5B8B" w:rsidRPr="008A622D" w:rsidRDefault="004327EE" w:rsidP="00675115">
      <w:pPr>
        <w:spacing w:after="0" w:line="360" w:lineRule="auto"/>
        <w:rPr>
          <w:rFonts w:asciiTheme="majorBidi" w:hAnsiTheme="majorBidi" w:cstheme="majorBidi"/>
          <w:bCs/>
          <w:lang w:val="en-AU"/>
        </w:rPr>
      </w:pPr>
      <w:r w:rsidRPr="008A622D">
        <w:rPr>
          <w:rFonts w:asciiTheme="majorBidi" w:hAnsiTheme="majorBidi" w:cstheme="majorBidi"/>
          <w:b/>
          <w:bCs/>
        </w:rPr>
        <w:lastRenderedPageBreak/>
        <w:t>I.</w:t>
      </w:r>
      <w:r w:rsidRPr="008A622D">
        <w:rPr>
          <w:rFonts w:asciiTheme="majorBidi" w:hAnsiTheme="majorBidi" w:cstheme="majorBidi"/>
          <w:b/>
          <w:bCs/>
        </w:rPr>
        <w:tab/>
        <w:t>Introduction</w:t>
      </w:r>
      <w:r w:rsidRPr="008A622D">
        <w:rPr>
          <w:rFonts w:asciiTheme="majorBidi" w:hAnsiTheme="majorBidi" w:cstheme="majorBidi"/>
          <w:bCs/>
          <w:lang w:val="en-AU"/>
        </w:rPr>
        <w:t xml:space="preserve"> </w:t>
      </w:r>
    </w:p>
    <w:p w:rsidR="00207713" w:rsidRDefault="00207713" w:rsidP="00BA3B1C">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AU"/>
        </w:rPr>
        <w:t>T</w:t>
      </w:r>
      <w:r w:rsidR="00133C61" w:rsidRPr="008A622D">
        <w:rPr>
          <w:rFonts w:asciiTheme="majorBidi" w:hAnsiTheme="majorBidi" w:cstheme="majorBidi"/>
          <w:bCs/>
          <w:lang w:val="en-US"/>
        </w:rPr>
        <w:t xml:space="preserve">he </w:t>
      </w:r>
      <w:r>
        <w:rPr>
          <w:rFonts w:asciiTheme="majorBidi" w:hAnsiTheme="majorBidi" w:cstheme="majorBidi"/>
          <w:bCs/>
          <w:lang w:val="en-US"/>
        </w:rPr>
        <w:t>rollout of booster doses of COVID-19 vaccines to the general population has been controversial in many countries. In September 2021 a</w:t>
      </w:r>
      <w:r w:rsidR="00BA3B1C">
        <w:rPr>
          <w:rFonts w:asciiTheme="majorBidi" w:hAnsiTheme="majorBidi" w:cstheme="majorBidi"/>
          <w:bCs/>
          <w:lang w:val="en-US"/>
        </w:rPr>
        <w:t>n advisory</w:t>
      </w:r>
      <w:r>
        <w:rPr>
          <w:rFonts w:asciiTheme="majorBidi" w:hAnsiTheme="majorBidi" w:cstheme="majorBidi"/>
          <w:bCs/>
          <w:lang w:val="en-US"/>
        </w:rPr>
        <w:t xml:space="preserve"> panel of outside experts </w:t>
      </w:r>
      <w:r w:rsidR="00BA3B1C">
        <w:rPr>
          <w:rFonts w:asciiTheme="majorBidi" w:hAnsiTheme="majorBidi" w:cstheme="majorBidi"/>
          <w:bCs/>
          <w:lang w:val="en-US"/>
        </w:rPr>
        <w:t xml:space="preserve">to the US </w:t>
      </w:r>
      <w:r>
        <w:rPr>
          <w:rFonts w:asciiTheme="majorBidi" w:hAnsiTheme="majorBidi" w:cstheme="majorBidi"/>
          <w:bCs/>
          <w:lang w:val="en-US"/>
        </w:rPr>
        <w:t xml:space="preserve">Food and Drug Administration (FDA) voted 16-2 </w:t>
      </w:r>
      <w:r w:rsidRPr="00207713">
        <w:rPr>
          <w:rFonts w:asciiTheme="majorBidi" w:hAnsiTheme="majorBidi" w:cstheme="majorBidi"/>
          <w:bCs/>
          <w:lang w:val="en-US"/>
        </w:rPr>
        <w:t xml:space="preserve">against </w:t>
      </w:r>
      <w:r>
        <w:rPr>
          <w:rFonts w:asciiTheme="majorBidi" w:hAnsiTheme="majorBidi" w:cstheme="majorBidi"/>
          <w:bCs/>
          <w:lang w:val="en-US"/>
        </w:rPr>
        <w:t>widespread use of these booster</w:t>
      </w:r>
      <w:r w:rsidR="00C8548A">
        <w:rPr>
          <w:rFonts w:asciiTheme="majorBidi" w:hAnsiTheme="majorBidi" w:cstheme="majorBidi"/>
          <w:bCs/>
          <w:lang w:val="en-US"/>
        </w:rPr>
        <w:t>s</w:t>
      </w:r>
      <w:r>
        <w:rPr>
          <w:rFonts w:asciiTheme="majorBidi" w:hAnsiTheme="majorBidi" w:cstheme="majorBidi"/>
          <w:bCs/>
          <w:lang w:val="en-US"/>
        </w:rPr>
        <w:t xml:space="preserve"> due to lack of safety data and doubts about benefits o</w:t>
      </w:r>
      <w:r w:rsidR="002D3E06">
        <w:rPr>
          <w:rFonts w:asciiTheme="majorBidi" w:hAnsiTheme="majorBidi" w:cstheme="majorBidi"/>
          <w:bCs/>
          <w:lang w:val="en-US"/>
        </w:rPr>
        <w:t>f mass boosting</w:t>
      </w:r>
      <w:r>
        <w:rPr>
          <w:rFonts w:asciiTheme="majorBidi" w:hAnsiTheme="majorBidi" w:cstheme="majorBidi"/>
          <w:bCs/>
          <w:lang w:val="en-US"/>
        </w:rPr>
        <w:t xml:space="preserve"> </w:t>
      </w:r>
      <w:r w:rsidR="00C8548A">
        <w:rPr>
          <w:rFonts w:asciiTheme="majorBidi" w:hAnsiTheme="majorBidi" w:cstheme="majorBidi"/>
          <w:bCs/>
          <w:lang w:val="en-US"/>
        </w:rPr>
        <w:t xml:space="preserve">over </w:t>
      </w:r>
      <w:r>
        <w:rPr>
          <w:rFonts w:asciiTheme="majorBidi" w:hAnsiTheme="majorBidi" w:cstheme="majorBidi"/>
          <w:bCs/>
          <w:lang w:val="en-US"/>
        </w:rPr>
        <w:t>targeted approaches (</w:t>
      </w:r>
      <w:proofErr w:type="spellStart"/>
      <w:r>
        <w:rPr>
          <w:rFonts w:asciiTheme="majorBidi" w:hAnsiTheme="majorBidi" w:cstheme="majorBidi"/>
          <w:bCs/>
          <w:lang w:val="en-US"/>
        </w:rPr>
        <w:t>Perrone</w:t>
      </w:r>
      <w:proofErr w:type="spellEnd"/>
      <w:r>
        <w:rPr>
          <w:rFonts w:asciiTheme="majorBidi" w:hAnsiTheme="majorBidi" w:cstheme="majorBidi"/>
          <w:bCs/>
          <w:lang w:val="en-US"/>
        </w:rPr>
        <w:t xml:space="preserve"> and </w:t>
      </w:r>
      <w:proofErr w:type="spellStart"/>
      <w:r>
        <w:rPr>
          <w:rFonts w:asciiTheme="majorBidi" w:hAnsiTheme="majorBidi" w:cstheme="majorBidi"/>
          <w:bCs/>
          <w:lang w:val="en-US"/>
        </w:rPr>
        <w:t>Neergaard</w:t>
      </w:r>
      <w:proofErr w:type="spellEnd"/>
      <w:r>
        <w:rPr>
          <w:rFonts w:asciiTheme="majorBidi" w:hAnsiTheme="majorBidi" w:cstheme="majorBidi"/>
          <w:bCs/>
          <w:lang w:val="en-US"/>
        </w:rPr>
        <w:t>, 2021).</w:t>
      </w:r>
      <w:r w:rsidR="002D3E06">
        <w:rPr>
          <w:rFonts w:asciiTheme="majorBidi" w:hAnsiTheme="majorBidi" w:cstheme="majorBidi"/>
          <w:bCs/>
          <w:lang w:val="en-US"/>
        </w:rPr>
        <w:t xml:space="preserve"> After t</w:t>
      </w:r>
      <w:r>
        <w:rPr>
          <w:rFonts w:asciiTheme="majorBidi" w:hAnsiTheme="majorBidi" w:cstheme="majorBidi"/>
          <w:bCs/>
          <w:lang w:val="en-US"/>
        </w:rPr>
        <w:t>his vote was ignored</w:t>
      </w:r>
      <w:r w:rsidR="003C3A3E">
        <w:rPr>
          <w:rFonts w:asciiTheme="majorBidi" w:hAnsiTheme="majorBidi" w:cstheme="majorBidi"/>
          <w:bCs/>
          <w:lang w:val="en-US"/>
        </w:rPr>
        <w:t xml:space="preserve"> and </w:t>
      </w:r>
      <w:r>
        <w:rPr>
          <w:rFonts w:asciiTheme="majorBidi" w:hAnsiTheme="majorBidi" w:cstheme="majorBidi"/>
          <w:bCs/>
          <w:lang w:val="en-US"/>
        </w:rPr>
        <w:t xml:space="preserve">the FDA </w:t>
      </w:r>
      <w:r w:rsidR="003C3A3E">
        <w:rPr>
          <w:rFonts w:asciiTheme="majorBidi" w:hAnsiTheme="majorBidi" w:cstheme="majorBidi"/>
          <w:bCs/>
          <w:lang w:val="en-US"/>
        </w:rPr>
        <w:t>approved</w:t>
      </w:r>
      <w:r>
        <w:rPr>
          <w:rFonts w:asciiTheme="majorBidi" w:hAnsiTheme="majorBidi" w:cstheme="majorBidi"/>
          <w:bCs/>
          <w:lang w:val="en-US"/>
        </w:rPr>
        <w:t xml:space="preserve"> boosters for the general population the </w:t>
      </w:r>
      <w:r w:rsidR="002D3E06">
        <w:rPr>
          <w:rFonts w:asciiTheme="majorBidi" w:hAnsiTheme="majorBidi" w:cstheme="majorBidi"/>
          <w:bCs/>
          <w:lang w:val="en-US"/>
        </w:rPr>
        <w:t xml:space="preserve">top two officials in </w:t>
      </w:r>
      <w:r w:rsidR="003C3A3E">
        <w:rPr>
          <w:rFonts w:asciiTheme="majorBidi" w:hAnsiTheme="majorBidi" w:cstheme="majorBidi"/>
          <w:bCs/>
        </w:rPr>
        <w:t>FDA’s Office of Vaccines Research and R</w:t>
      </w:r>
      <w:r w:rsidR="003C3A3E" w:rsidRPr="003C3A3E">
        <w:rPr>
          <w:rFonts w:asciiTheme="majorBidi" w:hAnsiTheme="majorBidi" w:cstheme="majorBidi"/>
          <w:bCs/>
        </w:rPr>
        <w:t>eview</w:t>
      </w:r>
      <w:r w:rsidR="003C3A3E">
        <w:rPr>
          <w:rFonts w:asciiTheme="majorBidi" w:hAnsiTheme="majorBidi" w:cstheme="majorBidi"/>
          <w:bCs/>
        </w:rPr>
        <w:t xml:space="preserve"> resigned and </w:t>
      </w:r>
      <w:r w:rsidR="00BA3B1C">
        <w:rPr>
          <w:rFonts w:asciiTheme="majorBidi" w:hAnsiTheme="majorBidi" w:cstheme="majorBidi"/>
          <w:bCs/>
        </w:rPr>
        <w:t>criticized</w:t>
      </w:r>
      <w:r w:rsidR="003C3A3E">
        <w:rPr>
          <w:rFonts w:asciiTheme="majorBidi" w:hAnsiTheme="majorBidi" w:cstheme="majorBidi"/>
          <w:bCs/>
        </w:rPr>
        <w:t xml:space="preserve"> decision-making </w:t>
      </w:r>
      <w:r w:rsidR="00933D03">
        <w:rPr>
          <w:rFonts w:asciiTheme="majorBidi" w:hAnsiTheme="majorBidi" w:cstheme="majorBidi"/>
          <w:bCs/>
        </w:rPr>
        <w:t>about</w:t>
      </w:r>
      <w:r w:rsidR="00857990">
        <w:rPr>
          <w:rFonts w:asciiTheme="majorBidi" w:hAnsiTheme="majorBidi" w:cstheme="majorBidi"/>
          <w:bCs/>
        </w:rPr>
        <w:t xml:space="preserve"> </w:t>
      </w:r>
      <w:r w:rsidR="00933D03">
        <w:rPr>
          <w:rFonts w:asciiTheme="majorBidi" w:hAnsiTheme="majorBidi" w:cstheme="majorBidi"/>
          <w:bCs/>
        </w:rPr>
        <w:t xml:space="preserve">mass </w:t>
      </w:r>
      <w:r w:rsidR="00A010FA">
        <w:rPr>
          <w:rFonts w:asciiTheme="majorBidi" w:hAnsiTheme="majorBidi" w:cstheme="majorBidi"/>
          <w:bCs/>
        </w:rPr>
        <w:t xml:space="preserve">rollout </w:t>
      </w:r>
      <w:r w:rsidR="00933D03">
        <w:rPr>
          <w:rFonts w:asciiTheme="majorBidi" w:hAnsiTheme="majorBidi" w:cstheme="majorBidi"/>
          <w:bCs/>
        </w:rPr>
        <w:t xml:space="preserve">of </w:t>
      </w:r>
      <w:r w:rsidR="00857990">
        <w:rPr>
          <w:rFonts w:asciiTheme="majorBidi" w:hAnsiTheme="majorBidi" w:cstheme="majorBidi"/>
          <w:bCs/>
        </w:rPr>
        <w:t>boosters (Krause et al, 2021).</w:t>
      </w:r>
      <w:r w:rsidR="00A010FA">
        <w:rPr>
          <w:rFonts w:asciiTheme="majorBidi" w:hAnsiTheme="majorBidi" w:cstheme="majorBidi"/>
          <w:bCs/>
        </w:rPr>
        <w:t xml:space="preserve"> This critique noted </w:t>
      </w:r>
      <w:r w:rsidR="003C3A3E">
        <w:rPr>
          <w:rFonts w:asciiTheme="majorBidi" w:hAnsiTheme="majorBidi" w:cstheme="majorBidi"/>
          <w:bCs/>
        </w:rPr>
        <w:t xml:space="preserve">that if </w:t>
      </w:r>
      <w:r w:rsidR="003C3A3E" w:rsidRPr="003C3A3E">
        <w:rPr>
          <w:rFonts w:asciiTheme="majorBidi" w:hAnsiTheme="majorBidi" w:cstheme="majorBidi"/>
          <w:bCs/>
        </w:rPr>
        <w:t>unnecessary boosting causes significant adverse reactions</w:t>
      </w:r>
      <w:r w:rsidR="003C3A3E">
        <w:rPr>
          <w:rFonts w:asciiTheme="majorBidi" w:hAnsiTheme="majorBidi" w:cstheme="majorBidi"/>
          <w:bCs/>
        </w:rPr>
        <w:t xml:space="preserve"> it </w:t>
      </w:r>
      <w:r w:rsidR="00A010FA">
        <w:rPr>
          <w:rFonts w:asciiTheme="majorBidi" w:hAnsiTheme="majorBidi" w:cstheme="majorBidi"/>
          <w:bCs/>
        </w:rPr>
        <w:t>may</w:t>
      </w:r>
      <w:r w:rsidR="003C3A3E">
        <w:rPr>
          <w:rFonts w:asciiTheme="majorBidi" w:hAnsiTheme="majorBidi" w:cstheme="majorBidi"/>
          <w:bCs/>
        </w:rPr>
        <w:t xml:space="preserve"> increase vaccine hesitancy more generally</w:t>
      </w:r>
      <w:r w:rsidR="00C8548A">
        <w:rPr>
          <w:rFonts w:asciiTheme="majorBidi" w:hAnsiTheme="majorBidi" w:cstheme="majorBidi"/>
          <w:bCs/>
        </w:rPr>
        <w:t>;</w:t>
      </w:r>
      <w:r w:rsidR="003C3A3E" w:rsidRPr="003C3A3E">
        <w:rPr>
          <w:rFonts w:asciiTheme="majorBidi" w:hAnsiTheme="majorBidi" w:cstheme="majorBidi"/>
          <w:bCs/>
        </w:rPr>
        <w:t xml:space="preserve"> </w:t>
      </w:r>
      <w:r w:rsidR="00C8548A">
        <w:rPr>
          <w:rFonts w:asciiTheme="majorBidi" w:hAnsiTheme="majorBidi" w:cstheme="majorBidi"/>
          <w:bCs/>
        </w:rPr>
        <w:t xml:space="preserve">a concern </w:t>
      </w:r>
      <w:r w:rsidR="00A010FA">
        <w:rPr>
          <w:rFonts w:asciiTheme="majorBidi" w:hAnsiTheme="majorBidi" w:cstheme="majorBidi"/>
          <w:bCs/>
        </w:rPr>
        <w:t>rais</w:t>
      </w:r>
      <w:r w:rsidR="00C8548A">
        <w:rPr>
          <w:rFonts w:asciiTheme="majorBidi" w:hAnsiTheme="majorBidi" w:cstheme="majorBidi"/>
          <w:bCs/>
        </w:rPr>
        <w:t xml:space="preserve">ed elsewhere that </w:t>
      </w:r>
      <w:r w:rsidR="00C679DA">
        <w:rPr>
          <w:rFonts w:asciiTheme="majorBidi" w:hAnsiTheme="majorBidi" w:cstheme="majorBidi"/>
          <w:bCs/>
        </w:rPr>
        <w:t xml:space="preserve">the </w:t>
      </w:r>
      <w:r w:rsidR="00C8548A">
        <w:rPr>
          <w:rFonts w:asciiTheme="majorBidi" w:hAnsiTheme="majorBidi" w:cstheme="majorBidi"/>
          <w:bCs/>
        </w:rPr>
        <w:t xml:space="preserve">potentially low benefits of COVID-19 vaccines relative to </w:t>
      </w:r>
      <w:r w:rsidR="004639E4">
        <w:rPr>
          <w:rFonts w:asciiTheme="majorBidi" w:hAnsiTheme="majorBidi" w:cstheme="majorBidi"/>
          <w:bCs/>
        </w:rPr>
        <w:t xml:space="preserve">the </w:t>
      </w:r>
      <w:r w:rsidR="00C8548A">
        <w:rPr>
          <w:rFonts w:asciiTheme="majorBidi" w:hAnsiTheme="majorBidi" w:cstheme="majorBidi"/>
          <w:bCs/>
        </w:rPr>
        <w:t xml:space="preserve">costs borne by vaccinees </w:t>
      </w:r>
      <w:r w:rsidR="00A010FA">
        <w:rPr>
          <w:rFonts w:asciiTheme="majorBidi" w:hAnsiTheme="majorBidi" w:cstheme="majorBidi"/>
          <w:bCs/>
        </w:rPr>
        <w:t>(</w:t>
      </w:r>
      <w:r w:rsidR="004639E4">
        <w:rPr>
          <w:rFonts w:asciiTheme="majorBidi" w:hAnsiTheme="majorBidi" w:cstheme="majorBidi"/>
          <w:bCs/>
        </w:rPr>
        <w:t xml:space="preserve">such as exposure to </w:t>
      </w:r>
      <w:r w:rsidR="00A010FA">
        <w:rPr>
          <w:rFonts w:asciiTheme="majorBidi" w:hAnsiTheme="majorBidi" w:cstheme="majorBidi"/>
          <w:bCs/>
        </w:rPr>
        <w:t xml:space="preserve">breakthrough infections and </w:t>
      </w:r>
      <w:r w:rsidR="004639E4">
        <w:rPr>
          <w:rFonts w:asciiTheme="majorBidi" w:hAnsiTheme="majorBidi" w:cstheme="majorBidi"/>
          <w:bCs/>
        </w:rPr>
        <w:t xml:space="preserve">to </w:t>
      </w:r>
      <w:r w:rsidR="00C679DA">
        <w:rPr>
          <w:rFonts w:asciiTheme="majorBidi" w:hAnsiTheme="majorBidi" w:cstheme="majorBidi"/>
          <w:bCs/>
        </w:rPr>
        <w:t xml:space="preserve">vaccine </w:t>
      </w:r>
      <w:r w:rsidR="00A010FA">
        <w:rPr>
          <w:rFonts w:asciiTheme="majorBidi" w:hAnsiTheme="majorBidi" w:cstheme="majorBidi"/>
          <w:bCs/>
        </w:rPr>
        <w:t xml:space="preserve">adverse </w:t>
      </w:r>
      <w:r w:rsidR="00C679DA">
        <w:rPr>
          <w:rFonts w:asciiTheme="majorBidi" w:hAnsiTheme="majorBidi" w:cstheme="majorBidi"/>
          <w:bCs/>
        </w:rPr>
        <w:t>events</w:t>
      </w:r>
      <w:r w:rsidR="00A010FA">
        <w:rPr>
          <w:rFonts w:asciiTheme="majorBidi" w:hAnsiTheme="majorBidi" w:cstheme="majorBidi"/>
          <w:bCs/>
        </w:rPr>
        <w:t xml:space="preserve">) </w:t>
      </w:r>
      <w:r w:rsidR="00C8548A">
        <w:rPr>
          <w:rFonts w:asciiTheme="majorBidi" w:hAnsiTheme="majorBidi" w:cstheme="majorBidi"/>
          <w:bCs/>
        </w:rPr>
        <w:t xml:space="preserve">may undermine </w:t>
      </w:r>
      <w:r w:rsidR="00C679DA">
        <w:rPr>
          <w:rFonts w:asciiTheme="majorBidi" w:hAnsiTheme="majorBidi" w:cstheme="majorBidi"/>
          <w:bCs/>
        </w:rPr>
        <w:t xml:space="preserve">public </w:t>
      </w:r>
      <w:r w:rsidR="00C8548A">
        <w:rPr>
          <w:rFonts w:asciiTheme="majorBidi" w:hAnsiTheme="majorBidi" w:cstheme="majorBidi"/>
          <w:bCs/>
        </w:rPr>
        <w:t xml:space="preserve">confidence in other vaccination efforts </w:t>
      </w:r>
      <w:r w:rsidR="003C3A3E">
        <w:rPr>
          <w:rFonts w:asciiTheme="majorBidi" w:hAnsiTheme="majorBidi" w:cstheme="majorBidi"/>
          <w:bCs/>
        </w:rPr>
        <w:t>(</w:t>
      </w:r>
      <w:proofErr w:type="spellStart"/>
      <w:r w:rsidR="00AB6BC1">
        <w:rPr>
          <w:rFonts w:asciiTheme="majorBidi" w:hAnsiTheme="majorBidi" w:cstheme="majorBidi"/>
          <w:bCs/>
        </w:rPr>
        <w:t>Godlee</w:t>
      </w:r>
      <w:proofErr w:type="spellEnd"/>
      <w:r w:rsidR="00AB6BC1">
        <w:rPr>
          <w:rFonts w:asciiTheme="majorBidi" w:hAnsiTheme="majorBidi" w:cstheme="majorBidi"/>
          <w:bCs/>
        </w:rPr>
        <w:t xml:space="preserve">, 2020; </w:t>
      </w:r>
      <w:r w:rsidR="003C3A3E">
        <w:rPr>
          <w:rFonts w:asciiTheme="majorBidi" w:hAnsiTheme="majorBidi" w:cstheme="majorBidi"/>
          <w:bCs/>
        </w:rPr>
        <w:t>Gibson, 2022</w:t>
      </w:r>
      <w:r w:rsidR="00AB6BC1">
        <w:rPr>
          <w:rFonts w:asciiTheme="majorBidi" w:hAnsiTheme="majorBidi" w:cstheme="majorBidi"/>
          <w:bCs/>
        </w:rPr>
        <w:t>a</w:t>
      </w:r>
      <w:r w:rsidR="003C3A3E">
        <w:rPr>
          <w:rFonts w:asciiTheme="majorBidi" w:hAnsiTheme="majorBidi" w:cstheme="majorBidi"/>
          <w:bCs/>
        </w:rPr>
        <w:t>).</w:t>
      </w:r>
      <w:r w:rsidR="00A010FA">
        <w:rPr>
          <w:rFonts w:asciiTheme="majorBidi" w:hAnsiTheme="majorBidi" w:cstheme="majorBidi"/>
          <w:bCs/>
        </w:rPr>
        <w:t xml:space="preserve"> </w:t>
      </w:r>
      <w:r w:rsidR="00A90B31">
        <w:rPr>
          <w:rFonts w:asciiTheme="majorBidi" w:hAnsiTheme="majorBidi" w:cstheme="majorBidi"/>
          <w:bCs/>
          <w:lang w:val="en-US"/>
        </w:rPr>
        <w:t xml:space="preserve">Even the </w:t>
      </w:r>
      <w:r w:rsidR="00933D03">
        <w:rPr>
          <w:rFonts w:asciiTheme="majorBidi" w:hAnsiTheme="majorBidi" w:cstheme="majorBidi"/>
          <w:bCs/>
          <w:lang w:val="en-US"/>
        </w:rPr>
        <w:t>World Health Organization argue</w:t>
      </w:r>
      <w:r w:rsidR="00A90B31">
        <w:rPr>
          <w:rFonts w:asciiTheme="majorBidi" w:hAnsiTheme="majorBidi" w:cstheme="majorBidi"/>
          <w:bCs/>
          <w:lang w:val="en-US"/>
        </w:rPr>
        <w:t xml:space="preserve"> that a vaccination strategy based on repeated booster doses of the original vaccine composition is unlikely to be appropriate or sustainable (WHO, 2022). </w:t>
      </w:r>
    </w:p>
    <w:p w:rsidR="00465FD9" w:rsidRDefault="00584236" w:rsidP="003B69A0">
      <w:pPr>
        <w:widowControl w:val="0"/>
        <w:spacing w:after="0" w:line="288" w:lineRule="auto"/>
        <w:ind w:firstLine="720"/>
        <w:jc w:val="both"/>
        <w:rPr>
          <w:rFonts w:asciiTheme="majorBidi" w:hAnsiTheme="majorBidi" w:cstheme="majorBidi"/>
          <w:color w:val="222222"/>
          <w:shd w:val="clear" w:color="auto" w:fill="FFFFFF"/>
        </w:rPr>
      </w:pPr>
      <w:r>
        <w:rPr>
          <w:rFonts w:asciiTheme="majorBidi" w:hAnsiTheme="majorBidi" w:cstheme="majorBidi"/>
          <w:bCs/>
          <w:lang w:val="en-US"/>
        </w:rPr>
        <w:t>Notwithstanding these concerns, many countries began booster rollouts</w:t>
      </w:r>
      <w:r w:rsidR="00AB6BC1">
        <w:rPr>
          <w:rFonts w:asciiTheme="majorBidi" w:hAnsiTheme="majorBidi" w:cstheme="majorBidi"/>
          <w:bCs/>
          <w:lang w:val="en-US"/>
        </w:rPr>
        <w:t xml:space="preserve"> in the second half of 2021</w:t>
      </w:r>
      <w:r w:rsidR="00C679DA">
        <w:rPr>
          <w:rFonts w:asciiTheme="majorBidi" w:hAnsiTheme="majorBidi" w:cstheme="majorBidi"/>
          <w:bCs/>
          <w:lang w:val="en-US"/>
        </w:rPr>
        <w:t>, and to date (mid-June, 2022),</w:t>
      </w:r>
      <w:r w:rsidR="003F68AF">
        <w:rPr>
          <w:rFonts w:asciiTheme="majorBidi" w:hAnsiTheme="majorBidi" w:cstheme="majorBidi"/>
          <w:bCs/>
          <w:lang w:val="en-US"/>
        </w:rPr>
        <w:t xml:space="preserve"> 2.1 billion booster doses </w:t>
      </w:r>
      <w:r w:rsidR="00C679DA">
        <w:rPr>
          <w:rFonts w:asciiTheme="majorBidi" w:hAnsiTheme="majorBidi" w:cstheme="majorBidi"/>
          <w:bCs/>
          <w:lang w:val="en-US"/>
        </w:rPr>
        <w:t>have</w:t>
      </w:r>
      <w:r w:rsidR="003F68AF">
        <w:rPr>
          <w:rFonts w:asciiTheme="majorBidi" w:hAnsiTheme="majorBidi" w:cstheme="majorBidi"/>
          <w:bCs/>
          <w:lang w:val="en-US"/>
        </w:rPr>
        <w:t xml:space="preserve"> been </w:t>
      </w:r>
      <w:r w:rsidR="00C679DA">
        <w:rPr>
          <w:rFonts w:asciiTheme="majorBidi" w:hAnsiTheme="majorBidi" w:cstheme="majorBidi"/>
          <w:bCs/>
          <w:lang w:val="en-US"/>
        </w:rPr>
        <w:t xml:space="preserve">given, </w:t>
      </w:r>
      <w:r w:rsidR="003F68AF">
        <w:rPr>
          <w:rFonts w:asciiTheme="majorBidi" w:hAnsiTheme="majorBidi" w:cstheme="majorBidi"/>
          <w:bCs/>
          <w:lang w:val="en-US"/>
        </w:rPr>
        <w:t>compared with 10 billion original protocol doses</w:t>
      </w:r>
      <w:r w:rsidR="00C679DA">
        <w:rPr>
          <w:rFonts w:asciiTheme="majorBidi" w:hAnsiTheme="majorBidi" w:cstheme="majorBidi"/>
          <w:bCs/>
          <w:lang w:val="en-US"/>
        </w:rPr>
        <w:t>. T</w:t>
      </w:r>
      <w:r w:rsidR="005F6B3F">
        <w:rPr>
          <w:rFonts w:asciiTheme="majorBidi" w:hAnsiTheme="majorBidi" w:cstheme="majorBidi"/>
          <w:bCs/>
          <w:lang w:val="en-US"/>
        </w:rPr>
        <w:t>h</w:t>
      </w:r>
      <w:r w:rsidR="00224F73">
        <w:rPr>
          <w:rFonts w:asciiTheme="majorBidi" w:hAnsiTheme="majorBidi" w:cstheme="majorBidi"/>
          <w:bCs/>
          <w:lang w:val="en-US"/>
        </w:rPr>
        <w:t>ese</w:t>
      </w:r>
      <w:r w:rsidR="00C679DA">
        <w:rPr>
          <w:rFonts w:asciiTheme="majorBidi" w:hAnsiTheme="majorBidi" w:cstheme="majorBidi"/>
          <w:bCs/>
          <w:lang w:val="en-US"/>
        </w:rPr>
        <w:t xml:space="preserve"> </w:t>
      </w:r>
      <w:r w:rsidR="00224F73">
        <w:rPr>
          <w:rFonts w:asciiTheme="majorBidi" w:hAnsiTheme="majorBidi" w:cstheme="majorBidi"/>
          <w:bCs/>
          <w:lang w:val="en-US"/>
        </w:rPr>
        <w:t>are</w:t>
      </w:r>
      <w:r w:rsidR="00C679DA">
        <w:rPr>
          <w:rFonts w:asciiTheme="majorBidi" w:hAnsiTheme="majorBidi" w:cstheme="majorBidi"/>
          <w:bCs/>
          <w:lang w:val="en-US"/>
        </w:rPr>
        <w:t xml:space="preserve"> especially </w:t>
      </w:r>
      <w:r w:rsidR="005F6B3F">
        <w:rPr>
          <w:rFonts w:asciiTheme="majorBidi" w:hAnsiTheme="majorBidi" w:cstheme="majorBidi"/>
          <w:bCs/>
          <w:lang w:val="en-US"/>
        </w:rPr>
        <w:t xml:space="preserve">a feature of </w:t>
      </w:r>
      <w:r w:rsidR="007C3A61">
        <w:rPr>
          <w:rFonts w:asciiTheme="majorBidi" w:hAnsiTheme="majorBidi" w:cstheme="majorBidi"/>
          <w:bCs/>
          <w:lang w:val="en-US"/>
        </w:rPr>
        <w:t xml:space="preserve">rich </w:t>
      </w:r>
      <w:r w:rsidR="00C679DA">
        <w:rPr>
          <w:rFonts w:asciiTheme="majorBidi" w:hAnsiTheme="majorBidi" w:cstheme="majorBidi"/>
          <w:bCs/>
          <w:lang w:val="en-US"/>
        </w:rPr>
        <w:t xml:space="preserve">countries, where boosters have been </w:t>
      </w:r>
      <w:r w:rsidR="003F68AF">
        <w:rPr>
          <w:rFonts w:asciiTheme="majorBidi" w:hAnsiTheme="majorBidi" w:cstheme="majorBidi"/>
          <w:bCs/>
          <w:lang w:val="en-US"/>
        </w:rPr>
        <w:t xml:space="preserve">one-quarter of all doses </w:t>
      </w:r>
      <w:r w:rsidR="00C679DA">
        <w:rPr>
          <w:rFonts w:asciiTheme="majorBidi" w:hAnsiTheme="majorBidi" w:cstheme="majorBidi"/>
          <w:bCs/>
          <w:lang w:val="en-US"/>
        </w:rPr>
        <w:t>given</w:t>
      </w:r>
      <w:r w:rsidR="005F6B3F">
        <w:rPr>
          <w:rFonts w:asciiTheme="majorBidi" w:hAnsiTheme="majorBidi" w:cstheme="majorBidi"/>
          <w:bCs/>
          <w:lang w:val="en-US"/>
        </w:rPr>
        <w:t xml:space="preserve"> versus</w:t>
      </w:r>
      <w:r w:rsidR="00C679DA">
        <w:rPr>
          <w:rFonts w:asciiTheme="majorBidi" w:hAnsiTheme="majorBidi" w:cstheme="majorBidi"/>
          <w:bCs/>
          <w:lang w:val="en-US"/>
        </w:rPr>
        <w:t xml:space="preserve"> </w:t>
      </w:r>
      <w:r w:rsidR="003F68AF">
        <w:rPr>
          <w:rFonts w:asciiTheme="majorBidi" w:hAnsiTheme="majorBidi" w:cstheme="majorBidi"/>
          <w:bCs/>
          <w:lang w:val="en-US"/>
        </w:rPr>
        <w:t xml:space="preserve">just 3% of doses </w:t>
      </w:r>
      <w:r w:rsidR="005F6B3F">
        <w:rPr>
          <w:rFonts w:asciiTheme="majorBidi" w:hAnsiTheme="majorBidi" w:cstheme="majorBidi"/>
          <w:bCs/>
          <w:lang w:val="en-US"/>
        </w:rPr>
        <w:t xml:space="preserve">administered </w:t>
      </w:r>
      <w:r w:rsidR="003F68AF">
        <w:rPr>
          <w:rFonts w:asciiTheme="majorBidi" w:hAnsiTheme="majorBidi" w:cstheme="majorBidi"/>
          <w:bCs/>
          <w:lang w:val="en-US"/>
        </w:rPr>
        <w:t xml:space="preserve">in low-income countries </w:t>
      </w:r>
      <w:r w:rsidR="00C679DA">
        <w:rPr>
          <w:rFonts w:asciiTheme="majorBidi" w:hAnsiTheme="majorBidi" w:cstheme="majorBidi"/>
        </w:rPr>
        <w:t>(</w:t>
      </w:r>
      <w:r w:rsidR="00C679DA" w:rsidRPr="008361F4">
        <w:rPr>
          <w:rFonts w:asciiTheme="majorBidi" w:hAnsiTheme="majorBidi" w:cstheme="majorBidi"/>
          <w:color w:val="222222"/>
          <w:shd w:val="clear" w:color="auto" w:fill="FFFFFF"/>
        </w:rPr>
        <w:t>Mathieu</w:t>
      </w:r>
      <w:r w:rsidR="00C679DA">
        <w:rPr>
          <w:rFonts w:asciiTheme="majorBidi" w:hAnsiTheme="majorBidi" w:cstheme="majorBidi"/>
          <w:color w:val="222222"/>
          <w:shd w:val="clear" w:color="auto" w:fill="FFFFFF"/>
        </w:rPr>
        <w:t xml:space="preserve"> et al, 2021).</w:t>
      </w:r>
      <w:r w:rsidR="00297096">
        <w:rPr>
          <w:rFonts w:asciiTheme="majorBidi" w:hAnsiTheme="majorBidi" w:cstheme="majorBidi"/>
          <w:color w:val="222222"/>
          <w:shd w:val="clear" w:color="auto" w:fill="FFFFFF"/>
        </w:rPr>
        <w:t xml:space="preserve"> Aggregate data for one </w:t>
      </w:r>
      <w:r w:rsidR="00100286">
        <w:rPr>
          <w:rFonts w:asciiTheme="majorBidi" w:hAnsiTheme="majorBidi" w:cstheme="majorBidi"/>
          <w:color w:val="222222"/>
          <w:shd w:val="clear" w:color="auto" w:fill="FFFFFF"/>
        </w:rPr>
        <w:t xml:space="preserve">set </w:t>
      </w:r>
      <w:r w:rsidR="00297096">
        <w:rPr>
          <w:rFonts w:asciiTheme="majorBidi" w:hAnsiTheme="majorBidi" w:cstheme="majorBidi"/>
          <w:color w:val="222222"/>
          <w:shd w:val="clear" w:color="auto" w:fill="FFFFFF"/>
        </w:rPr>
        <w:t xml:space="preserve">of </w:t>
      </w:r>
      <w:r w:rsidR="007C3A61">
        <w:rPr>
          <w:rFonts w:asciiTheme="majorBidi" w:hAnsiTheme="majorBidi" w:cstheme="majorBidi"/>
          <w:color w:val="222222"/>
          <w:shd w:val="clear" w:color="auto" w:fill="FFFFFF"/>
        </w:rPr>
        <w:t>rich</w:t>
      </w:r>
      <w:r w:rsidR="00297096">
        <w:rPr>
          <w:rFonts w:asciiTheme="majorBidi" w:hAnsiTheme="majorBidi" w:cstheme="majorBidi"/>
          <w:color w:val="222222"/>
          <w:shd w:val="clear" w:color="auto" w:fill="FFFFFF"/>
        </w:rPr>
        <w:t xml:space="preserve"> countries (</w:t>
      </w:r>
      <w:r w:rsidR="007C3A61">
        <w:rPr>
          <w:rFonts w:asciiTheme="majorBidi" w:hAnsiTheme="majorBidi" w:cstheme="majorBidi"/>
          <w:color w:val="222222"/>
          <w:shd w:val="clear" w:color="auto" w:fill="FFFFFF"/>
        </w:rPr>
        <w:t xml:space="preserve">the </w:t>
      </w:r>
      <w:r w:rsidR="00297096">
        <w:rPr>
          <w:rFonts w:asciiTheme="majorBidi" w:hAnsiTheme="majorBidi" w:cstheme="majorBidi"/>
          <w:color w:val="222222"/>
          <w:shd w:val="clear" w:color="auto" w:fill="FFFFFF"/>
        </w:rPr>
        <w:t xml:space="preserve">OECD members) show higher excess mortality </w:t>
      </w:r>
      <w:r w:rsidR="00100286">
        <w:rPr>
          <w:rFonts w:asciiTheme="majorBidi" w:hAnsiTheme="majorBidi" w:cstheme="majorBidi"/>
          <w:color w:val="222222"/>
          <w:shd w:val="clear" w:color="auto" w:fill="FFFFFF"/>
        </w:rPr>
        <w:t>when</w:t>
      </w:r>
      <w:r w:rsidR="00297096">
        <w:rPr>
          <w:rFonts w:asciiTheme="majorBidi" w:hAnsiTheme="majorBidi" w:cstheme="majorBidi"/>
          <w:color w:val="222222"/>
          <w:shd w:val="clear" w:color="auto" w:fill="FFFFFF"/>
        </w:rPr>
        <w:t xml:space="preserve"> more booster doses </w:t>
      </w:r>
      <w:r w:rsidR="00100286">
        <w:rPr>
          <w:rFonts w:asciiTheme="majorBidi" w:hAnsiTheme="majorBidi" w:cstheme="majorBidi"/>
          <w:color w:val="222222"/>
          <w:shd w:val="clear" w:color="auto" w:fill="FFFFFF"/>
        </w:rPr>
        <w:t>are used</w:t>
      </w:r>
      <w:r w:rsidR="00DB6A73">
        <w:rPr>
          <w:rFonts w:asciiTheme="majorBidi" w:hAnsiTheme="majorBidi" w:cstheme="majorBidi"/>
          <w:color w:val="222222"/>
          <w:shd w:val="clear" w:color="auto" w:fill="FFFFFF"/>
        </w:rPr>
        <w:t>.</w:t>
      </w:r>
      <w:r w:rsidR="00DB6A73">
        <w:rPr>
          <w:rStyle w:val="FootnoteReference"/>
          <w:rFonts w:asciiTheme="majorBidi" w:hAnsiTheme="majorBidi" w:cstheme="majorBidi"/>
          <w:color w:val="222222"/>
          <w:shd w:val="clear" w:color="auto" w:fill="FFFFFF"/>
        </w:rPr>
        <w:footnoteReference w:id="1"/>
      </w:r>
      <w:r w:rsidR="00DB6A73">
        <w:rPr>
          <w:rFonts w:asciiTheme="majorBidi" w:hAnsiTheme="majorBidi" w:cstheme="majorBidi"/>
          <w:color w:val="222222"/>
          <w:shd w:val="clear" w:color="auto" w:fill="FFFFFF"/>
        </w:rPr>
        <w:t xml:space="preserve"> This</w:t>
      </w:r>
      <w:r w:rsidR="00100286">
        <w:rPr>
          <w:rFonts w:asciiTheme="majorBidi" w:hAnsiTheme="majorBidi" w:cstheme="majorBidi"/>
          <w:color w:val="222222"/>
          <w:shd w:val="clear" w:color="auto" w:fill="FFFFFF"/>
        </w:rPr>
        <w:t xml:space="preserve"> </w:t>
      </w:r>
      <w:r w:rsidR="007C3A61">
        <w:rPr>
          <w:rFonts w:asciiTheme="majorBidi" w:hAnsiTheme="majorBidi" w:cstheme="majorBidi"/>
          <w:color w:val="222222"/>
          <w:shd w:val="clear" w:color="auto" w:fill="FFFFFF"/>
        </w:rPr>
        <w:t>accord</w:t>
      </w:r>
      <w:r w:rsidR="00DB6A73">
        <w:rPr>
          <w:rFonts w:asciiTheme="majorBidi" w:hAnsiTheme="majorBidi" w:cstheme="majorBidi"/>
          <w:color w:val="222222"/>
          <w:shd w:val="clear" w:color="auto" w:fill="FFFFFF"/>
        </w:rPr>
        <w:t>s</w:t>
      </w:r>
      <w:r w:rsidR="007C3A61">
        <w:rPr>
          <w:rFonts w:asciiTheme="majorBidi" w:hAnsiTheme="majorBidi" w:cstheme="majorBidi"/>
          <w:color w:val="222222"/>
          <w:shd w:val="clear" w:color="auto" w:fill="FFFFFF"/>
        </w:rPr>
        <w:t xml:space="preserve"> </w:t>
      </w:r>
      <w:r w:rsidR="00100286">
        <w:rPr>
          <w:rFonts w:asciiTheme="majorBidi" w:hAnsiTheme="majorBidi" w:cstheme="majorBidi"/>
          <w:color w:val="222222"/>
          <w:shd w:val="clear" w:color="auto" w:fill="FFFFFF"/>
        </w:rPr>
        <w:t xml:space="preserve">with higher all-cause </w:t>
      </w:r>
      <w:r w:rsidR="00771DB8">
        <w:rPr>
          <w:rFonts w:asciiTheme="majorBidi" w:hAnsiTheme="majorBidi" w:cstheme="majorBidi"/>
          <w:color w:val="222222"/>
          <w:shd w:val="clear" w:color="auto" w:fill="FFFFFF"/>
        </w:rPr>
        <w:t>mortality</w:t>
      </w:r>
      <w:r w:rsidR="00100286">
        <w:rPr>
          <w:rFonts w:asciiTheme="majorBidi" w:hAnsiTheme="majorBidi" w:cstheme="majorBidi"/>
          <w:color w:val="222222"/>
          <w:shd w:val="clear" w:color="auto" w:fill="FFFFFF"/>
        </w:rPr>
        <w:t xml:space="preserve"> </w:t>
      </w:r>
      <w:r w:rsidR="00465FD9">
        <w:rPr>
          <w:rFonts w:asciiTheme="majorBidi" w:hAnsiTheme="majorBidi" w:cstheme="majorBidi"/>
          <w:color w:val="222222"/>
          <w:shd w:val="clear" w:color="auto" w:fill="FFFFFF"/>
        </w:rPr>
        <w:t>amongst</w:t>
      </w:r>
      <w:r w:rsidR="00771DB8">
        <w:rPr>
          <w:rFonts w:asciiTheme="majorBidi" w:hAnsiTheme="majorBidi" w:cstheme="majorBidi"/>
          <w:color w:val="222222"/>
          <w:shd w:val="clear" w:color="auto" w:fill="FFFFFF"/>
        </w:rPr>
        <w:t xml:space="preserve"> vaccinees</w:t>
      </w:r>
      <w:r w:rsidR="00100286">
        <w:rPr>
          <w:rFonts w:asciiTheme="majorBidi" w:hAnsiTheme="majorBidi" w:cstheme="majorBidi"/>
          <w:color w:val="222222"/>
          <w:shd w:val="clear" w:color="auto" w:fill="FFFFFF"/>
        </w:rPr>
        <w:t xml:space="preserve"> in </w:t>
      </w:r>
      <w:r w:rsidR="00DB6A73">
        <w:rPr>
          <w:rFonts w:asciiTheme="majorBidi" w:hAnsiTheme="majorBidi" w:cstheme="majorBidi"/>
          <w:color w:val="222222"/>
          <w:shd w:val="clear" w:color="auto" w:fill="FFFFFF"/>
        </w:rPr>
        <w:t xml:space="preserve">Pfizer’s </w:t>
      </w:r>
      <w:r w:rsidR="00771DB8">
        <w:rPr>
          <w:rFonts w:asciiTheme="majorBidi" w:hAnsiTheme="majorBidi" w:cstheme="majorBidi"/>
          <w:color w:val="222222"/>
          <w:shd w:val="clear" w:color="auto" w:fill="FFFFFF"/>
        </w:rPr>
        <w:t xml:space="preserve">original </w:t>
      </w:r>
      <w:r w:rsidR="00100286">
        <w:rPr>
          <w:rFonts w:asciiTheme="majorBidi" w:hAnsiTheme="majorBidi" w:cstheme="majorBidi"/>
          <w:color w:val="222222"/>
          <w:shd w:val="clear" w:color="auto" w:fill="FFFFFF"/>
        </w:rPr>
        <w:t xml:space="preserve">randomized </w:t>
      </w:r>
      <w:r w:rsidR="00DB6A73">
        <w:rPr>
          <w:rFonts w:asciiTheme="majorBidi" w:hAnsiTheme="majorBidi" w:cstheme="majorBidi"/>
          <w:color w:val="222222"/>
          <w:shd w:val="clear" w:color="auto" w:fill="FFFFFF"/>
        </w:rPr>
        <w:t>trial (Gibson, 2022b)</w:t>
      </w:r>
      <w:r w:rsidR="00100286">
        <w:rPr>
          <w:rFonts w:asciiTheme="majorBidi" w:hAnsiTheme="majorBidi" w:cstheme="majorBidi"/>
          <w:color w:val="222222"/>
          <w:shd w:val="clear" w:color="auto" w:fill="FFFFFF"/>
        </w:rPr>
        <w:t>—recalling that booster</w:t>
      </w:r>
      <w:r w:rsidR="005D7C12">
        <w:rPr>
          <w:rFonts w:asciiTheme="majorBidi" w:hAnsiTheme="majorBidi" w:cstheme="majorBidi"/>
          <w:color w:val="222222"/>
          <w:shd w:val="clear" w:color="auto" w:fill="FFFFFF"/>
        </w:rPr>
        <w:t xml:space="preserve"> dose</w:t>
      </w:r>
      <w:r w:rsidR="00100286">
        <w:rPr>
          <w:rFonts w:asciiTheme="majorBidi" w:hAnsiTheme="majorBidi" w:cstheme="majorBidi"/>
          <w:color w:val="222222"/>
          <w:shd w:val="clear" w:color="auto" w:fill="FFFFFF"/>
        </w:rPr>
        <w:t>s are just the original Pfizer/</w:t>
      </w:r>
      <w:proofErr w:type="spellStart"/>
      <w:r w:rsidR="00100286">
        <w:rPr>
          <w:rFonts w:asciiTheme="majorBidi" w:hAnsiTheme="majorBidi" w:cstheme="majorBidi"/>
          <w:color w:val="222222"/>
          <w:shd w:val="clear" w:color="auto" w:fill="FFFFFF"/>
        </w:rPr>
        <w:t>BioNTech</w:t>
      </w:r>
      <w:proofErr w:type="spellEnd"/>
      <w:r w:rsidR="00100286">
        <w:rPr>
          <w:rFonts w:asciiTheme="majorBidi" w:hAnsiTheme="majorBidi" w:cstheme="majorBidi"/>
          <w:color w:val="222222"/>
          <w:shd w:val="clear" w:color="auto" w:fill="FFFFFF"/>
        </w:rPr>
        <w:t xml:space="preserve"> BNT162b2 </w:t>
      </w:r>
      <w:r w:rsidR="005D7C12">
        <w:rPr>
          <w:rFonts w:asciiTheme="majorBidi" w:hAnsiTheme="majorBidi" w:cstheme="majorBidi"/>
          <w:color w:val="222222"/>
          <w:shd w:val="clear" w:color="auto" w:fill="FFFFFF"/>
        </w:rPr>
        <w:t>recipe</w:t>
      </w:r>
      <w:r w:rsidR="00771DB8">
        <w:rPr>
          <w:rFonts w:asciiTheme="majorBidi" w:hAnsiTheme="majorBidi" w:cstheme="majorBidi"/>
          <w:color w:val="222222"/>
          <w:shd w:val="clear" w:color="auto" w:fill="FFFFFF"/>
        </w:rPr>
        <w:t>.</w:t>
      </w:r>
      <w:r w:rsidR="002556AD">
        <w:rPr>
          <w:rFonts w:asciiTheme="majorBidi" w:hAnsiTheme="majorBidi" w:cstheme="majorBidi"/>
          <w:color w:val="222222"/>
          <w:shd w:val="clear" w:color="auto" w:fill="FFFFFF"/>
        </w:rPr>
        <w:t xml:space="preserve"> Moreover, if vaccine adverse events </w:t>
      </w:r>
      <w:r w:rsidR="00DB6A73">
        <w:rPr>
          <w:rFonts w:asciiTheme="majorBidi" w:hAnsiTheme="majorBidi" w:cstheme="majorBidi"/>
          <w:color w:val="222222"/>
          <w:shd w:val="clear" w:color="auto" w:fill="FFFFFF"/>
        </w:rPr>
        <w:t>are dose-dependent</w:t>
      </w:r>
      <w:r w:rsidR="007211E2">
        <w:rPr>
          <w:rFonts w:asciiTheme="majorBidi" w:hAnsiTheme="majorBidi" w:cstheme="majorBidi"/>
          <w:color w:val="222222"/>
          <w:shd w:val="clear" w:color="auto" w:fill="FFFFFF"/>
        </w:rPr>
        <w:t>,</w:t>
      </w:r>
      <w:r w:rsidR="002556AD">
        <w:rPr>
          <w:rFonts w:asciiTheme="majorBidi" w:hAnsiTheme="majorBidi" w:cstheme="majorBidi"/>
          <w:color w:val="222222"/>
          <w:shd w:val="clear" w:color="auto" w:fill="FFFFFF"/>
        </w:rPr>
        <w:t xml:space="preserve"> and </w:t>
      </w:r>
      <w:r w:rsidR="007C3A61">
        <w:rPr>
          <w:rFonts w:asciiTheme="majorBidi" w:hAnsiTheme="majorBidi" w:cstheme="majorBidi"/>
          <w:color w:val="222222"/>
          <w:shd w:val="clear" w:color="auto" w:fill="FFFFFF"/>
        </w:rPr>
        <w:t xml:space="preserve">if using a </w:t>
      </w:r>
      <w:r w:rsidR="002556AD">
        <w:rPr>
          <w:rFonts w:asciiTheme="majorBidi" w:hAnsiTheme="majorBidi" w:cstheme="majorBidi"/>
          <w:color w:val="222222"/>
          <w:shd w:val="clear" w:color="auto" w:fill="FFFFFF"/>
        </w:rPr>
        <w:t xml:space="preserve">booster </w:t>
      </w:r>
      <w:r w:rsidR="003607A1">
        <w:rPr>
          <w:rFonts w:asciiTheme="majorBidi" w:hAnsiTheme="majorBidi" w:cstheme="majorBidi"/>
          <w:color w:val="222222"/>
          <w:shd w:val="clear" w:color="auto" w:fill="FFFFFF"/>
        </w:rPr>
        <w:t>formulated</w:t>
      </w:r>
      <w:r w:rsidR="002556AD">
        <w:rPr>
          <w:rFonts w:asciiTheme="majorBidi" w:hAnsiTheme="majorBidi" w:cstheme="majorBidi"/>
          <w:color w:val="222222"/>
          <w:shd w:val="clear" w:color="auto" w:fill="FFFFFF"/>
        </w:rPr>
        <w:t xml:space="preserve"> for the original Wuhan strain of SARS-CoV-2 </w:t>
      </w:r>
      <w:r w:rsidR="007C3A61">
        <w:rPr>
          <w:rFonts w:asciiTheme="majorBidi" w:hAnsiTheme="majorBidi" w:cstheme="majorBidi"/>
          <w:color w:val="222222"/>
          <w:shd w:val="clear" w:color="auto" w:fill="FFFFFF"/>
        </w:rPr>
        <w:t xml:space="preserve">fixates the immune system to protect against a variant no longer </w:t>
      </w:r>
      <w:r w:rsidR="004639E4">
        <w:rPr>
          <w:rFonts w:asciiTheme="majorBidi" w:hAnsiTheme="majorBidi" w:cstheme="majorBidi"/>
          <w:color w:val="222222"/>
          <w:shd w:val="clear" w:color="auto" w:fill="FFFFFF"/>
        </w:rPr>
        <w:t>circulating</w:t>
      </w:r>
      <w:r w:rsidR="007C3A61">
        <w:rPr>
          <w:rFonts w:asciiTheme="majorBidi" w:hAnsiTheme="majorBidi" w:cstheme="majorBidi"/>
          <w:color w:val="222222"/>
          <w:shd w:val="clear" w:color="auto" w:fill="FFFFFF"/>
        </w:rPr>
        <w:t xml:space="preserve"> (Reynolds et al, 2022)</w:t>
      </w:r>
      <w:r w:rsidR="002556AD">
        <w:rPr>
          <w:rFonts w:asciiTheme="majorBidi" w:hAnsiTheme="majorBidi" w:cstheme="majorBidi"/>
          <w:color w:val="222222"/>
          <w:shd w:val="clear" w:color="auto" w:fill="FFFFFF"/>
        </w:rPr>
        <w:t xml:space="preserve">, </w:t>
      </w:r>
      <w:r w:rsidR="004639E4">
        <w:rPr>
          <w:rFonts w:asciiTheme="majorBidi" w:hAnsiTheme="majorBidi" w:cstheme="majorBidi"/>
          <w:color w:val="222222"/>
          <w:shd w:val="clear" w:color="auto" w:fill="FFFFFF"/>
        </w:rPr>
        <w:t xml:space="preserve">the </w:t>
      </w:r>
      <w:r w:rsidR="00DB6A73">
        <w:rPr>
          <w:rFonts w:asciiTheme="majorBidi" w:hAnsiTheme="majorBidi" w:cstheme="majorBidi"/>
          <w:color w:val="222222"/>
          <w:shd w:val="clear" w:color="auto" w:fill="FFFFFF"/>
        </w:rPr>
        <w:t xml:space="preserve">ratio of </w:t>
      </w:r>
      <w:r w:rsidR="00764A8F">
        <w:rPr>
          <w:rFonts w:asciiTheme="majorBidi" w:hAnsiTheme="majorBidi" w:cstheme="majorBidi"/>
          <w:color w:val="222222"/>
          <w:shd w:val="clear" w:color="auto" w:fill="FFFFFF"/>
        </w:rPr>
        <w:t xml:space="preserve">vaccine </w:t>
      </w:r>
      <w:r w:rsidR="00F75820">
        <w:rPr>
          <w:rFonts w:asciiTheme="majorBidi" w:hAnsiTheme="majorBidi" w:cstheme="majorBidi"/>
          <w:color w:val="222222"/>
          <w:shd w:val="clear" w:color="auto" w:fill="FFFFFF"/>
        </w:rPr>
        <w:t>risk</w:t>
      </w:r>
      <w:r w:rsidR="00DB6A73">
        <w:rPr>
          <w:rFonts w:asciiTheme="majorBidi" w:hAnsiTheme="majorBidi" w:cstheme="majorBidi"/>
          <w:color w:val="222222"/>
          <w:shd w:val="clear" w:color="auto" w:fill="FFFFFF"/>
        </w:rPr>
        <w:t>s</w:t>
      </w:r>
      <w:r w:rsidR="005D7C12">
        <w:rPr>
          <w:rFonts w:asciiTheme="majorBidi" w:hAnsiTheme="majorBidi" w:cstheme="majorBidi"/>
          <w:color w:val="222222"/>
          <w:shd w:val="clear" w:color="auto" w:fill="FFFFFF"/>
        </w:rPr>
        <w:t xml:space="preserve"> to benefit</w:t>
      </w:r>
      <w:r w:rsidR="00DB6A73">
        <w:rPr>
          <w:rFonts w:asciiTheme="majorBidi" w:hAnsiTheme="majorBidi" w:cstheme="majorBidi"/>
          <w:color w:val="222222"/>
          <w:shd w:val="clear" w:color="auto" w:fill="FFFFFF"/>
        </w:rPr>
        <w:t>s</w:t>
      </w:r>
      <w:r w:rsidR="005D7C12">
        <w:rPr>
          <w:rFonts w:asciiTheme="majorBidi" w:hAnsiTheme="majorBidi" w:cstheme="majorBidi"/>
          <w:color w:val="222222"/>
          <w:shd w:val="clear" w:color="auto" w:fill="FFFFFF"/>
        </w:rPr>
        <w:t xml:space="preserve"> </w:t>
      </w:r>
      <w:r w:rsidR="007C3A61">
        <w:rPr>
          <w:rFonts w:asciiTheme="majorBidi" w:hAnsiTheme="majorBidi" w:cstheme="majorBidi"/>
          <w:color w:val="222222"/>
          <w:shd w:val="clear" w:color="auto" w:fill="FFFFFF"/>
        </w:rPr>
        <w:t>swi</w:t>
      </w:r>
      <w:r w:rsidR="002556AD">
        <w:rPr>
          <w:rFonts w:asciiTheme="majorBidi" w:hAnsiTheme="majorBidi" w:cstheme="majorBidi"/>
          <w:color w:val="222222"/>
          <w:shd w:val="clear" w:color="auto" w:fill="FFFFFF"/>
        </w:rPr>
        <w:t>ng</w:t>
      </w:r>
      <w:r w:rsidR="00DB6A73">
        <w:rPr>
          <w:rFonts w:asciiTheme="majorBidi" w:hAnsiTheme="majorBidi" w:cstheme="majorBidi"/>
          <w:color w:val="222222"/>
          <w:shd w:val="clear" w:color="auto" w:fill="FFFFFF"/>
        </w:rPr>
        <w:t>s</w:t>
      </w:r>
      <w:r w:rsidR="002556AD">
        <w:rPr>
          <w:rFonts w:asciiTheme="majorBidi" w:hAnsiTheme="majorBidi" w:cstheme="majorBidi"/>
          <w:color w:val="222222"/>
          <w:shd w:val="clear" w:color="auto" w:fill="FFFFFF"/>
        </w:rPr>
        <w:t xml:space="preserve"> more towards risk</w:t>
      </w:r>
      <w:r w:rsidR="00DB6A73">
        <w:rPr>
          <w:rFonts w:asciiTheme="majorBidi" w:hAnsiTheme="majorBidi" w:cstheme="majorBidi"/>
          <w:color w:val="222222"/>
          <w:shd w:val="clear" w:color="auto" w:fill="FFFFFF"/>
        </w:rPr>
        <w:t>s</w:t>
      </w:r>
      <w:r w:rsidR="002556AD">
        <w:rPr>
          <w:rFonts w:asciiTheme="majorBidi" w:hAnsiTheme="majorBidi" w:cstheme="majorBidi"/>
          <w:color w:val="222222"/>
          <w:shd w:val="clear" w:color="auto" w:fill="FFFFFF"/>
        </w:rPr>
        <w:t xml:space="preserve"> than </w:t>
      </w:r>
      <w:r w:rsidR="00764A8F">
        <w:rPr>
          <w:rFonts w:asciiTheme="majorBidi" w:hAnsiTheme="majorBidi" w:cstheme="majorBidi"/>
          <w:color w:val="222222"/>
          <w:shd w:val="clear" w:color="auto" w:fill="FFFFFF"/>
        </w:rPr>
        <w:t xml:space="preserve">at </w:t>
      </w:r>
      <w:r w:rsidR="002556AD">
        <w:rPr>
          <w:rFonts w:asciiTheme="majorBidi" w:hAnsiTheme="majorBidi" w:cstheme="majorBidi"/>
          <w:color w:val="222222"/>
          <w:shd w:val="clear" w:color="auto" w:fill="FFFFFF"/>
        </w:rPr>
        <w:t xml:space="preserve">the </w:t>
      </w:r>
      <w:r w:rsidR="00764A8F">
        <w:rPr>
          <w:rFonts w:asciiTheme="majorBidi" w:hAnsiTheme="majorBidi" w:cstheme="majorBidi"/>
          <w:color w:val="222222"/>
          <w:shd w:val="clear" w:color="auto" w:fill="FFFFFF"/>
        </w:rPr>
        <w:t xml:space="preserve">time of the original randomized trials. </w:t>
      </w:r>
      <w:r w:rsidR="00CA4EF2">
        <w:rPr>
          <w:rFonts w:asciiTheme="majorBidi" w:hAnsiTheme="majorBidi" w:cstheme="majorBidi"/>
          <w:color w:val="222222"/>
          <w:shd w:val="clear" w:color="auto" w:fill="FFFFFF"/>
        </w:rPr>
        <w:t xml:space="preserve">Hence, </w:t>
      </w:r>
      <w:r w:rsidR="00211D2B">
        <w:rPr>
          <w:rFonts w:asciiTheme="majorBidi" w:hAnsiTheme="majorBidi" w:cstheme="majorBidi"/>
          <w:color w:val="222222"/>
          <w:shd w:val="clear" w:color="auto" w:fill="FFFFFF"/>
        </w:rPr>
        <w:t>there are calls to relax coercive vaccine policies (</w:t>
      </w:r>
      <w:proofErr w:type="spellStart"/>
      <w:r w:rsidR="00211D2B">
        <w:rPr>
          <w:rFonts w:asciiTheme="majorBidi" w:hAnsiTheme="majorBidi" w:cstheme="majorBidi"/>
          <w:color w:val="222222"/>
          <w:shd w:val="clear" w:color="auto" w:fill="FFFFFF"/>
        </w:rPr>
        <w:t>Bardosh</w:t>
      </w:r>
      <w:proofErr w:type="spellEnd"/>
      <w:r w:rsidR="00211D2B">
        <w:rPr>
          <w:rFonts w:asciiTheme="majorBidi" w:hAnsiTheme="majorBidi" w:cstheme="majorBidi"/>
          <w:color w:val="222222"/>
          <w:shd w:val="clear" w:color="auto" w:fill="FFFFFF"/>
        </w:rPr>
        <w:t xml:space="preserve"> et al, 2022) and </w:t>
      </w:r>
      <w:r w:rsidR="00933D03">
        <w:rPr>
          <w:rFonts w:asciiTheme="majorBidi" w:hAnsiTheme="majorBidi" w:cstheme="majorBidi"/>
          <w:color w:val="222222"/>
          <w:shd w:val="clear" w:color="auto" w:fill="FFFFFF"/>
        </w:rPr>
        <w:t xml:space="preserve">as a safety measure </w:t>
      </w:r>
      <w:r w:rsidR="00465FD9">
        <w:rPr>
          <w:rFonts w:asciiTheme="majorBidi" w:hAnsiTheme="majorBidi" w:cstheme="majorBidi"/>
          <w:color w:val="222222"/>
          <w:shd w:val="clear" w:color="auto" w:fill="FFFFFF"/>
        </w:rPr>
        <w:t xml:space="preserve">for further booster </w:t>
      </w:r>
      <w:r w:rsidR="006B5BE1">
        <w:rPr>
          <w:rFonts w:asciiTheme="majorBidi" w:hAnsiTheme="majorBidi" w:cstheme="majorBidi"/>
          <w:color w:val="222222"/>
          <w:shd w:val="clear" w:color="auto" w:fill="FFFFFF"/>
        </w:rPr>
        <w:t xml:space="preserve">vaccinations </w:t>
      </w:r>
      <w:r w:rsidR="00465FD9">
        <w:rPr>
          <w:rFonts w:asciiTheme="majorBidi" w:hAnsiTheme="majorBidi" w:cstheme="majorBidi"/>
          <w:color w:val="222222"/>
          <w:shd w:val="clear" w:color="auto" w:fill="FFFFFF"/>
        </w:rPr>
        <w:t>to be discontinu</w:t>
      </w:r>
      <w:r w:rsidR="004B0289">
        <w:rPr>
          <w:rFonts w:asciiTheme="majorBidi" w:hAnsiTheme="majorBidi" w:cstheme="majorBidi"/>
          <w:color w:val="222222"/>
          <w:shd w:val="clear" w:color="auto" w:fill="FFFFFF"/>
        </w:rPr>
        <w:t>ed</w:t>
      </w:r>
      <w:r w:rsidR="00465FD9">
        <w:rPr>
          <w:rFonts w:asciiTheme="majorBidi" w:hAnsiTheme="majorBidi" w:cstheme="majorBidi"/>
          <w:color w:val="222222"/>
          <w:shd w:val="clear" w:color="auto" w:fill="FFFFFF"/>
        </w:rPr>
        <w:t xml:space="preserve"> (Yamamoto, 2022).</w:t>
      </w:r>
      <w:r w:rsidR="005D7C12">
        <w:rPr>
          <w:rFonts w:asciiTheme="majorBidi" w:hAnsiTheme="majorBidi" w:cstheme="majorBidi"/>
          <w:color w:val="222222"/>
          <w:shd w:val="clear" w:color="auto" w:fill="FFFFFF"/>
        </w:rPr>
        <w:t xml:space="preserve"> </w:t>
      </w:r>
      <w:r w:rsidR="003B69A0">
        <w:rPr>
          <w:rFonts w:asciiTheme="majorBidi" w:hAnsiTheme="majorBidi" w:cstheme="majorBidi"/>
          <w:color w:val="222222"/>
          <w:shd w:val="clear" w:color="auto" w:fill="FFFFFF"/>
        </w:rPr>
        <w:t>Several</w:t>
      </w:r>
      <w:r w:rsidR="005D7C12">
        <w:rPr>
          <w:rFonts w:asciiTheme="majorBidi" w:hAnsiTheme="majorBidi" w:cstheme="majorBidi"/>
          <w:color w:val="222222"/>
          <w:shd w:val="clear" w:color="auto" w:fill="FFFFFF"/>
        </w:rPr>
        <w:t xml:space="preserve"> European countries have already </w:t>
      </w:r>
      <w:r w:rsidR="003B69A0">
        <w:rPr>
          <w:rFonts w:asciiTheme="majorBidi" w:hAnsiTheme="majorBidi" w:cstheme="majorBidi"/>
          <w:color w:val="222222"/>
          <w:shd w:val="clear" w:color="auto" w:fill="FFFFFF"/>
        </w:rPr>
        <w:t xml:space="preserve">restricted </w:t>
      </w:r>
      <w:r w:rsidR="005D7C12">
        <w:rPr>
          <w:rFonts w:asciiTheme="majorBidi" w:hAnsiTheme="majorBidi" w:cstheme="majorBidi"/>
          <w:color w:val="222222"/>
          <w:shd w:val="clear" w:color="auto" w:fill="FFFFFF"/>
        </w:rPr>
        <w:t>some mRNA vaccines to only those aged over 30 years</w:t>
      </w:r>
      <w:r w:rsidR="003B69A0">
        <w:rPr>
          <w:rFonts w:asciiTheme="majorBidi" w:hAnsiTheme="majorBidi" w:cstheme="majorBidi"/>
          <w:color w:val="222222"/>
          <w:shd w:val="clear" w:color="auto" w:fill="FFFFFF"/>
        </w:rPr>
        <w:t xml:space="preserve"> due to these safety concerns</w:t>
      </w:r>
      <w:r w:rsidR="005D7C12">
        <w:rPr>
          <w:rFonts w:asciiTheme="majorBidi" w:hAnsiTheme="majorBidi" w:cstheme="majorBidi"/>
          <w:color w:val="222222"/>
          <w:shd w:val="clear" w:color="auto" w:fill="FFFFFF"/>
        </w:rPr>
        <w:t>.</w:t>
      </w:r>
    </w:p>
    <w:p w:rsidR="003F68AF" w:rsidRPr="006B5BE1" w:rsidRDefault="00933D03" w:rsidP="000A08AF">
      <w:pPr>
        <w:widowControl w:val="0"/>
        <w:spacing w:after="0" w:line="288" w:lineRule="auto"/>
        <w:ind w:firstLine="720"/>
        <w:jc w:val="both"/>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Given this shift in the risk-benefit ratio, </w:t>
      </w:r>
      <w:r w:rsidR="00764A8F">
        <w:rPr>
          <w:rFonts w:asciiTheme="majorBidi" w:hAnsiTheme="majorBidi" w:cstheme="majorBidi"/>
          <w:color w:val="222222"/>
          <w:shd w:val="clear" w:color="auto" w:fill="FFFFFF"/>
        </w:rPr>
        <w:t xml:space="preserve">stronger evidence </w:t>
      </w:r>
      <w:r w:rsidR="00CA4EF2">
        <w:rPr>
          <w:rFonts w:asciiTheme="majorBidi" w:hAnsiTheme="majorBidi" w:cstheme="majorBidi"/>
          <w:color w:val="222222"/>
          <w:shd w:val="clear" w:color="auto" w:fill="FFFFFF"/>
        </w:rPr>
        <w:t xml:space="preserve">should </w:t>
      </w:r>
      <w:r>
        <w:rPr>
          <w:rFonts w:asciiTheme="majorBidi" w:hAnsiTheme="majorBidi" w:cstheme="majorBidi"/>
          <w:color w:val="222222"/>
          <w:shd w:val="clear" w:color="auto" w:fill="FFFFFF"/>
        </w:rPr>
        <w:t xml:space="preserve">underpin </w:t>
      </w:r>
      <w:r w:rsidR="00465FD9">
        <w:rPr>
          <w:rFonts w:asciiTheme="majorBidi" w:hAnsiTheme="majorBidi" w:cstheme="majorBidi"/>
          <w:color w:val="222222"/>
          <w:shd w:val="clear" w:color="auto" w:fill="FFFFFF"/>
        </w:rPr>
        <w:t xml:space="preserve">mass </w:t>
      </w:r>
      <w:r>
        <w:rPr>
          <w:rFonts w:asciiTheme="majorBidi" w:hAnsiTheme="majorBidi" w:cstheme="majorBidi"/>
          <w:color w:val="222222"/>
          <w:shd w:val="clear" w:color="auto" w:fill="FFFFFF"/>
        </w:rPr>
        <w:t xml:space="preserve">use of </w:t>
      </w:r>
      <w:r w:rsidR="00465FD9">
        <w:rPr>
          <w:rFonts w:asciiTheme="majorBidi" w:hAnsiTheme="majorBidi" w:cstheme="majorBidi"/>
          <w:color w:val="222222"/>
          <w:shd w:val="clear" w:color="auto" w:fill="FFFFFF"/>
        </w:rPr>
        <w:t>boost</w:t>
      </w:r>
      <w:r>
        <w:rPr>
          <w:rFonts w:asciiTheme="majorBidi" w:hAnsiTheme="majorBidi" w:cstheme="majorBidi"/>
          <w:color w:val="222222"/>
          <w:shd w:val="clear" w:color="auto" w:fill="FFFFFF"/>
        </w:rPr>
        <w:t>ers</w:t>
      </w:r>
      <w:r w:rsidR="00764A8F">
        <w:rPr>
          <w:rFonts w:asciiTheme="majorBidi" w:hAnsiTheme="majorBidi" w:cstheme="majorBidi"/>
          <w:color w:val="222222"/>
          <w:shd w:val="clear" w:color="auto" w:fill="FFFFFF"/>
        </w:rPr>
        <w:t xml:space="preserve"> but in fact the opposite </w:t>
      </w:r>
      <w:r w:rsidR="00465FD9">
        <w:rPr>
          <w:rFonts w:asciiTheme="majorBidi" w:hAnsiTheme="majorBidi" w:cstheme="majorBidi"/>
          <w:color w:val="222222"/>
          <w:shd w:val="clear" w:color="auto" w:fill="FFFFFF"/>
        </w:rPr>
        <w:t>hold</w:t>
      </w:r>
      <w:r w:rsidR="00764A8F">
        <w:rPr>
          <w:rFonts w:asciiTheme="majorBidi" w:hAnsiTheme="majorBidi" w:cstheme="majorBidi"/>
          <w:color w:val="222222"/>
          <w:shd w:val="clear" w:color="auto" w:fill="FFFFFF"/>
        </w:rPr>
        <w:t xml:space="preserve">s; </w:t>
      </w:r>
      <w:r w:rsidR="00CA4EF2">
        <w:rPr>
          <w:rFonts w:asciiTheme="majorBidi" w:hAnsiTheme="majorBidi" w:cstheme="majorBidi"/>
          <w:color w:val="222222"/>
          <w:shd w:val="clear" w:color="auto" w:fill="FFFFFF"/>
        </w:rPr>
        <w:t>even with caveats about limited scope of the original trials (</w:t>
      </w:r>
      <w:proofErr w:type="spellStart"/>
      <w:r w:rsidR="00CA4EF2">
        <w:rPr>
          <w:rFonts w:asciiTheme="majorBidi" w:hAnsiTheme="majorBidi" w:cstheme="majorBidi"/>
          <w:color w:val="222222"/>
          <w:shd w:val="clear" w:color="auto" w:fill="FFFFFF"/>
        </w:rPr>
        <w:t>Doshi</w:t>
      </w:r>
      <w:proofErr w:type="spellEnd"/>
      <w:r w:rsidR="00CA4EF2">
        <w:rPr>
          <w:rFonts w:asciiTheme="majorBidi" w:hAnsiTheme="majorBidi" w:cstheme="majorBidi"/>
          <w:color w:val="222222"/>
          <w:shd w:val="clear" w:color="auto" w:fill="FFFFFF"/>
        </w:rPr>
        <w:t>, 2020) and lack of access to the</w:t>
      </w:r>
      <w:r w:rsidR="00214174">
        <w:rPr>
          <w:rFonts w:asciiTheme="majorBidi" w:hAnsiTheme="majorBidi" w:cstheme="majorBidi"/>
          <w:color w:val="222222"/>
          <w:shd w:val="clear" w:color="auto" w:fill="FFFFFF"/>
        </w:rPr>
        <w:t>ir</w:t>
      </w:r>
      <w:r w:rsidR="00CA4EF2">
        <w:rPr>
          <w:rFonts w:asciiTheme="majorBidi" w:hAnsiTheme="majorBidi" w:cstheme="majorBidi"/>
          <w:color w:val="222222"/>
          <w:shd w:val="clear" w:color="auto" w:fill="FFFFFF"/>
        </w:rPr>
        <w:t xml:space="preserve"> raw data (</w:t>
      </w:r>
      <w:proofErr w:type="spellStart"/>
      <w:r w:rsidR="00764A8F">
        <w:rPr>
          <w:rFonts w:asciiTheme="majorBidi" w:hAnsiTheme="majorBidi" w:cstheme="majorBidi"/>
          <w:color w:val="222222"/>
          <w:shd w:val="clear" w:color="auto" w:fill="FFFFFF"/>
        </w:rPr>
        <w:t>Doshi</w:t>
      </w:r>
      <w:proofErr w:type="spellEnd"/>
      <w:r w:rsidR="00CA4EF2">
        <w:rPr>
          <w:rFonts w:asciiTheme="majorBidi" w:hAnsiTheme="majorBidi" w:cstheme="majorBidi"/>
          <w:color w:val="222222"/>
          <w:shd w:val="clear" w:color="auto" w:fill="FFFFFF"/>
        </w:rPr>
        <w:t xml:space="preserve"> et al, 2022) at least </w:t>
      </w:r>
      <w:r w:rsidR="00214174">
        <w:rPr>
          <w:rFonts w:asciiTheme="majorBidi" w:hAnsiTheme="majorBidi" w:cstheme="majorBidi"/>
          <w:color w:val="222222"/>
          <w:shd w:val="clear" w:color="auto" w:fill="FFFFFF"/>
        </w:rPr>
        <w:t xml:space="preserve">the </w:t>
      </w:r>
      <w:r w:rsidR="00CA4EF2">
        <w:rPr>
          <w:rFonts w:asciiTheme="majorBidi" w:hAnsiTheme="majorBidi" w:cstheme="majorBidi"/>
          <w:color w:val="222222"/>
          <w:shd w:val="clear" w:color="auto" w:fill="FFFFFF"/>
        </w:rPr>
        <w:t xml:space="preserve">original vaccine rollout </w:t>
      </w:r>
      <w:r w:rsidR="00214174">
        <w:rPr>
          <w:rFonts w:asciiTheme="majorBidi" w:hAnsiTheme="majorBidi" w:cstheme="majorBidi"/>
          <w:color w:val="222222"/>
          <w:shd w:val="clear" w:color="auto" w:fill="FFFFFF"/>
        </w:rPr>
        <w:t>wait</w:t>
      </w:r>
      <w:r w:rsidR="007C3A61">
        <w:rPr>
          <w:rFonts w:asciiTheme="majorBidi" w:hAnsiTheme="majorBidi" w:cstheme="majorBidi"/>
          <w:color w:val="222222"/>
          <w:shd w:val="clear" w:color="auto" w:fill="FFFFFF"/>
        </w:rPr>
        <w:t>ed</w:t>
      </w:r>
      <w:r w:rsidR="00214174">
        <w:rPr>
          <w:rFonts w:asciiTheme="majorBidi" w:hAnsiTheme="majorBidi" w:cstheme="majorBidi"/>
          <w:color w:val="222222"/>
          <w:shd w:val="clear" w:color="auto" w:fill="FFFFFF"/>
        </w:rPr>
        <w:t xml:space="preserve"> for large-scale trials </w:t>
      </w:r>
      <w:r w:rsidR="007C3A61">
        <w:rPr>
          <w:rFonts w:asciiTheme="majorBidi" w:hAnsiTheme="majorBidi" w:cstheme="majorBidi"/>
          <w:color w:val="222222"/>
          <w:shd w:val="clear" w:color="auto" w:fill="FFFFFF"/>
        </w:rPr>
        <w:t xml:space="preserve">yet </w:t>
      </w:r>
      <w:r w:rsidR="00214174">
        <w:rPr>
          <w:rFonts w:asciiTheme="majorBidi" w:hAnsiTheme="majorBidi" w:cstheme="majorBidi"/>
          <w:color w:val="222222"/>
          <w:shd w:val="clear" w:color="auto" w:fill="FFFFFF"/>
        </w:rPr>
        <w:t>booster rollouts (and the</w:t>
      </w:r>
      <w:r w:rsidR="00664A06">
        <w:rPr>
          <w:rFonts w:asciiTheme="majorBidi" w:hAnsiTheme="majorBidi" w:cstheme="majorBidi"/>
          <w:color w:val="222222"/>
          <w:shd w:val="clear" w:color="auto" w:fill="FFFFFF"/>
        </w:rPr>
        <w:t>ir extension to</w:t>
      </w:r>
      <w:r w:rsidR="00214174">
        <w:rPr>
          <w:rFonts w:asciiTheme="majorBidi" w:hAnsiTheme="majorBidi" w:cstheme="majorBidi"/>
          <w:color w:val="222222"/>
          <w:shd w:val="clear" w:color="auto" w:fill="FFFFFF"/>
        </w:rPr>
        <w:t xml:space="preserve"> younger age groups) </w:t>
      </w:r>
      <w:r w:rsidR="00DB6A73">
        <w:rPr>
          <w:rFonts w:asciiTheme="majorBidi" w:hAnsiTheme="majorBidi" w:cstheme="majorBidi"/>
          <w:color w:val="222222"/>
          <w:shd w:val="clear" w:color="auto" w:fill="FFFFFF"/>
        </w:rPr>
        <w:t>often</w:t>
      </w:r>
      <w:r>
        <w:rPr>
          <w:rFonts w:asciiTheme="majorBidi" w:hAnsiTheme="majorBidi" w:cstheme="majorBidi"/>
          <w:color w:val="222222"/>
          <w:shd w:val="clear" w:color="auto" w:fill="FFFFFF"/>
        </w:rPr>
        <w:t xml:space="preserve"> rely </w:t>
      </w:r>
      <w:r w:rsidR="00214174">
        <w:rPr>
          <w:rFonts w:asciiTheme="majorBidi" w:hAnsiTheme="majorBidi" w:cstheme="majorBidi"/>
          <w:color w:val="222222"/>
          <w:shd w:val="clear" w:color="auto" w:fill="FFFFFF"/>
        </w:rPr>
        <w:t xml:space="preserve">on far weaker, observational, studies. </w:t>
      </w:r>
      <w:r w:rsidR="00664A06">
        <w:rPr>
          <w:rFonts w:asciiTheme="majorBidi" w:hAnsiTheme="majorBidi" w:cstheme="majorBidi"/>
          <w:color w:val="222222"/>
          <w:shd w:val="clear" w:color="auto" w:fill="FFFFFF"/>
        </w:rPr>
        <w:t xml:space="preserve">These observational studies may be biased by assuming selection on observables, by miscategorising treatment groups (and the treatment periods), and by under-estimating </w:t>
      </w:r>
      <w:r w:rsidR="00796933">
        <w:rPr>
          <w:rFonts w:asciiTheme="majorBidi" w:hAnsiTheme="majorBidi" w:cstheme="majorBidi"/>
          <w:color w:val="222222"/>
          <w:shd w:val="clear" w:color="auto" w:fill="FFFFFF"/>
        </w:rPr>
        <w:t xml:space="preserve">the </w:t>
      </w:r>
      <w:r w:rsidR="004A7046">
        <w:rPr>
          <w:rFonts w:asciiTheme="majorBidi" w:hAnsiTheme="majorBidi" w:cstheme="majorBidi"/>
          <w:color w:val="222222"/>
          <w:shd w:val="clear" w:color="auto" w:fill="FFFFFF"/>
        </w:rPr>
        <w:t>(residual) number</w:t>
      </w:r>
      <w:r w:rsidR="006B5BE1">
        <w:rPr>
          <w:rFonts w:asciiTheme="majorBidi" w:hAnsiTheme="majorBidi" w:cstheme="majorBidi"/>
          <w:color w:val="222222"/>
          <w:shd w:val="clear" w:color="auto" w:fill="FFFFFF"/>
        </w:rPr>
        <w:t>s</w:t>
      </w:r>
      <w:r w:rsidR="004A7046">
        <w:rPr>
          <w:rFonts w:asciiTheme="majorBidi" w:hAnsiTheme="majorBidi" w:cstheme="majorBidi"/>
          <w:color w:val="222222"/>
          <w:shd w:val="clear" w:color="auto" w:fill="FFFFFF"/>
        </w:rPr>
        <w:t xml:space="preserve"> unvaccinated</w:t>
      </w:r>
      <w:r w:rsidR="00FF68D4">
        <w:rPr>
          <w:rFonts w:asciiTheme="majorBidi" w:hAnsiTheme="majorBidi" w:cstheme="majorBidi"/>
          <w:color w:val="222222"/>
          <w:shd w:val="clear" w:color="auto" w:fill="FFFFFF"/>
        </w:rPr>
        <w:t xml:space="preserve"> causing</w:t>
      </w:r>
      <w:r w:rsidR="004A7046">
        <w:rPr>
          <w:rFonts w:asciiTheme="majorBidi" w:hAnsiTheme="majorBidi" w:cstheme="majorBidi"/>
          <w:color w:val="222222"/>
          <w:shd w:val="clear" w:color="auto" w:fill="FFFFFF"/>
        </w:rPr>
        <w:t xml:space="preserve"> their </w:t>
      </w:r>
      <w:r w:rsidR="00FF68D4">
        <w:rPr>
          <w:rFonts w:asciiTheme="majorBidi" w:hAnsiTheme="majorBidi" w:cstheme="majorBidi"/>
          <w:color w:val="222222"/>
          <w:shd w:val="clear" w:color="auto" w:fill="FFFFFF"/>
        </w:rPr>
        <w:t xml:space="preserve">COVID-19 rates to be exaggerated </w:t>
      </w:r>
      <w:r w:rsidR="00664A06">
        <w:rPr>
          <w:rFonts w:asciiTheme="majorBidi" w:hAnsiTheme="majorBidi" w:cstheme="majorBidi"/>
          <w:color w:val="222222"/>
          <w:shd w:val="clear" w:color="auto" w:fill="FFFFFF"/>
        </w:rPr>
        <w:t xml:space="preserve">(Neil et al, 2022). </w:t>
      </w:r>
      <w:r w:rsidR="00F75820">
        <w:rPr>
          <w:rFonts w:asciiTheme="majorBidi" w:hAnsiTheme="majorBidi" w:cstheme="majorBidi"/>
          <w:color w:val="222222"/>
          <w:shd w:val="clear" w:color="auto" w:fill="FFFFFF"/>
        </w:rPr>
        <w:t>T</w:t>
      </w:r>
      <w:r w:rsidR="00FF68D4">
        <w:rPr>
          <w:rFonts w:asciiTheme="majorBidi" w:hAnsiTheme="majorBidi" w:cstheme="majorBidi"/>
          <w:color w:val="222222"/>
          <w:shd w:val="clear" w:color="auto" w:fill="FFFFFF"/>
        </w:rPr>
        <w:t>his</w:t>
      </w:r>
      <w:r w:rsidR="00664A06">
        <w:rPr>
          <w:rFonts w:asciiTheme="majorBidi" w:hAnsiTheme="majorBidi" w:cstheme="majorBidi"/>
          <w:color w:val="222222"/>
          <w:shd w:val="clear" w:color="auto" w:fill="FFFFFF"/>
        </w:rPr>
        <w:t xml:space="preserve"> </w:t>
      </w:r>
      <w:r w:rsidR="00B515E7">
        <w:rPr>
          <w:rFonts w:asciiTheme="majorBidi" w:hAnsiTheme="majorBidi" w:cstheme="majorBidi"/>
          <w:color w:val="222222"/>
          <w:shd w:val="clear" w:color="auto" w:fill="FFFFFF"/>
        </w:rPr>
        <w:t xml:space="preserve">gradual erosion </w:t>
      </w:r>
      <w:r w:rsidR="00764A8F">
        <w:rPr>
          <w:rFonts w:asciiTheme="majorBidi" w:hAnsiTheme="majorBidi" w:cstheme="majorBidi"/>
          <w:color w:val="222222"/>
          <w:shd w:val="clear" w:color="auto" w:fill="FFFFFF"/>
        </w:rPr>
        <w:t xml:space="preserve">of </w:t>
      </w:r>
      <w:r w:rsidR="00664A06">
        <w:rPr>
          <w:rFonts w:asciiTheme="majorBidi" w:hAnsiTheme="majorBidi" w:cstheme="majorBidi"/>
          <w:color w:val="222222"/>
          <w:shd w:val="clear" w:color="auto" w:fill="FFFFFF"/>
        </w:rPr>
        <w:t>evidence-</w:t>
      </w:r>
      <w:r w:rsidR="00764A8F">
        <w:rPr>
          <w:rFonts w:asciiTheme="majorBidi" w:hAnsiTheme="majorBidi" w:cstheme="majorBidi"/>
          <w:color w:val="222222"/>
          <w:shd w:val="clear" w:color="auto" w:fill="FFFFFF"/>
        </w:rPr>
        <w:t xml:space="preserve">based </w:t>
      </w:r>
      <w:r w:rsidR="00764A8F">
        <w:rPr>
          <w:rFonts w:asciiTheme="majorBidi" w:hAnsiTheme="majorBidi" w:cstheme="majorBidi"/>
          <w:color w:val="222222"/>
          <w:shd w:val="clear" w:color="auto" w:fill="FFFFFF"/>
        </w:rPr>
        <w:lastRenderedPageBreak/>
        <w:t>medicine</w:t>
      </w:r>
      <w:r w:rsidR="00664A06">
        <w:rPr>
          <w:rFonts w:asciiTheme="majorBidi" w:hAnsiTheme="majorBidi" w:cstheme="majorBidi"/>
          <w:color w:val="222222"/>
          <w:shd w:val="clear" w:color="auto" w:fill="FFFFFF"/>
        </w:rPr>
        <w:t xml:space="preserve">, </w:t>
      </w:r>
      <w:r w:rsidR="004A7046">
        <w:rPr>
          <w:rFonts w:asciiTheme="majorBidi" w:hAnsiTheme="majorBidi" w:cstheme="majorBidi"/>
          <w:color w:val="222222"/>
          <w:shd w:val="clear" w:color="auto" w:fill="FFFFFF"/>
        </w:rPr>
        <w:t xml:space="preserve">to </w:t>
      </w:r>
      <w:r w:rsidR="00FF68D4">
        <w:rPr>
          <w:rFonts w:asciiTheme="majorBidi" w:hAnsiTheme="majorBidi" w:cstheme="majorBidi"/>
          <w:color w:val="222222"/>
          <w:shd w:val="clear" w:color="auto" w:fill="FFFFFF"/>
        </w:rPr>
        <w:t xml:space="preserve">instead be </w:t>
      </w:r>
      <w:r w:rsidR="00B515E7">
        <w:rPr>
          <w:rFonts w:asciiTheme="majorBidi" w:hAnsiTheme="majorBidi" w:cstheme="majorBidi"/>
          <w:color w:val="222222"/>
          <w:shd w:val="clear" w:color="auto" w:fill="FFFFFF"/>
        </w:rPr>
        <w:t xml:space="preserve">inverted </w:t>
      </w:r>
      <w:r w:rsidR="00FF68D4">
        <w:rPr>
          <w:rFonts w:asciiTheme="majorBidi" w:hAnsiTheme="majorBidi" w:cstheme="majorBidi"/>
          <w:color w:val="222222"/>
          <w:shd w:val="clear" w:color="auto" w:fill="FFFFFF"/>
        </w:rPr>
        <w:t xml:space="preserve">as </w:t>
      </w:r>
      <w:r w:rsidR="00664A06">
        <w:rPr>
          <w:rFonts w:asciiTheme="majorBidi" w:hAnsiTheme="majorBidi" w:cstheme="majorBidi"/>
          <w:color w:val="222222"/>
          <w:shd w:val="clear" w:color="auto" w:fill="FFFFFF"/>
        </w:rPr>
        <w:t>medicine-based evidence</w:t>
      </w:r>
      <w:r w:rsidR="004A7046">
        <w:rPr>
          <w:rFonts w:asciiTheme="majorBidi" w:hAnsiTheme="majorBidi" w:cstheme="majorBidi"/>
          <w:color w:val="222222"/>
          <w:shd w:val="clear" w:color="auto" w:fill="FFFFFF"/>
        </w:rPr>
        <w:t xml:space="preserve">, is </w:t>
      </w:r>
      <w:r w:rsidR="00BA3B1C">
        <w:rPr>
          <w:rFonts w:asciiTheme="majorBidi" w:hAnsiTheme="majorBidi" w:cstheme="majorBidi"/>
          <w:color w:val="222222"/>
          <w:shd w:val="clear" w:color="auto" w:fill="FFFFFF"/>
        </w:rPr>
        <w:t xml:space="preserve">exemplified </w:t>
      </w:r>
      <w:r w:rsidR="00F75820">
        <w:rPr>
          <w:rFonts w:asciiTheme="majorBidi" w:hAnsiTheme="majorBidi" w:cstheme="majorBidi"/>
          <w:color w:val="222222"/>
          <w:shd w:val="clear" w:color="auto" w:fill="FFFFFF"/>
        </w:rPr>
        <w:t xml:space="preserve">in a remark made </w:t>
      </w:r>
      <w:r w:rsidR="00BA3B1C">
        <w:rPr>
          <w:rFonts w:asciiTheme="majorBidi" w:hAnsiTheme="majorBidi" w:cstheme="majorBidi"/>
          <w:color w:val="222222"/>
          <w:shd w:val="clear" w:color="auto" w:fill="FFFFFF"/>
        </w:rPr>
        <w:t xml:space="preserve">by Dr Eric Rubin, </w:t>
      </w:r>
      <w:r w:rsidR="006B5BE1">
        <w:rPr>
          <w:rFonts w:asciiTheme="majorBidi" w:hAnsiTheme="majorBidi" w:cstheme="majorBidi"/>
          <w:color w:val="222222"/>
          <w:shd w:val="clear" w:color="auto" w:fill="FFFFFF"/>
        </w:rPr>
        <w:t>editor</w:t>
      </w:r>
      <w:r w:rsidR="00F75820">
        <w:rPr>
          <w:rFonts w:asciiTheme="majorBidi" w:hAnsiTheme="majorBidi" w:cstheme="majorBidi"/>
          <w:color w:val="222222"/>
          <w:shd w:val="clear" w:color="auto" w:fill="FFFFFF"/>
        </w:rPr>
        <w:t>-in-chief</w:t>
      </w:r>
      <w:r w:rsidR="006B5BE1">
        <w:rPr>
          <w:rFonts w:asciiTheme="majorBidi" w:hAnsiTheme="majorBidi" w:cstheme="majorBidi"/>
          <w:color w:val="222222"/>
          <w:shd w:val="clear" w:color="auto" w:fill="FFFFFF"/>
        </w:rPr>
        <w:t xml:space="preserve"> of the </w:t>
      </w:r>
      <w:r w:rsidR="006B5BE1">
        <w:rPr>
          <w:rFonts w:asciiTheme="majorBidi" w:hAnsiTheme="majorBidi" w:cstheme="majorBidi"/>
          <w:i/>
          <w:iCs/>
          <w:color w:val="222222"/>
          <w:shd w:val="clear" w:color="auto" w:fill="FFFFFF"/>
        </w:rPr>
        <w:t>New England Journal of Medicine</w:t>
      </w:r>
      <w:r w:rsidR="00F75820">
        <w:rPr>
          <w:rFonts w:asciiTheme="majorBidi" w:hAnsiTheme="majorBidi" w:cstheme="majorBidi"/>
          <w:color w:val="222222"/>
          <w:shd w:val="clear" w:color="auto" w:fill="FFFFFF"/>
        </w:rPr>
        <w:t>, when part</w:t>
      </w:r>
      <w:r w:rsidR="000A08AF">
        <w:rPr>
          <w:rFonts w:asciiTheme="majorBidi" w:hAnsiTheme="majorBidi" w:cstheme="majorBidi"/>
          <w:color w:val="222222"/>
          <w:shd w:val="clear" w:color="auto" w:fill="FFFFFF"/>
        </w:rPr>
        <w:t>icipating in</w:t>
      </w:r>
      <w:r w:rsidR="00F75820">
        <w:rPr>
          <w:rFonts w:asciiTheme="majorBidi" w:hAnsiTheme="majorBidi" w:cstheme="majorBidi"/>
          <w:color w:val="222222"/>
          <w:shd w:val="clear" w:color="auto" w:fill="FFFFFF"/>
        </w:rPr>
        <w:t xml:space="preserve"> an </w:t>
      </w:r>
      <w:r w:rsidR="00796933">
        <w:rPr>
          <w:rFonts w:asciiTheme="majorBidi" w:hAnsiTheme="majorBidi" w:cstheme="majorBidi"/>
          <w:color w:val="222222"/>
          <w:shd w:val="clear" w:color="auto" w:fill="FFFFFF"/>
        </w:rPr>
        <w:t xml:space="preserve">FDA </w:t>
      </w:r>
      <w:r w:rsidR="00F75820">
        <w:rPr>
          <w:rFonts w:asciiTheme="majorBidi" w:hAnsiTheme="majorBidi" w:cstheme="majorBidi"/>
          <w:color w:val="222222"/>
          <w:shd w:val="clear" w:color="auto" w:fill="FFFFFF"/>
        </w:rPr>
        <w:t>advisory panel that voted to give emergency use authorization to Pfizer’s BNT162b2 vaccine for 5-11 year old children</w:t>
      </w:r>
      <w:r w:rsidR="00BA3B1C">
        <w:rPr>
          <w:rFonts w:asciiTheme="majorBidi" w:hAnsiTheme="majorBidi" w:cstheme="majorBidi"/>
          <w:color w:val="222222"/>
          <w:shd w:val="clear" w:color="auto" w:fill="FFFFFF"/>
        </w:rPr>
        <w:t>:</w:t>
      </w:r>
      <w:r w:rsidR="00F75820">
        <w:rPr>
          <w:rFonts w:asciiTheme="majorBidi" w:hAnsiTheme="majorBidi" w:cstheme="majorBidi"/>
          <w:color w:val="222222"/>
          <w:shd w:val="clear" w:color="auto" w:fill="FFFFFF"/>
        </w:rPr>
        <w:t xml:space="preserve"> </w:t>
      </w:r>
      <w:r w:rsidR="006B5BE1">
        <w:rPr>
          <w:rFonts w:asciiTheme="majorBidi" w:hAnsiTheme="majorBidi" w:cstheme="majorBidi"/>
          <w:color w:val="222222"/>
          <w:shd w:val="clear" w:color="auto" w:fill="FFFFFF"/>
        </w:rPr>
        <w:t xml:space="preserve"> </w:t>
      </w:r>
    </w:p>
    <w:p w:rsidR="002556AD" w:rsidRPr="00F75820" w:rsidRDefault="002556AD" w:rsidP="002556AD">
      <w:pPr>
        <w:widowControl w:val="0"/>
        <w:spacing w:after="0" w:line="288" w:lineRule="auto"/>
        <w:ind w:firstLine="720"/>
        <w:jc w:val="both"/>
        <w:rPr>
          <w:rFonts w:asciiTheme="majorBidi" w:hAnsiTheme="majorBidi" w:cstheme="majorBidi"/>
          <w:bCs/>
          <w:sz w:val="4"/>
          <w:szCs w:val="4"/>
        </w:rPr>
      </w:pPr>
    </w:p>
    <w:p w:rsidR="004A7046" w:rsidRPr="004A7046" w:rsidRDefault="004A7046" w:rsidP="004A7046">
      <w:pPr>
        <w:widowControl w:val="0"/>
        <w:spacing w:after="0" w:line="288" w:lineRule="auto"/>
        <w:ind w:left="284" w:right="284"/>
        <w:jc w:val="center"/>
        <w:rPr>
          <w:rFonts w:asciiTheme="majorBidi" w:hAnsiTheme="majorBidi" w:cstheme="majorBidi"/>
          <w:bCs/>
          <w:i/>
          <w:iCs/>
          <w:sz w:val="22"/>
          <w:szCs w:val="22"/>
        </w:rPr>
      </w:pPr>
      <w:r>
        <w:rPr>
          <w:rFonts w:asciiTheme="majorBidi" w:hAnsiTheme="majorBidi" w:cstheme="majorBidi"/>
          <w:bCs/>
          <w:i/>
          <w:iCs/>
          <w:sz w:val="22"/>
          <w:szCs w:val="22"/>
        </w:rPr>
        <w:t>“</w:t>
      </w:r>
      <w:r w:rsidRPr="004A7046">
        <w:rPr>
          <w:rFonts w:asciiTheme="majorBidi" w:hAnsiTheme="majorBidi" w:cstheme="majorBidi"/>
          <w:bCs/>
          <w:i/>
          <w:iCs/>
          <w:sz w:val="22"/>
          <w:szCs w:val="22"/>
        </w:rPr>
        <w:t>We’re never going to learn about how safe this vaccine is unless we start giving it. That’s just the way it goes. That’s how we found out about rare complications of other vaccines</w:t>
      </w:r>
      <w:r>
        <w:rPr>
          <w:rFonts w:asciiTheme="majorBidi" w:hAnsiTheme="majorBidi" w:cstheme="majorBidi"/>
          <w:bCs/>
          <w:i/>
          <w:iCs/>
          <w:sz w:val="22"/>
          <w:szCs w:val="22"/>
        </w:rPr>
        <w:t>..</w:t>
      </w:r>
      <w:r w:rsidRPr="004A7046">
        <w:rPr>
          <w:rFonts w:asciiTheme="majorBidi" w:hAnsiTheme="majorBidi" w:cstheme="majorBidi"/>
          <w:bCs/>
          <w:i/>
          <w:iCs/>
          <w:sz w:val="22"/>
          <w:szCs w:val="22"/>
        </w:rPr>
        <w:t>.</w:t>
      </w:r>
      <w:r>
        <w:rPr>
          <w:rFonts w:asciiTheme="majorBidi" w:hAnsiTheme="majorBidi" w:cstheme="majorBidi"/>
          <w:bCs/>
          <w:i/>
          <w:iCs/>
          <w:sz w:val="22"/>
          <w:szCs w:val="22"/>
        </w:rPr>
        <w:t>”</w:t>
      </w:r>
    </w:p>
    <w:p w:rsidR="004A7046" w:rsidRPr="007B5FCB" w:rsidRDefault="00F75820" w:rsidP="007B5FCB">
      <w:pPr>
        <w:widowControl w:val="0"/>
        <w:spacing w:after="0" w:line="288" w:lineRule="auto"/>
        <w:ind w:firstLine="720"/>
        <w:jc w:val="right"/>
        <w:rPr>
          <w:rFonts w:asciiTheme="majorBidi" w:hAnsiTheme="majorBidi" w:cstheme="majorBidi"/>
          <w:bCs/>
          <w:sz w:val="22"/>
          <w:szCs w:val="22"/>
        </w:rPr>
      </w:pPr>
      <w:r w:rsidRPr="007B5FCB">
        <w:rPr>
          <w:rFonts w:asciiTheme="majorBidi" w:hAnsiTheme="majorBidi" w:cstheme="majorBidi"/>
          <w:bCs/>
          <w:sz w:val="22"/>
          <w:szCs w:val="22"/>
        </w:rPr>
        <w:t>(</w:t>
      </w:r>
      <w:r w:rsidR="007B5FCB">
        <w:rPr>
          <w:rFonts w:asciiTheme="majorBidi" w:hAnsiTheme="majorBidi" w:cstheme="majorBidi"/>
          <w:bCs/>
          <w:sz w:val="22"/>
          <w:szCs w:val="22"/>
        </w:rPr>
        <w:t>FDA</w:t>
      </w:r>
      <w:r w:rsidRPr="007B5FCB">
        <w:rPr>
          <w:rFonts w:asciiTheme="majorBidi" w:hAnsiTheme="majorBidi" w:cstheme="majorBidi"/>
          <w:bCs/>
          <w:sz w:val="22"/>
          <w:szCs w:val="22"/>
        </w:rPr>
        <w:t>, 2021, p.312)</w:t>
      </w:r>
    </w:p>
    <w:p w:rsidR="006C580E" w:rsidRDefault="005D7C12" w:rsidP="00BA3B1C">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In light of</w:t>
      </w:r>
      <w:r w:rsidR="007B5FCB">
        <w:rPr>
          <w:rFonts w:asciiTheme="majorBidi" w:hAnsiTheme="majorBidi" w:cstheme="majorBidi"/>
          <w:bCs/>
          <w:lang w:val="en-US"/>
        </w:rPr>
        <w:t xml:space="preserve"> debates about mass rollout of booster doses of COVID-19 vaccines</w:t>
      </w:r>
      <w:r w:rsidR="00E733D3">
        <w:rPr>
          <w:rFonts w:asciiTheme="majorBidi" w:hAnsiTheme="majorBidi" w:cstheme="majorBidi"/>
          <w:bCs/>
          <w:lang w:val="en-US"/>
        </w:rPr>
        <w:t xml:space="preserve">, evidence is provided </w:t>
      </w:r>
      <w:r w:rsidR="004639E4">
        <w:rPr>
          <w:rFonts w:asciiTheme="majorBidi" w:hAnsiTheme="majorBidi" w:cstheme="majorBidi"/>
          <w:bCs/>
          <w:lang w:val="en-US"/>
        </w:rPr>
        <w:t xml:space="preserve">here </w:t>
      </w:r>
      <w:r w:rsidR="00E733D3">
        <w:rPr>
          <w:rFonts w:asciiTheme="majorBidi" w:hAnsiTheme="majorBidi" w:cstheme="majorBidi"/>
          <w:bCs/>
          <w:lang w:val="en-US"/>
        </w:rPr>
        <w:t xml:space="preserve">on the association between booster rollout and </w:t>
      </w:r>
      <w:r w:rsidR="004639E4">
        <w:rPr>
          <w:rFonts w:asciiTheme="majorBidi" w:hAnsiTheme="majorBidi" w:cstheme="majorBidi"/>
          <w:bCs/>
          <w:lang w:val="en-US"/>
        </w:rPr>
        <w:t xml:space="preserve">rising </w:t>
      </w:r>
      <w:r w:rsidR="00E733D3">
        <w:rPr>
          <w:rFonts w:asciiTheme="majorBidi" w:hAnsiTheme="majorBidi" w:cstheme="majorBidi"/>
          <w:bCs/>
          <w:lang w:val="en-US"/>
        </w:rPr>
        <w:t>excess mortality</w:t>
      </w:r>
      <w:r w:rsidR="007B5FCB">
        <w:rPr>
          <w:rFonts w:asciiTheme="majorBidi" w:hAnsiTheme="majorBidi" w:cstheme="majorBidi"/>
          <w:bCs/>
          <w:lang w:val="en-US"/>
        </w:rPr>
        <w:t xml:space="preserve"> </w:t>
      </w:r>
      <w:r w:rsidR="00E733D3">
        <w:rPr>
          <w:rFonts w:asciiTheme="majorBidi" w:hAnsiTheme="majorBidi" w:cstheme="majorBidi"/>
          <w:bCs/>
          <w:lang w:val="en-US"/>
        </w:rPr>
        <w:t xml:space="preserve">in New Zealand. Time-series </w:t>
      </w:r>
      <w:r w:rsidR="004639E4">
        <w:rPr>
          <w:rFonts w:asciiTheme="majorBidi" w:hAnsiTheme="majorBidi" w:cstheme="majorBidi"/>
          <w:bCs/>
          <w:lang w:val="en-US"/>
        </w:rPr>
        <w:t>analysi</w:t>
      </w:r>
      <w:r w:rsidR="00E733D3">
        <w:rPr>
          <w:rFonts w:asciiTheme="majorBidi" w:hAnsiTheme="majorBidi" w:cstheme="majorBidi"/>
          <w:bCs/>
          <w:lang w:val="en-US"/>
        </w:rPr>
        <w:t xml:space="preserve">s of aggregate data </w:t>
      </w:r>
      <w:r w:rsidR="00FF68D4">
        <w:rPr>
          <w:rFonts w:asciiTheme="majorBidi" w:hAnsiTheme="majorBidi" w:cstheme="majorBidi"/>
          <w:bCs/>
          <w:lang w:val="en-US"/>
        </w:rPr>
        <w:t xml:space="preserve">is </w:t>
      </w:r>
      <w:r w:rsidR="00E733D3">
        <w:rPr>
          <w:rFonts w:asciiTheme="majorBidi" w:hAnsiTheme="majorBidi" w:cstheme="majorBidi"/>
          <w:bCs/>
          <w:lang w:val="en-US"/>
        </w:rPr>
        <w:t xml:space="preserve">often considered </w:t>
      </w:r>
      <w:r w:rsidR="00E97639">
        <w:rPr>
          <w:rFonts w:asciiTheme="majorBidi" w:hAnsiTheme="majorBidi" w:cstheme="majorBidi"/>
          <w:bCs/>
          <w:lang w:val="en-US"/>
        </w:rPr>
        <w:t>a weaker</w:t>
      </w:r>
      <w:r w:rsidR="00FF68D4">
        <w:rPr>
          <w:rFonts w:asciiTheme="majorBidi" w:hAnsiTheme="majorBidi" w:cstheme="majorBidi"/>
          <w:bCs/>
          <w:lang w:val="en-US"/>
        </w:rPr>
        <w:t xml:space="preserve"> </w:t>
      </w:r>
      <w:r w:rsidR="00E733D3">
        <w:rPr>
          <w:rFonts w:asciiTheme="majorBidi" w:hAnsiTheme="majorBidi" w:cstheme="majorBidi"/>
          <w:bCs/>
          <w:lang w:val="en-US"/>
        </w:rPr>
        <w:t xml:space="preserve">form of evidence but </w:t>
      </w:r>
      <w:r w:rsidR="00FF68D4">
        <w:rPr>
          <w:rFonts w:asciiTheme="majorBidi" w:hAnsiTheme="majorBidi" w:cstheme="majorBidi"/>
          <w:bCs/>
          <w:lang w:val="en-US"/>
        </w:rPr>
        <w:t xml:space="preserve">the </w:t>
      </w:r>
      <w:r w:rsidR="006C580E">
        <w:rPr>
          <w:rFonts w:asciiTheme="majorBidi" w:hAnsiTheme="majorBidi" w:cstheme="majorBidi"/>
          <w:bCs/>
          <w:lang w:val="en-US"/>
        </w:rPr>
        <w:t xml:space="preserve">sort </w:t>
      </w:r>
      <w:r w:rsidR="00FF68D4">
        <w:rPr>
          <w:rFonts w:asciiTheme="majorBidi" w:hAnsiTheme="majorBidi" w:cstheme="majorBidi"/>
          <w:bCs/>
          <w:lang w:val="en-US"/>
        </w:rPr>
        <w:t xml:space="preserve">of studies usually thought to give stronger evidence, </w:t>
      </w:r>
      <w:r w:rsidR="006C580E">
        <w:rPr>
          <w:rFonts w:asciiTheme="majorBidi" w:hAnsiTheme="majorBidi" w:cstheme="majorBidi"/>
          <w:bCs/>
          <w:lang w:val="en-US"/>
        </w:rPr>
        <w:t xml:space="preserve">like </w:t>
      </w:r>
      <w:r w:rsidR="00E41396">
        <w:rPr>
          <w:rFonts w:asciiTheme="majorBidi" w:hAnsiTheme="majorBidi" w:cstheme="majorBidi"/>
          <w:bCs/>
          <w:lang w:val="en-US"/>
        </w:rPr>
        <w:t xml:space="preserve">large </w:t>
      </w:r>
      <w:r w:rsidR="00FF68D4">
        <w:rPr>
          <w:rFonts w:asciiTheme="majorBidi" w:hAnsiTheme="majorBidi" w:cstheme="majorBidi"/>
          <w:bCs/>
          <w:lang w:val="en-US"/>
        </w:rPr>
        <w:t>randomized control trials (RCTs)</w:t>
      </w:r>
      <w:r w:rsidR="00796933">
        <w:rPr>
          <w:rFonts w:asciiTheme="majorBidi" w:hAnsiTheme="majorBidi" w:cstheme="majorBidi"/>
          <w:bCs/>
          <w:lang w:val="en-US"/>
        </w:rPr>
        <w:t>,</w:t>
      </w:r>
      <w:r w:rsidR="00FF68D4">
        <w:rPr>
          <w:rFonts w:asciiTheme="majorBidi" w:hAnsiTheme="majorBidi" w:cstheme="majorBidi"/>
          <w:bCs/>
          <w:lang w:val="en-US"/>
        </w:rPr>
        <w:t xml:space="preserve"> </w:t>
      </w:r>
      <w:r w:rsidR="006C580E">
        <w:rPr>
          <w:rFonts w:asciiTheme="majorBidi" w:hAnsiTheme="majorBidi" w:cstheme="majorBidi"/>
          <w:bCs/>
          <w:lang w:val="en-US"/>
        </w:rPr>
        <w:t xml:space="preserve">are </w:t>
      </w:r>
      <w:r w:rsidR="00FF68D4">
        <w:rPr>
          <w:rFonts w:asciiTheme="majorBidi" w:hAnsiTheme="majorBidi" w:cstheme="majorBidi"/>
          <w:bCs/>
          <w:lang w:val="en-US"/>
        </w:rPr>
        <w:t>either no</w:t>
      </w:r>
      <w:r w:rsidR="006C580E">
        <w:rPr>
          <w:rFonts w:asciiTheme="majorBidi" w:hAnsiTheme="majorBidi" w:cstheme="majorBidi"/>
          <w:bCs/>
          <w:lang w:val="en-US"/>
        </w:rPr>
        <w:t>t being</w:t>
      </w:r>
      <w:r w:rsidR="00796933">
        <w:rPr>
          <w:rFonts w:asciiTheme="majorBidi" w:hAnsiTheme="majorBidi" w:cstheme="majorBidi"/>
          <w:bCs/>
          <w:lang w:val="en-US"/>
        </w:rPr>
        <w:t xml:space="preserve"> done for boosters</w:t>
      </w:r>
      <w:r w:rsidR="00FF68D4">
        <w:rPr>
          <w:rFonts w:asciiTheme="majorBidi" w:hAnsiTheme="majorBidi" w:cstheme="majorBidi"/>
          <w:bCs/>
          <w:lang w:val="en-US"/>
        </w:rPr>
        <w:t xml:space="preserve"> </w:t>
      </w:r>
      <w:r w:rsidR="00E41396">
        <w:rPr>
          <w:rFonts w:asciiTheme="majorBidi" w:hAnsiTheme="majorBidi" w:cstheme="majorBidi"/>
          <w:bCs/>
          <w:lang w:val="en-US"/>
        </w:rPr>
        <w:t>(</w:t>
      </w:r>
      <w:proofErr w:type="spellStart"/>
      <w:r w:rsidR="00E41396">
        <w:rPr>
          <w:rFonts w:asciiTheme="majorBidi" w:hAnsiTheme="majorBidi" w:cstheme="majorBidi"/>
          <w:bCs/>
          <w:lang w:val="en-US"/>
        </w:rPr>
        <w:t>Makary</w:t>
      </w:r>
      <w:proofErr w:type="spellEnd"/>
      <w:r w:rsidR="00E41396">
        <w:rPr>
          <w:rFonts w:asciiTheme="majorBidi" w:hAnsiTheme="majorBidi" w:cstheme="majorBidi"/>
          <w:bCs/>
          <w:lang w:val="en-US"/>
        </w:rPr>
        <w:t xml:space="preserve">, 2022) </w:t>
      </w:r>
      <w:r w:rsidR="00FF68D4">
        <w:rPr>
          <w:rFonts w:asciiTheme="majorBidi" w:hAnsiTheme="majorBidi" w:cstheme="majorBidi"/>
          <w:bCs/>
          <w:lang w:val="en-US"/>
        </w:rPr>
        <w:t>or have various biases that likely inflate apparent vaccine efficacy (Gibson, 2022b).</w:t>
      </w:r>
      <w:r w:rsidR="004639E4">
        <w:rPr>
          <w:rFonts w:asciiTheme="majorBidi" w:hAnsiTheme="majorBidi" w:cstheme="majorBidi"/>
          <w:bCs/>
          <w:lang w:val="en-US"/>
        </w:rPr>
        <w:t xml:space="preserve"> Moreover, </w:t>
      </w:r>
      <w:r w:rsidR="00C35DB2">
        <w:rPr>
          <w:rFonts w:asciiTheme="majorBidi" w:hAnsiTheme="majorBidi" w:cstheme="majorBidi"/>
          <w:bCs/>
          <w:lang w:val="en-US"/>
        </w:rPr>
        <w:t xml:space="preserve">aspects </w:t>
      </w:r>
      <w:r w:rsidR="004639E4">
        <w:rPr>
          <w:rFonts w:asciiTheme="majorBidi" w:hAnsiTheme="majorBidi" w:cstheme="majorBidi"/>
          <w:bCs/>
          <w:lang w:val="en-US"/>
        </w:rPr>
        <w:t xml:space="preserve">of the current study </w:t>
      </w:r>
      <w:r w:rsidR="006C580E">
        <w:rPr>
          <w:rFonts w:asciiTheme="majorBidi" w:hAnsiTheme="majorBidi" w:cstheme="majorBidi"/>
          <w:bCs/>
          <w:lang w:val="en-US"/>
        </w:rPr>
        <w:t xml:space="preserve">help </w:t>
      </w:r>
      <w:r w:rsidR="004639E4">
        <w:rPr>
          <w:rFonts w:asciiTheme="majorBidi" w:hAnsiTheme="majorBidi" w:cstheme="majorBidi"/>
          <w:bCs/>
          <w:lang w:val="en-US"/>
        </w:rPr>
        <w:t xml:space="preserve">bring it closer to the experimental ideal. </w:t>
      </w:r>
      <w:r w:rsidR="00E97639">
        <w:rPr>
          <w:rFonts w:asciiTheme="majorBidi" w:hAnsiTheme="majorBidi" w:cstheme="majorBidi"/>
          <w:bCs/>
          <w:lang w:val="en-US"/>
        </w:rPr>
        <w:t xml:space="preserve">First, </w:t>
      </w:r>
      <w:r w:rsidR="00FF68D4">
        <w:rPr>
          <w:rFonts w:asciiTheme="majorBidi" w:hAnsiTheme="majorBidi" w:cstheme="majorBidi"/>
          <w:bCs/>
          <w:lang w:val="en-US"/>
        </w:rPr>
        <w:t>New Zealand</w:t>
      </w:r>
      <w:r w:rsidR="004639E4">
        <w:rPr>
          <w:rFonts w:asciiTheme="majorBidi" w:hAnsiTheme="majorBidi" w:cstheme="majorBidi"/>
          <w:bCs/>
          <w:lang w:val="en-US"/>
        </w:rPr>
        <w:t xml:space="preserve"> persiste</w:t>
      </w:r>
      <w:r w:rsidR="00C35DB2">
        <w:rPr>
          <w:rFonts w:asciiTheme="majorBidi" w:hAnsiTheme="majorBidi" w:cstheme="majorBidi"/>
          <w:bCs/>
          <w:lang w:val="en-US"/>
        </w:rPr>
        <w:t>d</w:t>
      </w:r>
      <w:r w:rsidR="00FF68D4">
        <w:rPr>
          <w:rFonts w:asciiTheme="majorBidi" w:hAnsiTheme="majorBidi" w:cstheme="majorBidi"/>
          <w:bCs/>
          <w:lang w:val="en-US"/>
        </w:rPr>
        <w:t xml:space="preserve"> with zero-COVID for longer than </w:t>
      </w:r>
      <w:r w:rsidR="006C580E">
        <w:rPr>
          <w:rFonts w:asciiTheme="majorBidi" w:hAnsiTheme="majorBidi" w:cstheme="majorBidi"/>
          <w:bCs/>
          <w:lang w:val="en-US"/>
        </w:rPr>
        <w:t>most countries</w:t>
      </w:r>
      <w:r w:rsidR="00FF68D4">
        <w:rPr>
          <w:rFonts w:asciiTheme="majorBidi" w:hAnsiTheme="majorBidi" w:cstheme="majorBidi"/>
          <w:bCs/>
          <w:lang w:val="en-US"/>
        </w:rPr>
        <w:t xml:space="preserve"> other than China</w:t>
      </w:r>
      <w:r w:rsidR="00C35DB2">
        <w:rPr>
          <w:rFonts w:asciiTheme="majorBidi" w:hAnsiTheme="majorBidi" w:cstheme="majorBidi"/>
          <w:bCs/>
          <w:lang w:val="en-US"/>
        </w:rPr>
        <w:t>, allowing</w:t>
      </w:r>
      <w:r w:rsidR="004639E4">
        <w:rPr>
          <w:rFonts w:asciiTheme="majorBidi" w:hAnsiTheme="majorBidi" w:cstheme="majorBidi"/>
          <w:bCs/>
          <w:lang w:val="en-US"/>
        </w:rPr>
        <w:t xml:space="preserve"> effects of higher doses to be </w:t>
      </w:r>
      <w:r w:rsidR="00C35DB2">
        <w:rPr>
          <w:rFonts w:asciiTheme="majorBidi" w:hAnsiTheme="majorBidi" w:cstheme="majorBidi"/>
          <w:bCs/>
          <w:lang w:val="en-US"/>
        </w:rPr>
        <w:t>studied free from other (confounding) effects</w:t>
      </w:r>
      <w:r w:rsidR="004639E4">
        <w:rPr>
          <w:rFonts w:asciiTheme="majorBidi" w:hAnsiTheme="majorBidi" w:cstheme="majorBidi"/>
          <w:bCs/>
          <w:lang w:val="en-US"/>
        </w:rPr>
        <w:t xml:space="preserve">. </w:t>
      </w:r>
      <w:r w:rsidR="006C580E">
        <w:rPr>
          <w:rFonts w:asciiTheme="majorBidi" w:hAnsiTheme="majorBidi" w:cstheme="majorBidi"/>
          <w:bCs/>
          <w:lang w:val="en-US"/>
        </w:rPr>
        <w:t xml:space="preserve">Most people </w:t>
      </w:r>
      <w:r w:rsidR="004639E4">
        <w:rPr>
          <w:rFonts w:asciiTheme="majorBidi" w:hAnsiTheme="majorBidi" w:cstheme="majorBidi"/>
          <w:bCs/>
          <w:lang w:val="en-US"/>
        </w:rPr>
        <w:t xml:space="preserve">in New Zealand who </w:t>
      </w:r>
      <w:r w:rsidR="006C580E">
        <w:rPr>
          <w:rFonts w:asciiTheme="majorBidi" w:hAnsiTheme="majorBidi" w:cstheme="majorBidi"/>
          <w:bCs/>
          <w:lang w:val="en-US"/>
        </w:rPr>
        <w:t xml:space="preserve">received the original two </w:t>
      </w:r>
      <w:r w:rsidR="00FF68D4">
        <w:rPr>
          <w:rFonts w:asciiTheme="majorBidi" w:hAnsiTheme="majorBidi" w:cstheme="majorBidi"/>
          <w:bCs/>
          <w:lang w:val="en-US"/>
        </w:rPr>
        <w:t>dose</w:t>
      </w:r>
      <w:r w:rsidR="006C580E">
        <w:rPr>
          <w:rFonts w:asciiTheme="majorBidi" w:hAnsiTheme="majorBidi" w:cstheme="majorBidi"/>
          <w:bCs/>
          <w:lang w:val="en-US"/>
        </w:rPr>
        <w:t>s</w:t>
      </w:r>
      <w:r w:rsidR="00FF68D4">
        <w:rPr>
          <w:rFonts w:asciiTheme="majorBidi" w:hAnsiTheme="majorBidi" w:cstheme="majorBidi"/>
          <w:bCs/>
          <w:lang w:val="en-US"/>
        </w:rPr>
        <w:t xml:space="preserve"> </w:t>
      </w:r>
      <w:r w:rsidR="006C580E">
        <w:rPr>
          <w:rFonts w:asciiTheme="majorBidi" w:hAnsiTheme="majorBidi" w:cstheme="majorBidi"/>
          <w:bCs/>
          <w:lang w:val="en-US"/>
        </w:rPr>
        <w:t>of Pfizer and the</w:t>
      </w:r>
      <w:r w:rsidR="003306E7">
        <w:rPr>
          <w:rFonts w:asciiTheme="majorBidi" w:hAnsiTheme="majorBidi" w:cstheme="majorBidi"/>
          <w:bCs/>
          <w:lang w:val="en-US"/>
        </w:rPr>
        <w:t>n the</w:t>
      </w:r>
      <w:r w:rsidR="00FF68D4">
        <w:rPr>
          <w:rFonts w:asciiTheme="majorBidi" w:hAnsiTheme="majorBidi" w:cstheme="majorBidi"/>
          <w:bCs/>
          <w:lang w:val="en-US"/>
        </w:rPr>
        <w:t xml:space="preserve"> booster</w:t>
      </w:r>
      <w:r w:rsidR="004639E4">
        <w:rPr>
          <w:rFonts w:asciiTheme="majorBidi" w:hAnsiTheme="majorBidi" w:cstheme="majorBidi"/>
          <w:bCs/>
          <w:lang w:val="en-US"/>
        </w:rPr>
        <w:t xml:space="preserve"> </w:t>
      </w:r>
      <w:r w:rsidR="003306E7">
        <w:rPr>
          <w:rFonts w:asciiTheme="majorBidi" w:hAnsiTheme="majorBidi" w:cstheme="majorBidi"/>
          <w:bCs/>
          <w:lang w:val="en-US"/>
        </w:rPr>
        <w:t xml:space="preserve">had no </w:t>
      </w:r>
      <w:r w:rsidR="00FF68D4">
        <w:rPr>
          <w:rFonts w:asciiTheme="majorBidi" w:hAnsiTheme="majorBidi" w:cstheme="majorBidi"/>
          <w:bCs/>
          <w:lang w:val="en-US"/>
        </w:rPr>
        <w:t xml:space="preserve">prior </w:t>
      </w:r>
      <w:r w:rsidR="004639E4">
        <w:rPr>
          <w:rFonts w:asciiTheme="majorBidi" w:hAnsiTheme="majorBidi" w:cstheme="majorBidi"/>
          <w:bCs/>
          <w:lang w:val="en-US"/>
        </w:rPr>
        <w:t xml:space="preserve">exposure </w:t>
      </w:r>
      <w:r w:rsidR="00FF68D4">
        <w:rPr>
          <w:rFonts w:asciiTheme="majorBidi" w:hAnsiTheme="majorBidi" w:cstheme="majorBidi"/>
          <w:bCs/>
          <w:lang w:val="en-US"/>
        </w:rPr>
        <w:t xml:space="preserve">to SARS-CoV-2. For example, </w:t>
      </w:r>
      <w:r w:rsidR="006C580E">
        <w:rPr>
          <w:rFonts w:asciiTheme="majorBidi" w:hAnsiTheme="majorBidi" w:cstheme="majorBidi"/>
          <w:bCs/>
          <w:lang w:val="en-US"/>
        </w:rPr>
        <w:t>only</w:t>
      </w:r>
      <w:r w:rsidR="00FF68D4">
        <w:rPr>
          <w:rFonts w:asciiTheme="majorBidi" w:hAnsiTheme="majorBidi" w:cstheme="majorBidi"/>
          <w:bCs/>
          <w:lang w:val="en-US"/>
        </w:rPr>
        <w:t xml:space="preserve"> </w:t>
      </w:r>
      <w:r w:rsidR="00796933">
        <w:rPr>
          <w:rFonts w:asciiTheme="majorBidi" w:hAnsiTheme="majorBidi" w:cstheme="majorBidi"/>
          <w:bCs/>
          <w:lang w:val="en-US"/>
        </w:rPr>
        <w:t xml:space="preserve">by </w:t>
      </w:r>
      <w:r w:rsidR="00FF68D4">
        <w:rPr>
          <w:rFonts w:asciiTheme="majorBidi" w:hAnsiTheme="majorBidi" w:cstheme="majorBidi"/>
          <w:bCs/>
          <w:lang w:val="en-US"/>
        </w:rPr>
        <w:t xml:space="preserve">late February 2022 </w:t>
      </w:r>
      <w:r w:rsidR="00796933">
        <w:rPr>
          <w:rFonts w:asciiTheme="majorBidi" w:hAnsiTheme="majorBidi" w:cstheme="majorBidi"/>
          <w:bCs/>
          <w:lang w:val="en-US"/>
        </w:rPr>
        <w:t xml:space="preserve">did </w:t>
      </w:r>
      <w:r w:rsidR="00FF68D4">
        <w:rPr>
          <w:rFonts w:asciiTheme="majorBidi" w:hAnsiTheme="majorBidi" w:cstheme="majorBidi"/>
          <w:bCs/>
          <w:lang w:val="en-US"/>
        </w:rPr>
        <w:t xml:space="preserve">cumulative cases of COVID-19 in New Zealand </w:t>
      </w:r>
      <w:r w:rsidR="00796933">
        <w:rPr>
          <w:rFonts w:asciiTheme="majorBidi" w:hAnsiTheme="majorBidi" w:cstheme="majorBidi"/>
          <w:bCs/>
          <w:lang w:val="en-US"/>
        </w:rPr>
        <w:t>exceed</w:t>
      </w:r>
      <w:r w:rsidR="00FF68D4">
        <w:rPr>
          <w:rFonts w:asciiTheme="majorBidi" w:hAnsiTheme="majorBidi" w:cstheme="majorBidi"/>
          <w:bCs/>
          <w:lang w:val="en-US"/>
        </w:rPr>
        <w:t xml:space="preserve"> 1% of the population</w:t>
      </w:r>
      <w:r w:rsidR="004639E4">
        <w:rPr>
          <w:rFonts w:asciiTheme="majorBidi" w:hAnsiTheme="majorBidi" w:cstheme="majorBidi"/>
          <w:bCs/>
          <w:lang w:val="en-US"/>
        </w:rPr>
        <w:t>.</w:t>
      </w:r>
      <w:r w:rsidR="004639E4">
        <w:rPr>
          <w:rStyle w:val="FootnoteReference"/>
          <w:rFonts w:asciiTheme="majorBidi" w:hAnsiTheme="majorBidi" w:cstheme="majorBidi"/>
          <w:bCs/>
          <w:lang w:val="en-US"/>
        </w:rPr>
        <w:footnoteReference w:id="2"/>
      </w:r>
      <w:r w:rsidR="003306E7">
        <w:rPr>
          <w:rFonts w:asciiTheme="majorBidi" w:hAnsiTheme="majorBidi" w:cstheme="majorBidi"/>
          <w:bCs/>
          <w:lang w:val="en-US"/>
        </w:rPr>
        <w:t xml:space="preserve"> </w:t>
      </w:r>
      <w:r w:rsidR="00BA3B1C">
        <w:rPr>
          <w:rFonts w:asciiTheme="majorBidi" w:hAnsiTheme="majorBidi" w:cstheme="majorBidi"/>
          <w:bCs/>
          <w:lang w:val="en-US"/>
        </w:rPr>
        <w:t>By then,</w:t>
      </w:r>
      <w:r w:rsidR="008C02F4">
        <w:rPr>
          <w:rFonts w:asciiTheme="majorBidi" w:hAnsiTheme="majorBidi" w:cstheme="majorBidi"/>
          <w:bCs/>
          <w:lang w:val="en-US"/>
        </w:rPr>
        <w:t xml:space="preserve"> 8.2 million original </w:t>
      </w:r>
      <w:r w:rsidR="003306E7">
        <w:rPr>
          <w:rFonts w:asciiTheme="majorBidi" w:hAnsiTheme="majorBidi" w:cstheme="majorBidi"/>
          <w:bCs/>
          <w:lang w:val="en-US"/>
        </w:rPr>
        <w:t xml:space="preserve">protocol </w:t>
      </w:r>
      <w:r w:rsidR="008C02F4">
        <w:rPr>
          <w:rFonts w:asciiTheme="majorBidi" w:hAnsiTheme="majorBidi" w:cstheme="majorBidi"/>
          <w:bCs/>
          <w:lang w:val="en-US"/>
        </w:rPr>
        <w:t>Pfizer doses and 2.2 million booster doses</w:t>
      </w:r>
      <w:r w:rsidR="00E41396">
        <w:rPr>
          <w:rFonts w:asciiTheme="majorBidi" w:hAnsiTheme="majorBidi" w:cstheme="majorBidi"/>
          <w:bCs/>
          <w:lang w:val="en-US"/>
        </w:rPr>
        <w:t xml:space="preserve"> </w:t>
      </w:r>
      <w:r w:rsidR="00BA3B1C">
        <w:rPr>
          <w:rFonts w:asciiTheme="majorBidi" w:hAnsiTheme="majorBidi" w:cstheme="majorBidi"/>
          <w:bCs/>
          <w:lang w:val="en-US"/>
        </w:rPr>
        <w:t xml:space="preserve">had been </w:t>
      </w:r>
      <w:r w:rsidR="00E41396">
        <w:rPr>
          <w:rFonts w:asciiTheme="majorBidi" w:hAnsiTheme="majorBidi" w:cstheme="majorBidi"/>
          <w:bCs/>
          <w:lang w:val="en-US"/>
        </w:rPr>
        <w:t>administered</w:t>
      </w:r>
      <w:r w:rsidR="008C02F4">
        <w:rPr>
          <w:rFonts w:asciiTheme="majorBidi" w:hAnsiTheme="majorBidi" w:cstheme="majorBidi"/>
          <w:bCs/>
          <w:lang w:val="en-US"/>
        </w:rPr>
        <w:t xml:space="preserve">. In other words, </w:t>
      </w:r>
      <w:r w:rsidR="006C580E">
        <w:rPr>
          <w:rFonts w:asciiTheme="majorBidi" w:hAnsiTheme="majorBidi" w:cstheme="majorBidi"/>
          <w:bCs/>
          <w:lang w:val="en-US"/>
        </w:rPr>
        <w:t xml:space="preserve">about </w:t>
      </w:r>
      <w:r w:rsidR="008C02F4">
        <w:rPr>
          <w:rFonts w:asciiTheme="majorBidi" w:hAnsiTheme="majorBidi" w:cstheme="majorBidi"/>
          <w:bCs/>
          <w:lang w:val="en-US"/>
        </w:rPr>
        <w:t xml:space="preserve">half of the population </w:t>
      </w:r>
      <w:r w:rsidR="00E97639">
        <w:rPr>
          <w:rFonts w:asciiTheme="majorBidi" w:hAnsiTheme="majorBidi" w:cstheme="majorBidi"/>
          <w:bCs/>
          <w:lang w:val="en-US"/>
        </w:rPr>
        <w:t xml:space="preserve">were both </w:t>
      </w:r>
      <w:r w:rsidR="008C02F4">
        <w:rPr>
          <w:rFonts w:asciiTheme="majorBidi" w:hAnsiTheme="majorBidi" w:cstheme="majorBidi"/>
          <w:bCs/>
          <w:lang w:val="en-US"/>
        </w:rPr>
        <w:t xml:space="preserve">‘fully vaccinated’ and ‘boosted’ </w:t>
      </w:r>
      <w:r w:rsidR="006C580E">
        <w:rPr>
          <w:rFonts w:asciiTheme="majorBidi" w:hAnsiTheme="majorBidi" w:cstheme="majorBidi"/>
          <w:bCs/>
          <w:lang w:val="en-US"/>
        </w:rPr>
        <w:t xml:space="preserve">prior to </w:t>
      </w:r>
      <w:r w:rsidR="00E97639">
        <w:rPr>
          <w:rFonts w:asciiTheme="majorBidi" w:hAnsiTheme="majorBidi" w:cstheme="majorBidi"/>
          <w:bCs/>
          <w:lang w:val="en-US"/>
        </w:rPr>
        <w:t xml:space="preserve">having any </w:t>
      </w:r>
      <w:r w:rsidR="00DB6A73">
        <w:rPr>
          <w:rFonts w:asciiTheme="majorBidi" w:hAnsiTheme="majorBidi" w:cstheme="majorBidi"/>
          <w:bCs/>
          <w:lang w:val="en-US"/>
        </w:rPr>
        <w:t xml:space="preserve">experience </w:t>
      </w:r>
      <w:r w:rsidR="00E97639">
        <w:rPr>
          <w:rFonts w:asciiTheme="majorBidi" w:hAnsiTheme="majorBidi" w:cstheme="majorBidi"/>
          <w:bCs/>
          <w:lang w:val="en-US"/>
        </w:rPr>
        <w:t xml:space="preserve">of </w:t>
      </w:r>
      <w:r w:rsidR="008C02F4">
        <w:rPr>
          <w:rFonts w:asciiTheme="majorBidi" w:hAnsiTheme="majorBidi" w:cstheme="majorBidi"/>
          <w:bCs/>
          <w:lang w:val="en-US"/>
        </w:rPr>
        <w:t>COVID-19</w:t>
      </w:r>
      <w:r w:rsidR="006C580E">
        <w:rPr>
          <w:rFonts w:asciiTheme="majorBidi" w:hAnsiTheme="majorBidi" w:cstheme="majorBidi"/>
          <w:bCs/>
          <w:lang w:val="en-US"/>
        </w:rPr>
        <w:t>.</w:t>
      </w:r>
      <w:r w:rsidR="008C02F4">
        <w:rPr>
          <w:rFonts w:asciiTheme="majorBidi" w:hAnsiTheme="majorBidi" w:cstheme="majorBidi"/>
          <w:bCs/>
          <w:lang w:val="en-US"/>
        </w:rPr>
        <w:t xml:space="preserve"> </w:t>
      </w:r>
    </w:p>
    <w:p w:rsidR="00796933" w:rsidRDefault="00E97639" w:rsidP="00BA3B1C">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A second strength of the study is </w:t>
      </w:r>
      <w:r w:rsidR="00BA65A2">
        <w:rPr>
          <w:rFonts w:asciiTheme="majorBidi" w:hAnsiTheme="majorBidi" w:cstheme="majorBidi"/>
          <w:bCs/>
          <w:lang w:val="en-US"/>
        </w:rPr>
        <w:t>to exploit</w:t>
      </w:r>
      <w:r>
        <w:rPr>
          <w:rFonts w:asciiTheme="majorBidi" w:hAnsiTheme="majorBidi" w:cstheme="majorBidi"/>
          <w:bCs/>
          <w:lang w:val="en-US"/>
        </w:rPr>
        <w:t xml:space="preserve"> </w:t>
      </w:r>
      <w:r w:rsidR="00BA65A2">
        <w:rPr>
          <w:rFonts w:asciiTheme="majorBidi" w:hAnsiTheme="majorBidi" w:cstheme="majorBidi"/>
          <w:bCs/>
          <w:lang w:val="en-US"/>
        </w:rPr>
        <w:t xml:space="preserve">a </w:t>
      </w:r>
      <w:r>
        <w:rPr>
          <w:rFonts w:asciiTheme="majorBidi" w:hAnsiTheme="majorBidi" w:cstheme="majorBidi"/>
          <w:bCs/>
          <w:lang w:val="en-US"/>
        </w:rPr>
        <w:t xml:space="preserve">plausible </w:t>
      </w:r>
      <w:r w:rsidR="00BA65A2">
        <w:rPr>
          <w:rFonts w:asciiTheme="majorBidi" w:hAnsiTheme="majorBidi" w:cstheme="majorBidi"/>
          <w:bCs/>
          <w:lang w:val="en-US"/>
        </w:rPr>
        <w:t xml:space="preserve">source of </w:t>
      </w:r>
      <w:r>
        <w:rPr>
          <w:rFonts w:asciiTheme="majorBidi" w:hAnsiTheme="majorBidi" w:cstheme="majorBidi"/>
          <w:bCs/>
          <w:lang w:val="en-US"/>
        </w:rPr>
        <w:t>exogenous variation</w:t>
      </w:r>
      <w:r w:rsidR="00BA65A2">
        <w:rPr>
          <w:rFonts w:asciiTheme="majorBidi" w:hAnsiTheme="majorBidi" w:cstheme="majorBidi"/>
          <w:bCs/>
          <w:lang w:val="en-US"/>
        </w:rPr>
        <w:t xml:space="preserve">, with </w:t>
      </w:r>
      <w:r>
        <w:rPr>
          <w:rFonts w:asciiTheme="majorBidi" w:hAnsiTheme="majorBidi" w:cstheme="majorBidi"/>
          <w:bCs/>
          <w:lang w:val="en-US"/>
        </w:rPr>
        <w:t xml:space="preserve">an instrumental variables (IV) strategy, so associations between booster rollout and excess mortality can be interpreted </w:t>
      </w:r>
      <w:r w:rsidR="00BA65A2">
        <w:rPr>
          <w:rFonts w:asciiTheme="majorBidi" w:hAnsiTheme="majorBidi" w:cstheme="majorBidi"/>
          <w:bCs/>
          <w:lang w:val="en-US"/>
        </w:rPr>
        <w:t>not just</w:t>
      </w:r>
      <w:r>
        <w:rPr>
          <w:rFonts w:asciiTheme="majorBidi" w:hAnsiTheme="majorBidi" w:cstheme="majorBidi"/>
          <w:bCs/>
          <w:lang w:val="en-US"/>
        </w:rPr>
        <w:t xml:space="preserve"> as correlations but also in quasi-experimental causal terms.</w:t>
      </w:r>
      <w:r w:rsidR="00BA65A2">
        <w:rPr>
          <w:rFonts w:asciiTheme="majorBidi" w:hAnsiTheme="majorBidi" w:cstheme="majorBidi"/>
          <w:bCs/>
          <w:lang w:val="en-US"/>
        </w:rPr>
        <w:t xml:space="preserve"> The results suggest 16 (95% CI:</w:t>
      </w:r>
      <w:r w:rsidR="00C35DD7">
        <w:rPr>
          <w:rFonts w:asciiTheme="majorBidi" w:hAnsiTheme="majorBidi" w:cstheme="majorBidi"/>
          <w:bCs/>
          <w:lang w:val="en-US"/>
        </w:rPr>
        <w:t xml:space="preserve"> 5 to 27</w:t>
      </w:r>
      <w:r w:rsidR="00BA65A2">
        <w:rPr>
          <w:rFonts w:asciiTheme="majorBidi" w:hAnsiTheme="majorBidi" w:cstheme="majorBidi"/>
          <w:bCs/>
          <w:lang w:val="en-US"/>
        </w:rPr>
        <w:t xml:space="preserve">) excess deaths per 100,000 booster doses, </w:t>
      </w:r>
      <w:r w:rsidR="008D3193">
        <w:rPr>
          <w:rFonts w:asciiTheme="majorBidi" w:hAnsiTheme="majorBidi" w:cstheme="majorBidi"/>
          <w:bCs/>
          <w:lang w:val="en-US"/>
        </w:rPr>
        <w:t>amounting</w:t>
      </w:r>
      <w:r w:rsidR="00BA65A2">
        <w:rPr>
          <w:rFonts w:asciiTheme="majorBidi" w:hAnsiTheme="majorBidi" w:cstheme="majorBidi"/>
          <w:bCs/>
          <w:lang w:val="en-US"/>
        </w:rPr>
        <w:t xml:space="preserve"> to over 400 excess deaths </w:t>
      </w:r>
      <w:r w:rsidR="008D3193">
        <w:rPr>
          <w:rFonts w:asciiTheme="majorBidi" w:hAnsiTheme="majorBidi" w:cstheme="majorBidi"/>
          <w:bCs/>
          <w:lang w:val="en-US"/>
        </w:rPr>
        <w:t xml:space="preserve">in New Zealand </w:t>
      </w:r>
      <w:r w:rsidR="00BA65A2">
        <w:rPr>
          <w:rFonts w:asciiTheme="majorBidi" w:hAnsiTheme="majorBidi" w:cstheme="majorBidi"/>
          <w:bCs/>
          <w:lang w:val="en-US"/>
        </w:rPr>
        <w:t xml:space="preserve">given </w:t>
      </w:r>
      <w:r w:rsidR="008D3193">
        <w:rPr>
          <w:rFonts w:asciiTheme="majorBidi" w:hAnsiTheme="majorBidi" w:cstheme="majorBidi"/>
          <w:bCs/>
          <w:lang w:val="en-US"/>
        </w:rPr>
        <w:t xml:space="preserve">the </w:t>
      </w:r>
      <w:r w:rsidR="000575F7">
        <w:rPr>
          <w:rFonts w:asciiTheme="majorBidi" w:hAnsiTheme="majorBidi" w:cstheme="majorBidi"/>
          <w:bCs/>
          <w:lang w:val="en-US"/>
        </w:rPr>
        <w:t>booster</w:t>
      </w:r>
      <w:r w:rsidR="00BA65A2">
        <w:rPr>
          <w:rFonts w:asciiTheme="majorBidi" w:hAnsiTheme="majorBidi" w:cstheme="majorBidi"/>
          <w:bCs/>
          <w:lang w:val="en-US"/>
        </w:rPr>
        <w:t xml:space="preserve"> </w:t>
      </w:r>
      <w:r w:rsidR="00796933">
        <w:rPr>
          <w:rFonts w:asciiTheme="majorBidi" w:hAnsiTheme="majorBidi" w:cstheme="majorBidi"/>
          <w:bCs/>
          <w:lang w:val="en-US"/>
        </w:rPr>
        <w:t xml:space="preserve">doses </w:t>
      </w:r>
      <w:r w:rsidR="00BA65A2">
        <w:rPr>
          <w:rFonts w:asciiTheme="majorBidi" w:hAnsiTheme="majorBidi" w:cstheme="majorBidi"/>
          <w:bCs/>
          <w:lang w:val="en-US"/>
        </w:rPr>
        <w:t>administered to date.</w:t>
      </w:r>
      <w:r w:rsidR="003306E7">
        <w:rPr>
          <w:rFonts w:asciiTheme="majorBidi" w:hAnsiTheme="majorBidi" w:cstheme="majorBidi"/>
          <w:bCs/>
          <w:lang w:val="en-US"/>
        </w:rPr>
        <w:t xml:space="preserve"> If this rate of excess deaths is extrapolated to other countries, it amounts to over 300,000 excess deaths worldwide.</w:t>
      </w:r>
      <w:r w:rsidR="00796933">
        <w:rPr>
          <w:rFonts w:asciiTheme="majorBidi" w:hAnsiTheme="majorBidi" w:cstheme="majorBidi"/>
          <w:bCs/>
          <w:lang w:val="en-US"/>
        </w:rPr>
        <w:t xml:space="preserve"> T</w:t>
      </w:r>
      <w:r w:rsidR="003306E7">
        <w:rPr>
          <w:rFonts w:asciiTheme="majorBidi" w:hAnsiTheme="majorBidi" w:cstheme="majorBidi"/>
          <w:bCs/>
          <w:lang w:val="en-US"/>
        </w:rPr>
        <w:t xml:space="preserve">he rise in excess mortality since the booster rollout began </w:t>
      </w:r>
      <w:r w:rsidR="00BA3B1C">
        <w:rPr>
          <w:rFonts w:asciiTheme="majorBidi" w:hAnsiTheme="majorBidi" w:cstheme="majorBidi"/>
          <w:bCs/>
          <w:lang w:val="en-US"/>
        </w:rPr>
        <w:t xml:space="preserve">occurs </w:t>
      </w:r>
      <w:r w:rsidR="00796933">
        <w:rPr>
          <w:rFonts w:asciiTheme="majorBidi" w:hAnsiTheme="majorBidi" w:cstheme="majorBidi"/>
          <w:bCs/>
          <w:lang w:val="en-US"/>
        </w:rPr>
        <w:t xml:space="preserve">in </w:t>
      </w:r>
      <w:r w:rsidR="003306E7">
        <w:rPr>
          <w:rFonts w:asciiTheme="majorBidi" w:hAnsiTheme="majorBidi" w:cstheme="majorBidi"/>
          <w:bCs/>
          <w:lang w:val="en-US"/>
        </w:rPr>
        <w:t xml:space="preserve">all age groups except the </w:t>
      </w:r>
      <w:r w:rsidR="00EA56EF">
        <w:rPr>
          <w:rFonts w:asciiTheme="majorBidi" w:hAnsiTheme="majorBidi" w:cstheme="majorBidi"/>
          <w:bCs/>
          <w:lang w:val="en-US"/>
        </w:rPr>
        <w:t>youngest</w:t>
      </w:r>
      <w:r w:rsidR="003306E7">
        <w:rPr>
          <w:rFonts w:asciiTheme="majorBidi" w:hAnsiTheme="majorBidi" w:cstheme="majorBidi"/>
          <w:bCs/>
          <w:lang w:val="en-US"/>
        </w:rPr>
        <w:t xml:space="preserve"> (under age 30</w:t>
      </w:r>
      <w:r w:rsidR="00796933">
        <w:rPr>
          <w:rFonts w:asciiTheme="majorBidi" w:hAnsiTheme="majorBidi" w:cstheme="majorBidi"/>
          <w:bCs/>
          <w:lang w:val="en-US"/>
        </w:rPr>
        <w:t>)</w:t>
      </w:r>
      <w:r w:rsidR="00EA56EF">
        <w:rPr>
          <w:rFonts w:asciiTheme="majorBidi" w:hAnsiTheme="majorBidi" w:cstheme="majorBidi"/>
          <w:bCs/>
          <w:lang w:val="en-US"/>
        </w:rPr>
        <w:t xml:space="preserve">, who mostly </w:t>
      </w:r>
      <w:r w:rsidR="00796933">
        <w:rPr>
          <w:rFonts w:asciiTheme="majorBidi" w:hAnsiTheme="majorBidi" w:cstheme="majorBidi"/>
          <w:bCs/>
          <w:lang w:val="en-US"/>
        </w:rPr>
        <w:t xml:space="preserve">are </w:t>
      </w:r>
      <w:r w:rsidR="00EA56EF">
        <w:rPr>
          <w:rFonts w:asciiTheme="majorBidi" w:hAnsiTheme="majorBidi" w:cstheme="majorBidi"/>
          <w:bCs/>
          <w:lang w:val="en-US"/>
        </w:rPr>
        <w:t>in</w:t>
      </w:r>
      <w:r w:rsidR="00796933">
        <w:rPr>
          <w:rFonts w:asciiTheme="majorBidi" w:hAnsiTheme="majorBidi" w:cstheme="majorBidi"/>
          <w:bCs/>
          <w:lang w:val="en-US"/>
        </w:rPr>
        <w:t xml:space="preserve">eligible for boosters. In economic terms, if an age-adjusted value of statistical life of $4 million is applied, excess mortality associated with </w:t>
      </w:r>
      <w:r w:rsidR="0091321F">
        <w:rPr>
          <w:rFonts w:asciiTheme="majorBidi" w:hAnsiTheme="majorBidi" w:cstheme="majorBidi"/>
          <w:bCs/>
          <w:lang w:val="en-US"/>
        </w:rPr>
        <w:t xml:space="preserve">New Zealand’s </w:t>
      </w:r>
      <w:r w:rsidR="00796933">
        <w:rPr>
          <w:rFonts w:asciiTheme="majorBidi" w:hAnsiTheme="majorBidi" w:cstheme="majorBidi"/>
          <w:bCs/>
          <w:lang w:val="en-US"/>
        </w:rPr>
        <w:t xml:space="preserve">booster rollout </w:t>
      </w:r>
      <w:r w:rsidR="000575F7">
        <w:rPr>
          <w:rFonts w:asciiTheme="majorBidi" w:hAnsiTheme="majorBidi" w:cstheme="majorBidi"/>
          <w:bCs/>
          <w:lang w:val="en-US"/>
        </w:rPr>
        <w:t>is valued at over $1.6 billion.</w:t>
      </w:r>
      <w:r w:rsidR="00CD1C6C">
        <w:rPr>
          <w:rStyle w:val="FootnoteReference"/>
          <w:rFonts w:asciiTheme="majorBidi" w:hAnsiTheme="majorBidi" w:cstheme="majorBidi"/>
          <w:bCs/>
          <w:lang w:val="en-US"/>
        </w:rPr>
        <w:footnoteReference w:id="3"/>
      </w:r>
      <w:r w:rsidR="00E41396">
        <w:rPr>
          <w:rFonts w:asciiTheme="majorBidi" w:hAnsiTheme="majorBidi" w:cstheme="majorBidi"/>
          <w:bCs/>
          <w:lang w:val="en-US"/>
        </w:rPr>
        <w:t xml:space="preserve"> Even just one percent of this value of lost life ($16 million) would have been </w:t>
      </w:r>
      <w:r w:rsidR="00234068">
        <w:rPr>
          <w:rFonts w:asciiTheme="majorBidi" w:hAnsiTheme="majorBidi" w:cstheme="majorBidi"/>
          <w:bCs/>
          <w:lang w:val="en-US"/>
        </w:rPr>
        <w:t xml:space="preserve">more than </w:t>
      </w:r>
      <w:r w:rsidR="00E41396">
        <w:rPr>
          <w:rFonts w:asciiTheme="majorBidi" w:hAnsiTheme="majorBidi" w:cstheme="majorBidi"/>
          <w:bCs/>
          <w:lang w:val="en-US"/>
        </w:rPr>
        <w:t xml:space="preserve">sufficient to carefully study booster impacts by randomizing </w:t>
      </w:r>
      <w:r w:rsidR="001A196B">
        <w:rPr>
          <w:rFonts w:asciiTheme="majorBidi" w:hAnsiTheme="majorBidi" w:cstheme="majorBidi"/>
          <w:bCs/>
          <w:lang w:val="en-US"/>
        </w:rPr>
        <w:t xml:space="preserve">the </w:t>
      </w:r>
      <w:r w:rsidR="00E41396">
        <w:rPr>
          <w:rFonts w:asciiTheme="majorBidi" w:hAnsiTheme="majorBidi" w:cstheme="majorBidi"/>
          <w:bCs/>
          <w:lang w:val="en-US"/>
        </w:rPr>
        <w:t>rollout and could also have funded surveys of vaccine adverse events rather than relying on the current passive reporting system.</w:t>
      </w:r>
      <w:r w:rsidR="000536CC">
        <w:rPr>
          <w:rFonts w:asciiTheme="majorBidi" w:hAnsiTheme="majorBidi" w:cstheme="majorBidi"/>
          <w:bCs/>
          <w:lang w:val="en-US"/>
        </w:rPr>
        <w:t xml:space="preserve"> Instead, local health </w:t>
      </w:r>
      <w:r w:rsidR="001A196B">
        <w:rPr>
          <w:rFonts w:asciiTheme="majorBidi" w:hAnsiTheme="majorBidi" w:cstheme="majorBidi"/>
          <w:bCs/>
          <w:lang w:val="en-US"/>
        </w:rPr>
        <w:t>authorities seemed to outsource</w:t>
      </w:r>
      <w:r w:rsidR="000536CC">
        <w:rPr>
          <w:rFonts w:asciiTheme="majorBidi" w:hAnsiTheme="majorBidi" w:cstheme="majorBidi"/>
          <w:bCs/>
          <w:lang w:val="en-US"/>
        </w:rPr>
        <w:t xml:space="preserve"> </w:t>
      </w:r>
      <w:r w:rsidR="001A196B">
        <w:rPr>
          <w:rFonts w:asciiTheme="majorBidi" w:hAnsiTheme="majorBidi" w:cstheme="majorBidi"/>
          <w:bCs/>
          <w:lang w:val="en-US"/>
        </w:rPr>
        <w:t xml:space="preserve">decisions </w:t>
      </w:r>
      <w:r w:rsidR="000536CC">
        <w:rPr>
          <w:rFonts w:asciiTheme="majorBidi" w:hAnsiTheme="majorBidi" w:cstheme="majorBidi"/>
          <w:bCs/>
          <w:lang w:val="en-US"/>
        </w:rPr>
        <w:t xml:space="preserve">to industry-captured overseas regulators. </w:t>
      </w:r>
    </w:p>
    <w:p w:rsidR="00C35DD7" w:rsidRPr="008A622D" w:rsidRDefault="00C35DD7" w:rsidP="00C35DD7">
      <w:pPr>
        <w:spacing w:after="0" w:line="360" w:lineRule="auto"/>
        <w:rPr>
          <w:rFonts w:asciiTheme="majorBidi" w:hAnsiTheme="majorBidi" w:cstheme="majorBidi"/>
          <w:bCs/>
          <w:lang w:val="en-AU"/>
        </w:rPr>
      </w:pPr>
      <w:r>
        <w:rPr>
          <w:rFonts w:asciiTheme="majorBidi" w:hAnsiTheme="majorBidi" w:cstheme="majorBidi"/>
          <w:b/>
          <w:bCs/>
        </w:rPr>
        <w:lastRenderedPageBreak/>
        <w:t>II</w:t>
      </w:r>
      <w:r w:rsidRPr="008A622D">
        <w:rPr>
          <w:rFonts w:asciiTheme="majorBidi" w:hAnsiTheme="majorBidi" w:cstheme="majorBidi"/>
          <w:b/>
          <w:bCs/>
        </w:rPr>
        <w:t>.</w:t>
      </w:r>
      <w:r w:rsidRPr="008A622D">
        <w:rPr>
          <w:rFonts w:asciiTheme="majorBidi" w:hAnsiTheme="majorBidi" w:cstheme="majorBidi"/>
          <w:b/>
          <w:bCs/>
        </w:rPr>
        <w:tab/>
      </w:r>
      <w:r w:rsidR="00000E84">
        <w:rPr>
          <w:rFonts w:asciiTheme="majorBidi" w:hAnsiTheme="majorBidi" w:cstheme="majorBidi"/>
          <w:b/>
          <w:bCs/>
        </w:rPr>
        <w:t>Excess Mortality Estimate</w:t>
      </w:r>
      <w:r>
        <w:rPr>
          <w:rFonts w:asciiTheme="majorBidi" w:hAnsiTheme="majorBidi" w:cstheme="majorBidi"/>
          <w:b/>
          <w:bCs/>
        </w:rPr>
        <w:t xml:space="preserve">s </w:t>
      </w:r>
    </w:p>
    <w:p w:rsidR="009E6133" w:rsidRDefault="003B69A0" w:rsidP="00C92516">
      <w:pPr>
        <w:widowControl w:val="0"/>
        <w:spacing w:after="0" w:line="288" w:lineRule="auto"/>
        <w:ind w:firstLine="720"/>
        <w:jc w:val="both"/>
        <w:rPr>
          <w:bCs/>
          <w:lang w:val="en-US"/>
        </w:rPr>
      </w:pPr>
      <w:r>
        <w:rPr>
          <w:rFonts w:asciiTheme="majorBidi" w:hAnsiTheme="majorBidi" w:cstheme="majorBidi"/>
          <w:bCs/>
        </w:rPr>
        <w:t>E</w:t>
      </w:r>
      <w:r w:rsidR="008F6C77">
        <w:rPr>
          <w:rFonts w:asciiTheme="majorBidi" w:hAnsiTheme="majorBidi" w:cstheme="majorBidi"/>
          <w:bCs/>
        </w:rPr>
        <w:t>stimate</w:t>
      </w:r>
      <w:r w:rsidR="00CF1210">
        <w:rPr>
          <w:rFonts w:asciiTheme="majorBidi" w:hAnsiTheme="majorBidi" w:cstheme="majorBidi"/>
          <w:bCs/>
        </w:rPr>
        <w:t>s</w:t>
      </w:r>
      <w:r w:rsidR="008F6C77">
        <w:rPr>
          <w:rFonts w:asciiTheme="majorBidi" w:hAnsiTheme="majorBidi" w:cstheme="majorBidi"/>
          <w:bCs/>
        </w:rPr>
        <w:t xml:space="preserve"> </w:t>
      </w:r>
      <w:r>
        <w:rPr>
          <w:rFonts w:asciiTheme="majorBidi" w:hAnsiTheme="majorBidi" w:cstheme="majorBidi"/>
          <w:bCs/>
        </w:rPr>
        <w:t xml:space="preserve">of </w:t>
      </w:r>
      <w:r w:rsidR="008F6C77">
        <w:rPr>
          <w:rFonts w:asciiTheme="majorBidi" w:hAnsiTheme="majorBidi" w:cstheme="majorBidi"/>
          <w:bCs/>
        </w:rPr>
        <w:t xml:space="preserve">excess mortality </w:t>
      </w:r>
      <w:r w:rsidR="00B91ED8">
        <w:rPr>
          <w:rFonts w:asciiTheme="majorBidi" w:hAnsiTheme="majorBidi" w:cstheme="majorBidi"/>
          <w:bCs/>
        </w:rPr>
        <w:t>for</w:t>
      </w:r>
      <w:r w:rsidR="008F6C77">
        <w:rPr>
          <w:rFonts w:asciiTheme="majorBidi" w:hAnsiTheme="majorBidi" w:cstheme="majorBidi"/>
          <w:bCs/>
        </w:rPr>
        <w:t xml:space="preserve"> a particular era </w:t>
      </w:r>
      <w:r>
        <w:rPr>
          <w:rFonts w:asciiTheme="majorBidi" w:hAnsiTheme="majorBidi" w:cstheme="majorBidi"/>
          <w:bCs/>
        </w:rPr>
        <w:t xml:space="preserve">require </w:t>
      </w:r>
      <w:r w:rsidR="008F6C77">
        <w:rPr>
          <w:rFonts w:asciiTheme="majorBidi" w:hAnsiTheme="majorBidi" w:cstheme="majorBidi"/>
          <w:bCs/>
        </w:rPr>
        <w:t xml:space="preserve">the expected number of deaths </w:t>
      </w:r>
      <w:r>
        <w:rPr>
          <w:rFonts w:asciiTheme="majorBidi" w:hAnsiTheme="majorBidi" w:cstheme="majorBidi"/>
          <w:bCs/>
        </w:rPr>
        <w:t>per period (weekly, in this case).</w:t>
      </w:r>
      <w:r w:rsidR="008F6C77">
        <w:rPr>
          <w:rFonts w:asciiTheme="majorBidi" w:hAnsiTheme="majorBidi" w:cstheme="majorBidi"/>
          <w:bCs/>
        </w:rPr>
        <w:t xml:space="preserve"> </w:t>
      </w:r>
      <w:r w:rsidR="009E6133">
        <w:rPr>
          <w:rFonts w:asciiTheme="majorBidi" w:hAnsiTheme="majorBidi" w:cstheme="majorBidi"/>
          <w:bCs/>
        </w:rPr>
        <w:t>T</w:t>
      </w:r>
      <w:r w:rsidR="008F6C77">
        <w:rPr>
          <w:rFonts w:asciiTheme="majorBidi" w:hAnsiTheme="majorBidi" w:cstheme="majorBidi"/>
          <w:bCs/>
        </w:rPr>
        <w:t>he mean</w:t>
      </w:r>
      <w:r>
        <w:rPr>
          <w:rFonts w:asciiTheme="majorBidi" w:hAnsiTheme="majorBidi" w:cstheme="majorBidi"/>
          <w:bCs/>
        </w:rPr>
        <w:t xml:space="preserve">s </w:t>
      </w:r>
      <w:r w:rsidR="008F6C77">
        <w:rPr>
          <w:rFonts w:asciiTheme="majorBidi" w:hAnsiTheme="majorBidi" w:cstheme="majorBidi"/>
          <w:bCs/>
        </w:rPr>
        <w:t xml:space="preserve">from </w:t>
      </w:r>
      <w:r>
        <w:rPr>
          <w:rFonts w:asciiTheme="majorBidi" w:hAnsiTheme="majorBidi" w:cstheme="majorBidi"/>
          <w:bCs/>
        </w:rPr>
        <w:t xml:space="preserve">a </w:t>
      </w:r>
      <w:r w:rsidR="009E6133">
        <w:rPr>
          <w:rFonts w:asciiTheme="majorBidi" w:hAnsiTheme="majorBidi" w:cstheme="majorBidi"/>
          <w:bCs/>
        </w:rPr>
        <w:t>prior</w:t>
      </w:r>
      <w:r>
        <w:rPr>
          <w:rFonts w:asciiTheme="majorBidi" w:hAnsiTheme="majorBidi" w:cstheme="majorBidi"/>
          <w:bCs/>
        </w:rPr>
        <w:t xml:space="preserve"> era are</w:t>
      </w:r>
      <w:r w:rsidR="001E79CD">
        <w:rPr>
          <w:rFonts w:asciiTheme="majorBidi" w:hAnsiTheme="majorBidi" w:cstheme="majorBidi"/>
          <w:bCs/>
        </w:rPr>
        <w:t xml:space="preserve"> often used. F</w:t>
      </w:r>
      <w:r w:rsidR="008F6C77">
        <w:rPr>
          <w:rFonts w:asciiTheme="majorBidi" w:hAnsiTheme="majorBidi" w:cstheme="majorBidi"/>
          <w:bCs/>
        </w:rPr>
        <w:t xml:space="preserve">or example, Kung et al (2021) </w:t>
      </w:r>
      <w:r w:rsidR="009E6133">
        <w:rPr>
          <w:rFonts w:asciiTheme="majorBidi" w:hAnsiTheme="majorBidi" w:cstheme="majorBidi"/>
          <w:bCs/>
        </w:rPr>
        <w:t>compare week-specific</w:t>
      </w:r>
      <w:r w:rsidR="008F6C77">
        <w:rPr>
          <w:rFonts w:asciiTheme="majorBidi" w:hAnsiTheme="majorBidi" w:cstheme="majorBidi"/>
          <w:bCs/>
        </w:rPr>
        <w:t xml:space="preserve"> </w:t>
      </w:r>
      <w:r w:rsidR="009E6133">
        <w:rPr>
          <w:rFonts w:asciiTheme="majorBidi" w:hAnsiTheme="majorBidi" w:cstheme="majorBidi"/>
          <w:bCs/>
        </w:rPr>
        <w:t>mean d</w:t>
      </w:r>
      <w:r w:rsidR="008F6C77">
        <w:rPr>
          <w:rFonts w:asciiTheme="majorBidi" w:hAnsiTheme="majorBidi" w:cstheme="majorBidi"/>
          <w:bCs/>
        </w:rPr>
        <w:t>eath</w:t>
      </w:r>
      <w:r>
        <w:rPr>
          <w:rFonts w:asciiTheme="majorBidi" w:hAnsiTheme="majorBidi" w:cstheme="majorBidi"/>
          <w:bCs/>
        </w:rPr>
        <w:t xml:space="preserve"> rate</w:t>
      </w:r>
      <w:r w:rsidR="008F6C77">
        <w:rPr>
          <w:rFonts w:asciiTheme="majorBidi" w:hAnsiTheme="majorBidi" w:cstheme="majorBidi"/>
          <w:bCs/>
        </w:rPr>
        <w:t xml:space="preserve">s from 2015-19 </w:t>
      </w:r>
      <w:r w:rsidR="009E6133">
        <w:rPr>
          <w:rFonts w:asciiTheme="majorBidi" w:hAnsiTheme="majorBidi" w:cstheme="majorBidi"/>
          <w:bCs/>
        </w:rPr>
        <w:t>to death</w:t>
      </w:r>
      <w:r>
        <w:rPr>
          <w:rFonts w:asciiTheme="majorBidi" w:hAnsiTheme="majorBidi" w:cstheme="majorBidi"/>
          <w:bCs/>
        </w:rPr>
        <w:t xml:space="preserve"> rate</w:t>
      </w:r>
      <w:r w:rsidR="009E6133">
        <w:rPr>
          <w:rFonts w:asciiTheme="majorBidi" w:hAnsiTheme="majorBidi" w:cstheme="majorBidi"/>
          <w:bCs/>
        </w:rPr>
        <w:t xml:space="preserve">s in 2020 when </w:t>
      </w:r>
      <w:r>
        <w:rPr>
          <w:rFonts w:asciiTheme="majorBidi" w:hAnsiTheme="majorBidi" w:cstheme="majorBidi"/>
          <w:bCs/>
        </w:rPr>
        <w:t xml:space="preserve">arguing </w:t>
      </w:r>
      <w:r w:rsidR="009E6133">
        <w:rPr>
          <w:rFonts w:asciiTheme="majorBidi" w:hAnsiTheme="majorBidi" w:cstheme="majorBidi"/>
          <w:bCs/>
        </w:rPr>
        <w:t xml:space="preserve">that there were no apparent </w:t>
      </w:r>
      <w:r w:rsidR="009E6133" w:rsidRPr="000C41D8">
        <w:rPr>
          <w:bCs/>
          <w:lang w:val="en-US"/>
        </w:rPr>
        <w:t xml:space="preserve">adverse effects </w:t>
      </w:r>
      <w:r w:rsidR="001E79CD">
        <w:rPr>
          <w:bCs/>
          <w:lang w:val="en-US"/>
        </w:rPr>
        <w:t xml:space="preserve">of lockdowns </w:t>
      </w:r>
      <w:r w:rsidR="009E6133" w:rsidRPr="000C41D8">
        <w:rPr>
          <w:bCs/>
          <w:lang w:val="en-US"/>
        </w:rPr>
        <w:t>on mortality</w:t>
      </w:r>
      <w:r w:rsidR="009E6133">
        <w:rPr>
          <w:bCs/>
          <w:lang w:val="en-US"/>
        </w:rPr>
        <w:t xml:space="preserve"> in New Zealand.</w:t>
      </w:r>
      <w:r w:rsidR="00B91ED8">
        <w:rPr>
          <w:bCs/>
          <w:lang w:val="en-US"/>
        </w:rPr>
        <w:t xml:space="preserve"> E</w:t>
      </w:r>
      <w:r>
        <w:rPr>
          <w:bCs/>
          <w:lang w:val="en-US"/>
        </w:rPr>
        <w:t xml:space="preserve">xpected deaths can also be calculated from regressions, </w:t>
      </w:r>
      <w:r w:rsidR="00B91ED8">
        <w:rPr>
          <w:bCs/>
          <w:lang w:val="en-US"/>
        </w:rPr>
        <w:t xml:space="preserve">letting </w:t>
      </w:r>
      <w:r>
        <w:rPr>
          <w:bCs/>
          <w:lang w:val="en-US"/>
        </w:rPr>
        <w:t>factors that change over time be incorporated (using means</w:t>
      </w:r>
      <w:r w:rsidR="00C92516">
        <w:rPr>
          <w:bCs/>
          <w:lang w:val="en-US"/>
        </w:rPr>
        <w:t xml:space="preserve"> ignores such changes</w:t>
      </w:r>
      <w:r>
        <w:rPr>
          <w:bCs/>
          <w:lang w:val="en-US"/>
        </w:rPr>
        <w:t xml:space="preserve">). </w:t>
      </w:r>
      <w:r w:rsidR="00C92516">
        <w:rPr>
          <w:bCs/>
          <w:lang w:val="en-US"/>
        </w:rPr>
        <w:t>A</w:t>
      </w:r>
      <w:r w:rsidR="00B91ED8">
        <w:rPr>
          <w:bCs/>
          <w:lang w:val="en-US"/>
        </w:rPr>
        <w:t xml:space="preserve"> regression approach is used here:</w:t>
      </w:r>
    </w:p>
    <w:p w:rsidR="00007103" w:rsidRPr="00007103" w:rsidRDefault="00AB0B45" w:rsidP="00B55BC7">
      <w:pPr>
        <w:widowControl w:val="0"/>
        <w:spacing w:after="0" w:line="288" w:lineRule="auto"/>
        <w:ind w:firstLine="720"/>
        <w:jc w:val="right"/>
        <w:rPr>
          <w:rFonts w:asciiTheme="majorBidi" w:hAnsiTheme="majorBidi" w:cstheme="majorBidi"/>
          <w:bCs/>
        </w:rPr>
      </w:pPr>
      <m:oMath>
        <m:sSub>
          <m:sSubPr>
            <m:ctrlPr>
              <w:rPr>
                <w:rFonts w:ascii="Cambria Math" w:hAnsi="Cambria Math" w:cstheme="majorBidi"/>
                <w:bCs/>
              </w:rPr>
            </m:ctrlPr>
          </m:sSubPr>
          <m:e>
            <m:r>
              <w:rPr>
                <w:rFonts w:ascii="Cambria Math" w:hAnsi="Cambria Math" w:cstheme="majorBidi"/>
              </w:rPr>
              <m:t>Deaths</m:t>
            </m:r>
          </m:e>
          <m:sub>
            <m:r>
              <w:rPr>
                <w:rFonts w:ascii="Cambria Math" w:hAnsi="Cambria Math" w:cstheme="majorBidi"/>
              </w:rPr>
              <m:t>jt</m:t>
            </m:r>
          </m:sub>
        </m:sSub>
        <m:r>
          <m:rPr>
            <m:sty m:val="p"/>
          </m:rPr>
          <w:rPr>
            <w:rFonts w:ascii="Cambria Math" w:hAnsi="Cambria Math" w:cstheme="majorBidi"/>
          </w:rPr>
          <m:t>=</m:t>
        </m:r>
        <m:sSub>
          <m:sSubPr>
            <m:ctrlPr>
              <w:rPr>
                <w:rFonts w:ascii="Cambria Math" w:hAnsi="Cambria Math" w:cstheme="majorBidi"/>
                <w:bCs/>
              </w:rPr>
            </m:ctrlPr>
          </m:sSubPr>
          <m:e>
            <m:r>
              <w:rPr>
                <w:rFonts w:ascii="Cambria Math" w:hAnsi="Cambria Math" w:cstheme="majorBidi"/>
              </w:rPr>
              <m:t>α</m:t>
            </m:r>
          </m:e>
          <m:sub>
            <m:r>
              <m:rPr>
                <m:sty m:val="p"/>
              </m:rPr>
              <w:rPr>
                <w:rFonts w:ascii="Cambria Math" w:hAnsi="Cambria Math" w:cstheme="majorBidi"/>
              </w:rPr>
              <m:t>0</m:t>
            </m:r>
          </m:sub>
        </m:sSub>
        <m:r>
          <m:rPr>
            <m:sty m:val="p"/>
          </m:rPr>
          <w:rPr>
            <w:rFonts w:ascii="Cambria Math" w:hAnsi="Cambria Math" w:cstheme="majorBidi"/>
          </w:rPr>
          <m:t>+</m:t>
        </m:r>
        <m:sSub>
          <m:sSubPr>
            <m:ctrlPr>
              <w:rPr>
                <w:rFonts w:ascii="Cambria Math" w:hAnsi="Cambria Math" w:cstheme="majorBidi"/>
                <w:bCs/>
              </w:rPr>
            </m:ctrlPr>
          </m:sSubPr>
          <m:e>
            <m:r>
              <w:rPr>
                <w:rFonts w:ascii="Cambria Math" w:hAnsi="Cambria Math" w:cstheme="majorBidi"/>
              </w:rPr>
              <m:t>γ</m:t>
            </m:r>
          </m:e>
          <m:sub>
            <m:r>
              <w:rPr>
                <w:rFonts w:ascii="Cambria Math" w:hAnsi="Cambria Math" w:cstheme="majorBidi"/>
              </w:rPr>
              <m:t>j</m:t>
            </m:r>
          </m:sub>
        </m:sSub>
        <m:r>
          <m:rPr>
            <m:sty m:val="p"/>
          </m:rPr>
          <w:rPr>
            <w:rFonts w:ascii="Cambria Math" w:hAnsi="Cambria Math" w:cstheme="majorBidi"/>
          </w:rPr>
          <m:t>+</m:t>
        </m:r>
        <m:r>
          <w:rPr>
            <w:rFonts w:ascii="Cambria Math" w:hAnsi="Cambria Math" w:cstheme="majorBidi"/>
          </w:rPr>
          <m:t>ρ</m:t>
        </m:r>
        <m:sSub>
          <m:sSubPr>
            <m:ctrlPr>
              <w:rPr>
                <w:rFonts w:ascii="Cambria Math" w:hAnsi="Cambria Math" w:cstheme="majorBidi"/>
                <w:bCs/>
              </w:rPr>
            </m:ctrlPr>
          </m:sSubPr>
          <m:e>
            <m:r>
              <w:rPr>
                <w:rFonts w:ascii="Cambria Math" w:hAnsi="Cambria Math" w:cstheme="majorBidi"/>
              </w:rPr>
              <m:t>T</m:t>
            </m:r>
          </m:e>
          <m:sub>
            <m:r>
              <w:rPr>
                <w:rFonts w:ascii="Cambria Math" w:hAnsi="Cambria Math" w:cstheme="majorBidi"/>
              </w:rPr>
              <m:t>t</m:t>
            </m:r>
          </m:sub>
        </m:sSub>
        <m:r>
          <w:rPr>
            <w:rFonts w:ascii="Cambria Math" w:hAnsi="Cambria Math" w:cstheme="majorBidi"/>
          </w:rPr>
          <m:t>+δ</m:t>
        </m:r>
        <m:sSub>
          <m:sSubPr>
            <m:ctrlPr>
              <w:rPr>
                <w:rFonts w:ascii="Cambria Math" w:hAnsi="Cambria Math" w:cstheme="majorBidi"/>
                <w:bCs/>
              </w:rPr>
            </m:ctrlPr>
          </m:sSubPr>
          <m:e>
            <m:r>
              <w:rPr>
                <w:rFonts w:ascii="Cambria Math" w:hAnsi="Cambria Math" w:cstheme="majorBidi"/>
              </w:rPr>
              <m:t>ResPop</m:t>
            </m:r>
          </m:e>
          <m:sub>
            <m:r>
              <w:rPr>
                <w:rFonts w:ascii="Cambria Math" w:hAnsi="Cambria Math" w:cstheme="majorBidi"/>
              </w:rPr>
              <m:t>jt</m:t>
            </m:r>
          </m:sub>
        </m:sSub>
        <m:r>
          <m:rPr>
            <m:sty m:val="p"/>
          </m:rPr>
          <w:rPr>
            <w:rFonts w:ascii="Cambria Math" w:hAnsi="Cambria Math" w:cstheme="majorBidi"/>
          </w:rPr>
          <m:t>+</m:t>
        </m:r>
        <m:r>
          <w:rPr>
            <w:rFonts w:ascii="Cambria Math" w:hAnsi="Cambria Math" w:cstheme="majorBidi"/>
          </w:rPr>
          <m:t>φ</m:t>
        </m:r>
        <m:sSub>
          <m:sSubPr>
            <m:ctrlPr>
              <w:rPr>
                <w:rFonts w:ascii="Cambria Math" w:hAnsi="Cambria Math" w:cstheme="majorBidi"/>
                <w:bCs/>
              </w:rPr>
            </m:ctrlPr>
          </m:sSubPr>
          <m:e>
            <m:r>
              <w:rPr>
                <w:rFonts w:ascii="Cambria Math" w:hAnsi="Cambria Math" w:cstheme="majorBidi"/>
              </w:rPr>
              <m:t>Shocks</m:t>
            </m:r>
          </m:e>
          <m:sub>
            <m:r>
              <w:rPr>
                <w:rFonts w:ascii="Cambria Math" w:hAnsi="Cambria Math" w:cstheme="majorBidi"/>
              </w:rPr>
              <m:t>jt</m:t>
            </m:r>
          </m:sub>
        </m:sSub>
        <m:r>
          <m:rPr>
            <m:sty m:val="p"/>
          </m:rPr>
          <w:rPr>
            <w:rFonts w:ascii="Cambria Math" w:hAnsi="Cambria Math" w:cstheme="majorBidi"/>
          </w:rPr>
          <m:t>+</m:t>
        </m:r>
        <m:sSub>
          <m:sSubPr>
            <m:ctrlPr>
              <w:rPr>
                <w:rFonts w:ascii="Cambria Math" w:hAnsi="Cambria Math" w:cstheme="majorBidi"/>
                <w:bCs/>
              </w:rPr>
            </m:ctrlPr>
          </m:sSubPr>
          <m:e>
            <m:r>
              <w:rPr>
                <w:rFonts w:ascii="Cambria Math" w:hAnsi="Cambria Math" w:cstheme="majorBidi"/>
              </w:rPr>
              <m:t>ε</m:t>
            </m:r>
          </m:e>
          <m:sub>
            <m:r>
              <w:rPr>
                <w:rFonts w:ascii="Cambria Math" w:hAnsi="Cambria Math" w:cstheme="majorBidi"/>
              </w:rPr>
              <m:t>jt</m:t>
            </m:r>
          </m:sub>
        </m:sSub>
      </m:oMath>
      <w:r w:rsidR="00342CEC">
        <w:rPr>
          <w:rFonts w:asciiTheme="majorBidi" w:eastAsiaTheme="minorEastAsia" w:hAnsiTheme="majorBidi" w:cstheme="majorBidi"/>
          <w:bCs/>
        </w:rPr>
        <w:tab/>
      </w:r>
      <w:r w:rsidR="00342CEC">
        <w:rPr>
          <w:rFonts w:asciiTheme="majorBidi" w:eastAsiaTheme="minorEastAsia" w:hAnsiTheme="majorBidi" w:cstheme="majorBidi"/>
          <w:bCs/>
        </w:rPr>
        <w:tab/>
        <w:t>(1)</w:t>
      </w:r>
    </w:p>
    <w:p w:rsidR="00B55BC7" w:rsidRDefault="00007103" w:rsidP="00C92516">
      <w:pPr>
        <w:widowControl w:val="0"/>
        <w:spacing w:after="0" w:line="288" w:lineRule="auto"/>
        <w:jc w:val="both"/>
        <w:rPr>
          <w:rFonts w:asciiTheme="majorBidi" w:hAnsiTheme="majorBidi" w:cstheme="majorBidi"/>
          <w:bCs/>
        </w:rPr>
      </w:pPr>
      <w:r w:rsidRPr="00007103">
        <w:rPr>
          <w:rFonts w:asciiTheme="majorBidi" w:hAnsiTheme="majorBidi" w:cstheme="majorBidi"/>
          <w:bCs/>
        </w:rPr>
        <w:t xml:space="preserve">where </w:t>
      </w:r>
      <w:r w:rsidRPr="00007103">
        <w:rPr>
          <w:rFonts w:asciiTheme="majorBidi" w:hAnsiTheme="majorBidi" w:cstheme="majorBidi"/>
          <w:bCs/>
          <w:i/>
          <w:iCs/>
        </w:rPr>
        <w:t>j</w:t>
      </w:r>
      <w:r w:rsidRPr="00007103">
        <w:rPr>
          <w:rFonts w:asciiTheme="majorBidi" w:hAnsiTheme="majorBidi" w:cstheme="majorBidi"/>
          <w:bCs/>
        </w:rPr>
        <w:t xml:space="preserve"> indexes weeks and </w:t>
      </w:r>
      <w:r w:rsidRPr="00007103">
        <w:rPr>
          <w:rFonts w:asciiTheme="majorBidi" w:hAnsiTheme="majorBidi" w:cstheme="majorBidi"/>
          <w:bCs/>
          <w:i/>
          <w:iCs/>
        </w:rPr>
        <w:t>t</w:t>
      </w:r>
      <w:r w:rsidRPr="00007103">
        <w:rPr>
          <w:rFonts w:asciiTheme="majorBidi" w:hAnsiTheme="majorBidi" w:cstheme="majorBidi"/>
          <w:bCs/>
        </w:rPr>
        <w:t xml:space="preserve"> years, the </w:t>
      </w:r>
      <m:oMath>
        <m:sSub>
          <m:sSubPr>
            <m:ctrlPr>
              <w:rPr>
                <w:rFonts w:ascii="Cambria Math" w:hAnsi="Cambria Math" w:cstheme="majorBidi"/>
                <w:bCs/>
              </w:rPr>
            </m:ctrlPr>
          </m:sSubPr>
          <m:e>
            <m:r>
              <w:rPr>
                <w:rFonts w:ascii="Cambria Math" w:hAnsi="Cambria Math" w:cstheme="majorBidi"/>
              </w:rPr>
              <m:t>γ</m:t>
            </m:r>
          </m:e>
          <m:sub>
            <m:r>
              <w:rPr>
                <w:rFonts w:ascii="Cambria Math" w:hAnsi="Cambria Math" w:cstheme="majorBidi"/>
              </w:rPr>
              <m:t>j</m:t>
            </m:r>
          </m:sub>
        </m:sSub>
      </m:oMath>
      <w:r w:rsidRPr="00007103">
        <w:rPr>
          <w:rFonts w:asciiTheme="majorBidi" w:hAnsiTheme="majorBidi" w:cstheme="majorBidi"/>
          <w:bCs/>
        </w:rPr>
        <w:t xml:space="preserve"> are fixed effects for each week of the year</w:t>
      </w:r>
      <w:r w:rsidR="00342CEC">
        <w:rPr>
          <w:rFonts w:asciiTheme="majorBidi" w:hAnsiTheme="majorBidi" w:cstheme="majorBidi"/>
          <w:bCs/>
        </w:rPr>
        <w:t>,</w:t>
      </w:r>
      <w:r>
        <w:rPr>
          <w:rFonts w:asciiTheme="majorBidi" w:hAnsiTheme="majorBidi" w:cstheme="majorBidi"/>
          <w:bCs/>
        </w:rPr>
        <w:t xml:space="preserve"> </w:t>
      </w:r>
      <w:r w:rsidRPr="00007103">
        <w:rPr>
          <w:rFonts w:asciiTheme="majorBidi" w:hAnsiTheme="majorBidi" w:cstheme="majorBidi"/>
          <w:bCs/>
        </w:rPr>
        <w:t>t</w:t>
      </w:r>
      <w:r w:rsidR="00342CEC">
        <w:rPr>
          <w:rFonts w:asciiTheme="majorBidi" w:hAnsiTheme="majorBidi" w:cstheme="majorBidi"/>
          <w:bCs/>
        </w:rPr>
        <w:t xml:space="preserve">he time </w:t>
      </w:r>
      <w:r w:rsidR="00B55BC7">
        <w:rPr>
          <w:rFonts w:asciiTheme="majorBidi" w:hAnsiTheme="majorBidi" w:cstheme="majorBidi"/>
          <w:bCs/>
        </w:rPr>
        <w:t xml:space="preserve">index </w:t>
      </w:r>
      <w:r w:rsidR="00342CEC">
        <w:rPr>
          <w:rFonts w:asciiTheme="majorBidi" w:hAnsiTheme="majorBidi" w:cstheme="majorBidi"/>
          <w:bCs/>
          <w:i/>
          <w:iCs/>
        </w:rPr>
        <w:t xml:space="preserve">T </w:t>
      </w:r>
      <w:r w:rsidR="00D41883">
        <w:rPr>
          <w:rFonts w:asciiTheme="majorBidi" w:hAnsiTheme="majorBidi" w:cstheme="majorBidi"/>
          <w:bCs/>
        </w:rPr>
        <w:t xml:space="preserve">(=1 for 2011, 2 for 2012 and so on) </w:t>
      </w:r>
      <w:r w:rsidRPr="00007103">
        <w:rPr>
          <w:rFonts w:asciiTheme="majorBidi" w:hAnsiTheme="majorBidi" w:cstheme="majorBidi"/>
          <w:bCs/>
        </w:rPr>
        <w:t>allow</w:t>
      </w:r>
      <w:r w:rsidR="00342CEC">
        <w:rPr>
          <w:rFonts w:asciiTheme="majorBidi" w:hAnsiTheme="majorBidi" w:cstheme="majorBidi"/>
          <w:bCs/>
        </w:rPr>
        <w:t xml:space="preserve">s for secular trends (such as </w:t>
      </w:r>
      <w:r w:rsidR="00D41883">
        <w:rPr>
          <w:rFonts w:asciiTheme="majorBidi" w:hAnsiTheme="majorBidi" w:cstheme="majorBidi"/>
          <w:bCs/>
        </w:rPr>
        <w:t xml:space="preserve">from rising </w:t>
      </w:r>
      <w:r w:rsidR="00342CEC">
        <w:rPr>
          <w:rFonts w:asciiTheme="majorBidi" w:hAnsiTheme="majorBidi" w:cstheme="majorBidi"/>
          <w:bCs/>
        </w:rPr>
        <w:t>life expectancy),</w:t>
      </w:r>
      <w:r w:rsidRPr="00007103">
        <w:rPr>
          <w:rFonts w:asciiTheme="majorBidi" w:hAnsiTheme="majorBidi" w:cstheme="majorBidi"/>
          <w:bCs/>
        </w:rPr>
        <w:t xml:space="preserve"> </w:t>
      </w:r>
      <w:r>
        <w:rPr>
          <w:rFonts w:asciiTheme="majorBidi" w:hAnsiTheme="majorBidi" w:cstheme="majorBidi"/>
          <w:bCs/>
        </w:rPr>
        <w:t xml:space="preserve">the </w:t>
      </w:r>
      <w:r w:rsidR="00B55BC7">
        <w:rPr>
          <w:rFonts w:asciiTheme="majorBidi" w:hAnsiTheme="majorBidi" w:cstheme="majorBidi"/>
          <w:bCs/>
        </w:rPr>
        <w:t>resident population (</w:t>
      </w:r>
      <w:proofErr w:type="spellStart"/>
      <w:r w:rsidR="00B55BC7">
        <w:rPr>
          <w:rFonts w:asciiTheme="majorBidi" w:hAnsiTheme="majorBidi" w:cstheme="majorBidi"/>
          <w:bCs/>
          <w:i/>
          <w:iCs/>
        </w:rPr>
        <w:t>ResPop</w:t>
      </w:r>
      <w:proofErr w:type="spellEnd"/>
      <w:r w:rsidR="00B55BC7">
        <w:rPr>
          <w:rFonts w:asciiTheme="majorBidi" w:hAnsiTheme="majorBidi" w:cstheme="majorBidi"/>
          <w:bCs/>
        </w:rPr>
        <w:t>)</w:t>
      </w:r>
      <w:r w:rsidR="00B55BC7">
        <w:rPr>
          <w:rFonts w:asciiTheme="majorBidi" w:hAnsiTheme="majorBidi" w:cstheme="majorBidi"/>
          <w:bCs/>
          <w:i/>
          <w:iCs/>
        </w:rPr>
        <w:t xml:space="preserve"> </w:t>
      </w:r>
      <w:r w:rsidR="002065F7">
        <w:rPr>
          <w:rFonts w:asciiTheme="majorBidi" w:hAnsiTheme="majorBidi" w:cstheme="majorBidi"/>
          <w:bCs/>
        </w:rPr>
        <w:t xml:space="preserve">controls for any increase in deaths due to a larger population, and the vector of shocks is for </w:t>
      </w:r>
      <w:r w:rsidR="0080760F">
        <w:rPr>
          <w:rFonts w:asciiTheme="majorBidi" w:hAnsiTheme="majorBidi" w:cstheme="majorBidi"/>
          <w:bCs/>
        </w:rPr>
        <w:t xml:space="preserve">mass death </w:t>
      </w:r>
      <w:r w:rsidR="002065F7">
        <w:rPr>
          <w:rFonts w:asciiTheme="majorBidi" w:hAnsiTheme="majorBidi" w:cstheme="majorBidi"/>
          <w:bCs/>
        </w:rPr>
        <w:t xml:space="preserve">events not expected to </w:t>
      </w:r>
      <w:r w:rsidR="0080760F">
        <w:rPr>
          <w:rFonts w:asciiTheme="majorBidi" w:hAnsiTheme="majorBidi" w:cstheme="majorBidi"/>
          <w:bCs/>
        </w:rPr>
        <w:t>reoccur</w:t>
      </w:r>
      <w:r w:rsidR="00C92516">
        <w:rPr>
          <w:rFonts w:asciiTheme="majorBidi" w:hAnsiTheme="majorBidi" w:cstheme="majorBidi"/>
          <w:bCs/>
        </w:rPr>
        <w:t>.</w:t>
      </w:r>
    </w:p>
    <w:p w:rsidR="004367F1" w:rsidRDefault="00C92516" w:rsidP="00EA56EF">
      <w:pPr>
        <w:widowControl w:val="0"/>
        <w:spacing w:after="0" w:line="288" w:lineRule="auto"/>
        <w:jc w:val="both"/>
        <w:rPr>
          <w:rFonts w:asciiTheme="majorBidi" w:hAnsiTheme="majorBidi" w:cstheme="majorBidi"/>
          <w:bCs/>
        </w:rPr>
      </w:pPr>
      <w:r>
        <w:rPr>
          <w:rFonts w:asciiTheme="majorBidi" w:hAnsiTheme="majorBidi" w:cstheme="majorBidi"/>
          <w:bCs/>
        </w:rPr>
        <w:tab/>
        <w:t>There are three notable features of equa</w:t>
      </w:r>
      <w:r w:rsidR="000A08AF">
        <w:rPr>
          <w:rFonts w:asciiTheme="majorBidi" w:hAnsiTheme="majorBidi" w:cstheme="majorBidi"/>
          <w:bCs/>
        </w:rPr>
        <w:t>tion (1). The full span of data</w:t>
      </w:r>
      <w:r>
        <w:rPr>
          <w:rFonts w:asciiTheme="majorBidi" w:hAnsiTheme="majorBidi" w:cstheme="majorBidi"/>
          <w:bCs/>
        </w:rPr>
        <w:t xml:space="preserve"> </w:t>
      </w:r>
      <w:r w:rsidR="00EA56EF">
        <w:rPr>
          <w:rFonts w:asciiTheme="majorBidi" w:hAnsiTheme="majorBidi" w:cstheme="majorBidi"/>
          <w:bCs/>
        </w:rPr>
        <w:t>from</w:t>
      </w:r>
      <w:r>
        <w:rPr>
          <w:rFonts w:asciiTheme="majorBidi" w:hAnsiTheme="majorBidi" w:cstheme="majorBidi"/>
          <w:bCs/>
        </w:rPr>
        <w:t xml:space="preserve"> the </w:t>
      </w:r>
      <w:r w:rsidR="00EA56EF">
        <w:rPr>
          <w:rFonts w:asciiTheme="majorBidi" w:hAnsiTheme="majorBidi" w:cstheme="majorBidi"/>
          <w:bCs/>
        </w:rPr>
        <w:t xml:space="preserve">start </w:t>
      </w:r>
      <w:r w:rsidR="000A08AF">
        <w:rPr>
          <w:rFonts w:asciiTheme="majorBidi" w:hAnsiTheme="majorBidi" w:cstheme="majorBidi"/>
          <w:bCs/>
        </w:rPr>
        <w:t>of 2011</w:t>
      </w:r>
      <w:r>
        <w:rPr>
          <w:rFonts w:asciiTheme="majorBidi" w:hAnsiTheme="majorBidi" w:cstheme="majorBidi"/>
          <w:bCs/>
        </w:rPr>
        <w:t xml:space="preserve"> is used because </w:t>
      </w:r>
      <w:r w:rsidR="004367F1">
        <w:rPr>
          <w:rFonts w:asciiTheme="majorBidi" w:hAnsiTheme="majorBidi" w:cstheme="majorBidi"/>
          <w:bCs/>
        </w:rPr>
        <w:t xml:space="preserve">it is inefficient to </w:t>
      </w:r>
      <w:r w:rsidR="00EA56EF">
        <w:rPr>
          <w:rFonts w:asciiTheme="majorBidi" w:hAnsiTheme="majorBidi" w:cstheme="majorBidi"/>
          <w:bCs/>
        </w:rPr>
        <w:t xml:space="preserve">discard </w:t>
      </w:r>
      <w:r w:rsidR="004367F1">
        <w:rPr>
          <w:rFonts w:asciiTheme="majorBidi" w:hAnsiTheme="majorBidi" w:cstheme="majorBidi"/>
          <w:bCs/>
        </w:rPr>
        <w:t>part</w:t>
      </w:r>
      <w:r>
        <w:rPr>
          <w:rFonts w:asciiTheme="majorBidi" w:hAnsiTheme="majorBidi" w:cstheme="majorBidi"/>
          <w:bCs/>
        </w:rPr>
        <w:t xml:space="preserve"> of </w:t>
      </w:r>
      <w:r w:rsidR="00D335B6">
        <w:rPr>
          <w:rFonts w:asciiTheme="majorBidi" w:hAnsiTheme="majorBidi" w:cstheme="majorBidi"/>
          <w:bCs/>
        </w:rPr>
        <w:t>a time-series</w:t>
      </w:r>
      <w:r>
        <w:rPr>
          <w:rFonts w:asciiTheme="majorBidi" w:hAnsiTheme="majorBidi" w:cstheme="majorBidi"/>
          <w:bCs/>
        </w:rPr>
        <w:t>.</w:t>
      </w:r>
      <w:r>
        <w:rPr>
          <w:rStyle w:val="FootnoteReference"/>
          <w:rFonts w:asciiTheme="majorBidi" w:hAnsiTheme="majorBidi" w:cstheme="majorBidi"/>
          <w:bCs/>
        </w:rPr>
        <w:footnoteReference w:id="4"/>
      </w:r>
      <w:r>
        <w:rPr>
          <w:rFonts w:asciiTheme="majorBidi" w:hAnsiTheme="majorBidi" w:cstheme="majorBidi"/>
          <w:bCs/>
        </w:rPr>
        <w:t xml:space="preserve"> Death rates are not used </w:t>
      </w:r>
      <w:r w:rsidR="00F66459">
        <w:rPr>
          <w:rFonts w:asciiTheme="majorBidi" w:hAnsiTheme="majorBidi" w:cstheme="majorBidi"/>
          <w:bCs/>
        </w:rPr>
        <w:t xml:space="preserve">because their denominator depends on population projections for the latest years </w:t>
      </w:r>
      <w:r w:rsidR="00D335B6" w:rsidRPr="00D335B6">
        <w:rPr>
          <w:rFonts w:asciiTheme="majorBidi" w:hAnsiTheme="majorBidi" w:cstheme="majorBidi"/>
          <w:bCs/>
        </w:rPr>
        <w:t>(</w:t>
      </w:r>
      <w:proofErr w:type="spellStart"/>
      <w:r w:rsidR="00D335B6" w:rsidRPr="00D335B6">
        <w:rPr>
          <w:rFonts w:asciiTheme="majorBidi" w:eastAsia="Times New Roman" w:hAnsiTheme="majorBidi" w:cstheme="majorBidi"/>
          <w:iCs/>
        </w:rPr>
        <w:t>Németh</w:t>
      </w:r>
      <w:proofErr w:type="spellEnd"/>
      <w:r w:rsidR="00D335B6" w:rsidRPr="00D335B6">
        <w:rPr>
          <w:rFonts w:asciiTheme="majorBidi" w:hAnsiTheme="majorBidi" w:cstheme="majorBidi"/>
          <w:bCs/>
        </w:rPr>
        <w:t xml:space="preserve"> et al, 2021)</w:t>
      </w:r>
      <w:r w:rsidR="00D335B6">
        <w:rPr>
          <w:rFonts w:asciiTheme="majorBidi" w:hAnsiTheme="majorBidi" w:cstheme="majorBidi"/>
          <w:bCs/>
        </w:rPr>
        <w:t>, which</w:t>
      </w:r>
      <w:r w:rsidR="00F66459">
        <w:rPr>
          <w:rFonts w:asciiTheme="majorBidi" w:hAnsiTheme="majorBidi" w:cstheme="majorBidi"/>
          <w:bCs/>
        </w:rPr>
        <w:t xml:space="preserve"> are </w:t>
      </w:r>
      <w:r w:rsidR="00D335B6">
        <w:rPr>
          <w:rFonts w:asciiTheme="majorBidi" w:hAnsiTheme="majorBidi" w:cstheme="majorBidi"/>
          <w:bCs/>
        </w:rPr>
        <w:t>inexact</w:t>
      </w:r>
      <w:r w:rsidR="00F66459">
        <w:rPr>
          <w:rFonts w:asciiTheme="majorBidi" w:hAnsiTheme="majorBidi" w:cstheme="majorBidi"/>
          <w:bCs/>
        </w:rPr>
        <w:t xml:space="preserve"> for New Zealand</w:t>
      </w:r>
      <w:r w:rsidR="00D335B6">
        <w:rPr>
          <w:rFonts w:asciiTheme="majorBidi" w:hAnsiTheme="majorBidi" w:cstheme="majorBidi"/>
          <w:bCs/>
        </w:rPr>
        <w:t xml:space="preserve"> due to migration-induced fluctuations in population. Instead</w:t>
      </w:r>
      <w:r w:rsidR="004367F1">
        <w:rPr>
          <w:rFonts w:asciiTheme="majorBidi" w:hAnsiTheme="majorBidi" w:cstheme="majorBidi"/>
          <w:bCs/>
        </w:rPr>
        <w:t xml:space="preserve">, quarterly population estimates are a control variable, and in conjunction with the time-trend allow dynamic forecasting </w:t>
      </w:r>
      <w:r w:rsidR="003A62C7">
        <w:rPr>
          <w:rFonts w:asciiTheme="majorBidi" w:hAnsiTheme="majorBidi" w:cstheme="majorBidi"/>
          <w:bCs/>
        </w:rPr>
        <w:t xml:space="preserve">of expected deaths </w:t>
      </w:r>
      <w:r w:rsidR="004367F1">
        <w:rPr>
          <w:rFonts w:asciiTheme="majorBidi" w:hAnsiTheme="majorBidi" w:cstheme="majorBidi"/>
          <w:bCs/>
        </w:rPr>
        <w:t>into the booster era.</w:t>
      </w:r>
      <w:r w:rsidR="003A62C7">
        <w:rPr>
          <w:rFonts w:asciiTheme="majorBidi" w:hAnsiTheme="majorBidi" w:cstheme="majorBidi"/>
          <w:bCs/>
        </w:rPr>
        <w:t xml:space="preserve"> Third,</w:t>
      </w:r>
      <w:r w:rsidR="00000E84">
        <w:rPr>
          <w:rFonts w:asciiTheme="majorBidi" w:hAnsiTheme="majorBidi" w:cstheme="majorBidi"/>
          <w:bCs/>
        </w:rPr>
        <w:t xml:space="preserve"> parameters are estimated through to the end of March 2020 (and then used to predict o</w:t>
      </w:r>
      <w:r w:rsidR="00F52AE4">
        <w:rPr>
          <w:rFonts w:asciiTheme="majorBidi" w:hAnsiTheme="majorBidi" w:cstheme="majorBidi"/>
          <w:bCs/>
        </w:rPr>
        <w:t xml:space="preserve">n an April-to-March year basis). This timing reflects </w:t>
      </w:r>
      <w:r w:rsidR="00000E84">
        <w:rPr>
          <w:rFonts w:asciiTheme="majorBidi" w:hAnsiTheme="majorBidi" w:cstheme="majorBidi"/>
          <w:bCs/>
        </w:rPr>
        <w:t>New Zealand</w:t>
      </w:r>
      <w:r w:rsidR="00F52AE4">
        <w:rPr>
          <w:rFonts w:asciiTheme="majorBidi" w:hAnsiTheme="majorBidi" w:cstheme="majorBidi"/>
          <w:bCs/>
        </w:rPr>
        <w:t>’s late response to</w:t>
      </w:r>
      <w:r w:rsidR="00000E84">
        <w:rPr>
          <w:rFonts w:asciiTheme="majorBidi" w:hAnsiTheme="majorBidi" w:cstheme="majorBidi"/>
          <w:bCs/>
        </w:rPr>
        <w:t xml:space="preserve"> COVID-19 (Gibson, 2022c)</w:t>
      </w:r>
      <w:r w:rsidR="00D65E31">
        <w:rPr>
          <w:rFonts w:asciiTheme="majorBidi" w:hAnsiTheme="majorBidi" w:cstheme="majorBidi"/>
          <w:bCs/>
        </w:rPr>
        <w:t>,</w:t>
      </w:r>
      <w:r w:rsidR="00000E84">
        <w:rPr>
          <w:rFonts w:asciiTheme="majorBidi" w:hAnsiTheme="majorBidi" w:cstheme="majorBidi"/>
          <w:bCs/>
        </w:rPr>
        <w:t xml:space="preserve"> </w:t>
      </w:r>
      <w:r w:rsidR="00D65E31">
        <w:rPr>
          <w:rFonts w:asciiTheme="majorBidi" w:hAnsiTheme="majorBidi" w:cstheme="majorBidi"/>
          <w:bCs/>
        </w:rPr>
        <w:t xml:space="preserve">as </w:t>
      </w:r>
      <w:r w:rsidR="00000E84">
        <w:rPr>
          <w:rFonts w:asciiTheme="majorBidi" w:hAnsiTheme="majorBidi" w:cstheme="majorBidi"/>
          <w:bCs/>
        </w:rPr>
        <w:t xml:space="preserve">major interventions </w:t>
      </w:r>
      <w:r w:rsidR="00D65E31">
        <w:rPr>
          <w:rFonts w:asciiTheme="majorBidi" w:hAnsiTheme="majorBidi" w:cstheme="majorBidi"/>
          <w:bCs/>
        </w:rPr>
        <w:t xml:space="preserve">(lockdowns and MIQ) </w:t>
      </w:r>
      <w:r w:rsidR="00910485">
        <w:rPr>
          <w:rFonts w:asciiTheme="majorBidi" w:hAnsiTheme="majorBidi" w:cstheme="majorBidi"/>
          <w:bCs/>
        </w:rPr>
        <w:t xml:space="preserve">did not affect </w:t>
      </w:r>
      <w:r w:rsidR="00F52AE4">
        <w:rPr>
          <w:rFonts w:asciiTheme="majorBidi" w:hAnsiTheme="majorBidi" w:cstheme="majorBidi"/>
          <w:bCs/>
        </w:rPr>
        <w:t>weekly deaths before April 2020</w:t>
      </w:r>
      <w:r w:rsidR="00D65E31">
        <w:rPr>
          <w:rFonts w:asciiTheme="majorBidi" w:hAnsiTheme="majorBidi" w:cstheme="majorBidi"/>
          <w:bCs/>
        </w:rPr>
        <w:t xml:space="preserve">, covers the vaccine rollout period (&lt;1% of doses were prior to April 2021), </w:t>
      </w:r>
      <w:r w:rsidR="00910485">
        <w:rPr>
          <w:rFonts w:asciiTheme="majorBidi" w:hAnsiTheme="majorBidi" w:cstheme="majorBidi"/>
          <w:bCs/>
        </w:rPr>
        <w:t>and allows for the slow reporting of deaths such that reliable figures end in April 2022.</w:t>
      </w:r>
      <w:r w:rsidR="00910485">
        <w:rPr>
          <w:rStyle w:val="FootnoteReference"/>
          <w:rFonts w:asciiTheme="majorBidi" w:hAnsiTheme="majorBidi" w:cstheme="majorBidi"/>
          <w:bCs/>
        </w:rPr>
        <w:footnoteReference w:id="5"/>
      </w:r>
      <w:r w:rsidR="00910485">
        <w:rPr>
          <w:rFonts w:asciiTheme="majorBidi" w:hAnsiTheme="majorBidi" w:cstheme="majorBidi"/>
          <w:bCs/>
        </w:rPr>
        <w:t xml:space="preserve"> </w:t>
      </w:r>
    </w:p>
    <w:p w:rsidR="00A934E6" w:rsidRDefault="00940900" w:rsidP="00D530E0">
      <w:pPr>
        <w:widowControl w:val="0"/>
        <w:spacing w:after="0" w:line="288" w:lineRule="auto"/>
        <w:jc w:val="both"/>
        <w:rPr>
          <w:rFonts w:asciiTheme="majorBidi" w:hAnsiTheme="majorBidi" w:cstheme="majorBidi"/>
          <w:bCs/>
        </w:rPr>
      </w:pPr>
      <w:r>
        <w:rPr>
          <w:rFonts w:asciiTheme="majorBidi" w:hAnsiTheme="majorBidi" w:cstheme="majorBidi"/>
          <w:bCs/>
        </w:rPr>
        <w:tab/>
      </w:r>
      <w:r w:rsidR="00000E84">
        <w:rPr>
          <w:rFonts w:asciiTheme="majorBidi" w:hAnsiTheme="majorBidi" w:cstheme="majorBidi"/>
          <w:bCs/>
        </w:rPr>
        <w:t xml:space="preserve">Results </w:t>
      </w:r>
      <w:r>
        <w:rPr>
          <w:rFonts w:asciiTheme="majorBidi" w:hAnsiTheme="majorBidi" w:cstheme="majorBidi"/>
          <w:bCs/>
        </w:rPr>
        <w:t xml:space="preserve">of equation </w:t>
      </w:r>
      <w:r w:rsidR="00000E84">
        <w:rPr>
          <w:rFonts w:asciiTheme="majorBidi" w:hAnsiTheme="majorBidi" w:cstheme="majorBidi"/>
          <w:bCs/>
        </w:rPr>
        <w:t>(1) are given</w:t>
      </w:r>
      <w:r>
        <w:rPr>
          <w:rFonts w:asciiTheme="majorBidi" w:hAnsiTheme="majorBidi" w:cstheme="majorBidi"/>
          <w:bCs/>
        </w:rPr>
        <w:t xml:space="preserve"> in Appendix B, </w:t>
      </w:r>
      <w:r w:rsidR="00000E84">
        <w:rPr>
          <w:rFonts w:asciiTheme="majorBidi" w:hAnsiTheme="majorBidi" w:cstheme="majorBidi"/>
          <w:bCs/>
        </w:rPr>
        <w:t xml:space="preserve">for all-ages and </w:t>
      </w:r>
      <w:r>
        <w:rPr>
          <w:rFonts w:asciiTheme="majorBidi" w:hAnsiTheme="majorBidi" w:cstheme="majorBidi"/>
          <w:bCs/>
        </w:rPr>
        <w:t xml:space="preserve">for </w:t>
      </w:r>
      <w:r w:rsidR="00000E84">
        <w:rPr>
          <w:rFonts w:asciiTheme="majorBidi" w:hAnsiTheme="majorBidi" w:cstheme="majorBidi"/>
          <w:bCs/>
        </w:rPr>
        <w:t xml:space="preserve">the </w:t>
      </w:r>
      <w:r>
        <w:rPr>
          <w:rFonts w:asciiTheme="majorBidi" w:hAnsiTheme="majorBidi" w:cstheme="majorBidi"/>
          <w:bCs/>
        </w:rPr>
        <w:t xml:space="preserve">four age-groups </w:t>
      </w:r>
      <w:r w:rsidR="00F777AB">
        <w:rPr>
          <w:rFonts w:asciiTheme="majorBidi" w:hAnsiTheme="majorBidi" w:cstheme="majorBidi"/>
          <w:bCs/>
        </w:rPr>
        <w:t xml:space="preserve">specified </w:t>
      </w:r>
      <w:r>
        <w:rPr>
          <w:rFonts w:asciiTheme="majorBidi" w:hAnsiTheme="majorBidi" w:cstheme="majorBidi"/>
          <w:bCs/>
        </w:rPr>
        <w:t>in the deaths data: 0-29 years, 30-59 years, 60-79 years</w:t>
      </w:r>
      <w:r w:rsidR="00F777AB">
        <w:rPr>
          <w:rFonts w:asciiTheme="majorBidi" w:hAnsiTheme="majorBidi" w:cstheme="majorBidi"/>
          <w:bCs/>
        </w:rPr>
        <w:t>,</w:t>
      </w:r>
      <w:r>
        <w:rPr>
          <w:rFonts w:asciiTheme="majorBidi" w:hAnsiTheme="majorBidi" w:cstheme="majorBidi"/>
          <w:bCs/>
        </w:rPr>
        <w:t xml:space="preserve"> and 80 years </w:t>
      </w:r>
      <w:r w:rsidR="00F777AB">
        <w:rPr>
          <w:rFonts w:asciiTheme="majorBidi" w:hAnsiTheme="majorBidi" w:cstheme="majorBidi"/>
          <w:bCs/>
        </w:rPr>
        <w:t>plus.</w:t>
      </w:r>
      <w:r>
        <w:rPr>
          <w:rFonts w:asciiTheme="majorBidi" w:hAnsiTheme="majorBidi" w:cstheme="majorBidi"/>
          <w:bCs/>
        </w:rPr>
        <w:t xml:space="preserve"> </w:t>
      </w:r>
      <w:r w:rsidR="00000E84">
        <w:rPr>
          <w:rFonts w:asciiTheme="majorBidi" w:hAnsiTheme="majorBidi" w:cstheme="majorBidi"/>
          <w:bCs/>
        </w:rPr>
        <w:t>In</w:t>
      </w:r>
      <w:r>
        <w:rPr>
          <w:rFonts w:asciiTheme="majorBidi" w:hAnsiTheme="majorBidi" w:cstheme="majorBidi"/>
          <w:bCs/>
        </w:rPr>
        <w:t xml:space="preserve"> seasonal patterns, all-ages deaths p</w:t>
      </w:r>
      <w:r w:rsidR="00F777AB">
        <w:rPr>
          <w:rFonts w:asciiTheme="majorBidi" w:hAnsiTheme="majorBidi" w:cstheme="majorBidi"/>
          <w:bCs/>
        </w:rPr>
        <w:t>eak in week 32 (late July), with</w:t>
      </w:r>
      <w:r>
        <w:rPr>
          <w:rFonts w:asciiTheme="majorBidi" w:hAnsiTheme="majorBidi" w:cstheme="majorBidi"/>
          <w:bCs/>
        </w:rPr>
        <w:t xml:space="preserve"> </w:t>
      </w:r>
      <w:r w:rsidR="00F777AB">
        <w:rPr>
          <w:rFonts w:asciiTheme="majorBidi" w:hAnsiTheme="majorBidi" w:cstheme="majorBidi"/>
          <w:bCs/>
        </w:rPr>
        <w:t xml:space="preserve">153 more (95% CI: 125 to 181) than in week 7 (mid-February) that has </w:t>
      </w:r>
      <w:r w:rsidR="00A934E6">
        <w:rPr>
          <w:rFonts w:asciiTheme="majorBidi" w:hAnsiTheme="majorBidi" w:cstheme="majorBidi"/>
          <w:bCs/>
        </w:rPr>
        <w:t xml:space="preserve">fewest </w:t>
      </w:r>
      <w:r w:rsidR="00F777AB">
        <w:rPr>
          <w:rFonts w:asciiTheme="majorBidi" w:hAnsiTheme="majorBidi" w:cstheme="majorBidi"/>
          <w:bCs/>
        </w:rPr>
        <w:t>deaths.</w:t>
      </w:r>
      <w:r w:rsidR="00A934E6">
        <w:rPr>
          <w:rFonts w:asciiTheme="majorBidi" w:hAnsiTheme="majorBidi" w:cstheme="majorBidi"/>
          <w:bCs/>
        </w:rPr>
        <w:t xml:space="preserve"> There are more deaths as population increases but fewer over time holding population constant. The two shocks (Christchurch earthquake </w:t>
      </w:r>
      <w:r w:rsidR="00EA56EF">
        <w:rPr>
          <w:rFonts w:asciiTheme="majorBidi" w:hAnsiTheme="majorBidi" w:cstheme="majorBidi"/>
          <w:bCs/>
        </w:rPr>
        <w:t>and m</w:t>
      </w:r>
      <w:r w:rsidR="00A934E6">
        <w:rPr>
          <w:rFonts w:asciiTheme="majorBidi" w:hAnsiTheme="majorBidi" w:cstheme="majorBidi"/>
          <w:bCs/>
        </w:rPr>
        <w:t>osque shooting) are precisely (</w:t>
      </w:r>
      <w:r w:rsidR="00A934E6">
        <w:rPr>
          <w:rFonts w:asciiTheme="majorBidi" w:hAnsiTheme="majorBidi" w:cstheme="majorBidi"/>
          <w:bCs/>
          <w:i/>
          <w:iCs/>
        </w:rPr>
        <w:t>p</w:t>
      </w:r>
      <w:r w:rsidR="00A934E6">
        <w:rPr>
          <w:rFonts w:asciiTheme="majorBidi" w:hAnsiTheme="majorBidi" w:cstheme="majorBidi"/>
          <w:bCs/>
        </w:rPr>
        <w:t xml:space="preserve">&lt;0.02) estimated to purge their effects from the predictions (that is, these shocks are </w:t>
      </w:r>
      <w:r w:rsidR="009F2A5D">
        <w:rPr>
          <w:rFonts w:asciiTheme="majorBidi" w:hAnsiTheme="majorBidi" w:cstheme="majorBidi"/>
          <w:bCs/>
        </w:rPr>
        <w:t xml:space="preserve">modelled as </w:t>
      </w:r>
      <w:r w:rsidR="00D530E0">
        <w:rPr>
          <w:rFonts w:asciiTheme="majorBidi" w:hAnsiTheme="majorBidi" w:cstheme="majorBidi"/>
          <w:bCs/>
        </w:rPr>
        <w:t>non-</w:t>
      </w:r>
      <w:r w:rsidR="009F2A5D">
        <w:rPr>
          <w:rFonts w:asciiTheme="majorBidi" w:hAnsiTheme="majorBidi" w:cstheme="majorBidi"/>
          <w:bCs/>
        </w:rPr>
        <w:t>recurrent</w:t>
      </w:r>
      <w:r w:rsidR="00A934E6">
        <w:rPr>
          <w:rFonts w:asciiTheme="majorBidi" w:hAnsiTheme="majorBidi" w:cstheme="majorBidi"/>
          <w:bCs/>
        </w:rPr>
        <w:t>).</w:t>
      </w:r>
    </w:p>
    <w:p w:rsidR="007B519E" w:rsidRPr="007B519E" w:rsidRDefault="00910485" w:rsidP="00EA56EF">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W</w:t>
      </w:r>
      <w:r w:rsidR="006D1B9E">
        <w:rPr>
          <w:rFonts w:asciiTheme="majorBidi" w:hAnsiTheme="majorBidi" w:cstheme="majorBidi"/>
          <w:bCs/>
          <w:lang w:val="en-US"/>
        </w:rPr>
        <w:t>eekly all-cause</w:t>
      </w:r>
      <w:r>
        <w:rPr>
          <w:rFonts w:asciiTheme="majorBidi" w:hAnsiTheme="majorBidi" w:cstheme="majorBidi"/>
          <w:bCs/>
          <w:lang w:val="en-US"/>
        </w:rPr>
        <w:t>,</w:t>
      </w:r>
      <w:r w:rsidR="00342C43" w:rsidRPr="007B519E">
        <w:rPr>
          <w:rFonts w:asciiTheme="majorBidi" w:hAnsiTheme="majorBidi" w:cstheme="majorBidi"/>
          <w:bCs/>
          <w:lang w:val="en-US"/>
        </w:rPr>
        <w:t xml:space="preserve"> all-ages</w:t>
      </w:r>
      <w:r>
        <w:rPr>
          <w:rFonts w:asciiTheme="majorBidi" w:hAnsiTheme="majorBidi" w:cstheme="majorBidi"/>
          <w:bCs/>
          <w:lang w:val="en-US"/>
        </w:rPr>
        <w:t>,</w:t>
      </w:r>
      <w:r w:rsidR="00342C43" w:rsidRPr="007B519E">
        <w:rPr>
          <w:rFonts w:asciiTheme="majorBidi" w:hAnsiTheme="majorBidi" w:cstheme="majorBidi"/>
          <w:bCs/>
          <w:lang w:val="en-US"/>
        </w:rPr>
        <w:t xml:space="preserve"> deaths </w:t>
      </w:r>
      <w:r w:rsidR="00342C43">
        <w:rPr>
          <w:rFonts w:asciiTheme="majorBidi" w:hAnsiTheme="majorBidi" w:cstheme="majorBidi"/>
          <w:bCs/>
          <w:lang w:val="en-US"/>
        </w:rPr>
        <w:t xml:space="preserve">are </w:t>
      </w:r>
      <w:r>
        <w:rPr>
          <w:rFonts w:asciiTheme="majorBidi" w:hAnsiTheme="majorBidi" w:cstheme="majorBidi"/>
          <w:bCs/>
          <w:lang w:val="en-US"/>
        </w:rPr>
        <w:t xml:space="preserve">shown in panel A of </w:t>
      </w:r>
      <w:r w:rsidRPr="007B519E">
        <w:rPr>
          <w:rFonts w:asciiTheme="majorBidi" w:hAnsiTheme="majorBidi" w:cstheme="majorBidi"/>
          <w:bCs/>
          <w:lang w:val="en-US"/>
        </w:rPr>
        <w:t>Figure 1</w:t>
      </w:r>
      <w:r w:rsidR="006D1B9E">
        <w:rPr>
          <w:rFonts w:asciiTheme="majorBidi" w:hAnsiTheme="majorBidi" w:cstheme="majorBidi"/>
          <w:bCs/>
          <w:lang w:val="en-US"/>
        </w:rPr>
        <w:t xml:space="preserve">, as </w:t>
      </w:r>
      <w:r w:rsidR="00342C43">
        <w:rPr>
          <w:rFonts w:asciiTheme="majorBidi" w:hAnsiTheme="majorBidi" w:cstheme="majorBidi"/>
          <w:bCs/>
          <w:lang w:val="en-US"/>
        </w:rPr>
        <w:t xml:space="preserve">a </w:t>
      </w:r>
      <w:r w:rsidR="006D1B9E">
        <w:rPr>
          <w:rFonts w:asciiTheme="majorBidi" w:hAnsiTheme="majorBidi" w:cstheme="majorBidi"/>
          <w:bCs/>
          <w:lang w:val="en-US"/>
        </w:rPr>
        <w:t xml:space="preserve">3-week </w:t>
      </w:r>
      <w:r w:rsidR="00342C43">
        <w:rPr>
          <w:rFonts w:asciiTheme="majorBidi" w:hAnsiTheme="majorBidi" w:cstheme="majorBidi"/>
          <w:bCs/>
          <w:lang w:val="en-US"/>
        </w:rPr>
        <w:t>moving average</w:t>
      </w:r>
      <w:r w:rsidR="007B519E" w:rsidRPr="007B519E">
        <w:rPr>
          <w:rFonts w:asciiTheme="majorBidi" w:hAnsiTheme="majorBidi" w:cstheme="majorBidi"/>
          <w:bCs/>
          <w:lang w:val="en-US"/>
        </w:rPr>
        <w:t xml:space="preserve"> (so based on the week ahead, the week </w:t>
      </w:r>
      <w:r w:rsidR="00342C43">
        <w:rPr>
          <w:rFonts w:asciiTheme="majorBidi" w:hAnsiTheme="majorBidi" w:cstheme="majorBidi"/>
          <w:bCs/>
          <w:lang w:val="en-US"/>
        </w:rPr>
        <w:t>behind, and the current week)</w:t>
      </w:r>
      <w:r w:rsidR="007B519E" w:rsidRPr="007B519E">
        <w:rPr>
          <w:rFonts w:asciiTheme="majorBidi" w:hAnsiTheme="majorBidi" w:cstheme="majorBidi"/>
          <w:bCs/>
          <w:lang w:val="en-US"/>
        </w:rPr>
        <w:t xml:space="preserve">. This slight smoothing </w:t>
      </w:r>
      <w:r>
        <w:rPr>
          <w:rFonts w:asciiTheme="majorBidi" w:hAnsiTheme="majorBidi" w:cstheme="majorBidi"/>
          <w:bCs/>
          <w:lang w:val="en-US"/>
        </w:rPr>
        <w:t xml:space="preserve">lets </w:t>
      </w:r>
      <w:r w:rsidR="007B519E" w:rsidRPr="007B519E">
        <w:rPr>
          <w:rFonts w:asciiTheme="majorBidi" w:hAnsiTheme="majorBidi" w:cstheme="majorBidi"/>
          <w:bCs/>
          <w:lang w:val="en-US"/>
        </w:rPr>
        <w:t xml:space="preserve">patterns be </w:t>
      </w:r>
      <w:r>
        <w:rPr>
          <w:rFonts w:asciiTheme="majorBidi" w:hAnsiTheme="majorBidi" w:cstheme="majorBidi"/>
          <w:bCs/>
          <w:lang w:val="en-US"/>
        </w:rPr>
        <w:t xml:space="preserve">seen </w:t>
      </w:r>
      <w:r w:rsidR="007B519E" w:rsidRPr="007B519E">
        <w:rPr>
          <w:rFonts w:asciiTheme="majorBidi" w:hAnsiTheme="majorBidi" w:cstheme="majorBidi"/>
          <w:bCs/>
          <w:lang w:val="en-US"/>
        </w:rPr>
        <w:t xml:space="preserve">clearly without </w:t>
      </w:r>
      <w:r w:rsidR="00EA56EF">
        <w:rPr>
          <w:rFonts w:asciiTheme="majorBidi" w:hAnsiTheme="majorBidi" w:cstheme="majorBidi"/>
          <w:bCs/>
          <w:lang w:val="en-US"/>
        </w:rPr>
        <w:t>distraction</w:t>
      </w:r>
      <w:r w:rsidR="00342C43">
        <w:rPr>
          <w:rFonts w:asciiTheme="majorBidi" w:hAnsiTheme="majorBidi" w:cstheme="majorBidi"/>
          <w:bCs/>
          <w:lang w:val="en-US"/>
        </w:rPr>
        <w:t xml:space="preserve"> </w:t>
      </w:r>
      <w:r w:rsidR="00EA56EF">
        <w:rPr>
          <w:rFonts w:asciiTheme="majorBidi" w:hAnsiTheme="majorBidi" w:cstheme="majorBidi"/>
          <w:bCs/>
          <w:lang w:val="en-US"/>
        </w:rPr>
        <w:t xml:space="preserve">from </w:t>
      </w:r>
      <w:r w:rsidR="007B519E" w:rsidRPr="007B519E">
        <w:rPr>
          <w:rFonts w:asciiTheme="majorBidi" w:hAnsiTheme="majorBidi" w:cstheme="majorBidi"/>
          <w:bCs/>
          <w:lang w:val="en-US"/>
        </w:rPr>
        <w:t>very short-term volatility. In addition to actual deaths for 2021-22, the expected number of deaths eac</w:t>
      </w:r>
      <w:r w:rsidR="00D65E31">
        <w:rPr>
          <w:rFonts w:asciiTheme="majorBidi" w:hAnsiTheme="majorBidi" w:cstheme="majorBidi"/>
          <w:bCs/>
          <w:lang w:val="en-US"/>
        </w:rPr>
        <w:t xml:space="preserve">h week </w:t>
      </w:r>
      <w:r>
        <w:rPr>
          <w:rFonts w:asciiTheme="majorBidi" w:hAnsiTheme="majorBidi" w:cstheme="majorBidi"/>
          <w:bCs/>
          <w:lang w:val="en-US"/>
        </w:rPr>
        <w:t xml:space="preserve">are </w:t>
      </w:r>
      <w:r w:rsidR="00D65E31">
        <w:rPr>
          <w:rFonts w:asciiTheme="majorBidi" w:hAnsiTheme="majorBidi" w:cstheme="majorBidi"/>
          <w:bCs/>
          <w:lang w:val="en-US"/>
        </w:rPr>
        <w:t>also shown, based on the</w:t>
      </w:r>
      <w:r w:rsidR="007B519E" w:rsidRPr="007B519E">
        <w:rPr>
          <w:rFonts w:asciiTheme="majorBidi" w:hAnsiTheme="majorBidi" w:cstheme="majorBidi"/>
          <w:bCs/>
          <w:lang w:val="en-US"/>
        </w:rPr>
        <w:t xml:space="preserve"> regression analysis </w:t>
      </w:r>
      <w:r w:rsidR="00D65E31">
        <w:rPr>
          <w:rFonts w:asciiTheme="majorBidi" w:hAnsiTheme="majorBidi" w:cstheme="majorBidi"/>
          <w:bCs/>
          <w:lang w:val="en-US"/>
        </w:rPr>
        <w:t>discussed above</w:t>
      </w:r>
      <w:r w:rsidR="007F6127">
        <w:rPr>
          <w:rFonts w:asciiTheme="majorBidi" w:hAnsiTheme="majorBidi" w:cstheme="majorBidi"/>
          <w:bCs/>
          <w:lang w:val="en-US"/>
        </w:rPr>
        <w:t>.</w:t>
      </w:r>
      <w:r w:rsidR="007B519E" w:rsidRPr="007B519E">
        <w:rPr>
          <w:rFonts w:asciiTheme="majorBidi" w:hAnsiTheme="majorBidi" w:cstheme="majorBidi"/>
          <w:bCs/>
          <w:lang w:val="en-US"/>
        </w:rPr>
        <w:t xml:space="preserve"> </w:t>
      </w:r>
      <w:r>
        <w:rPr>
          <w:rFonts w:asciiTheme="majorBidi" w:hAnsiTheme="majorBidi" w:cstheme="majorBidi"/>
          <w:bCs/>
          <w:lang w:val="en-US"/>
        </w:rPr>
        <w:t>Expected deaths rise li</w:t>
      </w:r>
      <w:r w:rsidR="00E53EB6">
        <w:rPr>
          <w:rFonts w:asciiTheme="majorBidi" w:hAnsiTheme="majorBidi" w:cstheme="majorBidi"/>
          <w:bCs/>
          <w:lang w:val="en-US"/>
        </w:rPr>
        <w:t>nearly from mid-February to the end of</w:t>
      </w:r>
      <w:r>
        <w:rPr>
          <w:rFonts w:asciiTheme="majorBidi" w:hAnsiTheme="majorBidi" w:cstheme="majorBidi"/>
          <w:bCs/>
          <w:lang w:val="en-US"/>
        </w:rPr>
        <w:t xml:space="preserve"> July, then decline with some unevenness through to December, fluctuate a little and then reach their annual low </w:t>
      </w:r>
      <w:r w:rsidR="00E53EB6">
        <w:rPr>
          <w:rFonts w:asciiTheme="majorBidi" w:hAnsiTheme="majorBidi" w:cstheme="majorBidi"/>
          <w:bCs/>
          <w:lang w:val="en-US"/>
        </w:rPr>
        <w:t xml:space="preserve">of 610 per week </w:t>
      </w:r>
      <w:r>
        <w:rPr>
          <w:rFonts w:asciiTheme="majorBidi" w:hAnsiTheme="majorBidi" w:cstheme="majorBidi"/>
          <w:bCs/>
          <w:lang w:val="en-US"/>
        </w:rPr>
        <w:t>in mid-February.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16ED6" w:rsidTr="00A163B6">
        <w:tc>
          <w:tcPr>
            <w:tcW w:w="9016" w:type="dxa"/>
          </w:tcPr>
          <w:p w:rsidR="00016ED6" w:rsidRPr="00A163B6" w:rsidRDefault="00016ED6" w:rsidP="004E6C2F">
            <w:pPr>
              <w:spacing w:after="80"/>
              <w:jc w:val="center"/>
              <w:rPr>
                <w:rFonts w:asciiTheme="majorBidi" w:hAnsiTheme="majorBidi" w:cstheme="majorBidi"/>
                <w:b/>
                <w:lang w:val="en-US"/>
              </w:rPr>
            </w:pPr>
            <w:r>
              <w:rPr>
                <w:rFonts w:asciiTheme="majorBidi" w:hAnsiTheme="majorBidi" w:cstheme="majorBidi"/>
                <w:bCs/>
                <w:sz w:val="12"/>
                <w:szCs w:val="12"/>
                <w:lang w:val="en-US"/>
              </w:rPr>
              <w:lastRenderedPageBreak/>
              <w:br w:type="page"/>
            </w:r>
            <w:r w:rsidR="004E6C2F">
              <w:rPr>
                <w:rFonts w:asciiTheme="majorBidi" w:hAnsiTheme="majorBidi" w:cstheme="majorBidi"/>
                <w:b/>
                <w:lang w:val="en-US"/>
              </w:rPr>
              <w:t xml:space="preserve">Figure 1: </w:t>
            </w:r>
            <w:r w:rsidRPr="00A163B6">
              <w:rPr>
                <w:rFonts w:asciiTheme="majorBidi" w:hAnsiTheme="majorBidi" w:cstheme="majorBidi"/>
                <w:b/>
                <w:lang w:val="en-US"/>
              </w:rPr>
              <w:t xml:space="preserve">Excess Mortality </w:t>
            </w:r>
            <w:r w:rsidR="004E6C2F">
              <w:rPr>
                <w:rFonts w:asciiTheme="majorBidi" w:hAnsiTheme="majorBidi" w:cstheme="majorBidi"/>
                <w:b/>
                <w:lang w:val="en-US"/>
              </w:rPr>
              <w:t xml:space="preserve">and COVID-19 Vaccine Rollout </w:t>
            </w:r>
            <w:r w:rsidRPr="00A163B6">
              <w:rPr>
                <w:rFonts w:asciiTheme="majorBidi" w:hAnsiTheme="majorBidi" w:cstheme="majorBidi"/>
                <w:b/>
                <w:lang w:val="en-US"/>
              </w:rPr>
              <w:t>in New Zealand</w:t>
            </w:r>
          </w:p>
        </w:tc>
      </w:tr>
      <w:tr w:rsidR="00016ED6" w:rsidTr="00A163B6">
        <w:tc>
          <w:tcPr>
            <w:tcW w:w="9016" w:type="dxa"/>
          </w:tcPr>
          <w:p w:rsidR="00016ED6" w:rsidRPr="00D56BAE" w:rsidRDefault="00016ED6" w:rsidP="00A163B6">
            <w:pPr>
              <w:pStyle w:val="ListParagraph"/>
              <w:numPr>
                <w:ilvl w:val="0"/>
                <w:numId w:val="2"/>
              </w:numPr>
              <w:jc w:val="center"/>
              <w:rPr>
                <w:rFonts w:asciiTheme="majorBidi" w:hAnsiTheme="majorBidi" w:cstheme="majorBidi"/>
                <w:bCs/>
                <w:sz w:val="22"/>
                <w:szCs w:val="22"/>
                <w:lang w:val="en-US"/>
              </w:rPr>
            </w:pPr>
            <w:r w:rsidRPr="00D56BAE">
              <w:rPr>
                <w:rFonts w:asciiTheme="majorBidi" w:hAnsiTheme="majorBidi" w:cstheme="majorBidi"/>
                <w:bCs/>
                <w:sz w:val="22"/>
                <w:szCs w:val="22"/>
                <w:lang w:val="en-US"/>
              </w:rPr>
              <w:t>Actual and Expected Deaths (Weekly Moving Average</w:t>
            </w:r>
            <w:r w:rsidR="004E6C2F">
              <w:rPr>
                <w:rFonts w:asciiTheme="majorBidi" w:hAnsiTheme="majorBidi" w:cstheme="majorBidi"/>
                <w:bCs/>
                <w:sz w:val="22"/>
                <w:szCs w:val="22"/>
                <w:lang w:val="en-US"/>
              </w:rPr>
              <w:t>s</w:t>
            </w:r>
            <w:r w:rsidRPr="00D56BAE">
              <w:rPr>
                <w:rFonts w:asciiTheme="majorBidi" w:hAnsiTheme="majorBidi" w:cstheme="majorBidi"/>
                <w:bCs/>
                <w:sz w:val="22"/>
                <w:szCs w:val="22"/>
                <w:lang w:val="en-US"/>
              </w:rPr>
              <w:t>): April 2021 to March 2022</w:t>
            </w:r>
          </w:p>
        </w:tc>
      </w:tr>
      <w:tr w:rsidR="00016ED6" w:rsidTr="00A163B6">
        <w:tc>
          <w:tcPr>
            <w:tcW w:w="9016" w:type="dxa"/>
          </w:tcPr>
          <w:p w:rsidR="00016ED6" w:rsidRDefault="00A163B6" w:rsidP="00A163B6">
            <w:pPr>
              <w:jc w:val="center"/>
              <w:rPr>
                <w:rFonts w:asciiTheme="majorBidi" w:hAnsiTheme="majorBidi" w:cstheme="majorBidi"/>
                <w:bCs/>
                <w:sz w:val="12"/>
                <w:szCs w:val="12"/>
                <w:lang w:val="en-US"/>
              </w:rPr>
            </w:pPr>
            <w:r>
              <w:rPr>
                <w:noProof/>
                <w:lang w:eastAsia="zh-CN"/>
              </w:rPr>
              <w:drawing>
                <wp:inline distT="0" distB="0" distL="0" distR="0" wp14:anchorId="5633B540" wp14:editId="2BF57C83">
                  <wp:extent cx="5041900" cy="398145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016ED6" w:rsidRPr="00D56BAE" w:rsidTr="00A163B6">
        <w:tc>
          <w:tcPr>
            <w:tcW w:w="9016" w:type="dxa"/>
          </w:tcPr>
          <w:p w:rsidR="00016ED6" w:rsidRPr="00D56BAE" w:rsidRDefault="00D56BAE" w:rsidP="006A19D2">
            <w:pPr>
              <w:pStyle w:val="ListParagraph"/>
              <w:numPr>
                <w:ilvl w:val="0"/>
                <w:numId w:val="2"/>
              </w:numPr>
              <w:spacing w:before="320"/>
              <w:ind w:left="714" w:hanging="357"/>
              <w:jc w:val="center"/>
              <w:rPr>
                <w:rFonts w:asciiTheme="majorBidi" w:hAnsiTheme="majorBidi" w:cstheme="majorBidi"/>
                <w:bCs/>
                <w:sz w:val="22"/>
                <w:szCs w:val="22"/>
                <w:lang w:val="en-US"/>
              </w:rPr>
            </w:pPr>
            <w:r>
              <w:rPr>
                <w:rFonts w:asciiTheme="majorBidi" w:hAnsiTheme="majorBidi" w:cstheme="majorBidi"/>
                <w:bCs/>
                <w:sz w:val="22"/>
                <w:szCs w:val="22"/>
                <w:lang w:val="en-US"/>
              </w:rPr>
              <w:t>Cumulative Excess Deaths and COVID-19 Vaccine Rollout</w:t>
            </w:r>
            <w:r w:rsidR="00A163B6" w:rsidRPr="00D56BAE">
              <w:rPr>
                <w:rFonts w:asciiTheme="majorBidi" w:hAnsiTheme="majorBidi" w:cstheme="majorBidi"/>
                <w:bCs/>
                <w:sz w:val="22"/>
                <w:szCs w:val="22"/>
                <w:lang w:val="en-US"/>
              </w:rPr>
              <w:t>: April 2021 to March 2022</w:t>
            </w:r>
          </w:p>
        </w:tc>
      </w:tr>
      <w:tr w:rsidR="00016ED6" w:rsidTr="00A163B6">
        <w:tc>
          <w:tcPr>
            <w:tcW w:w="9016" w:type="dxa"/>
          </w:tcPr>
          <w:p w:rsidR="00016ED6" w:rsidRDefault="00016ED6" w:rsidP="00A163B6">
            <w:pPr>
              <w:jc w:val="center"/>
              <w:rPr>
                <w:rFonts w:asciiTheme="majorBidi" w:hAnsiTheme="majorBidi" w:cstheme="majorBidi"/>
                <w:bCs/>
                <w:sz w:val="12"/>
                <w:szCs w:val="12"/>
                <w:lang w:val="en-US"/>
              </w:rPr>
            </w:pPr>
            <w:r>
              <w:rPr>
                <w:noProof/>
                <w:lang w:eastAsia="zh-CN"/>
              </w:rPr>
              <w:drawing>
                <wp:inline distT="0" distB="0" distL="0" distR="0" wp14:anchorId="1C0407E5" wp14:editId="2A7FFE41">
                  <wp:extent cx="5264150" cy="3981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16ED6" w:rsidRDefault="00016ED6" w:rsidP="00016ED6">
      <w:pPr>
        <w:spacing w:after="0" w:line="240" w:lineRule="auto"/>
        <w:rPr>
          <w:rFonts w:asciiTheme="majorBidi" w:hAnsiTheme="majorBidi" w:cstheme="majorBidi"/>
          <w:bCs/>
          <w:sz w:val="12"/>
          <w:szCs w:val="12"/>
          <w:lang w:val="en-US"/>
        </w:rPr>
      </w:pPr>
      <w:r>
        <w:rPr>
          <w:rFonts w:asciiTheme="majorBidi" w:hAnsiTheme="majorBidi" w:cstheme="majorBidi"/>
          <w:bCs/>
          <w:sz w:val="12"/>
          <w:szCs w:val="12"/>
          <w:lang w:val="en-US"/>
        </w:rPr>
        <w:br w:type="page"/>
      </w:r>
    </w:p>
    <w:p w:rsidR="000E4918" w:rsidRDefault="006D1B9E" w:rsidP="00404F15">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lastRenderedPageBreak/>
        <w:t xml:space="preserve">Actual deaths largely followed the </w:t>
      </w:r>
      <w:r w:rsidR="00A46836">
        <w:rPr>
          <w:rFonts w:asciiTheme="majorBidi" w:hAnsiTheme="majorBidi" w:cstheme="majorBidi"/>
          <w:bCs/>
          <w:lang w:val="en-US"/>
        </w:rPr>
        <w:t>pattern of expected deaths</w:t>
      </w:r>
      <w:r w:rsidR="00160E01">
        <w:rPr>
          <w:rFonts w:asciiTheme="majorBidi" w:hAnsiTheme="majorBidi" w:cstheme="majorBidi"/>
          <w:bCs/>
          <w:lang w:val="en-US"/>
        </w:rPr>
        <w:t xml:space="preserve"> until November</w:t>
      </w:r>
      <w:r>
        <w:rPr>
          <w:rFonts w:asciiTheme="majorBidi" w:hAnsiTheme="majorBidi" w:cstheme="majorBidi"/>
          <w:bCs/>
          <w:lang w:val="en-US"/>
        </w:rPr>
        <w:t>, albeit with a slightly later and higher (n=780)</w:t>
      </w:r>
      <w:r w:rsidR="00A46836">
        <w:rPr>
          <w:rFonts w:asciiTheme="majorBidi" w:hAnsiTheme="majorBidi" w:cstheme="majorBidi"/>
          <w:bCs/>
          <w:lang w:val="en-US"/>
        </w:rPr>
        <w:t xml:space="preserve"> </w:t>
      </w:r>
      <w:r w:rsidR="00594187">
        <w:rPr>
          <w:rFonts w:asciiTheme="majorBidi" w:hAnsiTheme="majorBidi" w:cstheme="majorBidi"/>
          <w:bCs/>
          <w:lang w:val="en-US"/>
        </w:rPr>
        <w:t xml:space="preserve">peak </w:t>
      </w:r>
      <w:r w:rsidR="00A46836">
        <w:rPr>
          <w:rFonts w:asciiTheme="majorBidi" w:hAnsiTheme="majorBidi" w:cstheme="majorBidi"/>
          <w:bCs/>
          <w:lang w:val="en-US"/>
        </w:rPr>
        <w:t xml:space="preserve">and </w:t>
      </w:r>
      <w:r>
        <w:rPr>
          <w:rFonts w:asciiTheme="majorBidi" w:hAnsiTheme="majorBidi" w:cstheme="majorBidi"/>
          <w:bCs/>
          <w:lang w:val="en-US"/>
        </w:rPr>
        <w:t xml:space="preserve">faster decline. </w:t>
      </w:r>
      <w:r w:rsidR="000E4918">
        <w:rPr>
          <w:rFonts w:asciiTheme="majorBidi" w:hAnsiTheme="majorBidi" w:cstheme="majorBidi"/>
          <w:bCs/>
          <w:lang w:val="en-US"/>
        </w:rPr>
        <w:t>Thereafter</w:t>
      </w:r>
      <w:r w:rsidR="00A46836">
        <w:rPr>
          <w:rFonts w:asciiTheme="majorBidi" w:hAnsiTheme="majorBidi" w:cstheme="majorBidi"/>
          <w:bCs/>
          <w:lang w:val="en-US"/>
        </w:rPr>
        <w:t xml:space="preserve"> </w:t>
      </w:r>
      <w:r>
        <w:rPr>
          <w:rFonts w:asciiTheme="majorBidi" w:hAnsiTheme="majorBidi" w:cstheme="majorBidi"/>
          <w:bCs/>
          <w:lang w:val="en-US"/>
        </w:rPr>
        <w:t xml:space="preserve">deaths </w:t>
      </w:r>
      <w:r w:rsidR="00A46836">
        <w:rPr>
          <w:rFonts w:asciiTheme="majorBidi" w:hAnsiTheme="majorBidi" w:cstheme="majorBidi"/>
          <w:bCs/>
          <w:lang w:val="en-US"/>
        </w:rPr>
        <w:t xml:space="preserve">deviated from </w:t>
      </w:r>
      <w:r>
        <w:rPr>
          <w:rFonts w:asciiTheme="majorBidi" w:hAnsiTheme="majorBidi" w:cstheme="majorBidi"/>
          <w:bCs/>
          <w:lang w:val="en-US"/>
        </w:rPr>
        <w:t xml:space="preserve">the </w:t>
      </w:r>
      <w:r w:rsidR="00404F15">
        <w:rPr>
          <w:rFonts w:asciiTheme="majorBidi" w:hAnsiTheme="majorBidi" w:cstheme="majorBidi"/>
          <w:bCs/>
          <w:lang w:val="en-US"/>
        </w:rPr>
        <w:t xml:space="preserve">usual </w:t>
      </w:r>
      <w:r>
        <w:rPr>
          <w:rFonts w:asciiTheme="majorBidi" w:hAnsiTheme="majorBidi" w:cstheme="majorBidi"/>
          <w:bCs/>
          <w:lang w:val="en-US"/>
        </w:rPr>
        <w:t>seasonal pattern</w:t>
      </w:r>
      <w:r w:rsidR="000E4918">
        <w:rPr>
          <w:rFonts w:asciiTheme="majorBidi" w:hAnsiTheme="majorBidi" w:cstheme="majorBidi"/>
          <w:bCs/>
          <w:lang w:val="en-US"/>
        </w:rPr>
        <w:t>; fluctuating</w:t>
      </w:r>
      <w:r>
        <w:rPr>
          <w:rFonts w:asciiTheme="majorBidi" w:hAnsiTheme="majorBidi" w:cstheme="majorBidi"/>
          <w:bCs/>
          <w:lang w:val="en-US"/>
        </w:rPr>
        <w:t xml:space="preserve"> around 650 per week until </w:t>
      </w:r>
      <w:r w:rsidR="000E4918">
        <w:rPr>
          <w:rFonts w:asciiTheme="majorBidi" w:hAnsiTheme="majorBidi" w:cstheme="majorBidi"/>
          <w:bCs/>
          <w:lang w:val="en-US"/>
        </w:rPr>
        <w:t xml:space="preserve">late </w:t>
      </w:r>
      <w:r>
        <w:rPr>
          <w:rFonts w:asciiTheme="majorBidi" w:hAnsiTheme="majorBidi" w:cstheme="majorBidi"/>
          <w:bCs/>
          <w:lang w:val="en-US"/>
        </w:rPr>
        <w:t xml:space="preserve">February rather than falling to 610 per week as expected. March 2022 </w:t>
      </w:r>
      <w:r w:rsidR="00A46836">
        <w:rPr>
          <w:rFonts w:asciiTheme="majorBidi" w:hAnsiTheme="majorBidi" w:cstheme="majorBidi"/>
          <w:bCs/>
          <w:lang w:val="en-US"/>
        </w:rPr>
        <w:t xml:space="preserve">saw </w:t>
      </w:r>
      <w:r>
        <w:rPr>
          <w:rFonts w:asciiTheme="majorBidi" w:hAnsiTheme="majorBidi" w:cstheme="majorBidi"/>
          <w:bCs/>
          <w:lang w:val="en-US"/>
        </w:rPr>
        <w:t>a sharp</w:t>
      </w:r>
      <w:r w:rsidR="00404F15">
        <w:rPr>
          <w:rFonts w:asciiTheme="majorBidi" w:hAnsiTheme="majorBidi" w:cstheme="majorBidi"/>
          <w:bCs/>
          <w:lang w:val="en-US"/>
        </w:rPr>
        <w:t xml:space="preserve"> ris</w:t>
      </w:r>
      <w:r w:rsidR="000E4918">
        <w:rPr>
          <w:rFonts w:asciiTheme="majorBidi" w:hAnsiTheme="majorBidi" w:cstheme="majorBidi"/>
          <w:bCs/>
          <w:lang w:val="en-US"/>
        </w:rPr>
        <w:t xml:space="preserve">e </w:t>
      </w:r>
      <w:r w:rsidR="00192F68">
        <w:rPr>
          <w:rFonts w:asciiTheme="majorBidi" w:hAnsiTheme="majorBidi" w:cstheme="majorBidi"/>
          <w:bCs/>
          <w:lang w:val="en-US"/>
        </w:rPr>
        <w:t xml:space="preserve">in deaths </w:t>
      </w:r>
      <w:r w:rsidR="00092EA4">
        <w:rPr>
          <w:rFonts w:asciiTheme="majorBidi" w:hAnsiTheme="majorBidi" w:cstheme="majorBidi"/>
          <w:bCs/>
          <w:lang w:val="en-US"/>
        </w:rPr>
        <w:t>by</w:t>
      </w:r>
      <w:r w:rsidR="000E4918">
        <w:rPr>
          <w:rFonts w:asciiTheme="majorBidi" w:hAnsiTheme="majorBidi" w:cstheme="majorBidi"/>
          <w:bCs/>
          <w:lang w:val="en-US"/>
        </w:rPr>
        <w:t xml:space="preserve"> about </w:t>
      </w:r>
      <w:r w:rsidR="00E73218">
        <w:rPr>
          <w:rFonts w:asciiTheme="majorBidi" w:hAnsiTheme="majorBidi" w:cstheme="majorBidi"/>
          <w:bCs/>
          <w:lang w:val="en-US"/>
        </w:rPr>
        <w:t>100 per week</w:t>
      </w:r>
      <w:r w:rsidR="00404F15">
        <w:rPr>
          <w:rFonts w:asciiTheme="majorBidi" w:hAnsiTheme="majorBidi" w:cstheme="majorBidi"/>
          <w:bCs/>
          <w:lang w:val="en-US"/>
        </w:rPr>
        <w:t xml:space="preserve"> over their expected number</w:t>
      </w:r>
      <w:r w:rsidR="000E4918">
        <w:rPr>
          <w:rFonts w:asciiTheme="majorBidi" w:hAnsiTheme="majorBidi" w:cstheme="majorBidi"/>
          <w:bCs/>
          <w:lang w:val="en-US"/>
        </w:rPr>
        <w:t>.</w:t>
      </w:r>
    </w:p>
    <w:p w:rsidR="00694592" w:rsidRDefault="00BA3B1C" w:rsidP="00BA3B1C">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The excess </w:t>
      </w:r>
      <w:r w:rsidR="00774E66">
        <w:rPr>
          <w:rFonts w:asciiTheme="majorBidi" w:hAnsiTheme="majorBidi" w:cstheme="majorBidi"/>
          <w:bCs/>
          <w:lang w:val="en-US"/>
        </w:rPr>
        <w:t xml:space="preserve">deaths </w:t>
      </w:r>
      <w:r w:rsidR="000E4918">
        <w:rPr>
          <w:rFonts w:asciiTheme="majorBidi" w:hAnsiTheme="majorBidi" w:cstheme="majorBidi"/>
          <w:bCs/>
          <w:lang w:val="en-US"/>
        </w:rPr>
        <w:t>are cumulated and shown in Panel B of Figure 1</w:t>
      </w:r>
      <w:r w:rsidR="00E73218">
        <w:rPr>
          <w:rFonts w:asciiTheme="majorBidi" w:hAnsiTheme="majorBidi" w:cstheme="majorBidi"/>
          <w:bCs/>
          <w:lang w:val="en-US"/>
        </w:rPr>
        <w:t>.</w:t>
      </w:r>
      <w:r w:rsidR="000E4918">
        <w:rPr>
          <w:rFonts w:asciiTheme="majorBidi" w:hAnsiTheme="majorBidi" w:cstheme="majorBidi"/>
          <w:bCs/>
          <w:lang w:val="en-US"/>
        </w:rPr>
        <w:t xml:space="preserve"> For the first eight months,</w:t>
      </w:r>
      <w:r w:rsidR="00E73218">
        <w:rPr>
          <w:rFonts w:asciiTheme="majorBidi" w:hAnsiTheme="majorBidi" w:cstheme="majorBidi"/>
          <w:bCs/>
          <w:lang w:val="en-US"/>
        </w:rPr>
        <w:t xml:space="preserve"> </w:t>
      </w:r>
      <w:r w:rsidR="00092EA4">
        <w:rPr>
          <w:rFonts w:asciiTheme="majorBidi" w:hAnsiTheme="majorBidi" w:cstheme="majorBidi"/>
          <w:bCs/>
          <w:lang w:val="en-US"/>
        </w:rPr>
        <w:t xml:space="preserve">cumulative </w:t>
      </w:r>
      <w:r>
        <w:rPr>
          <w:rFonts w:asciiTheme="majorBidi" w:hAnsiTheme="majorBidi" w:cstheme="majorBidi"/>
          <w:bCs/>
          <w:lang w:val="en-US"/>
        </w:rPr>
        <w:t xml:space="preserve">totals </w:t>
      </w:r>
      <w:r w:rsidR="00092EA4">
        <w:rPr>
          <w:rFonts w:asciiTheme="majorBidi" w:hAnsiTheme="majorBidi" w:cstheme="majorBidi"/>
          <w:bCs/>
          <w:lang w:val="en-US"/>
        </w:rPr>
        <w:t>fluctuated around 0 in a fairly narrow band (</w:t>
      </w:r>
      <w:r>
        <w:rPr>
          <w:rFonts w:asciiTheme="majorBidi" w:hAnsiTheme="majorBidi" w:cstheme="majorBidi"/>
          <w:bCs/>
          <w:lang w:val="en-US"/>
        </w:rPr>
        <w:t xml:space="preserve">rarely </w:t>
      </w:r>
      <w:r w:rsidR="00092EA4">
        <w:rPr>
          <w:rFonts w:asciiTheme="majorBidi" w:hAnsiTheme="majorBidi" w:cstheme="majorBidi"/>
          <w:bCs/>
          <w:lang w:val="en-US"/>
        </w:rPr>
        <w:t>exceeding ±100). However, from December cumulative excess deaths rose from -100 to over +300 by the end of February, and then rose more sharply, to +800 by the end of March.</w:t>
      </w:r>
      <w:r w:rsidR="00160E01">
        <w:rPr>
          <w:rFonts w:asciiTheme="majorBidi" w:hAnsiTheme="majorBidi" w:cstheme="majorBidi"/>
          <w:bCs/>
          <w:lang w:val="en-US"/>
        </w:rPr>
        <w:t xml:space="preserve"> This </w:t>
      </w:r>
      <w:r>
        <w:rPr>
          <w:rFonts w:asciiTheme="majorBidi" w:hAnsiTheme="majorBidi" w:cstheme="majorBidi"/>
          <w:bCs/>
          <w:lang w:val="en-US"/>
        </w:rPr>
        <w:t xml:space="preserve">figure </w:t>
      </w:r>
      <w:r w:rsidR="00160E01">
        <w:rPr>
          <w:rFonts w:asciiTheme="majorBidi" w:hAnsiTheme="majorBidi" w:cstheme="majorBidi"/>
          <w:bCs/>
          <w:lang w:val="en-US"/>
        </w:rPr>
        <w:t>also shows the rollout of original protocol and booster doses. The sustained rise in excess mortality from December coincides with the booster rollout.</w:t>
      </w:r>
    </w:p>
    <w:p w:rsidR="00895E5E" w:rsidRDefault="00895E5E" w:rsidP="00160E01">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The rise in excess mortality </w:t>
      </w:r>
      <w:r w:rsidR="00160E01">
        <w:rPr>
          <w:rFonts w:asciiTheme="majorBidi" w:hAnsiTheme="majorBidi" w:cstheme="majorBidi"/>
          <w:bCs/>
          <w:lang w:val="en-US"/>
        </w:rPr>
        <w:t xml:space="preserve">in the last four months of the April-to-March year </w:t>
      </w:r>
      <w:r>
        <w:rPr>
          <w:rFonts w:asciiTheme="majorBidi" w:hAnsiTheme="majorBidi" w:cstheme="majorBidi"/>
          <w:bCs/>
          <w:lang w:val="en-US"/>
        </w:rPr>
        <w:t>was experienced by all age</w:t>
      </w:r>
      <w:r w:rsidR="00160E01">
        <w:rPr>
          <w:rFonts w:asciiTheme="majorBidi" w:hAnsiTheme="majorBidi" w:cstheme="majorBidi"/>
          <w:bCs/>
          <w:lang w:val="en-US"/>
        </w:rPr>
        <w:t>s</w:t>
      </w:r>
      <w:r>
        <w:rPr>
          <w:rFonts w:asciiTheme="majorBidi" w:hAnsiTheme="majorBidi" w:cstheme="majorBidi"/>
          <w:bCs/>
          <w:lang w:val="en-US"/>
        </w:rPr>
        <w:t xml:space="preserve"> except </w:t>
      </w:r>
      <w:r w:rsidR="00160E01">
        <w:rPr>
          <w:rFonts w:asciiTheme="majorBidi" w:hAnsiTheme="majorBidi" w:cstheme="majorBidi"/>
          <w:bCs/>
          <w:lang w:val="en-US"/>
        </w:rPr>
        <w:t xml:space="preserve">the </w:t>
      </w:r>
      <w:r>
        <w:rPr>
          <w:rFonts w:asciiTheme="majorBidi" w:hAnsiTheme="majorBidi" w:cstheme="majorBidi"/>
          <w:bCs/>
          <w:lang w:val="en-US"/>
        </w:rPr>
        <w:t xml:space="preserve">0-29 years group, </w:t>
      </w:r>
      <w:r w:rsidR="00160E01">
        <w:rPr>
          <w:rFonts w:asciiTheme="majorBidi" w:hAnsiTheme="majorBidi" w:cstheme="majorBidi"/>
          <w:bCs/>
          <w:lang w:val="en-US"/>
        </w:rPr>
        <w:t>who</w:t>
      </w:r>
      <w:r>
        <w:rPr>
          <w:rFonts w:asciiTheme="majorBidi" w:hAnsiTheme="majorBidi" w:cstheme="majorBidi"/>
          <w:bCs/>
          <w:lang w:val="en-US"/>
        </w:rPr>
        <w:t xml:space="preserve"> are </w:t>
      </w:r>
      <w:r w:rsidR="00160E01">
        <w:rPr>
          <w:rFonts w:asciiTheme="majorBidi" w:hAnsiTheme="majorBidi" w:cstheme="majorBidi"/>
          <w:bCs/>
          <w:lang w:val="en-US"/>
        </w:rPr>
        <w:t>mostly in</w:t>
      </w:r>
      <w:r>
        <w:rPr>
          <w:rFonts w:asciiTheme="majorBidi" w:hAnsiTheme="majorBidi" w:cstheme="majorBidi"/>
          <w:bCs/>
          <w:lang w:val="en-US"/>
        </w:rPr>
        <w:t xml:space="preserve">eligible for boosters (Table 1). </w:t>
      </w:r>
      <w:r w:rsidR="00160E01">
        <w:rPr>
          <w:rFonts w:asciiTheme="majorBidi" w:hAnsiTheme="majorBidi" w:cstheme="majorBidi"/>
          <w:bCs/>
          <w:lang w:val="en-US"/>
        </w:rPr>
        <w:t xml:space="preserve">From the pre-booster era to the booster era </w:t>
      </w:r>
      <w:r>
        <w:rPr>
          <w:rFonts w:asciiTheme="majorBidi" w:hAnsiTheme="majorBidi" w:cstheme="majorBidi"/>
          <w:bCs/>
          <w:lang w:val="en-US"/>
        </w:rPr>
        <w:t>excess mortality p-scores rose by seven percentage points</w:t>
      </w:r>
      <w:r w:rsidR="00160E01">
        <w:rPr>
          <w:rFonts w:asciiTheme="majorBidi" w:hAnsiTheme="majorBidi" w:cstheme="majorBidi"/>
          <w:bCs/>
          <w:lang w:val="en-US"/>
        </w:rPr>
        <w:t xml:space="preserve"> </w:t>
      </w:r>
      <w:r>
        <w:rPr>
          <w:rFonts w:asciiTheme="majorBidi" w:hAnsiTheme="majorBidi" w:cstheme="majorBidi"/>
          <w:bCs/>
          <w:lang w:val="en-US"/>
        </w:rPr>
        <w:t>for</w:t>
      </w:r>
      <w:r w:rsidR="00160E01">
        <w:rPr>
          <w:rFonts w:asciiTheme="majorBidi" w:hAnsiTheme="majorBidi" w:cstheme="majorBidi"/>
          <w:bCs/>
          <w:lang w:val="en-US"/>
        </w:rPr>
        <w:t xml:space="preserve"> the 30-59 and 60-79 age groups</w:t>
      </w:r>
      <w:r>
        <w:rPr>
          <w:rFonts w:asciiTheme="majorBidi" w:hAnsiTheme="majorBidi" w:cstheme="majorBidi"/>
          <w:bCs/>
          <w:lang w:val="en-US"/>
        </w:rPr>
        <w:t xml:space="preserve"> and by ten percentage points for the oldest age group. </w:t>
      </w:r>
      <w:r w:rsidR="00160E01">
        <w:rPr>
          <w:rFonts w:asciiTheme="majorBidi" w:hAnsiTheme="majorBidi" w:cstheme="majorBidi"/>
          <w:bCs/>
          <w:lang w:val="en-US"/>
        </w:rPr>
        <w:t>In other words, the age groups most likely to use boosters show large rises in excess mortality after boosters are rolled out.</w:t>
      </w:r>
    </w:p>
    <w:p w:rsidR="006774BB" w:rsidRDefault="00DC46A8" w:rsidP="00160E01">
      <w:pPr>
        <w:widowControl w:val="0"/>
        <w:spacing w:before="120" w:after="0" w:line="288" w:lineRule="auto"/>
        <w:jc w:val="center"/>
        <w:rPr>
          <w:rFonts w:asciiTheme="majorBidi" w:hAnsiTheme="majorBidi" w:cstheme="majorBidi"/>
          <w:bCs/>
          <w:lang w:val="en-US"/>
        </w:rPr>
      </w:pPr>
      <w:r w:rsidRPr="00125536">
        <w:rPr>
          <w:rFonts w:asciiTheme="majorBidi" w:hAnsiTheme="majorBidi" w:cstheme="majorBidi"/>
          <w:bCs/>
          <w:noProof/>
          <w:lang w:eastAsia="zh-CN"/>
        </w:rPr>
        <w:drawing>
          <wp:inline distT="0" distB="0" distL="0" distR="0" wp14:anchorId="43A042A4" wp14:editId="7629658A">
            <wp:extent cx="5168265"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6420"/>
                    <a:stretch/>
                  </pic:blipFill>
                  <pic:spPr bwMode="auto">
                    <a:xfrm>
                      <a:off x="0" y="0"/>
                      <a:ext cx="5168265"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0E4918" w:rsidRPr="00694592" w:rsidRDefault="000E4918" w:rsidP="000E4918">
      <w:pPr>
        <w:widowControl w:val="0"/>
        <w:spacing w:after="0" w:line="288" w:lineRule="auto"/>
        <w:ind w:firstLine="720"/>
        <w:jc w:val="both"/>
        <w:rPr>
          <w:rFonts w:asciiTheme="majorBidi" w:hAnsiTheme="majorBidi" w:cstheme="majorBidi"/>
          <w:bCs/>
          <w:sz w:val="12"/>
          <w:szCs w:val="12"/>
          <w:lang w:val="en-US"/>
        </w:rPr>
      </w:pPr>
    </w:p>
    <w:p w:rsidR="008961C1" w:rsidRPr="008A622D" w:rsidRDefault="00EE7128" w:rsidP="00133C61">
      <w:pPr>
        <w:widowControl w:val="0"/>
        <w:spacing w:before="120" w:after="0" w:line="360" w:lineRule="auto"/>
        <w:rPr>
          <w:rFonts w:asciiTheme="majorBidi" w:hAnsiTheme="majorBidi" w:cstheme="majorBidi"/>
          <w:b/>
          <w:lang w:val="en-US"/>
        </w:rPr>
      </w:pPr>
      <w:r w:rsidRPr="008A622D">
        <w:rPr>
          <w:rFonts w:asciiTheme="majorBidi" w:hAnsiTheme="majorBidi" w:cstheme="majorBidi"/>
          <w:b/>
          <w:lang w:val="en-US"/>
        </w:rPr>
        <w:t>II</w:t>
      </w:r>
      <w:r w:rsidR="00160E01">
        <w:rPr>
          <w:rFonts w:asciiTheme="majorBidi" w:hAnsiTheme="majorBidi" w:cstheme="majorBidi"/>
          <w:b/>
          <w:lang w:val="en-US"/>
        </w:rPr>
        <w:t>I</w:t>
      </w:r>
      <w:r w:rsidRPr="008A622D">
        <w:rPr>
          <w:rFonts w:asciiTheme="majorBidi" w:hAnsiTheme="majorBidi" w:cstheme="majorBidi"/>
          <w:b/>
          <w:lang w:val="en-US"/>
        </w:rPr>
        <w:t>.</w:t>
      </w:r>
      <w:r w:rsidRPr="008A622D">
        <w:rPr>
          <w:rFonts w:asciiTheme="majorBidi" w:hAnsiTheme="majorBidi" w:cstheme="majorBidi"/>
          <w:b/>
          <w:lang w:val="en-US"/>
        </w:rPr>
        <w:tab/>
      </w:r>
      <w:r w:rsidR="00BA3B1C">
        <w:rPr>
          <w:rFonts w:asciiTheme="majorBidi" w:hAnsiTheme="majorBidi" w:cstheme="majorBidi"/>
          <w:b/>
          <w:lang w:val="en-US"/>
        </w:rPr>
        <w:t>Booster Impacts</w:t>
      </w:r>
    </w:p>
    <w:p w:rsidR="003461E2" w:rsidRDefault="00901389" w:rsidP="00CA4DB6">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The visual evidence of </w:t>
      </w:r>
      <w:r w:rsidR="00CA4DB6">
        <w:rPr>
          <w:rFonts w:asciiTheme="majorBidi" w:hAnsiTheme="majorBidi" w:cstheme="majorBidi"/>
          <w:bCs/>
          <w:lang w:val="en-US"/>
        </w:rPr>
        <w:t xml:space="preserve">400 </w:t>
      </w:r>
      <w:r>
        <w:rPr>
          <w:rFonts w:asciiTheme="majorBidi" w:hAnsiTheme="majorBidi" w:cstheme="majorBidi"/>
          <w:bCs/>
          <w:lang w:val="en-US"/>
        </w:rPr>
        <w:t>cumulative excess deaths while boosters went from zero to over two million is suggestive</w:t>
      </w:r>
      <w:r w:rsidR="00CA4DB6">
        <w:rPr>
          <w:rFonts w:asciiTheme="majorBidi" w:hAnsiTheme="majorBidi" w:cstheme="majorBidi"/>
          <w:bCs/>
          <w:lang w:val="en-US"/>
        </w:rPr>
        <w:t>,</w:t>
      </w:r>
      <w:r>
        <w:rPr>
          <w:rFonts w:asciiTheme="majorBidi" w:hAnsiTheme="majorBidi" w:cstheme="majorBidi"/>
          <w:bCs/>
          <w:lang w:val="en-US"/>
        </w:rPr>
        <w:t xml:space="preserve"> especially as the age-disaggregated data show no rise in excess deaths for the one group (0-29 years) mostly ineligible for boosters. Notably there </w:t>
      </w:r>
      <w:r w:rsidR="00742893">
        <w:rPr>
          <w:rFonts w:asciiTheme="majorBidi" w:hAnsiTheme="majorBidi" w:cstheme="majorBidi"/>
          <w:bCs/>
          <w:lang w:val="en-US"/>
        </w:rPr>
        <w:t>i</w:t>
      </w:r>
      <w:r>
        <w:rPr>
          <w:rFonts w:asciiTheme="majorBidi" w:hAnsiTheme="majorBidi" w:cstheme="majorBidi"/>
          <w:bCs/>
          <w:lang w:val="en-US"/>
        </w:rPr>
        <w:t>s no similar temporal association with rollout of the original protocol doses</w:t>
      </w:r>
      <w:r w:rsidR="00CA4DB6">
        <w:rPr>
          <w:rFonts w:asciiTheme="majorBidi" w:hAnsiTheme="majorBidi" w:cstheme="majorBidi"/>
          <w:bCs/>
          <w:lang w:val="en-US"/>
        </w:rPr>
        <w:t xml:space="preserve">. Also, </w:t>
      </w:r>
      <w:r w:rsidR="00742893">
        <w:rPr>
          <w:rFonts w:asciiTheme="majorBidi" w:hAnsiTheme="majorBidi" w:cstheme="majorBidi"/>
          <w:bCs/>
          <w:lang w:val="en-US"/>
        </w:rPr>
        <w:t xml:space="preserve">only the last part of the rise in deaths </w:t>
      </w:r>
      <w:r w:rsidR="00CA4DB6">
        <w:rPr>
          <w:rFonts w:asciiTheme="majorBidi" w:hAnsiTheme="majorBidi" w:cstheme="majorBidi"/>
          <w:bCs/>
          <w:lang w:val="en-US"/>
        </w:rPr>
        <w:t>in Figure 1 may</w:t>
      </w:r>
      <w:r w:rsidR="00742893">
        <w:rPr>
          <w:rFonts w:asciiTheme="majorBidi" w:hAnsiTheme="majorBidi" w:cstheme="majorBidi"/>
          <w:bCs/>
          <w:lang w:val="en-US"/>
        </w:rPr>
        <w:t xml:space="preserve"> be attributed to</w:t>
      </w:r>
      <w:r>
        <w:rPr>
          <w:rFonts w:asciiTheme="majorBidi" w:hAnsiTheme="majorBidi" w:cstheme="majorBidi"/>
          <w:bCs/>
          <w:lang w:val="en-US"/>
        </w:rPr>
        <w:t xml:space="preserve"> </w:t>
      </w:r>
      <w:r w:rsidR="00622A5D">
        <w:rPr>
          <w:rFonts w:asciiTheme="majorBidi" w:hAnsiTheme="majorBidi" w:cstheme="majorBidi"/>
          <w:bCs/>
          <w:lang w:val="en-US"/>
        </w:rPr>
        <w:t>Omicron</w:t>
      </w:r>
      <w:r w:rsidR="00742893">
        <w:rPr>
          <w:rFonts w:asciiTheme="majorBidi" w:hAnsiTheme="majorBidi" w:cstheme="majorBidi"/>
          <w:bCs/>
          <w:lang w:val="en-US"/>
        </w:rPr>
        <w:t>; community cases were first seen at the end of January and there is typically a 3-week infection-to-death lag (Gibson, 2022c).</w:t>
      </w:r>
    </w:p>
    <w:p w:rsidR="00901389" w:rsidRDefault="00233E8F" w:rsidP="0053483E">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S</w:t>
      </w:r>
      <w:r w:rsidR="00901389">
        <w:rPr>
          <w:rFonts w:asciiTheme="majorBidi" w:hAnsiTheme="majorBidi" w:cstheme="majorBidi"/>
          <w:bCs/>
          <w:lang w:val="en-US"/>
        </w:rPr>
        <w:t xml:space="preserve">tatistical analyses with cumulative data </w:t>
      </w:r>
      <w:r>
        <w:rPr>
          <w:rFonts w:asciiTheme="majorBidi" w:hAnsiTheme="majorBidi" w:cstheme="majorBidi"/>
          <w:bCs/>
          <w:lang w:val="en-US"/>
        </w:rPr>
        <w:t xml:space="preserve">may face </w:t>
      </w:r>
      <w:r w:rsidR="00901389">
        <w:rPr>
          <w:rFonts w:asciiTheme="majorBidi" w:hAnsiTheme="majorBidi" w:cstheme="majorBidi"/>
          <w:bCs/>
          <w:lang w:val="en-US"/>
        </w:rPr>
        <w:t>spurious regression problem</w:t>
      </w:r>
      <w:r>
        <w:rPr>
          <w:rFonts w:asciiTheme="majorBidi" w:hAnsiTheme="majorBidi" w:cstheme="majorBidi"/>
          <w:bCs/>
          <w:lang w:val="en-US"/>
        </w:rPr>
        <w:t>s</w:t>
      </w:r>
      <w:r w:rsidR="00901389">
        <w:rPr>
          <w:rFonts w:asciiTheme="majorBidi" w:hAnsiTheme="majorBidi" w:cstheme="majorBidi"/>
          <w:bCs/>
          <w:lang w:val="en-US"/>
        </w:rPr>
        <w:t>, as Hendry (1980) famously showed with cumulative rainfall and the UK price level.</w:t>
      </w:r>
      <w:r w:rsidR="00742893">
        <w:rPr>
          <w:rFonts w:asciiTheme="majorBidi" w:hAnsiTheme="majorBidi" w:cstheme="majorBidi"/>
          <w:bCs/>
          <w:lang w:val="en-US"/>
        </w:rPr>
        <w:t xml:space="preserve"> Therefore, t</w:t>
      </w:r>
      <w:r w:rsidR="00CE1F50">
        <w:rPr>
          <w:rFonts w:asciiTheme="majorBidi" w:hAnsiTheme="majorBidi" w:cstheme="majorBidi"/>
          <w:bCs/>
          <w:lang w:val="en-US"/>
        </w:rPr>
        <w:t>he remaining analyses use</w:t>
      </w:r>
      <w:r w:rsidR="00742893">
        <w:rPr>
          <w:rFonts w:asciiTheme="majorBidi" w:hAnsiTheme="majorBidi" w:cstheme="majorBidi"/>
          <w:bCs/>
          <w:lang w:val="en-US"/>
        </w:rPr>
        <w:t xml:space="preserve"> first-differenced data. </w:t>
      </w:r>
      <w:r w:rsidR="00CE1F50">
        <w:rPr>
          <w:rFonts w:asciiTheme="majorBidi" w:hAnsiTheme="majorBidi" w:cstheme="majorBidi"/>
          <w:bCs/>
          <w:lang w:val="en-US"/>
        </w:rPr>
        <w:t>R</w:t>
      </w:r>
      <w:r w:rsidR="00742893">
        <w:rPr>
          <w:rFonts w:asciiTheme="majorBidi" w:hAnsiTheme="majorBidi" w:cstheme="majorBidi"/>
          <w:bCs/>
          <w:lang w:val="en-US"/>
        </w:rPr>
        <w:t>emoving common trend</w:t>
      </w:r>
      <w:r>
        <w:rPr>
          <w:rFonts w:asciiTheme="majorBidi" w:hAnsiTheme="majorBidi" w:cstheme="majorBidi"/>
          <w:bCs/>
          <w:lang w:val="en-US"/>
        </w:rPr>
        <w:t>s</w:t>
      </w:r>
      <w:r w:rsidR="00742893">
        <w:rPr>
          <w:rFonts w:asciiTheme="majorBidi" w:hAnsiTheme="majorBidi" w:cstheme="majorBidi"/>
          <w:bCs/>
          <w:lang w:val="en-US"/>
        </w:rPr>
        <w:t xml:space="preserve"> </w:t>
      </w:r>
      <w:r w:rsidR="00CE1F50">
        <w:rPr>
          <w:rFonts w:asciiTheme="majorBidi" w:hAnsiTheme="majorBidi" w:cstheme="majorBidi"/>
          <w:bCs/>
          <w:lang w:val="en-US"/>
        </w:rPr>
        <w:t xml:space="preserve">gives smaller </w:t>
      </w:r>
      <w:r w:rsidR="00742893">
        <w:rPr>
          <w:rFonts w:asciiTheme="majorBidi" w:hAnsiTheme="majorBidi" w:cstheme="majorBidi"/>
          <w:bCs/>
          <w:lang w:val="en-US"/>
        </w:rPr>
        <w:t>correlation</w:t>
      </w:r>
      <w:r w:rsidR="00CE1F50">
        <w:rPr>
          <w:rFonts w:asciiTheme="majorBidi" w:hAnsiTheme="majorBidi" w:cstheme="majorBidi"/>
          <w:bCs/>
          <w:lang w:val="en-US"/>
        </w:rPr>
        <w:t xml:space="preserve">s; </w:t>
      </w:r>
      <m:oMath>
        <m:r>
          <m:rPr>
            <m:nor/>
          </m:rPr>
          <w:rPr>
            <w:rFonts w:ascii="Cambria Math" w:eastAsiaTheme="minorEastAsia" w:hAnsi="Cambria Math" w:cstheme="majorBidi"/>
            <w:bCs/>
            <w:lang w:val="en-US"/>
          </w:rPr>
          <m:t>the</m:t>
        </m:r>
        <m:r>
          <w:rPr>
            <w:rFonts w:ascii="Cambria Math" w:eastAsiaTheme="minorEastAsia" w:hAnsi="Cambria Math" w:cstheme="majorBidi"/>
            <w:lang w:val="en-US"/>
          </w:rPr>
          <m:t xml:space="preserve"> </m:t>
        </m:r>
        <m:r>
          <w:rPr>
            <w:rFonts w:ascii="Cambria Math" w:hAnsi="Cambria Math" w:cstheme="majorBidi"/>
            <w:lang w:val="en-US"/>
          </w:rPr>
          <m:t>r</m:t>
        </m:r>
        <m:r>
          <m:rPr>
            <m:nor/>
          </m:rPr>
          <w:rPr>
            <w:rFonts w:ascii="Cambria Math" w:hAnsi="Cambria Math" w:cstheme="majorBidi"/>
            <w:bCs/>
            <w:lang w:val="en-US"/>
          </w:rPr>
          <m:t>=0.88</m:t>
        </m:r>
      </m:oMath>
      <w:r w:rsidR="00CE1F50">
        <w:rPr>
          <w:rFonts w:asciiTheme="majorBidi" w:hAnsiTheme="majorBidi" w:cstheme="majorBidi"/>
          <w:bCs/>
          <w:lang w:val="en-US"/>
        </w:rPr>
        <w:t xml:space="preserve"> for cumulative excess deaths and booster rollout shown in the figure </w:t>
      </w:r>
      <w:r>
        <w:rPr>
          <w:rFonts w:asciiTheme="majorBidi" w:hAnsiTheme="majorBidi" w:cstheme="majorBidi"/>
          <w:bCs/>
          <w:lang w:val="en-US"/>
        </w:rPr>
        <w:t xml:space="preserve">becomes </w:t>
      </w:r>
      <m:oMath>
        <m:r>
          <w:rPr>
            <w:rFonts w:ascii="Cambria Math" w:hAnsi="Cambria Math" w:cstheme="majorBidi"/>
            <w:lang w:val="en-US"/>
          </w:rPr>
          <m:t>r</m:t>
        </m:r>
        <m:r>
          <m:rPr>
            <m:nor/>
          </m:rPr>
          <w:rPr>
            <w:rFonts w:ascii="Cambria Math" w:hAnsi="Cambria Math" w:cstheme="majorBidi"/>
            <w:bCs/>
            <w:lang w:val="en-US"/>
          </w:rPr>
          <m:t>=0.37</m:t>
        </m:r>
        <m:r>
          <w:rPr>
            <w:rFonts w:ascii="Cambria Math" w:hAnsi="Cambria Math" w:cstheme="majorBidi"/>
            <w:lang w:val="en-US"/>
          </w:rPr>
          <m:t xml:space="preserve"> </m:t>
        </m:r>
      </m:oMath>
      <w:r w:rsidR="00CE1F50">
        <w:rPr>
          <w:rFonts w:asciiTheme="majorBidi" w:hAnsiTheme="majorBidi" w:cstheme="majorBidi"/>
          <w:bCs/>
          <w:lang w:val="en-US"/>
        </w:rPr>
        <w:t>for their first differences (95% CI: 0.81 to 0.93, and 0.11 to 0.59).</w:t>
      </w:r>
    </w:p>
    <w:p w:rsidR="00DB3C87" w:rsidRDefault="00EA56EF" w:rsidP="00732025">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lastRenderedPageBreak/>
        <w:t>Results of six different regressions</w:t>
      </w:r>
      <w:r w:rsidR="00AC119B">
        <w:rPr>
          <w:rFonts w:asciiTheme="majorBidi" w:hAnsiTheme="majorBidi" w:cstheme="majorBidi"/>
          <w:bCs/>
          <w:lang w:val="en-US"/>
        </w:rPr>
        <w:t>,</w:t>
      </w:r>
      <w:r>
        <w:rPr>
          <w:rFonts w:asciiTheme="majorBidi" w:hAnsiTheme="majorBidi" w:cstheme="majorBidi"/>
          <w:bCs/>
          <w:lang w:val="en-US"/>
        </w:rPr>
        <w:t xml:space="preserve"> for first-differences of the time-series in Panel B of Figure 1</w:t>
      </w:r>
      <w:r w:rsidR="00AC119B">
        <w:rPr>
          <w:rFonts w:asciiTheme="majorBidi" w:hAnsiTheme="majorBidi" w:cstheme="majorBidi"/>
          <w:bCs/>
          <w:lang w:val="en-US"/>
        </w:rPr>
        <w:t>,</w:t>
      </w:r>
      <w:r>
        <w:rPr>
          <w:rFonts w:asciiTheme="majorBidi" w:hAnsiTheme="majorBidi" w:cstheme="majorBidi"/>
          <w:bCs/>
          <w:lang w:val="en-US"/>
        </w:rPr>
        <w:t xml:space="preserve"> are reported in Table 2. Three are unconditional (bivariate) relationships while the other</w:t>
      </w:r>
      <w:r w:rsidR="00137D1D">
        <w:rPr>
          <w:rFonts w:asciiTheme="majorBidi" w:hAnsiTheme="majorBidi" w:cstheme="majorBidi"/>
          <w:bCs/>
          <w:lang w:val="en-US"/>
        </w:rPr>
        <w:t>s include</w:t>
      </w:r>
      <w:r>
        <w:rPr>
          <w:rFonts w:asciiTheme="majorBidi" w:hAnsiTheme="majorBidi" w:cstheme="majorBidi"/>
          <w:bCs/>
          <w:lang w:val="en-US"/>
        </w:rPr>
        <w:t xml:space="preserve"> control </w:t>
      </w:r>
      <w:r w:rsidR="00137D1D">
        <w:rPr>
          <w:rFonts w:asciiTheme="majorBidi" w:hAnsiTheme="majorBidi" w:cstheme="majorBidi"/>
          <w:bCs/>
          <w:lang w:val="en-US"/>
        </w:rPr>
        <w:t xml:space="preserve">variables </w:t>
      </w:r>
      <w:r>
        <w:rPr>
          <w:rFonts w:asciiTheme="majorBidi" w:hAnsiTheme="majorBidi" w:cstheme="majorBidi"/>
          <w:bCs/>
          <w:lang w:val="en-US"/>
        </w:rPr>
        <w:t>for original protocol doses (</w:t>
      </w:r>
      <w:r w:rsidR="009B6CEF">
        <w:rPr>
          <w:rFonts w:asciiTheme="majorBidi" w:hAnsiTheme="majorBidi" w:cstheme="majorBidi"/>
          <w:bCs/>
          <w:lang w:val="en-US"/>
        </w:rPr>
        <w:t>one can only be</w:t>
      </w:r>
      <w:r>
        <w:rPr>
          <w:rFonts w:asciiTheme="majorBidi" w:hAnsiTheme="majorBidi" w:cstheme="majorBidi"/>
          <w:bCs/>
          <w:lang w:val="en-US"/>
        </w:rPr>
        <w:t xml:space="preserve"> ‘boosted’ if already ‘fully vaccinated’) and for COVID-19 attributed deaths.</w:t>
      </w:r>
      <w:r w:rsidR="003461E2" w:rsidRPr="008A622D">
        <w:rPr>
          <w:rFonts w:asciiTheme="majorBidi" w:hAnsiTheme="majorBidi" w:cstheme="majorBidi"/>
          <w:bCs/>
          <w:lang w:val="en-US"/>
        </w:rPr>
        <w:t xml:space="preserve"> </w:t>
      </w:r>
      <w:r w:rsidR="00DB3C87">
        <w:rPr>
          <w:rFonts w:asciiTheme="majorBidi" w:hAnsiTheme="majorBidi" w:cstheme="majorBidi"/>
          <w:bCs/>
          <w:lang w:val="en-US"/>
        </w:rPr>
        <w:t xml:space="preserve">The first </w:t>
      </w:r>
      <w:r w:rsidR="00AC119B">
        <w:rPr>
          <w:rFonts w:asciiTheme="majorBidi" w:hAnsiTheme="majorBidi" w:cstheme="majorBidi"/>
          <w:bCs/>
          <w:lang w:val="en-US"/>
        </w:rPr>
        <w:t xml:space="preserve">set of regressions use </w:t>
      </w:r>
      <w:r w:rsidR="00DB3C87">
        <w:rPr>
          <w:rFonts w:asciiTheme="majorBidi" w:hAnsiTheme="majorBidi" w:cstheme="majorBidi"/>
          <w:bCs/>
          <w:lang w:val="en-US"/>
        </w:rPr>
        <w:t xml:space="preserve">OLS (with Newey-West </w:t>
      </w:r>
      <w:r w:rsidR="00732025">
        <w:rPr>
          <w:rFonts w:asciiTheme="majorBidi" w:hAnsiTheme="majorBidi" w:cstheme="majorBidi"/>
          <w:bCs/>
          <w:lang w:val="en-US"/>
        </w:rPr>
        <w:t xml:space="preserve">robust </w:t>
      </w:r>
      <w:r w:rsidR="00DB3C87">
        <w:rPr>
          <w:rFonts w:asciiTheme="majorBidi" w:hAnsiTheme="majorBidi" w:cstheme="majorBidi"/>
          <w:bCs/>
          <w:lang w:val="en-US"/>
        </w:rPr>
        <w:t xml:space="preserve">standard errors), the </w:t>
      </w:r>
      <w:r w:rsidR="009B6CEF">
        <w:rPr>
          <w:rFonts w:asciiTheme="majorBidi" w:hAnsiTheme="majorBidi" w:cstheme="majorBidi"/>
          <w:bCs/>
          <w:lang w:val="en-US"/>
        </w:rPr>
        <w:t>next</w:t>
      </w:r>
      <w:r w:rsidR="00DB3C87">
        <w:rPr>
          <w:rFonts w:asciiTheme="majorBidi" w:hAnsiTheme="majorBidi" w:cstheme="majorBidi"/>
          <w:bCs/>
          <w:lang w:val="en-US"/>
        </w:rPr>
        <w:t xml:space="preserve"> </w:t>
      </w:r>
      <w:r w:rsidR="00AC119B">
        <w:rPr>
          <w:rFonts w:asciiTheme="majorBidi" w:hAnsiTheme="majorBidi" w:cstheme="majorBidi"/>
          <w:bCs/>
          <w:lang w:val="en-US"/>
        </w:rPr>
        <w:t>use</w:t>
      </w:r>
      <w:r w:rsidR="00DB3C87">
        <w:rPr>
          <w:rFonts w:asciiTheme="majorBidi" w:hAnsiTheme="majorBidi" w:cstheme="majorBidi"/>
          <w:bCs/>
          <w:lang w:val="en-US"/>
        </w:rPr>
        <w:t xml:space="preserve"> distributed lag models, </w:t>
      </w:r>
      <w:r w:rsidR="00AC119B">
        <w:rPr>
          <w:rFonts w:asciiTheme="majorBidi" w:hAnsiTheme="majorBidi" w:cstheme="majorBidi"/>
          <w:bCs/>
          <w:lang w:val="en-US"/>
        </w:rPr>
        <w:t xml:space="preserve">to allow for effects that accumulate over time (the </w:t>
      </w:r>
      <w:r w:rsidR="00DB3C87">
        <w:rPr>
          <w:rFonts w:asciiTheme="majorBidi" w:hAnsiTheme="majorBidi" w:cstheme="majorBidi"/>
          <w:bCs/>
          <w:lang w:val="en-US"/>
        </w:rPr>
        <w:t xml:space="preserve">28-day lag </w:t>
      </w:r>
      <w:r w:rsidR="00AC119B">
        <w:rPr>
          <w:rFonts w:asciiTheme="majorBidi" w:hAnsiTheme="majorBidi" w:cstheme="majorBidi"/>
          <w:bCs/>
          <w:lang w:val="en-US"/>
        </w:rPr>
        <w:t xml:space="preserve">corresponds to the common </w:t>
      </w:r>
      <w:r w:rsidR="00DB3C87">
        <w:rPr>
          <w:rFonts w:asciiTheme="majorBidi" w:hAnsiTheme="majorBidi" w:cstheme="majorBidi"/>
          <w:bCs/>
          <w:lang w:val="en-US"/>
        </w:rPr>
        <w:t xml:space="preserve">interval </w:t>
      </w:r>
      <w:r w:rsidR="00AC119B">
        <w:rPr>
          <w:rFonts w:asciiTheme="majorBidi" w:hAnsiTheme="majorBidi" w:cstheme="majorBidi"/>
          <w:bCs/>
          <w:lang w:val="en-US"/>
        </w:rPr>
        <w:t>for a</w:t>
      </w:r>
      <w:r w:rsidR="00233E8F">
        <w:rPr>
          <w:rFonts w:asciiTheme="majorBidi" w:hAnsiTheme="majorBidi" w:cstheme="majorBidi"/>
          <w:bCs/>
          <w:lang w:val="en-US"/>
        </w:rPr>
        <w:t>ttributing</w:t>
      </w:r>
      <w:r w:rsidR="00AC119B">
        <w:rPr>
          <w:rFonts w:asciiTheme="majorBidi" w:hAnsiTheme="majorBidi" w:cstheme="majorBidi"/>
          <w:bCs/>
          <w:lang w:val="en-US"/>
        </w:rPr>
        <w:t xml:space="preserve"> death</w:t>
      </w:r>
      <w:r w:rsidR="00233E8F">
        <w:rPr>
          <w:rFonts w:asciiTheme="majorBidi" w:hAnsiTheme="majorBidi" w:cstheme="majorBidi"/>
          <w:bCs/>
          <w:lang w:val="en-US"/>
        </w:rPr>
        <w:t>s</w:t>
      </w:r>
      <w:r w:rsidR="00AC119B">
        <w:rPr>
          <w:rFonts w:asciiTheme="majorBidi" w:hAnsiTheme="majorBidi" w:cstheme="majorBidi"/>
          <w:bCs/>
          <w:lang w:val="en-US"/>
        </w:rPr>
        <w:t xml:space="preserve"> after </w:t>
      </w:r>
      <w:r w:rsidR="009B6CEF">
        <w:rPr>
          <w:rFonts w:asciiTheme="majorBidi" w:hAnsiTheme="majorBidi" w:cstheme="majorBidi"/>
          <w:bCs/>
          <w:lang w:val="en-US"/>
        </w:rPr>
        <w:t xml:space="preserve">a positive </w:t>
      </w:r>
      <w:r w:rsidR="00732025">
        <w:rPr>
          <w:rFonts w:asciiTheme="majorBidi" w:hAnsiTheme="majorBidi" w:cstheme="majorBidi"/>
          <w:bCs/>
          <w:lang w:val="en-US"/>
        </w:rPr>
        <w:t>PCR</w:t>
      </w:r>
      <w:r w:rsidR="00AC119B">
        <w:rPr>
          <w:rFonts w:asciiTheme="majorBidi" w:hAnsiTheme="majorBidi" w:cstheme="majorBidi"/>
          <w:bCs/>
          <w:lang w:val="en-US"/>
        </w:rPr>
        <w:t xml:space="preserve"> </w:t>
      </w:r>
      <w:r w:rsidR="009B6CEF">
        <w:rPr>
          <w:rFonts w:asciiTheme="majorBidi" w:hAnsiTheme="majorBidi" w:cstheme="majorBidi"/>
          <w:bCs/>
          <w:lang w:val="en-US"/>
        </w:rPr>
        <w:t xml:space="preserve">test </w:t>
      </w:r>
      <w:r w:rsidR="00AC119B">
        <w:rPr>
          <w:rFonts w:asciiTheme="majorBidi" w:hAnsiTheme="majorBidi" w:cstheme="majorBidi"/>
          <w:bCs/>
          <w:lang w:val="en-US"/>
        </w:rPr>
        <w:t>to</w:t>
      </w:r>
      <w:r w:rsidR="00DB3C87">
        <w:rPr>
          <w:rFonts w:asciiTheme="majorBidi" w:hAnsiTheme="majorBidi" w:cstheme="majorBidi"/>
          <w:bCs/>
          <w:lang w:val="en-US"/>
        </w:rPr>
        <w:t xml:space="preserve"> COVID-19</w:t>
      </w:r>
      <w:r w:rsidR="00AC119B">
        <w:rPr>
          <w:rFonts w:asciiTheme="majorBidi" w:hAnsiTheme="majorBidi" w:cstheme="majorBidi"/>
          <w:bCs/>
          <w:lang w:val="en-US"/>
        </w:rPr>
        <w:t>)</w:t>
      </w:r>
      <w:r w:rsidR="00DB3C87">
        <w:rPr>
          <w:rFonts w:asciiTheme="majorBidi" w:hAnsiTheme="majorBidi" w:cstheme="majorBidi"/>
          <w:bCs/>
          <w:lang w:val="en-US"/>
        </w:rPr>
        <w:t xml:space="preserve">, and the third </w:t>
      </w:r>
      <w:r w:rsidR="00AC119B">
        <w:rPr>
          <w:rFonts w:asciiTheme="majorBidi" w:hAnsiTheme="majorBidi" w:cstheme="majorBidi"/>
          <w:bCs/>
          <w:lang w:val="en-US"/>
        </w:rPr>
        <w:t>set of regressions use</w:t>
      </w:r>
      <w:r w:rsidR="00DB3C87">
        <w:rPr>
          <w:rFonts w:asciiTheme="majorBidi" w:hAnsiTheme="majorBidi" w:cstheme="majorBidi"/>
          <w:bCs/>
          <w:lang w:val="en-US"/>
        </w:rPr>
        <w:t xml:space="preserve"> in</w:t>
      </w:r>
      <w:r w:rsidR="009B6CEF">
        <w:rPr>
          <w:rFonts w:asciiTheme="majorBidi" w:hAnsiTheme="majorBidi" w:cstheme="majorBidi"/>
          <w:bCs/>
          <w:lang w:val="en-US"/>
        </w:rPr>
        <w:t xml:space="preserve">strumental variables to </w:t>
      </w:r>
      <w:r w:rsidR="0053483E">
        <w:rPr>
          <w:rFonts w:asciiTheme="majorBidi" w:hAnsiTheme="majorBidi" w:cstheme="majorBidi"/>
          <w:bCs/>
          <w:lang w:val="en-US"/>
        </w:rPr>
        <w:t xml:space="preserve">enable </w:t>
      </w:r>
      <w:r w:rsidR="009B6CEF">
        <w:rPr>
          <w:rFonts w:asciiTheme="majorBidi" w:hAnsiTheme="majorBidi" w:cstheme="majorBidi"/>
          <w:bCs/>
          <w:lang w:val="en-US"/>
        </w:rPr>
        <w:t xml:space="preserve">causal interpretations. </w:t>
      </w:r>
    </w:p>
    <w:p w:rsidR="00B10789" w:rsidRDefault="00DB3C87" w:rsidP="00696846">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 </w:t>
      </w:r>
      <w:r w:rsidR="00BF27F9">
        <w:rPr>
          <w:rFonts w:asciiTheme="majorBidi" w:hAnsiTheme="majorBidi" w:cstheme="majorBidi"/>
          <w:bCs/>
          <w:lang w:val="en-US"/>
        </w:rPr>
        <w:t>There a</w:t>
      </w:r>
      <w:r w:rsidR="00233E8F">
        <w:rPr>
          <w:rFonts w:asciiTheme="majorBidi" w:hAnsiTheme="majorBidi" w:cstheme="majorBidi"/>
          <w:bCs/>
          <w:lang w:val="en-US"/>
        </w:rPr>
        <w:t>re 16 excess deaths per 100,000 booster doses (95% CI: 6 to 25</w:t>
      </w:r>
      <w:r w:rsidR="00BF27F9">
        <w:rPr>
          <w:rFonts w:asciiTheme="majorBidi" w:hAnsiTheme="majorBidi" w:cstheme="majorBidi"/>
          <w:bCs/>
          <w:lang w:val="en-US"/>
        </w:rPr>
        <w:t xml:space="preserve">) with </w:t>
      </w:r>
      <w:r w:rsidR="00233E8F">
        <w:rPr>
          <w:rFonts w:asciiTheme="majorBidi" w:hAnsiTheme="majorBidi" w:cstheme="majorBidi"/>
          <w:bCs/>
          <w:lang w:val="en-US"/>
        </w:rPr>
        <w:t xml:space="preserve">the unconditional OLS regression (Table 2). This rate rises to 32 using the 28-day </w:t>
      </w:r>
      <w:r w:rsidR="00BF27F9">
        <w:rPr>
          <w:rFonts w:asciiTheme="majorBidi" w:hAnsiTheme="majorBidi" w:cstheme="majorBidi"/>
          <w:bCs/>
          <w:lang w:val="en-US"/>
        </w:rPr>
        <w:t>lag, and is even higher, at 54,</w:t>
      </w:r>
      <w:r w:rsidR="00233E8F">
        <w:rPr>
          <w:rFonts w:asciiTheme="majorBidi" w:hAnsiTheme="majorBidi" w:cstheme="majorBidi"/>
          <w:bCs/>
          <w:lang w:val="en-US"/>
        </w:rPr>
        <w:t xml:space="preserve"> </w:t>
      </w:r>
      <w:r w:rsidR="00BF27F9">
        <w:rPr>
          <w:rFonts w:asciiTheme="majorBidi" w:hAnsiTheme="majorBidi" w:cstheme="majorBidi"/>
          <w:bCs/>
          <w:lang w:val="en-US"/>
        </w:rPr>
        <w:t xml:space="preserve">with </w:t>
      </w:r>
      <w:r w:rsidR="00233E8F">
        <w:rPr>
          <w:rFonts w:asciiTheme="majorBidi" w:hAnsiTheme="majorBidi" w:cstheme="majorBidi"/>
          <w:bCs/>
          <w:lang w:val="en-US"/>
        </w:rPr>
        <w:t>instrumental variables. Thus, the OLS results can be viewed as conservative.</w:t>
      </w:r>
      <w:r w:rsidR="00696846">
        <w:rPr>
          <w:rFonts w:asciiTheme="majorBidi" w:hAnsiTheme="majorBidi" w:cstheme="majorBidi"/>
          <w:bCs/>
          <w:lang w:val="en-US"/>
        </w:rPr>
        <w:t xml:space="preserve"> With </w:t>
      </w:r>
      <w:r w:rsidR="00BF27F9">
        <w:rPr>
          <w:rFonts w:asciiTheme="majorBidi" w:hAnsiTheme="majorBidi" w:cstheme="majorBidi"/>
          <w:bCs/>
          <w:lang w:val="en-US"/>
        </w:rPr>
        <w:t xml:space="preserve">covariates included </w:t>
      </w:r>
      <w:r w:rsidR="00696846">
        <w:rPr>
          <w:rFonts w:asciiTheme="majorBidi" w:hAnsiTheme="majorBidi" w:cstheme="majorBidi"/>
          <w:bCs/>
          <w:lang w:val="en-US"/>
        </w:rPr>
        <w:t xml:space="preserve">the </w:t>
      </w:r>
      <w:r w:rsidR="00BF27F9">
        <w:rPr>
          <w:rFonts w:asciiTheme="majorBidi" w:hAnsiTheme="majorBidi" w:cstheme="majorBidi"/>
          <w:bCs/>
          <w:lang w:val="en-US"/>
        </w:rPr>
        <w:t xml:space="preserve">coefficients have a tighter spread, with 12, 17, and 16 </w:t>
      </w:r>
      <w:r w:rsidR="00CA4DB6">
        <w:rPr>
          <w:rFonts w:asciiTheme="majorBidi" w:hAnsiTheme="majorBidi" w:cstheme="majorBidi"/>
          <w:bCs/>
          <w:lang w:val="en-US"/>
        </w:rPr>
        <w:t xml:space="preserve">excess </w:t>
      </w:r>
      <w:r w:rsidR="00BF27F9">
        <w:rPr>
          <w:rFonts w:asciiTheme="majorBidi" w:hAnsiTheme="majorBidi" w:cstheme="majorBidi"/>
          <w:bCs/>
          <w:lang w:val="en-US"/>
        </w:rPr>
        <w:t>deaths per 100,000 booster doses</w:t>
      </w:r>
      <w:r w:rsidR="0053483E">
        <w:rPr>
          <w:rFonts w:asciiTheme="majorBidi" w:hAnsiTheme="majorBidi" w:cstheme="majorBidi"/>
          <w:bCs/>
          <w:lang w:val="en-US"/>
        </w:rPr>
        <w:t xml:space="preserve">, </w:t>
      </w:r>
      <w:r w:rsidR="0053483E">
        <w:rPr>
          <w:rFonts w:asciiTheme="majorBidi" w:hAnsiTheme="majorBidi" w:cstheme="majorBidi"/>
          <w:bCs/>
          <w:i/>
          <w:iCs/>
          <w:lang w:val="en-US"/>
        </w:rPr>
        <w:t>ceteris paribus</w:t>
      </w:r>
      <w:r w:rsidR="0053483E">
        <w:rPr>
          <w:rFonts w:asciiTheme="majorBidi" w:hAnsiTheme="majorBidi" w:cstheme="majorBidi"/>
          <w:bCs/>
          <w:lang w:val="en-US"/>
        </w:rPr>
        <w:t>,</w:t>
      </w:r>
      <w:r w:rsidR="00BF27F9">
        <w:rPr>
          <w:rFonts w:asciiTheme="majorBidi" w:hAnsiTheme="majorBidi" w:cstheme="majorBidi"/>
          <w:bCs/>
          <w:lang w:val="en-US"/>
        </w:rPr>
        <w:t xml:space="preserve"> according to </w:t>
      </w:r>
      <w:r w:rsidR="00404F15">
        <w:rPr>
          <w:rFonts w:asciiTheme="majorBidi" w:hAnsiTheme="majorBidi" w:cstheme="majorBidi"/>
          <w:bCs/>
          <w:lang w:val="en-US"/>
        </w:rPr>
        <w:t xml:space="preserve">the </w:t>
      </w:r>
      <w:r w:rsidR="00BF27F9">
        <w:rPr>
          <w:rFonts w:asciiTheme="majorBidi" w:hAnsiTheme="majorBidi" w:cstheme="majorBidi"/>
          <w:bCs/>
          <w:lang w:val="en-US"/>
        </w:rPr>
        <w:t>OLS, distributed lag, and instrumental variables estimates.</w:t>
      </w:r>
    </w:p>
    <w:p w:rsidR="00BF27F9" w:rsidRDefault="00D530E0" w:rsidP="00C446F0">
      <w:pPr>
        <w:widowControl w:val="0"/>
        <w:spacing w:before="120" w:after="0" w:line="288" w:lineRule="auto"/>
        <w:jc w:val="center"/>
        <w:rPr>
          <w:rFonts w:asciiTheme="majorBidi" w:hAnsiTheme="majorBidi" w:cstheme="majorBidi"/>
          <w:bCs/>
          <w:lang w:val="en-US"/>
        </w:rPr>
      </w:pPr>
      <w:r w:rsidRPr="00D530E0">
        <w:drawing>
          <wp:inline distT="0" distB="0" distL="0" distR="0">
            <wp:extent cx="5511800" cy="162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0" cy="1625600"/>
                    </a:xfrm>
                    <a:prstGeom prst="rect">
                      <a:avLst/>
                    </a:prstGeom>
                    <a:noFill/>
                    <a:ln>
                      <a:noFill/>
                    </a:ln>
                  </pic:spPr>
                </pic:pic>
              </a:graphicData>
            </a:graphic>
          </wp:inline>
        </w:drawing>
      </w:r>
    </w:p>
    <w:p w:rsidR="00BF27F9" w:rsidRDefault="00696846" w:rsidP="000A08AF">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The regression results show statistical associations between booster rollout and excess deaths using observational </w:t>
      </w:r>
      <w:r w:rsidR="00C50F14">
        <w:rPr>
          <w:rFonts w:asciiTheme="majorBidi" w:hAnsiTheme="majorBidi" w:cstheme="majorBidi"/>
          <w:bCs/>
          <w:lang w:val="en-US"/>
        </w:rPr>
        <w:t xml:space="preserve">data not </w:t>
      </w:r>
      <w:r>
        <w:rPr>
          <w:rFonts w:asciiTheme="majorBidi" w:hAnsiTheme="majorBidi" w:cstheme="majorBidi"/>
          <w:bCs/>
          <w:lang w:val="en-US"/>
        </w:rPr>
        <w:t>randomized data.</w:t>
      </w:r>
      <w:r w:rsidR="00606B7B">
        <w:rPr>
          <w:rFonts w:asciiTheme="majorBidi" w:hAnsiTheme="majorBidi" w:cstheme="majorBidi"/>
          <w:bCs/>
          <w:lang w:val="en-US"/>
        </w:rPr>
        <w:t xml:space="preserve"> </w:t>
      </w:r>
      <w:r w:rsidR="00C50F14">
        <w:rPr>
          <w:rFonts w:asciiTheme="majorBidi" w:hAnsiTheme="majorBidi" w:cstheme="majorBidi"/>
          <w:bCs/>
          <w:lang w:val="en-US"/>
        </w:rPr>
        <w:t>Thus</w:t>
      </w:r>
      <w:r w:rsidR="00606B7B">
        <w:rPr>
          <w:rFonts w:asciiTheme="majorBidi" w:hAnsiTheme="majorBidi" w:cstheme="majorBidi"/>
          <w:bCs/>
          <w:lang w:val="en-US"/>
        </w:rPr>
        <w:t xml:space="preserve">, confounding </w:t>
      </w:r>
      <w:r w:rsidR="00C50F14">
        <w:rPr>
          <w:rFonts w:asciiTheme="majorBidi" w:hAnsiTheme="majorBidi" w:cstheme="majorBidi"/>
          <w:bCs/>
          <w:lang w:val="en-US"/>
        </w:rPr>
        <w:t>from</w:t>
      </w:r>
      <w:r w:rsidR="00606B7B">
        <w:rPr>
          <w:rFonts w:asciiTheme="majorBidi" w:hAnsiTheme="majorBidi" w:cstheme="majorBidi"/>
          <w:bCs/>
          <w:lang w:val="en-US"/>
        </w:rPr>
        <w:t xml:space="preserve"> omitted relevant variables or reverse causation cannot be ruled out. Instrumental variables </w:t>
      </w:r>
      <w:r w:rsidR="00C50F14">
        <w:rPr>
          <w:rFonts w:asciiTheme="majorBidi" w:hAnsiTheme="majorBidi" w:cstheme="majorBidi"/>
          <w:bCs/>
          <w:lang w:val="en-US"/>
        </w:rPr>
        <w:t>estimatio</w:t>
      </w:r>
      <w:r w:rsidR="0053483E">
        <w:rPr>
          <w:rFonts w:asciiTheme="majorBidi" w:hAnsiTheme="majorBidi" w:cstheme="majorBidi"/>
          <w:bCs/>
          <w:lang w:val="en-US"/>
        </w:rPr>
        <w:t xml:space="preserve">n </w:t>
      </w:r>
      <w:r w:rsidR="00606B7B">
        <w:rPr>
          <w:rFonts w:asciiTheme="majorBidi" w:hAnsiTheme="majorBidi" w:cstheme="majorBidi"/>
          <w:bCs/>
          <w:lang w:val="en-US"/>
        </w:rPr>
        <w:t xml:space="preserve">allows quasi-experimental causal interpretations, subject to </w:t>
      </w:r>
      <w:r w:rsidR="00C50F14">
        <w:rPr>
          <w:rFonts w:asciiTheme="majorBidi" w:hAnsiTheme="majorBidi" w:cstheme="majorBidi"/>
          <w:bCs/>
          <w:lang w:val="en-US"/>
        </w:rPr>
        <w:t>using</w:t>
      </w:r>
      <w:r w:rsidR="00606B7B">
        <w:rPr>
          <w:rFonts w:asciiTheme="majorBidi" w:hAnsiTheme="majorBidi" w:cstheme="majorBidi"/>
          <w:bCs/>
          <w:lang w:val="en-US"/>
        </w:rPr>
        <w:t xml:space="preserve"> valid instruments. </w:t>
      </w:r>
      <w:r w:rsidR="00143ECF">
        <w:rPr>
          <w:rFonts w:asciiTheme="majorBidi" w:hAnsiTheme="majorBidi" w:cstheme="majorBidi"/>
          <w:bCs/>
          <w:lang w:val="en-US"/>
        </w:rPr>
        <w:t xml:space="preserve">In New Zealand the government </w:t>
      </w:r>
      <w:r w:rsidR="00143ECF" w:rsidRPr="00143ECF">
        <w:rPr>
          <w:rFonts w:asciiTheme="majorBidi" w:hAnsiTheme="majorBidi" w:cstheme="majorBidi"/>
          <w:bCs/>
          <w:lang w:val="en-US"/>
        </w:rPr>
        <w:t xml:space="preserve">frequently emphasized that </w:t>
      </w:r>
      <w:r w:rsidR="00404F15">
        <w:rPr>
          <w:rFonts w:asciiTheme="majorBidi" w:hAnsiTheme="majorBidi" w:cstheme="majorBidi"/>
          <w:bCs/>
          <w:lang w:val="en-US"/>
        </w:rPr>
        <w:t xml:space="preserve">pace of the </w:t>
      </w:r>
      <w:r w:rsidR="00143ECF" w:rsidRPr="00143ECF">
        <w:rPr>
          <w:rFonts w:asciiTheme="majorBidi" w:hAnsiTheme="majorBidi" w:cstheme="majorBidi"/>
        </w:rPr>
        <w:t xml:space="preserve">vaccine rollout </w:t>
      </w:r>
      <w:r w:rsidR="0053483E">
        <w:rPr>
          <w:rFonts w:asciiTheme="majorBidi" w:hAnsiTheme="majorBidi" w:cstheme="majorBidi"/>
        </w:rPr>
        <w:t xml:space="preserve">depended </w:t>
      </w:r>
      <w:r w:rsidR="00143ECF" w:rsidRPr="00143ECF">
        <w:rPr>
          <w:rFonts w:asciiTheme="majorBidi" w:hAnsiTheme="majorBidi" w:cstheme="majorBidi"/>
        </w:rPr>
        <w:t>on Pfizer for the timing and quantity of shipments</w:t>
      </w:r>
      <w:r w:rsidR="00143ECF">
        <w:rPr>
          <w:rFonts w:asciiTheme="majorBidi" w:hAnsiTheme="majorBidi" w:cstheme="majorBidi"/>
        </w:rPr>
        <w:t xml:space="preserve"> (</w:t>
      </w:r>
      <w:proofErr w:type="spellStart"/>
      <w:r w:rsidR="00143ECF">
        <w:rPr>
          <w:rFonts w:asciiTheme="majorBidi" w:hAnsiTheme="majorBidi" w:cstheme="majorBidi"/>
        </w:rPr>
        <w:t>Hipkins</w:t>
      </w:r>
      <w:proofErr w:type="spellEnd"/>
      <w:r w:rsidR="00143ECF">
        <w:rPr>
          <w:rFonts w:asciiTheme="majorBidi" w:hAnsiTheme="majorBidi" w:cstheme="majorBidi"/>
        </w:rPr>
        <w:t>, 2021)</w:t>
      </w:r>
      <w:r w:rsidR="00143ECF" w:rsidRPr="00143ECF">
        <w:rPr>
          <w:rFonts w:asciiTheme="majorBidi" w:hAnsiTheme="majorBidi" w:cstheme="majorBidi"/>
        </w:rPr>
        <w:t>.</w:t>
      </w:r>
      <w:r w:rsidR="00404F15">
        <w:rPr>
          <w:rFonts w:asciiTheme="majorBidi" w:hAnsiTheme="majorBidi" w:cstheme="majorBidi"/>
        </w:rPr>
        <w:t xml:space="preserve"> This e</w:t>
      </w:r>
      <w:r w:rsidR="00143ECF">
        <w:rPr>
          <w:rFonts w:asciiTheme="majorBidi" w:hAnsiTheme="majorBidi" w:cstheme="majorBidi"/>
        </w:rPr>
        <w:t xml:space="preserve">xogenous variation </w:t>
      </w:r>
      <w:r w:rsidR="00404F15">
        <w:rPr>
          <w:rFonts w:asciiTheme="majorBidi" w:hAnsiTheme="majorBidi" w:cstheme="majorBidi"/>
        </w:rPr>
        <w:t xml:space="preserve">in doses available </w:t>
      </w:r>
      <w:r w:rsidR="000A08AF">
        <w:rPr>
          <w:rFonts w:asciiTheme="majorBidi" w:hAnsiTheme="majorBidi" w:cstheme="majorBidi"/>
        </w:rPr>
        <w:t>also alter</w:t>
      </w:r>
      <w:r w:rsidR="00404F15">
        <w:rPr>
          <w:rFonts w:asciiTheme="majorBidi" w:hAnsiTheme="majorBidi" w:cstheme="majorBidi"/>
        </w:rPr>
        <w:t xml:space="preserve">ed </w:t>
      </w:r>
      <w:r w:rsidR="00143ECF">
        <w:rPr>
          <w:rFonts w:asciiTheme="majorBidi" w:hAnsiTheme="majorBidi" w:cstheme="majorBidi"/>
        </w:rPr>
        <w:t xml:space="preserve">timing intervals between doses (shorter </w:t>
      </w:r>
      <w:r w:rsidR="00217783">
        <w:rPr>
          <w:rFonts w:asciiTheme="majorBidi" w:hAnsiTheme="majorBidi" w:cstheme="majorBidi"/>
        </w:rPr>
        <w:t>when</w:t>
      </w:r>
      <w:r w:rsidR="00143ECF">
        <w:rPr>
          <w:rFonts w:asciiTheme="majorBidi" w:hAnsiTheme="majorBidi" w:cstheme="majorBidi"/>
        </w:rPr>
        <w:t xml:space="preserve"> more doses </w:t>
      </w:r>
      <w:r w:rsidR="00404F15">
        <w:rPr>
          <w:rFonts w:asciiTheme="majorBidi" w:hAnsiTheme="majorBidi" w:cstheme="majorBidi"/>
        </w:rPr>
        <w:t>were on hand</w:t>
      </w:r>
      <w:r w:rsidR="00143ECF">
        <w:rPr>
          <w:rFonts w:asciiTheme="majorBidi" w:hAnsiTheme="majorBidi" w:cstheme="majorBidi"/>
        </w:rPr>
        <w:t xml:space="preserve">). </w:t>
      </w:r>
      <w:r w:rsidR="00C50F14">
        <w:rPr>
          <w:rFonts w:asciiTheme="majorBidi" w:hAnsiTheme="majorBidi" w:cstheme="majorBidi"/>
        </w:rPr>
        <w:t>S</w:t>
      </w:r>
      <w:r w:rsidR="0053483E">
        <w:rPr>
          <w:rFonts w:asciiTheme="majorBidi" w:hAnsiTheme="majorBidi" w:cstheme="majorBidi"/>
        </w:rPr>
        <w:t xml:space="preserve">atisfaction of the </w:t>
      </w:r>
      <w:r w:rsidR="0053483E">
        <w:rPr>
          <w:rFonts w:asciiTheme="majorBidi" w:hAnsiTheme="majorBidi" w:cstheme="majorBidi"/>
          <w:bCs/>
          <w:lang w:val="en-US"/>
        </w:rPr>
        <w:t>instrument</w:t>
      </w:r>
      <w:r w:rsidR="00217783">
        <w:rPr>
          <w:rFonts w:asciiTheme="majorBidi" w:hAnsiTheme="majorBidi" w:cstheme="majorBidi"/>
          <w:bCs/>
          <w:lang w:val="en-US"/>
        </w:rPr>
        <w:t xml:space="preserve"> relevance condition</w:t>
      </w:r>
      <w:r w:rsidR="0053483E">
        <w:rPr>
          <w:rFonts w:asciiTheme="majorBidi" w:hAnsiTheme="majorBidi" w:cstheme="majorBidi"/>
          <w:bCs/>
          <w:lang w:val="en-US"/>
        </w:rPr>
        <w:t xml:space="preserve"> </w:t>
      </w:r>
      <w:r w:rsidR="00404F15">
        <w:rPr>
          <w:rFonts w:asciiTheme="majorBidi" w:hAnsiTheme="majorBidi" w:cstheme="majorBidi"/>
          <w:bCs/>
          <w:lang w:val="en-US"/>
        </w:rPr>
        <w:t xml:space="preserve">for vaccine availability </w:t>
      </w:r>
      <w:r w:rsidR="0053483E">
        <w:rPr>
          <w:rFonts w:asciiTheme="majorBidi" w:hAnsiTheme="majorBidi" w:cstheme="majorBidi"/>
          <w:bCs/>
          <w:lang w:val="en-US"/>
        </w:rPr>
        <w:t xml:space="preserve">shows in </w:t>
      </w:r>
      <w:r w:rsidR="00404F15">
        <w:rPr>
          <w:rFonts w:asciiTheme="majorBidi" w:hAnsiTheme="majorBidi" w:cstheme="majorBidi"/>
          <w:bCs/>
          <w:lang w:val="en-US"/>
        </w:rPr>
        <w:t xml:space="preserve">the </w:t>
      </w:r>
      <w:r w:rsidR="00143ECF">
        <w:rPr>
          <w:rFonts w:asciiTheme="majorBidi" w:hAnsiTheme="majorBidi" w:cstheme="majorBidi"/>
          <w:bCs/>
          <w:lang w:val="en-US"/>
        </w:rPr>
        <w:t xml:space="preserve">high first-stage </w:t>
      </w:r>
      <w:r w:rsidR="00143ECF">
        <w:rPr>
          <w:rFonts w:asciiTheme="majorBidi" w:hAnsiTheme="majorBidi" w:cstheme="majorBidi"/>
          <w:bCs/>
          <w:i/>
          <w:iCs/>
          <w:lang w:val="en-US"/>
        </w:rPr>
        <w:t>F</w:t>
      </w:r>
      <w:r w:rsidR="00404F15">
        <w:rPr>
          <w:rFonts w:asciiTheme="majorBidi" w:hAnsiTheme="majorBidi" w:cstheme="majorBidi"/>
          <w:bCs/>
          <w:lang w:val="en-US"/>
        </w:rPr>
        <w:t>-statistic</w:t>
      </w:r>
      <w:r w:rsidR="00143ECF">
        <w:rPr>
          <w:rFonts w:asciiTheme="majorBidi" w:hAnsiTheme="majorBidi" w:cstheme="majorBidi"/>
          <w:bCs/>
          <w:lang w:val="en-US"/>
        </w:rPr>
        <w:t xml:space="preserve"> (17.6)</w:t>
      </w:r>
      <w:r w:rsidR="0053483E">
        <w:rPr>
          <w:rFonts w:asciiTheme="majorBidi" w:hAnsiTheme="majorBidi" w:cstheme="majorBidi"/>
          <w:bCs/>
          <w:lang w:val="en-US"/>
        </w:rPr>
        <w:t>. The exclusion rest</w:t>
      </w:r>
      <w:r w:rsidR="00732025">
        <w:rPr>
          <w:rFonts w:asciiTheme="majorBidi" w:hAnsiTheme="majorBidi" w:cstheme="majorBidi"/>
          <w:bCs/>
          <w:lang w:val="en-US"/>
        </w:rPr>
        <w:t>riction is that no pathway from available</w:t>
      </w:r>
      <w:r w:rsidR="0053483E">
        <w:rPr>
          <w:rFonts w:asciiTheme="majorBidi" w:hAnsiTheme="majorBidi" w:cstheme="majorBidi"/>
          <w:bCs/>
          <w:lang w:val="en-US"/>
        </w:rPr>
        <w:t xml:space="preserve"> booster doses to excess mortality</w:t>
      </w:r>
      <w:r w:rsidR="00732025">
        <w:rPr>
          <w:rFonts w:asciiTheme="majorBidi" w:hAnsiTheme="majorBidi" w:cstheme="majorBidi"/>
          <w:bCs/>
          <w:lang w:val="en-US"/>
        </w:rPr>
        <w:t xml:space="preserve"> exists</w:t>
      </w:r>
      <w:r w:rsidR="0053483E">
        <w:rPr>
          <w:rFonts w:asciiTheme="majorBidi" w:hAnsiTheme="majorBidi" w:cstheme="majorBidi"/>
          <w:bCs/>
          <w:lang w:val="en-US"/>
        </w:rPr>
        <w:t>, except through</w:t>
      </w:r>
      <w:r w:rsidR="00404F15">
        <w:rPr>
          <w:rFonts w:asciiTheme="majorBidi" w:hAnsiTheme="majorBidi" w:cstheme="majorBidi"/>
          <w:bCs/>
          <w:lang w:val="en-US"/>
        </w:rPr>
        <w:t xml:space="preserve"> </w:t>
      </w:r>
      <w:r w:rsidR="00CA4DB6">
        <w:rPr>
          <w:rFonts w:asciiTheme="majorBidi" w:hAnsiTheme="majorBidi" w:cstheme="majorBidi"/>
          <w:bCs/>
          <w:lang w:val="en-US"/>
        </w:rPr>
        <w:t>doses actually given</w:t>
      </w:r>
      <w:r w:rsidR="0053483E">
        <w:rPr>
          <w:rFonts w:asciiTheme="majorBidi" w:hAnsiTheme="majorBidi" w:cstheme="majorBidi"/>
          <w:bCs/>
          <w:lang w:val="en-US"/>
        </w:rPr>
        <w:t xml:space="preserve">. </w:t>
      </w:r>
      <w:r w:rsidR="00732025">
        <w:rPr>
          <w:rFonts w:asciiTheme="majorBidi" w:hAnsiTheme="majorBidi" w:cstheme="majorBidi"/>
          <w:bCs/>
          <w:lang w:val="en-US"/>
        </w:rPr>
        <w:t>Crowding-</w:t>
      </w:r>
      <w:r w:rsidR="0053483E">
        <w:rPr>
          <w:rFonts w:asciiTheme="majorBidi" w:hAnsiTheme="majorBidi" w:cstheme="majorBidi"/>
          <w:bCs/>
          <w:lang w:val="en-US"/>
        </w:rPr>
        <w:t>out</w:t>
      </w:r>
      <w:r w:rsidR="00217783">
        <w:rPr>
          <w:rFonts w:asciiTheme="majorBidi" w:hAnsiTheme="majorBidi" w:cstheme="majorBidi"/>
          <w:bCs/>
          <w:lang w:val="en-US"/>
        </w:rPr>
        <w:t xml:space="preserve"> </w:t>
      </w:r>
      <w:r w:rsidR="00732025">
        <w:rPr>
          <w:rFonts w:asciiTheme="majorBidi" w:hAnsiTheme="majorBidi" w:cstheme="majorBidi"/>
          <w:bCs/>
          <w:lang w:val="en-US"/>
        </w:rPr>
        <w:t xml:space="preserve">could </w:t>
      </w:r>
      <w:r w:rsidR="0053483E">
        <w:rPr>
          <w:rFonts w:asciiTheme="majorBidi" w:hAnsiTheme="majorBidi" w:cstheme="majorBidi"/>
          <w:bCs/>
          <w:lang w:val="en-US"/>
        </w:rPr>
        <w:t>be</w:t>
      </w:r>
      <w:r w:rsidR="00217783">
        <w:rPr>
          <w:rFonts w:asciiTheme="majorBidi" w:hAnsiTheme="majorBidi" w:cstheme="majorBidi"/>
          <w:bCs/>
          <w:lang w:val="en-US"/>
        </w:rPr>
        <w:t xml:space="preserve"> </w:t>
      </w:r>
      <w:r w:rsidR="00732025">
        <w:rPr>
          <w:rFonts w:asciiTheme="majorBidi" w:hAnsiTheme="majorBidi" w:cstheme="majorBidi"/>
          <w:bCs/>
          <w:lang w:val="en-US"/>
        </w:rPr>
        <w:t xml:space="preserve">an </w:t>
      </w:r>
      <w:r w:rsidR="00217783">
        <w:rPr>
          <w:rFonts w:asciiTheme="majorBidi" w:hAnsiTheme="majorBidi" w:cstheme="majorBidi"/>
          <w:bCs/>
          <w:lang w:val="en-US"/>
        </w:rPr>
        <w:t>alternative pathway</w:t>
      </w:r>
      <w:r w:rsidR="00732025">
        <w:rPr>
          <w:rFonts w:asciiTheme="majorBidi" w:hAnsiTheme="majorBidi" w:cstheme="majorBidi"/>
          <w:bCs/>
          <w:lang w:val="en-US"/>
        </w:rPr>
        <w:t xml:space="preserve"> if vaccines </w:t>
      </w:r>
      <w:r w:rsidR="006120E1">
        <w:rPr>
          <w:rFonts w:asciiTheme="majorBidi" w:hAnsiTheme="majorBidi" w:cstheme="majorBidi"/>
          <w:bCs/>
          <w:lang w:val="en-US"/>
        </w:rPr>
        <w:t xml:space="preserve">had been </w:t>
      </w:r>
      <w:r w:rsidR="00732025">
        <w:rPr>
          <w:rFonts w:asciiTheme="majorBidi" w:hAnsiTheme="majorBidi" w:cstheme="majorBidi"/>
          <w:bCs/>
          <w:lang w:val="en-US"/>
        </w:rPr>
        <w:t>purchased through usual channels</w:t>
      </w:r>
      <w:r w:rsidR="00C50F14">
        <w:rPr>
          <w:rFonts w:asciiTheme="majorBidi" w:hAnsiTheme="majorBidi" w:cstheme="majorBidi"/>
          <w:bCs/>
          <w:lang w:val="en-US"/>
        </w:rPr>
        <w:t>; more Pfizer</w:t>
      </w:r>
      <w:r w:rsidR="0053483E">
        <w:rPr>
          <w:rFonts w:asciiTheme="majorBidi" w:hAnsiTheme="majorBidi" w:cstheme="majorBidi"/>
          <w:bCs/>
          <w:lang w:val="en-US"/>
        </w:rPr>
        <w:t xml:space="preserve"> doses available </w:t>
      </w:r>
      <w:r w:rsidR="000A08AF">
        <w:rPr>
          <w:rFonts w:asciiTheme="majorBidi" w:hAnsiTheme="majorBidi" w:cstheme="majorBidi"/>
          <w:bCs/>
          <w:lang w:val="en-US"/>
        </w:rPr>
        <w:t>might mean</w:t>
      </w:r>
      <w:r w:rsidR="00C50F14">
        <w:rPr>
          <w:rFonts w:asciiTheme="majorBidi" w:hAnsiTheme="majorBidi" w:cstheme="majorBidi"/>
          <w:bCs/>
          <w:lang w:val="en-US"/>
        </w:rPr>
        <w:t xml:space="preserve"> </w:t>
      </w:r>
      <w:r w:rsidR="00732025">
        <w:rPr>
          <w:rFonts w:asciiTheme="majorBidi" w:hAnsiTheme="majorBidi" w:cstheme="majorBidi"/>
          <w:bCs/>
          <w:lang w:val="en-US"/>
        </w:rPr>
        <w:t xml:space="preserve">less spent on </w:t>
      </w:r>
      <w:r w:rsidR="0053483E">
        <w:rPr>
          <w:rFonts w:asciiTheme="majorBidi" w:hAnsiTheme="majorBidi" w:cstheme="majorBidi"/>
          <w:bCs/>
          <w:lang w:val="en-US"/>
        </w:rPr>
        <w:t xml:space="preserve">other </w:t>
      </w:r>
      <w:r w:rsidR="00732025">
        <w:rPr>
          <w:rFonts w:asciiTheme="majorBidi" w:hAnsiTheme="majorBidi" w:cstheme="majorBidi"/>
          <w:bCs/>
          <w:lang w:val="en-US"/>
        </w:rPr>
        <w:t xml:space="preserve">life-saving </w:t>
      </w:r>
      <w:r w:rsidR="0053483E">
        <w:rPr>
          <w:rFonts w:asciiTheme="majorBidi" w:hAnsiTheme="majorBidi" w:cstheme="majorBidi"/>
          <w:bCs/>
          <w:lang w:val="en-US"/>
        </w:rPr>
        <w:t xml:space="preserve">drugs. </w:t>
      </w:r>
      <w:r w:rsidR="000A08AF">
        <w:rPr>
          <w:rFonts w:asciiTheme="majorBidi" w:hAnsiTheme="majorBidi" w:cstheme="majorBidi"/>
          <w:bCs/>
          <w:lang w:val="en-US"/>
        </w:rPr>
        <w:t>Yet</w:t>
      </w:r>
      <w:r w:rsidR="00732025">
        <w:rPr>
          <w:rFonts w:asciiTheme="majorBidi" w:hAnsiTheme="majorBidi" w:cstheme="majorBidi"/>
          <w:bCs/>
          <w:lang w:val="en-US"/>
        </w:rPr>
        <w:t xml:space="preserve"> </w:t>
      </w:r>
      <w:r w:rsidR="0053483E">
        <w:rPr>
          <w:rFonts w:asciiTheme="majorBidi" w:hAnsiTheme="majorBidi" w:cstheme="majorBidi"/>
          <w:bCs/>
          <w:lang w:val="en-US"/>
        </w:rPr>
        <w:t xml:space="preserve">the </w:t>
      </w:r>
      <w:r w:rsidR="000A08AF">
        <w:rPr>
          <w:rFonts w:asciiTheme="majorBidi" w:hAnsiTheme="majorBidi" w:cstheme="majorBidi"/>
          <w:bCs/>
          <w:lang w:val="en-US"/>
        </w:rPr>
        <w:t>vaccine taskforce</w:t>
      </w:r>
      <w:r w:rsidR="000A08AF" w:rsidRPr="00217783">
        <w:rPr>
          <w:rFonts w:asciiTheme="majorBidi" w:hAnsiTheme="majorBidi" w:cstheme="majorBidi"/>
          <w:bCs/>
        </w:rPr>
        <w:t xml:space="preserve"> </w:t>
      </w:r>
      <w:r w:rsidR="000A08AF">
        <w:rPr>
          <w:rFonts w:asciiTheme="majorBidi" w:hAnsiTheme="majorBidi" w:cstheme="majorBidi"/>
          <w:bCs/>
        </w:rPr>
        <w:t xml:space="preserve">was led by the </w:t>
      </w:r>
      <w:r w:rsidR="00217783" w:rsidRPr="00217783">
        <w:rPr>
          <w:rFonts w:asciiTheme="majorBidi" w:hAnsiTheme="majorBidi" w:cstheme="majorBidi"/>
          <w:bCs/>
        </w:rPr>
        <w:t>Ministry of Business, Innovation and Employment</w:t>
      </w:r>
      <w:r w:rsidR="00217783" w:rsidRPr="00217783">
        <w:rPr>
          <w:rFonts w:asciiTheme="majorBidi" w:hAnsiTheme="majorBidi" w:cstheme="majorBidi"/>
          <w:bCs/>
          <w:lang w:val="en-US"/>
        </w:rPr>
        <w:t xml:space="preserve"> </w:t>
      </w:r>
      <w:r w:rsidR="00217783">
        <w:rPr>
          <w:rFonts w:asciiTheme="majorBidi" w:hAnsiTheme="majorBidi" w:cstheme="majorBidi"/>
          <w:bCs/>
          <w:lang w:val="en-US"/>
        </w:rPr>
        <w:t>(MBIE)</w:t>
      </w:r>
      <w:r w:rsidR="00CA4DB6">
        <w:rPr>
          <w:rFonts w:asciiTheme="majorBidi" w:hAnsiTheme="majorBidi" w:cstheme="majorBidi"/>
          <w:bCs/>
          <w:lang w:val="en-US"/>
        </w:rPr>
        <w:t xml:space="preserve"> </w:t>
      </w:r>
      <w:r w:rsidR="00732025">
        <w:rPr>
          <w:rFonts w:asciiTheme="majorBidi" w:hAnsiTheme="majorBidi" w:cstheme="majorBidi"/>
          <w:bCs/>
          <w:lang w:val="en-US"/>
        </w:rPr>
        <w:t xml:space="preserve">rather than </w:t>
      </w:r>
      <w:r w:rsidR="000A08AF">
        <w:rPr>
          <w:rFonts w:asciiTheme="majorBidi" w:hAnsiTheme="majorBidi" w:cstheme="majorBidi"/>
          <w:bCs/>
          <w:lang w:val="en-US"/>
        </w:rPr>
        <w:t xml:space="preserve">by </w:t>
      </w:r>
      <w:r w:rsidR="00CA4DB6">
        <w:rPr>
          <w:rFonts w:asciiTheme="majorBidi" w:hAnsiTheme="majorBidi" w:cstheme="majorBidi"/>
          <w:bCs/>
          <w:lang w:val="en-US"/>
        </w:rPr>
        <w:t>the usual medicine</w:t>
      </w:r>
      <w:r w:rsidR="000A08AF">
        <w:rPr>
          <w:rFonts w:asciiTheme="majorBidi" w:hAnsiTheme="majorBidi" w:cstheme="majorBidi"/>
          <w:bCs/>
          <w:lang w:val="en-US"/>
        </w:rPr>
        <w:t>s</w:t>
      </w:r>
      <w:r w:rsidR="00CA4DB6">
        <w:rPr>
          <w:rFonts w:asciiTheme="majorBidi" w:hAnsiTheme="majorBidi" w:cstheme="majorBidi"/>
          <w:bCs/>
          <w:lang w:val="en-US"/>
        </w:rPr>
        <w:t xml:space="preserve"> buying agency (</w:t>
      </w:r>
      <w:proofErr w:type="spellStart"/>
      <w:r w:rsidR="00732025">
        <w:rPr>
          <w:rFonts w:asciiTheme="majorBidi" w:hAnsiTheme="majorBidi" w:cstheme="majorBidi"/>
          <w:bCs/>
          <w:lang w:val="en-US"/>
        </w:rPr>
        <w:t>Pharmac</w:t>
      </w:r>
      <w:proofErr w:type="spellEnd"/>
      <w:r w:rsidR="00CA4DB6">
        <w:rPr>
          <w:rFonts w:asciiTheme="majorBidi" w:hAnsiTheme="majorBidi" w:cstheme="majorBidi"/>
          <w:bCs/>
          <w:lang w:val="en-US"/>
        </w:rPr>
        <w:t>),</w:t>
      </w:r>
      <w:r w:rsidR="00732025">
        <w:rPr>
          <w:rFonts w:asciiTheme="majorBidi" w:hAnsiTheme="majorBidi" w:cstheme="majorBidi"/>
          <w:bCs/>
          <w:lang w:val="en-US"/>
        </w:rPr>
        <w:t xml:space="preserve"> </w:t>
      </w:r>
      <w:r w:rsidR="00CA4DB6">
        <w:rPr>
          <w:rFonts w:asciiTheme="majorBidi" w:hAnsiTheme="majorBidi" w:cstheme="majorBidi"/>
          <w:bCs/>
          <w:lang w:val="en-US"/>
        </w:rPr>
        <w:t xml:space="preserve">and </w:t>
      </w:r>
      <w:r w:rsidR="00217783">
        <w:rPr>
          <w:rFonts w:asciiTheme="majorBidi" w:hAnsiTheme="majorBidi" w:cstheme="majorBidi"/>
          <w:bCs/>
          <w:lang w:val="en-US"/>
        </w:rPr>
        <w:t xml:space="preserve">purchases </w:t>
      </w:r>
      <w:r w:rsidR="00CA4DB6">
        <w:rPr>
          <w:rFonts w:asciiTheme="majorBidi" w:hAnsiTheme="majorBidi" w:cstheme="majorBidi"/>
          <w:bCs/>
          <w:lang w:val="en-US"/>
        </w:rPr>
        <w:t xml:space="preserve">of Pfizer doses </w:t>
      </w:r>
      <w:r w:rsidR="00217783">
        <w:rPr>
          <w:rFonts w:asciiTheme="majorBidi" w:hAnsiTheme="majorBidi" w:cstheme="majorBidi"/>
          <w:bCs/>
          <w:lang w:val="en-US"/>
        </w:rPr>
        <w:t xml:space="preserve">did not reduce </w:t>
      </w:r>
      <w:proofErr w:type="spellStart"/>
      <w:r w:rsidR="00217783">
        <w:rPr>
          <w:rFonts w:asciiTheme="majorBidi" w:hAnsiTheme="majorBidi" w:cstheme="majorBidi"/>
          <w:bCs/>
          <w:lang w:val="en-US"/>
        </w:rPr>
        <w:t>Pharmac’s</w:t>
      </w:r>
      <w:proofErr w:type="spellEnd"/>
      <w:r w:rsidR="00217783">
        <w:rPr>
          <w:rFonts w:asciiTheme="majorBidi" w:hAnsiTheme="majorBidi" w:cstheme="majorBidi"/>
          <w:bCs/>
          <w:lang w:val="en-US"/>
        </w:rPr>
        <w:t xml:space="preserve"> other spending </w:t>
      </w:r>
      <w:r w:rsidR="000A08AF">
        <w:rPr>
          <w:rFonts w:asciiTheme="majorBidi" w:hAnsiTheme="majorBidi" w:cstheme="majorBidi"/>
          <w:bCs/>
          <w:lang w:val="en-US"/>
        </w:rPr>
        <w:t>so crowding-</w:t>
      </w:r>
      <w:r w:rsidR="00217783">
        <w:rPr>
          <w:rFonts w:asciiTheme="majorBidi" w:hAnsiTheme="majorBidi" w:cstheme="majorBidi"/>
          <w:bCs/>
          <w:lang w:val="en-US"/>
        </w:rPr>
        <w:t>out seem</w:t>
      </w:r>
      <w:r w:rsidR="00732025">
        <w:rPr>
          <w:rFonts w:asciiTheme="majorBidi" w:hAnsiTheme="majorBidi" w:cstheme="majorBidi"/>
          <w:bCs/>
          <w:lang w:val="en-US"/>
        </w:rPr>
        <w:t>s</w:t>
      </w:r>
      <w:r w:rsidR="00217783">
        <w:rPr>
          <w:rFonts w:asciiTheme="majorBidi" w:hAnsiTheme="majorBidi" w:cstheme="majorBidi"/>
          <w:bCs/>
          <w:lang w:val="en-US"/>
        </w:rPr>
        <w:t xml:space="preserve"> </w:t>
      </w:r>
      <w:r w:rsidR="00732025">
        <w:rPr>
          <w:rFonts w:asciiTheme="majorBidi" w:hAnsiTheme="majorBidi" w:cstheme="majorBidi"/>
          <w:bCs/>
          <w:lang w:val="en-US"/>
        </w:rPr>
        <w:t>un</w:t>
      </w:r>
      <w:r w:rsidR="00217783">
        <w:rPr>
          <w:rFonts w:asciiTheme="majorBidi" w:hAnsiTheme="majorBidi" w:cstheme="majorBidi"/>
          <w:bCs/>
          <w:lang w:val="en-US"/>
        </w:rPr>
        <w:t xml:space="preserve">likely. </w:t>
      </w:r>
    </w:p>
    <w:p w:rsidR="006120E1" w:rsidRPr="00143ECF" w:rsidRDefault="006120E1" w:rsidP="00CA4DB6">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 xml:space="preserve">An underlying theory of why </w:t>
      </w:r>
      <w:r w:rsidRPr="006120E1">
        <w:rPr>
          <w:rFonts w:asciiTheme="majorBidi" w:hAnsiTheme="majorBidi" w:cstheme="majorBidi"/>
          <w:bCs/>
          <w:i/>
          <w:iCs/>
          <w:lang w:val="en-US"/>
        </w:rPr>
        <w:t>X</w:t>
      </w:r>
      <w:r>
        <w:rPr>
          <w:rFonts w:asciiTheme="majorBidi" w:hAnsiTheme="majorBidi" w:cstheme="majorBidi"/>
          <w:bCs/>
          <w:lang w:val="en-US"/>
        </w:rPr>
        <w:t xml:space="preserve"> causes </w:t>
      </w:r>
      <w:r w:rsidRPr="006120E1">
        <w:rPr>
          <w:rFonts w:asciiTheme="majorBidi" w:hAnsiTheme="majorBidi" w:cstheme="majorBidi"/>
          <w:bCs/>
          <w:i/>
          <w:iCs/>
          <w:lang w:val="en-US"/>
        </w:rPr>
        <w:t>Y</w:t>
      </w:r>
      <w:r>
        <w:rPr>
          <w:rFonts w:asciiTheme="majorBidi" w:hAnsiTheme="majorBidi" w:cstheme="majorBidi"/>
          <w:bCs/>
          <w:lang w:val="en-US"/>
        </w:rPr>
        <w:t xml:space="preserve"> helps to interpret empirical relationships as causal. Here, dose-dependent adverse events may </w:t>
      </w:r>
      <w:r w:rsidR="00CA4DB6">
        <w:rPr>
          <w:rFonts w:asciiTheme="majorBidi" w:hAnsiTheme="majorBidi" w:cstheme="majorBidi"/>
          <w:bCs/>
          <w:lang w:val="en-US"/>
        </w:rPr>
        <w:t xml:space="preserve">explain </w:t>
      </w:r>
      <w:r>
        <w:rPr>
          <w:rFonts w:asciiTheme="majorBidi" w:hAnsiTheme="majorBidi" w:cstheme="majorBidi"/>
          <w:bCs/>
          <w:lang w:val="en-US"/>
        </w:rPr>
        <w:t xml:space="preserve">why booster rollout </w:t>
      </w:r>
      <w:r w:rsidR="00CA4DB6">
        <w:rPr>
          <w:rFonts w:asciiTheme="majorBidi" w:hAnsiTheme="majorBidi" w:cstheme="majorBidi"/>
          <w:bCs/>
          <w:lang w:val="en-US"/>
        </w:rPr>
        <w:t xml:space="preserve">is associated with </w:t>
      </w:r>
      <w:r>
        <w:rPr>
          <w:rFonts w:asciiTheme="majorBidi" w:hAnsiTheme="majorBidi" w:cstheme="majorBidi"/>
          <w:bCs/>
          <w:lang w:val="en-US"/>
        </w:rPr>
        <w:t xml:space="preserve">rising excess deaths while rollout of original protocol doses </w:t>
      </w:r>
      <w:r w:rsidR="00CA4DB6">
        <w:rPr>
          <w:rFonts w:asciiTheme="majorBidi" w:hAnsiTheme="majorBidi" w:cstheme="majorBidi"/>
          <w:bCs/>
          <w:lang w:val="en-US"/>
        </w:rPr>
        <w:t>is</w:t>
      </w:r>
      <w:r>
        <w:rPr>
          <w:rFonts w:asciiTheme="majorBidi" w:hAnsiTheme="majorBidi" w:cstheme="majorBidi"/>
          <w:bCs/>
          <w:lang w:val="en-US"/>
        </w:rPr>
        <w:t xml:space="preserve"> not. Secondary analysis of serious adverse events reported </w:t>
      </w:r>
      <w:r w:rsidR="00CA4DB6">
        <w:rPr>
          <w:rFonts w:asciiTheme="majorBidi" w:hAnsiTheme="majorBidi" w:cstheme="majorBidi"/>
          <w:bCs/>
          <w:lang w:val="en-US"/>
        </w:rPr>
        <w:t>in</w:t>
      </w:r>
      <w:r>
        <w:rPr>
          <w:rFonts w:asciiTheme="majorBidi" w:hAnsiTheme="majorBidi" w:cstheme="majorBidi"/>
          <w:bCs/>
          <w:lang w:val="en-US"/>
        </w:rPr>
        <w:t xml:space="preserve"> the </w:t>
      </w:r>
      <w:r w:rsidR="00536A78">
        <w:rPr>
          <w:rFonts w:asciiTheme="majorBidi" w:hAnsiTheme="majorBidi" w:cstheme="majorBidi"/>
          <w:bCs/>
          <w:lang w:val="en-US"/>
        </w:rPr>
        <w:t>mRNA vaccine</w:t>
      </w:r>
      <w:r>
        <w:rPr>
          <w:rFonts w:asciiTheme="majorBidi" w:hAnsiTheme="majorBidi" w:cstheme="majorBidi"/>
          <w:bCs/>
          <w:lang w:val="en-US"/>
        </w:rPr>
        <w:t xml:space="preserve"> RCTs shows higher risks with </w:t>
      </w:r>
      <w:proofErr w:type="spellStart"/>
      <w:r>
        <w:rPr>
          <w:rFonts w:asciiTheme="majorBidi" w:hAnsiTheme="majorBidi" w:cstheme="majorBidi"/>
          <w:bCs/>
          <w:lang w:val="en-US"/>
        </w:rPr>
        <w:t>Moderna</w:t>
      </w:r>
      <w:proofErr w:type="spellEnd"/>
      <w:r>
        <w:rPr>
          <w:rFonts w:asciiTheme="majorBidi" w:hAnsiTheme="majorBidi" w:cstheme="majorBidi"/>
          <w:bCs/>
          <w:lang w:val="en-US"/>
        </w:rPr>
        <w:t xml:space="preserve"> than with Pfizer (</w:t>
      </w:r>
      <w:proofErr w:type="spellStart"/>
      <w:r>
        <w:rPr>
          <w:rFonts w:asciiTheme="majorBidi" w:hAnsiTheme="majorBidi" w:cstheme="majorBidi"/>
          <w:bCs/>
          <w:lang w:val="en-US"/>
        </w:rPr>
        <w:t>Fraiman</w:t>
      </w:r>
      <w:proofErr w:type="spellEnd"/>
      <w:r>
        <w:rPr>
          <w:rFonts w:asciiTheme="majorBidi" w:hAnsiTheme="majorBidi" w:cstheme="majorBidi"/>
          <w:bCs/>
          <w:lang w:val="en-US"/>
        </w:rPr>
        <w:t xml:space="preserve"> et al, 2022), perhaps from dosage differences (100mg for </w:t>
      </w:r>
      <w:proofErr w:type="spellStart"/>
      <w:r>
        <w:rPr>
          <w:rFonts w:asciiTheme="majorBidi" w:hAnsiTheme="majorBidi" w:cstheme="majorBidi"/>
          <w:bCs/>
          <w:lang w:val="en-US"/>
        </w:rPr>
        <w:t>Moderna</w:t>
      </w:r>
      <w:proofErr w:type="spellEnd"/>
      <w:r>
        <w:rPr>
          <w:rFonts w:asciiTheme="majorBidi" w:hAnsiTheme="majorBidi" w:cstheme="majorBidi"/>
          <w:bCs/>
          <w:lang w:val="en-US"/>
        </w:rPr>
        <w:t xml:space="preserve"> </w:t>
      </w:r>
      <w:r>
        <w:rPr>
          <w:rFonts w:asciiTheme="majorBidi" w:hAnsiTheme="majorBidi" w:cstheme="majorBidi"/>
          <w:bCs/>
          <w:lang w:val="en-US"/>
        </w:rPr>
        <w:lastRenderedPageBreak/>
        <w:t>versus 30mg for Pfizer).</w:t>
      </w:r>
      <w:r w:rsidR="00536A78">
        <w:rPr>
          <w:rStyle w:val="FootnoteReference"/>
          <w:rFonts w:asciiTheme="majorBidi" w:hAnsiTheme="majorBidi" w:cstheme="majorBidi"/>
          <w:bCs/>
          <w:lang w:val="en-US"/>
        </w:rPr>
        <w:footnoteReference w:id="6"/>
      </w:r>
      <w:r>
        <w:rPr>
          <w:rFonts w:asciiTheme="majorBidi" w:hAnsiTheme="majorBidi" w:cstheme="majorBidi"/>
          <w:bCs/>
          <w:lang w:val="en-US"/>
        </w:rPr>
        <w:t xml:space="preserve"> The use of the Pfizer booster raises the accumulated dosage, which may </w:t>
      </w:r>
      <w:r w:rsidR="00CA4DB6">
        <w:rPr>
          <w:rFonts w:asciiTheme="majorBidi" w:hAnsiTheme="majorBidi" w:cstheme="majorBidi"/>
          <w:bCs/>
          <w:lang w:val="en-US"/>
        </w:rPr>
        <w:t xml:space="preserve">then </w:t>
      </w:r>
      <w:r>
        <w:rPr>
          <w:rFonts w:asciiTheme="majorBidi" w:hAnsiTheme="majorBidi" w:cstheme="majorBidi"/>
          <w:bCs/>
          <w:lang w:val="en-US"/>
        </w:rPr>
        <w:t>make these vaccine adverse events more likely.</w:t>
      </w:r>
    </w:p>
    <w:p w:rsidR="00BF27F9" w:rsidRDefault="00BF27F9" w:rsidP="009F2A5D">
      <w:pPr>
        <w:widowControl w:val="0"/>
        <w:spacing w:after="0" w:line="288" w:lineRule="auto"/>
        <w:ind w:firstLine="720"/>
        <w:jc w:val="both"/>
        <w:rPr>
          <w:rFonts w:asciiTheme="majorBidi" w:hAnsiTheme="majorBidi" w:cstheme="majorBidi"/>
          <w:bCs/>
          <w:lang w:val="en-US"/>
        </w:rPr>
      </w:pPr>
      <w:r>
        <w:rPr>
          <w:rFonts w:asciiTheme="majorBidi" w:hAnsiTheme="majorBidi" w:cstheme="majorBidi"/>
          <w:bCs/>
          <w:lang w:val="en-US"/>
        </w:rPr>
        <w:t>The instrumental variables estimate of 16 (95% CI: 5 to 27) excess deaths per 100,000 booster doses</w:t>
      </w:r>
      <w:r w:rsidR="00404F15">
        <w:rPr>
          <w:rFonts w:asciiTheme="majorBidi" w:hAnsiTheme="majorBidi" w:cstheme="majorBidi"/>
          <w:bCs/>
          <w:lang w:val="en-US"/>
        </w:rPr>
        <w:t xml:space="preserve">, </w:t>
      </w:r>
      <w:r w:rsidR="00404F15" w:rsidRPr="00404F15">
        <w:rPr>
          <w:rFonts w:asciiTheme="majorBidi" w:hAnsiTheme="majorBidi" w:cstheme="majorBidi"/>
          <w:bCs/>
          <w:i/>
          <w:iCs/>
          <w:lang w:val="en-US"/>
        </w:rPr>
        <w:t>ceteris paribus</w:t>
      </w:r>
      <w:r w:rsidR="00404F15">
        <w:rPr>
          <w:rFonts w:asciiTheme="majorBidi" w:hAnsiTheme="majorBidi" w:cstheme="majorBidi"/>
          <w:bCs/>
          <w:lang w:val="en-US"/>
        </w:rPr>
        <w:t>,</w:t>
      </w:r>
      <w:r>
        <w:rPr>
          <w:rFonts w:asciiTheme="majorBidi" w:hAnsiTheme="majorBidi" w:cstheme="majorBidi"/>
          <w:bCs/>
          <w:lang w:val="en-US"/>
        </w:rPr>
        <w:t xml:space="preserve"> implies over 400 excess deaths in total given the booster doses administered in New Zealand to date.</w:t>
      </w:r>
      <w:r w:rsidR="00CA4DB6">
        <w:rPr>
          <w:rFonts w:asciiTheme="majorBidi" w:hAnsiTheme="majorBidi" w:cstheme="majorBidi"/>
          <w:bCs/>
          <w:lang w:val="en-US"/>
        </w:rPr>
        <w:t xml:space="preserve"> This estimate should not display omitted variables bias nor reflect reverse causation, which can also be further ruled out by noting that all-cause deaths needed for calculating excess mortality are reported with a </w:t>
      </w:r>
      <w:r w:rsidR="000A08AF">
        <w:rPr>
          <w:rFonts w:asciiTheme="majorBidi" w:hAnsiTheme="majorBidi" w:cstheme="majorBidi"/>
          <w:bCs/>
          <w:lang w:val="en-US"/>
        </w:rPr>
        <w:t xml:space="preserve">time </w:t>
      </w:r>
      <w:r w:rsidR="00CA4DB6">
        <w:rPr>
          <w:rFonts w:asciiTheme="majorBidi" w:hAnsiTheme="majorBidi" w:cstheme="majorBidi"/>
          <w:bCs/>
          <w:lang w:val="en-US"/>
        </w:rPr>
        <w:t>lag</w:t>
      </w:r>
      <w:r w:rsidR="000A200C">
        <w:rPr>
          <w:rFonts w:asciiTheme="majorBidi" w:hAnsiTheme="majorBidi" w:cstheme="majorBidi"/>
          <w:bCs/>
          <w:lang w:val="en-US"/>
        </w:rPr>
        <w:t xml:space="preserve">. Hence, </w:t>
      </w:r>
      <w:r w:rsidR="000A08AF">
        <w:rPr>
          <w:rFonts w:asciiTheme="majorBidi" w:hAnsiTheme="majorBidi" w:cstheme="majorBidi"/>
          <w:bCs/>
          <w:lang w:val="en-US"/>
        </w:rPr>
        <w:t xml:space="preserve">few people </w:t>
      </w:r>
      <w:r w:rsidR="000A200C">
        <w:rPr>
          <w:rFonts w:asciiTheme="majorBidi" w:hAnsiTheme="majorBidi" w:cstheme="majorBidi"/>
          <w:bCs/>
          <w:lang w:val="en-US"/>
        </w:rPr>
        <w:t>could be aware, in near-r</w:t>
      </w:r>
      <w:r w:rsidR="000A08AF">
        <w:rPr>
          <w:rFonts w:asciiTheme="majorBidi" w:hAnsiTheme="majorBidi" w:cstheme="majorBidi"/>
          <w:bCs/>
          <w:lang w:val="en-US"/>
        </w:rPr>
        <w:t>eal-time, of</w:t>
      </w:r>
      <w:r w:rsidR="000A200C">
        <w:rPr>
          <w:rFonts w:asciiTheme="majorBidi" w:hAnsiTheme="majorBidi" w:cstheme="majorBidi"/>
          <w:bCs/>
          <w:lang w:val="en-US"/>
        </w:rPr>
        <w:t xml:space="preserve"> increased mortality risk that might spur </w:t>
      </w:r>
      <w:r w:rsidR="000A08AF">
        <w:rPr>
          <w:rFonts w:asciiTheme="majorBidi" w:hAnsiTheme="majorBidi" w:cstheme="majorBidi"/>
          <w:bCs/>
          <w:lang w:val="en-US"/>
        </w:rPr>
        <w:t>them to get</w:t>
      </w:r>
      <w:r w:rsidR="009F2A5D">
        <w:rPr>
          <w:rFonts w:asciiTheme="majorBidi" w:hAnsiTheme="majorBidi" w:cstheme="majorBidi"/>
          <w:bCs/>
          <w:lang w:val="en-US"/>
        </w:rPr>
        <w:t xml:space="preserve"> a booster</w:t>
      </w:r>
      <w:r w:rsidR="000A200C">
        <w:rPr>
          <w:rFonts w:asciiTheme="majorBidi" w:hAnsiTheme="majorBidi" w:cstheme="majorBidi"/>
          <w:bCs/>
          <w:lang w:val="en-US"/>
        </w:rPr>
        <w:t>.</w:t>
      </w:r>
    </w:p>
    <w:p w:rsidR="000679C1" w:rsidRPr="008A622D" w:rsidRDefault="002A6915" w:rsidP="0092277C">
      <w:pPr>
        <w:keepNext/>
        <w:spacing w:before="120" w:after="0" w:line="360" w:lineRule="auto"/>
        <w:jc w:val="both"/>
        <w:rPr>
          <w:rFonts w:asciiTheme="majorBidi" w:hAnsiTheme="majorBidi" w:cstheme="majorBidi"/>
          <w:b/>
          <w:lang w:val="en-US"/>
        </w:rPr>
      </w:pPr>
      <w:r w:rsidRPr="008A622D">
        <w:rPr>
          <w:rFonts w:asciiTheme="majorBidi" w:hAnsiTheme="majorBidi" w:cstheme="majorBidi"/>
          <w:b/>
          <w:lang w:val="en-US"/>
        </w:rPr>
        <w:t>IV.</w:t>
      </w:r>
      <w:r w:rsidRPr="008A622D">
        <w:rPr>
          <w:rFonts w:asciiTheme="majorBidi" w:hAnsiTheme="majorBidi" w:cstheme="majorBidi"/>
          <w:b/>
          <w:lang w:val="en-US"/>
        </w:rPr>
        <w:tab/>
      </w:r>
      <w:r w:rsidR="007A722F" w:rsidRPr="008A622D">
        <w:rPr>
          <w:rFonts w:asciiTheme="majorBidi" w:hAnsiTheme="majorBidi" w:cstheme="majorBidi"/>
          <w:b/>
          <w:lang w:val="en-US"/>
        </w:rPr>
        <w:t>Conclusions</w:t>
      </w:r>
    </w:p>
    <w:p w:rsidR="00640C1E" w:rsidRPr="005C323B" w:rsidRDefault="000A08AF" w:rsidP="009F2A5D">
      <w:pPr>
        <w:widowControl w:val="0"/>
        <w:spacing w:after="0" w:line="288" w:lineRule="auto"/>
        <w:ind w:firstLine="720"/>
        <w:jc w:val="both"/>
        <w:rPr>
          <w:rFonts w:asciiTheme="majorBidi" w:hAnsiTheme="majorBidi" w:cstheme="majorBidi"/>
          <w:b/>
          <w:sz w:val="12"/>
          <w:szCs w:val="12"/>
        </w:rPr>
      </w:pPr>
      <w:r>
        <w:rPr>
          <w:rFonts w:asciiTheme="majorBidi" w:hAnsiTheme="majorBidi" w:cstheme="majorBidi"/>
          <w:bCs/>
          <w:lang w:val="en-US"/>
        </w:rPr>
        <w:t xml:space="preserve">Weekly data on all deaths in New Zealand, from 2011 through the end of March 2022, are used </w:t>
      </w:r>
      <w:r w:rsidR="004F5D29">
        <w:rPr>
          <w:rFonts w:asciiTheme="majorBidi" w:hAnsiTheme="majorBidi" w:cstheme="majorBidi"/>
          <w:bCs/>
          <w:lang w:val="en-US"/>
        </w:rPr>
        <w:t xml:space="preserve">here </w:t>
      </w:r>
      <w:r>
        <w:rPr>
          <w:rFonts w:asciiTheme="majorBidi" w:hAnsiTheme="majorBidi" w:cstheme="majorBidi"/>
          <w:bCs/>
          <w:lang w:val="en-US"/>
        </w:rPr>
        <w:t>to calculate excess mortality during the rollout of COVID-19 vaccines. There is a close relationship between booster rollout and rising excess mortality. This relationship was not see</w:t>
      </w:r>
      <w:r w:rsidR="004F5D29">
        <w:rPr>
          <w:rFonts w:asciiTheme="majorBidi" w:hAnsiTheme="majorBidi" w:cstheme="majorBidi"/>
          <w:bCs/>
          <w:lang w:val="en-US"/>
        </w:rPr>
        <w:t>n</w:t>
      </w:r>
      <w:r>
        <w:rPr>
          <w:rFonts w:asciiTheme="majorBidi" w:hAnsiTheme="majorBidi" w:cstheme="majorBidi"/>
          <w:bCs/>
          <w:lang w:val="en-US"/>
        </w:rPr>
        <w:t xml:space="preserve"> with the rollout of the original protocol vaccine doses. The age groups most likely to use boosters had 7–10 percentage point rises in excess mortality rates as boosters were rolled out while the age group that is mostly too young for boosters saw no rise in excess mortality.</w:t>
      </w:r>
      <w:r w:rsidR="004F5D29">
        <w:rPr>
          <w:rFonts w:asciiTheme="majorBidi" w:hAnsiTheme="majorBidi" w:cstheme="majorBidi"/>
          <w:bCs/>
          <w:lang w:val="en-US"/>
        </w:rPr>
        <w:t xml:space="preserve"> Instrumental variables estimates that exploit a</w:t>
      </w:r>
      <w:r>
        <w:rPr>
          <w:rFonts w:asciiTheme="majorBidi" w:hAnsiTheme="majorBidi" w:cstheme="majorBidi"/>
          <w:bCs/>
          <w:lang w:val="en-US"/>
        </w:rPr>
        <w:t xml:space="preserve"> plausible source of exogenous variation </w:t>
      </w:r>
      <w:r w:rsidR="004F5D29">
        <w:rPr>
          <w:rFonts w:asciiTheme="majorBidi" w:hAnsiTheme="majorBidi" w:cstheme="majorBidi"/>
          <w:bCs/>
          <w:lang w:val="en-US"/>
        </w:rPr>
        <w:t xml:space="preserve">in the rate of administering booster doses suggest 16 excess deaths per 100,000 booster doses given, amounting to over 400 excess deaths from New Zealand’s booster rollout. </w:t>
      </w:r>
      <w:r w:rsidR="009F2A5D">
        <w:rPr>
          <w:rFonts w:asciiTheme="majorBidi" w:hAnsiTheme="majorBidi" w:cstheme="majorBidi"/>
          <w:bCs/>
          <w:lang w:val="en-US"/>
        </w:rPr>
        <w:t>V</w:t>
      </w:r>
      <w:r w:rsidR="004F5D29">
        <w:rPr>
          <w:rFonts w:asciiTheme="majorBidi" w:hAnsiTheme="majorBidi" w:cstheme="majorBidi"/>
          <w:bCs/>
          <w:lang w:val="en-US"/>
        </w:rPr>
        <w:t xml:space="preserve">alue of </w:t>
      </w:r>
      <w:r w:rsidR="009F2A5D">
        <w:rPr>
          <w:rFonts w:asciiTheme="majorBidi" w:hAnsiTheme="majorBidi" w:cstheme="majorBidi"/>
          <w:bCs/>
          <w:lang w:val="en-US"/>
        </w:rPr>
        <w:t xml:space="preserve">statistical life of </w:t>
      </w:r>
      <w:r w:rsidR="004F5D29">
        <w:rPr>
          <w:rFonts w:asciiTheme="majorBidi" w:hAnsiTheme="majorBidi" w:cstheme="majorBidi"/>
          <w:bCs/>
          <w:lang w:val="en-US"/>
        </w:rPr>
        <w:t xml:space="preserve">these excess deaths </w:t>
      </w:r>
      <w:r w:rsidR="009F2A5D">
        <w:rPr>
          <w:rFonts w:asciiTheme="majorBidi" w:hAnsiTheme="majorBidi" w:cstheme="majorBidi"/>
          <w:bCs/>
          <w:lang w:val="en-US"/>
        </w:rPr>
        <w:t>is over $1.6 billion. E</w:t>
      </w:r>
      <w:r w:rsidR="004F5D29">
        <w:rPr>
          <w:rFonts w:asciiTheme="majorBidi" w:hAnsiTheme="majorBidi" w:cstheme="majorBidi"/>
          <w:bCs/>
          <w:lang w:val="en-US"/>
        </w:rPr>
        <w:t xml:space="preserve">ven a small fraction of this (say, one percent) would have been sufficient to </w:t>
      </w:r>
      <w:r w:rsidR="009F2A5D">
        <w:rPr>
          <w:rFonts w:asciiTheme="majorBidi" w:hAnsiTheme="majorBidi" w:cstheme="majorBidi"/>
          <w:bCs/>
          <w:lang w:val="en-US"/>
        </w:rPr>
        <w:t xml:space="preserve">fund robust </w:t>
      </w:r>
      <w:r w:rsidR="004F5D29">
        <w:rPr>
          <w:rFonts w:asciiTheme="majorBidi" w:hAnsiTheme="majorBidi" w:cstheme="majorBidi"/>
          <w:bCs/>
          <w:lang w:val="en-US"/>
        </w:rPr>
        <w:t>evidence</w:t>
      </w:r>
      <w:r w:rsidR="009F2A5D">
        <w:rPr>
          <w:rFonts w:asciiTheme="majorBidi" w:hAnsiTheme="majorBidi" w:cstheme="majorBidi"/>
          <w:bCs/>
          <w:lang w:val="en-US"/>
        </w:rPr>
        <w:t xml:space="preserve"> </w:t>
      </w:r>
      <w:r w:rsidR="004F5D29">
        <w:rPr>
          <w:rFonts w:asciiTheme="majorBidi" w:hAnsiTheme="majorBidi" w:cstheme="majorBidi"/>
          <w:bCs/>
          <w:lang w:val="en-US"/>
        </w:rPr>
        <w:t xml:space="preserve">on the impacts of </w:t>
      </w:r>
      <w:r w:rsidR="009F2A5D">
        <w:rPr>
          <w:rFonts w:asciiTheme="majorBidi" w:hAnsiTheme="majorBidi" w:cstheme="majorBidi"/>
          <w:bCs/>
          <w:lang w:val="en-US"/>
        </w:rPr>
        <w:t>rolling out</w:t>
      </w:r>
      <w:r w:rsidR="004F5D29">
        <w:rPr>
          <w:rFonts w:asciiTheme="majorBidi" w:hAnsiTheme="majorBidi" w:cstheme="majorBidi"/>
          <w:bCs/>
          <w:lang w:val="en-US"/>
        </w:rPr>
        <w:t xml:space="preserve"> COVID-19 booster vaccines.</w:t>
      </w:r>
    </w:p>
    <w:p w:rsidR="00C8548A" w:rsidRDefault="00C8548A">
      <w:pPr>
        <w:rPr>
          <w:rFonts w:asciiTheme="majorBidi" w:hAnsiTheme="majorBidi" w:cstheme="majorBidi"/>
          <w:b/>
        </w:rPr>
      </w:pPr>
      <w:r>
        <w:rPr>
          <w:rFonts w:asciiTheme="majorBidi" w:hAnsiTheme="majorBidi" w:cstheme="majorBidi"/>
          <w:b/>
        </w:rPr>
        <w:br w:type="page"/>
      </w:r>
    </w:p>
    <w:p w:rsidR="006D28EA" w:rsidRPr="00D530E0" w:rsidRDefault="006D28EA" w:rsidP="001E79CD">
      <w:pPr>
        <w:spacing w:after="0" w:line="360" w:lineRule="auto"/>
        <w:rPr>
          <w:rFonts w:asciiTheme="majorBidi" w:hAnsiTheme="majorBidi" w:cstheme="majorBidi"/>
          <w:b/>
          <w:sz w:val="22"/>
          <w:szCs w:val="22"/>
          <w:lang w:val="fr-FR"/>
        </w:rPr>
      </w:pPr>
      <w:proofErr w:type="spellStart"/>
      <w:r w:rsidRPr="00D530E0">
        <w:rPr>
          <w:rFonts w:asciiTheme="majorBidi" w:hAnsiTheme="majorBidi" w:cstheme="majorBidi"/>
          <w:b/>
          <w:sz w:val="22"/>
          <w:szCs w:val="22"/>
          <w:lang w:val="fr-FR"/>
        </w:rPr>
        <w:lastRenderedPageBreak/>
        <w:t>References</w:t>
      </w:r>
      <w:proofErr w:type="spellEnd"/>
    </w:p>
    <w:p w:rsidR="00211D2B" w:rsidRPr="009C75E8" w:rsidRDefault="00211D2B" w:rsidP="00211D2B">
      <w:pPr>
        <w:spacing w:after="80" w:line="240" w:lineRule="auto"/>
        <w:ind w:left="720" w:hanging="720"/>
        <w:rPr>
          <w:rFonts w:asciiTheme="majorBidi" w:hAnsiTheme="majorBidi" w:cstheme="majorBidi"/>
          <w:sz w:val="22"/>
          <w:szCs w:val="22"/>
        </w:rPr>
      </w:pPr>
      <w:proofErr w:type="spellStart"/>
      <w:r w:rsidRPr="00D530E0">
        <w:rPr>
          <w:rFonts w:asciiTheme="majorBidi" w:hAnsiTheme="majorBidi" w:cstheme="majorBidi"/>
          <w:sz w:val="22"/>
          <w:szCs w:val="22"/>
          <w:lang w:val="fr-FR"/>
        </w:rPr>
        <w:t>Bardosh</w:t>
      </w:r>
      <w:proofErr w:type="spellEnd"/>
      <w:r w:rsidRPr="00D530E0">
        <w:rPr>
          <w:rFonts w:asciiTheme="majorBidi" w:hAnsiTheme="majorBidi" w:cstheme="majorBidi"/>
          <w:sz w:val="22"/>
          <w:szCs w:val="22"/>
          <w:lang w:val="fr-FR"/>
        </w:rPr>
        <w:t xml:space="preserve">, K., de </w:t>
      </w:r>
      <w:proofErr w:type="spellStart"/>
      <w:r w:rsidRPr="00D530E0">
        <w:rPr>
          <w:rFonts w:asciiTheme="majorBidi" w:hAnsiTheme="majorBidi" w:cstheme="majorBidi"/>
          <w:sz w:val="22"/>
          <w:szCs w:val="22"/>
          <w:lang w:val="fr-FR"/>
        </w:rPr>
        <w:t>Figueiredo</w:t>
      </w:r>
      <w:proofErr w:type="spellEnd"/>
      <w:r w:rsidRPr="00D530E0">
        <w:rPr>
          <w:rFonts w:asciiTheme="majorBidi" w:hAnsiTheme="majorBidi" w:cstheme="majorBidi"/>
          <w:sz w:val="22"/>
          <w:szCs w:val="22"/>
          <w:lang w:val="fr-FR"/>
        </w:rPr>
        <w:t xml:space="preserve">, A., </w:t>
      </w:r>
      <w:proofErr w:type="spellStart"/>
      <w:r w:rsidRPr="00D530E0">
        <w:rPr>
          <w:rFonts w:asciiTheme="majorBidi" w:hAnsiTheme="majorBidi" w:cstheme="majorBidi"/>
          <w:sz w:val="22"/>
          <w:szCs w:val="22"/>
          <w:lang w:val="fr-FR"/>
        </w:rPr>
        <w:t>Gur</w:t>
      </w:r>
      <w:proofErr w:type="spellEnd"/>
      <w:r w:rsidRPr="00D530E0">
        <w:rPr>
          <w:rFonts w:asciiTheme="majorBidi" w:hAnsiTheme="majorBidi" w:cstheme="majorBidi"/>
          <w:sz w:val="22"/>
          <w:szCs w:val="22"/>
          <w:lang w:val="fr-FR"/>
        </w:rPr>
        <w:t xml:space="preserve">-Arie, R., </w:t>
      </w:r>
      <w:proofErr w:type="spellStart"/>
      <w:r w:rsidRPr="00D530E0">
        <w:rPr>
          <w:rFonts w:asciiTheme="majorBidi" w:hAnsiTheme="majorBidi" w:cstheme="majorBidi"/>
          <w:sz w:val="22"/>
          <w:szCs w:val="22"/>
          <w:lang w:val="fr-FR"/>
        </w:rPr>
        <w:t>Jamrozik</w:t>
      </w:r>
      <w:proofErr w:type="spellEnd"/>
      <w:r w:rsidRPr="00D530E0">
        <w:rPr>
          <w:rFonts w:asciiTheme="majorBidi" w:hAnsiTheme="majorBidi" w:cstheme="majorBidi"/>
          <w:sz w:val="22"/>
          <w:szCs w:val="22"/>
          <w:lang w:val="fr-FR"/>
        </w:rPr>
        <w:t xml:space="preserve">, E., </w:t>
      </w:r>
      <w:proofErr w:type="spellStart"/>
      <w:r w:rsidRPr="00D530E0">
        <w:rPr>
          <w:rFonts w:asciiTheme="majorBidi" w:hAnsiTheme="majorBidi" w:cstheme="majorBidi"/>
          <w:sz w:val="22"/>
          <w:szCs w:val="22"/>
          <w:lang w:val="fr-FR"/>
        </w:rPr>
        <w:t>Doidge</w:t>
      </w:r>
      <w:proofErr w:type="spellEnd"/>
      <w:r w:rsidRPr="00D530E0">
        <w:rPr>
          <w:rFonts w:asciiTheme="majorBidi" w:hAnsiTheme="majorBidi" w:cstheme="majorBidi"/>
          <w:sz w:val="22"/>
          <w:szCs w:val="22"/>
          <w:lang w:val="fr-FR"/>
        </w:rPr>
        <w:t xml:space="preserve">, J., Lemmens, T., ... </w:t>
      </w:r>
      <w:r w:rsidRPr="009C75E8">
        <w:rPr>
          <w:rFonts w:asciiTheme="majorBidi" w:hAnsiTheme="majorBidi" w:cstheme="majorBidi"/>
          <w:sz w:val="22"/>
          <w:szCs w:val="22"/>
        </w:rPr>
        <w:t xml:space="preserve">&amp; </w:t>
      </w:r>
      <w:proofErr w:type="spellStart"/>
      <w:r w:rsidRPr="009C75E8">
        <w:rPr>
          <w:rFonts w:asciiTheme="majorBidi" w:hAnsiTheme="majorBidi" w:cstheme="majorBidi"/>
          <w:sz w:val="22"/>
          <w:szCs w:val="22"/>
        </w:rPr>
        <w:t>Baral</w:t>
      </w:r>
      <w:proofErr w:type="spellEnd"/>
      <w:r w:rsidRPr="009C75E8">
        <w:rPr>
          <w:rFonts w:asciiTheme="majorBidi" w:hAnsiTheme="majorBidi" w:cstheme="majorBidi"/>
          <w:sz w:val="22"/>
          <w:szCs w:val="22"/>
        </w:rPr>
        <w:t>, S. (2022). The unintended consequences of COVID-19 vaccine policy: why mandates, passports and restrictions may cause more harm than good. </w:t>
      </w:r>
      <w:r w:rsidRPr="009C75E8">
        <w:rPr>
          <w:rFonts w:asciiTheme="majorBidi" w:hAnsiTheme="majorBidi" w:cstheme="majorBidi"/>
          <w:i/>
          <w:iCs/>
          <w:sz w:val="22"/>
          <w:szCs w:val="22"/>
        </w:rPr>
        <w:t>BMJ Global Health</w:t>
      </w:r>
      <w:r w:rsidRPr="009C75E8">
        <w:rPr>
          <w:rFonts w:asciiTheme="majorBidi" w:hAnsiTheme="majorBidi" w:cstheme="majorBidi"/>
          <w:sz w:val="22"/>
          <w:szCs w:val="22"/>
        </w:rPr>
        <w:t>, </w:t>
      </w:r>
      <w:r w:rsidRPr="009C75E8">
        <w:rPr>
          <w:rFonts w:asciiTheme="majorBidi" w:hAnsiTheme="majorBidi" w:cstheme="majorBidi"/>
          <w:i/>
          <w:iCs/>
          <w:sz w:val="22"/>
          <w:szCs w:val="22"/>
        </w:rPr>
        <w:t>7</w:t>
      </w:r>
      <w:r w:rsidRPr="009C75E8">
        <w:rPr>
          <w:rFonts w:asciiTheme="majorBidi" w:hAnsiTheme="majorBidi" w:cstheme="majorBidi"/>
          <w:sz w:val="22"/>
          <w:szCs w:val="22"/>
        </w:rPr>
        <w:t>(5), e008684.</w:t>
      </w:r>
    </w:p>
    <w:p w:rsidR="0031118F" w:rsidRPr="009C75E8" w:rsidRDefault="0031118F" w:rsidP="00211D2B">
      <w:pPr>
        <w:spacing w:after="80" w:line="240" w:lineRule="auto"/>
        <w:ind w:left="720" w:hanging="720"/>
        <w:rPr>
          <w:rFonts w:asciiTheme="majorBidi" w:hAnsiTheme="majorBidi" w:cstheme="majorBidi"/>
          <w:sz w:val="22"/>
          <w:szCs w:val="22"/>
        </w:rPr>
      </w:pPr>
      <w:r w:rsidRPr="009C75E8">
        <w:rPr>
          <w:rFonts w:asciiTheme="majorBidi" w:hAnsiTheme="majorBidi" w:cstheme="majorBidi"/>
          <w:sz w:val="22"/>
          <w:szCs w:val="22"/>
        </w:rPr>
        <w:t xml:space="preserve">Coughlan, T. (2019). Is a life worth $4.7 million? </w:t>
      </w:r>
      <w:r w:rsidRPr="009C75E8">
        <w:rPr>
          <w:rFonts w:asciiTheme="majorBidi" w:hAnsiTheme="majorBidi" w:cstheme="majorBidi"/>
          <w:i/>
          <w:iCs/>
          <w:sz w:val="22"/>
          <w:szCs w:val="22"/>
        </w:rPr>
        <w:t>Newsroom</w:t>
      </w:r>
      <w:r w:rsidRPr="009C75E8">
        <w:rPr>
          <w:rFonts w:asciiTheme="majorBidi" w:hAnsiTheme="majorBidi" w:cstheme="majorBidi"/>
          <w:sz w:val="22"/>
          <w:szCs w:val="22"/>
        </w:rPr>
        <w:t xml:space="preserve"> February 21, 2019. </w:t>
      </w:r>
      <w:hyperlink r:id="rId12" w:history="1">
        <w:r w:rsidRPr="009C75E8">
          <w:rPr>
            <w:rStyle w:val="Hyperlink"/>
            <w:rFonts w:asciiTheme="majorBidi" w:hAnsiTheme="majorBidi" w:cstheme="majorBidi"/>
            <w:sz w:val="22"/>
            <w:szCs w:val="22"/>
          </w:rPr>
          <w:t>https://www.stuff.co.nz/national/politics/110753822/is-a-life-worth-47-million</w:t>
        </w:r>
      </w:hyperlink>
      <w:r w:rsidRPr="009C75E8">
        <w:rPr>
          <w:rFonts w:asciiTheme="majorBidi" w:hAnsiTheme="majorBidi" w:cstheme="majorBidi"/>
          <w:sz w:val="22"/>
          <w:szCs w:val="22"/>
        </w:rPr>
        <w:t xml:space="preserve"> </w:t>
      </w:r>
    </w:p>
    <w:p w:rsidR="007C3A61" w:rsidRPr="009C75E8" w:rsidRDefault="00B515E7" w:rsidP="007C3A61">
      <w:pPr>
        <w:spacing w:after="80" w:line="240" w:lineRule="auto"/>
        <w:ind w:left="720" w:hanging="720"/>
        <w:rPr>
          <w:rFonts w:asciiTheme="majorBidi" w:hAnsiTheme="majorBidi" w:cstheme="majorBidi"/>
          <w:sz w:val="22"/>
          <w:szCs w:val="22"/>
        </w:rPr>
      </w:pPr>
      <w:proofErr w:type="spellStart"/>
      <w:r w:rsidRPr="009C75E8">
        <w:rPr>
          <w:rFonts w:asciiTheme="majorBidi" w:hAnsiTheme="majorBidi" w:cstheme="majorBidi"/>
          <w:sz w:val="22"/>
          <w:szCs w:val="22"/>
        </w:rPr>
        <w:t>Doshi</w:t>
      </w:r>
      <w:proofErr w:type="spellEnd"/>
      <w:r w:rsidRPr="009C75E8">
        <w:rPr>
          <w:rFonts w:asciiTheme="majorBidi" w:hAnsiTheme="majorBidi" w:cstheme="majorBidi"/>
          <w:sz w:val="22"/>
          <w:szCs w:val="22"/>
        </w:rPr>
        <w:t xml:space="preserve"> P. (2020). </w:t>
      </w:r>
      <w:r w:rsidR="007C3A61" w:rsidRPr="009C75E8">
        <w:rPr>
          <w:rFonts w:asciiTheme="majorBidi" w:hAnsiTheme="majorBidi" w:cstheme="majorBidi"/>
          <w:sz w:val="22"/>
          <w:szCs w:val="22"/>
        </w:rPr>
        <w:t>Will covid-19 vaccines save lives? Current tr</w:t>
      </w:r>
      <w:r w:rsidRPr="009C75E8">
        <w:rPr>
          <w:rFonts w:asciiTheme="majorBidi" w:hAnsiTheme="majorBidi" w:cstheme="majorBidi"/>
          <w:sz w:val="22"/>
          <w:szCs w:val="22"/>
        </w:rPr>
        <w:t>ials aren’t designed to tell us.</w:t>
      </w:r>
      <w:r w:rsidR="007C3A61" w:rsidRPr="009C75E8">
        <w:rPr>
          <w:rFonts w:asciiTheme="majorBidi" w:hAnsiTheme="majorBidi" w:cstheme="majorBidi"/>
          <w:sz w:val="22"/>
          <w:szCs w:val="22"/>
        </w:rPr>
        <w:t xml:space="preserve"> </w:t>
      </w:r>
      <w:r w:rsidR="007C3A61" w:rsidRPr="009C75E8">
        <w:rPr>
          <w:rFonts w:asciiTheme="majorBidi" w:hAnsiTheme="majorBidi" w:cstheme="majorBidi"/>
          <w:i/>
          <w:iCs/>
          <w:sz w:val="22"/>
          <w:szCs w:val="22"/>
        </w:rPr>
        <w:t>BMJ</w:t>
      </w:r>
      <w:r w:rsidR="007C3A61" w:rsidRPr="009C75E8">
        <w:rPr>
          <w:rFonts w:asciiTheme="majorBidi" w:hAnsiTheme="majorBidi" w:cstheme="majorBidi"/>
          <w:sz w:val="22"/>
          <w:szCs w:val="22"/>
        </w:rPr>
        <w:t>. 371; m4037.</w:t>
      </w:r>
    </w:p>
    <w:p w:rsidR="007C3A61" w:rsidRPr="009C75E8" w:rsidRDefault="007C3A61" w:rsidP="007C3A61">
      <w:pPr>
        <w:spacing w:after="80" w:line="240" w:lineRule="auto"/>
        <w:ind w:left="720" w:hanging="720"/>
        <w:rPr>
          <w:rFonts w:asciiTheme="majorBidi" w:hAnsiTheme="majorBidi" w:cstheme="majorBidi"/>
          <w:color w:val="000000" w:themeColor="text1"/>
          <w:sz w:val="22"/>
          <w:szCs w:val="22"/>
          <w:shd w:val="clear" w:color="auto" w:fill="FFFFFF"/>
        </w:rPr>
      </w:pPr>
      <w:proofErr w:type="spellStart"/>
      <w:r w:rsidRPr="00D530E0">
        <w:rPr>
          <w:rFonts w:asciiTheme="majorBidi" w:hAnsiTheme="majorBidi" w:cstheme="majorBidi"/>
          <w:color w:val="222222"/>
          <w:sz w:val="22"/>
          <w:szCs w:val="22"/>
          <w:shd w:val="clear" w:color="auto" w:fill="FFFFFF"/>
        </w:rPr>
        <w:t>Doshi</w:t>
      </w:r>
      <w:proofErr w:type="spellEnd"/>
      <w:r w:rsidRPr="00D530E0">
        <w:rPr>
          <w:rFonts w:asciiTheme="majorBidi" w:hAnsiTheme="majorBidi" w:cstheme="majorBidi"/>
          <w:color w:val="222222"/>
          <w:sz w:val="22"/>
          <w:szCs w:val="22"/>
          <w:shd w:val="clear" w:color="auto" w:fill="FFFFFF"/>
        </w:rPr>
        <w:t xml:space="preserve"> P, </w:t>
      </w:r>
      <w:proofErr w:type="spellStart"/>
      <w:r w:rsidRPr="00D530E0">
        <w:rPr>
          <w:rFonts w:asciiTheme="majorBidi" w:hAnsiTheme="majorBidi" w:cstheme="majorBidi"/>
          <w:color w:val="222222"/>
          <w:sz w:val="22"/>
          <w:szCs w:val="22"/>
          <w:shd w:val="clear" w:color="auto" w:fill="FFFFFF"/>
        </w:rPr>
        <w:t>Godlee</w:t>
      </w:r>
      <w:proofErr w:type="spellEnd"/>
      <w:r w:rsidRPr="00D530E0">
        <w:rPr>
          <w:rFonts w:asciiTheme="majorBidi" w:hAnsiTheme="majorBidi" w:cstheme="majorBidi"/>
          <w:color w:val="222222"/>
          <w:sz w:val="22"/>
          <w:szCs w:val="22"/>
          <w:shd w:val="clear" w:color="auto" w:fill="FFFFFF"/>
        </w:rPr>
        <w:t xml:space="preserve"> F, </w:t>
      </w:r>
      <w:r w:rsidR="00B515E7" w:rsidRPr="00D530E0">
        <w:rPr>
          <w:rFonts w:asciiTheme="majorBidi" w:hAnsiTheme="majorBidi" w:cstheme="majorBidi"/>
          <w:color w:val="222222"/>
          <w:sz w:val="22"/>
          <w:szCs w:val="22"/>
          <w:shd w:val="clear" w:color="auto" w:fill="FFFFFF"/>
        </w:rPr>
        <w:t xml:space="preserve">&amp; </w:t>
      </w:r>
      <w:proofErr w:type="spellStart"/>
      <w:r w:rsidRPr="00D530E0">
        <w:rPr>
          <w:rFonts w:asciiTheme="majorBidi" w:hAnsiTheme="majorBidi" w:cstheme="majorBidi"/>
          <w:color w:val="222222"/>
          <w:sz w:val="22"/>
          <w:szCs w:val="22"/>
          <w:shd w:val="clear" w:color="auto" w:fill="FFFFFF"/>
        </w:rPr>
        <w:t>Abbasi</w:t>
      </w:r>
      <w:proofErr w:type="spellEnd"/>
      <w:r w:rsidRPr="00D530E0">
        <w:rPr>
          <w:rFonts w:asciiTheme="majorBidi" w:hAnsiTheme="majorBidi" w:cstheme="majorBidi"/>
          <w:color w:val="222222"/>
          <w:sz w:val="22"/>
          <w:szCs w:val="22"/>
          <w:shd w:val="clear" w:color="auto" w:fill="FFFFFF"/>
        </w:rPr>
        <w:t xml:space="preserve"> K. (2022)</w:t>
      </w:r>
      <w:r w:rsidR="00B515E7" w:rsidRPr="00D530E0">
        <w:rPr>
          <w:rFonts w:asciiTheme="majorBidi" w:hAnsiTheme="majorBidi" w:cstheme="majorBidi"/>
          <w:color w:val="222222"/>
          <w:sz w:val="22"/>
          <w:szCs w:val="22"/>
          <w:shd w:val="clear" w:color="auto" w:fill="FFFFFF"/>
        </w:rPr>
        <w:t xml:space="preserve">. </w:t>
      </w:r>
      <w:r w:rsidRPr="009C75E8">
        <w:rPr>
          <w:rFonts w:asciiTheme="majorBidi" w:hAnsiTheme="majorBidi" w:cstheme="majorBidi"/>
          <w:color w:val="222222"/>
          <w:sz w:val="22"/>
          <w:szCs w:val="22"/>
          <w:shd w:val="clear" w:color="auto" w:fill="FFFFFF"/>
        </w:rPr>
        <w:t>Covid-19 vaccines and treatme</w:t>
      </w:r>
      <w:r w:rsidR="00B515E7" w:rsidRPr="009C75E8">
        <w:rPr>
          <w:rFonts w:asciiTheme="majorBidi" w:hAnsiTheme="majorBidi" w:cstheme="majorBidi"/>
          <w:color w:val="222222"/>
          <w:sz w:val="22"/>
          <w:szCs w:val="22"/>
          <w:shd w:val="clear" w:color="auto" w:fill="FFFFFF"/>
        </w:rPr>
        <w:t>nts: we must have raw data, now.</w:t>
      </w:r>
      <w:r w:rsidRPr="009C75E8">
        <w:rPr>
          <w:rFonts w:asciiTheme="majorBidi" w:hAnsiTheme="majorBidi" w:cstheme="majorBidi"/>
          <w:color w:val="222222"/>
          <w:sz w:val="22"/>
          <w:szCs w:val="22"/>
          <w:shd w:val="clear" w:color="auto" w:fill="FFFFFF"/>
        </w:rPr>
        <w:t xml:space="preserve"> 376.</w:t>
      </w:r>
      <w:r w:rsidRPr="009C75E8">
        <w:rPr>
          <w:rFonts w:asciiTheme="majorBidi" w:hAnsiTheme="majorBidi" w:cstheme="majorBidi"/>
          <w:i/>
          <w:iCs/>
          <w:color w:val="000000" w:themeColor="text1"/>
          <w:sz w:val="22"/>
          <w:szCs w:val="22"/>
          <w:shd w:val="clear" w:color="auto" w:fill="FFFFFF"/>
        </w:rPr>
        <w:t xml:space="preserve"> BMJ</w:t>
      </w:r>
      <w:r w:rsidRPr="009C75E8">
        <w:rPr>
          <w:rFonts w:asciiTheme="majorBidi" w:hAnsiTheme="majorBidi" w:cstheme="majorBidi"/>
          <w:color w:val="000000" w:themeColor="text1"/>
          <w:sz w:val="22"/>
          <w:szCs w:val="22"/>
          <w:shd w:val="clear" w:color="auto" w:fill="FFFFFF"/>
        </w:rPr>
        <w:t>, 376: o102.</w:t>
      </w:r>
    </w:p>
    <w:p w:rsidR="00B515E7" w:rsidRPr="009C75E8" w:rsidRDefault="00B515E7" w:rsidP="00B515E7">
      <w:pPr>
        <w:spacing w:after="80" w:line="240" w:lineRule="auto"/>
        <w:ind w:left="720" w:hanging="720"/>
        <w:rPr>
          <w:rFonts w:asciiTheme="majorBidi" w:hAnsiTheme="majorBidi" w:cstheme="majorBidi"/>
          <w:color w:val="000000" w:themeColor="text1"/>
          <w:sz w:val="22"/>
          <w:szCs w:val="22"/>
          <w:shd w:val="clear" w:color="auto" w:fill="FFFFFF"/>
        </w:rPr>
      </w:pPr>
      <w:r w:rsidRPr="009C75E8">
        <w:rPr>
          <w:sz w:val="22"/>
          <w:szCs w:val="22"/>
        </w:rPr>
        <w:t>Food and Drug Administration [FDA] (2021) Transcript of 170</w:t>
      </w:r>
      <w:r w:rsidRPr="009C75E8">
        <w:rPr>
          <w:sz w:val="22"/>
          <w:szCs w:val="22"/>
          <w:vertAlign w:val="superscript"/>
        </w:rPr>
        <w:t>th</w:t>
      </w:r>
      <w:r w:rsidRPr="009C75E8">
        <w:rPr>
          <w:sz w:val="22"/>
          <w:szCs w:val="22"/>
        </w:rPr>
        <w:t xml:space="preserve"> Vaccines and Related Biological Products Advisory Committee (VRBPAC) Meeting, </w:t>
      </w:r>
      <w:proofErr w:type="spellStart"/>
      <w:r w:rsidRPr="009C75E8">
        <w:rPr>
          <w:sz w:val="22"/>
          <w:szCs w:val="22"/>
        </w:rPr>
        <w:t>Center</w:t>
      </w:r>
      <w:proofErr w:type="spellEnd"/>
      <w:r w:rsidRPr="009C75E8">
        <w:rPr>
          <w:sz w:val="22"/>
          <w:szCs w:val="22"/>
        </w:rPr>
        <w:t xml:space="preserve"> for Biologics Evaluation and Research (CBER), Silver Spring, MD, October 21, 2021.  </w:t>
      </w:r>
      <w:hyperlink r:id="rId13" w:history="1">
        <w:r w:rsidRPr="009C75E8">
          <w:rPr>
            <w:rStyle w:val="Hyperlink"/>
            <w:sz w:val="22"/>
            <w:szCs w:val="22"/>
          </w:rPr>
          <w:t>https://www.fda.gov/media/154950/download</w:t>
        </w:r>
      </w:hyperlink>
      <w:r w:rsidRPr="009C75E8">
        <w:rPr>
          <w:sz w:val="22"/>
          <w:szCs w:val="22"/>
        </w:rPr>
        <w:t xml:space="preserve">  </w:t>
      </w:r>
    </w:p>
    <w:p w:rsidR="00536A78" w:rsidRDefault="00536A78" w:rsidP="00536A78">
      <w:pPr>
        <w:spacing w:after="80" w:line="240" w:lineRule="auto"/>
        <w:ind w:left="720" w:hanging="720"/>
        <w:rPr>
          <w:rFonts w:asciiTheme="majorBidi" w:hAnsiTheme="majorBidi" w:cstheme="majorBidi"/>
          <w:sz w:val="22"/>
          <w:szCs w:val="22"/>
          <w:lang w:bidi="en-US"/>
        </w:rPr>
      </w:pPr>
      <w:proofErr w:type="spellStart"/>
      <w:r w:rsidRPr="00536A78">
        <w:rPr>
          <w:rFonts w:asciiTheme="majorBidi" w:hAnsiTheme="majorBidi" w:cstheme="majorBidi"/>
          <w:sz w:val="22"/>
          <w:szCs w:val="22"/>
          <w:lang w:bidi="en-US"/>
        </w:rPr>
        <w:t>Fraiman</w:t>
      </w:r>
      <w:proofErr w:type="spellEnd"/>
      <w:r w:rsidRPr="00536A78">
        <w:rPr>
          <w:rFonts w:asciiTheme="majorBidi" w:hAnsiTheme="majorBidi" w:cstheme="majorBidi"/>
          <w:sz w:val="22"/>
          <w:szCs w:val="22"/>
          <w:lang w:bidi="en-US"/>
        </w:rPr>
        <w:t xml:space="preserve">, J., </w:t>
      </w:r>
      <w:proofErr w:type="spellStart"/>
      <w:r w:rsidRPr="00536A78">
        <w:rPr>
          <w:rFonts w:asciiTheme="majorBidi" w:hAnsiTheme="majorBidi" w:cstheme="majorBidi"/>
          <w:sz w:val="22"/>
          <w:szCs w:val="22"/>
          <w:lang w:bidi="en-US"/>
        </w:rPr>
        <w:t>Erviti</w:t>
      </w:r>
      <w:proofErr w:type="spellEnd"/>
      <w:r w:rsidRPr="00536A78">
        <w:rPr>
          <w:rFonts w:asciiTheme="majorBidi" w:hAnsiTheme="majorBidi" w:cstheme="majorBidi"/>
          <w:sz w:val="22"/>
          <w:szCs w:val="22"/>
          <w:lang w:bidi="en-US"/>
        </w:rPr>
        <w:t>, J., Jones, M., Greenlan</w:t>
      </w:r>
      <w:r>
        <w:rPr>
          <w:rFonts w:asciiTheme="majorBidi" w:hAnsiTheme="majorBidi" w:cstheme="majorBidi"/>
          <w:sz w:val="22"/>
          <w:szCs w:val="22"/>
          <w:lang w:bidi="en-US"/>
        </w:rPr>
        <w:t>d, S., Whelan, P., Kaplan, R.</w:t>
      </w:r>
      <w:r w:rsidRPr="00536A78">
        <w:rPr>
          <w:rFonts w:asciiTheme="majorBidi" w:hAnsiTheme="majorBidi" w:cstheme="majorBidi"/>
          <w:sz w:val="22"/>
          <w:szCs w:val="22"/>
          <w:lang w:bidi="en-US"/>
        </w:rPr>
        <w:t xml:space="preserve">, &amp; </w:t>
      </w:r>
      <w:proofErr w:type="spellStart"/>
      <w:r w:rsidRPr="00536A78">
        <w:rPr>
          <w:rFonts w:asciiTheme="majorBidi" w:hAnsiTheme="majorBidi" w:cstheme="majorBidi"/>
          <w:sz w:val="22"/>
          <w:szCs w:val="22"/>
          <w:lang w:bidi="en-US"/>
        </w:rPr>
        <w:t>Doshi</w:t>
      </w:r>
      <w:proofErr w:type="spellEnd"/>
      <w:r w:rsidRPr="00536A78">
        <w:rPr>
          <w:rFonts w:asciiTheme="majorBidi" w:hAnsiTheme="majorBidi" w:cstheme="majorBidi"/>
          <w:sz w:val="22"/>
          <w:szCs w:val="22"/>
          <w:lang w:bidi="en-US"/>
        </w:rPr>
        <w:t>, P.</w:t>
      </w:r>
      <w:r>
        <w:rPr>
          <w:rFonts w:asciiTheme="majorBidi" w:hAnsiTheme="majorBidi" w:cstheme="majorBidi"/>
          <w:sz w:val="22"/>
          <w:szCs w:val="22"/>
          <w:lang w:bidi="en-US"/>
        </w:rPr>
        <w:t xml:space="preserve"> (2022). Serious adverse events of special interest f</w:t>
      </w:r>
      <w:r w:rsidRPr="00536A78">
        <w:rPr>
          <w:rFonts w:asciiTheme="majorBidi" w:hAnsiTheme="majorBidi" w:cstheme="majorBidi"/>
          <w:sz w:val="22"/>
          <w:szCs w:val="22"/>
          <w:lang w:bidi="en-US"/>
        </w:rPr>
        <w:t>ollowing m</w:t>
      </w:r>
      <w:r>
        <w:rPr>
          <w:rFonts w:asciiTheme="majorBidi" w:hAnsiTheme="majorBidi" w:cstheme="majorBidi"/>
          <w:sz w:val="22"/>
          <w:szCs w:val="22"/>
          <w:lang w:bidi="en-US"/>
        </w:rPr>
        <w:t>RNA vaccination in randomized t</w:t>
      </w:r>
      <w:r w:rsidRPr="00536A78">
        <w:rPr>
          <w:rFonts w:asciiTheme="majorBidi" w:hAnsiTheme="majorBidi" w:cstheme="majorBidi"/>
          <w:sz w:val="22"/>
          <w:szCs w:val="22"/>
          <w:lang w:bidi="en-US"/>
        </w:rPr>
        <w:t>rials.</w:t>
      </w:r>
      <w:r>
        <w:rPr>
          <w:rFonts w:asciiTheme="majorBidi" w:hAnsiTheme="majorBidi" w:cstheme="majorBidi"/>
          <w:sz w:val="22"/>
          <w:szCs w:val="22"/>
          <w:lang w:bidi="en-US"/>
        </w:rPr>
        <w:t xml:space="preserve"> </w:t>
      </w:r>
      <w:r>
        <w:rPr>
          <w:rFonts w:asciiTheme="majorBidi" w:hAnsiTheme="majorBidi" w:cstheme="majorBidi"/>
          <w:i/>
          <w:iCs/>
          <w:sz w:val="22"/>
          <w:szCs w:val="22"/>
          <w:lang w:bidi="en-US"/>
        </w:rPr>
        <w:t>Mimeo</w:t>
      </w:r>
      <w:r>
        <w:rPr>
          <w:rFonts w:asciiTheme="majorBidi" w:hAnsiTheme="majorBidi" w:cstheme="majorBidi"/>
          <w:sz w:val="22"/>
          <w:szCs w:val="22"/>
          <w:lang w:bidi="en-US"/>
        </w:rPr>
        <w:t xml:space="preserve"> </w:t>
      </w:r>
      <w:r w:rsidRPr="00536A78">
        <w:rPr>
          <w:rFonts w:asciiTheme="majorBidi" w:hAnsiTheme="majorBidi" w:cstheme="majorBidi"/>
          <w:sz w:val="22"/>
          <w:szCs w:val="22"/>
          <w:lang w:bidi="en-US"/>
        </w:rPr>
        <w:t xml:space="preserve">Available at SSRN: </w:t>
      </w:r>
      <w:hyperlink r:id="rId14" w:history="1">
        <w:r w:rsidRPr="00BF7B5D">
          <w:rPr>
            <w:rStyle w:val="Hyperlink"/>
            <w:rFonts w:asciiTheme="majorBidi" w:hAnsiTheme="majorBidi" w:cstheme="majorBidi"/>
            <w:sz w:val="22"/>
            <w:szCs w:val="22"/>
            <w:lang w:bidi="en-US"/>
          </w:rPr>
          <w:t>https://ssrn.com/abstract=4125239</w:t>
        </w:r>
      </w:hyperlink>
      <w:r>
        <w:rPr>
          <w:rFonts w:asciiTheme="majorBidi" w:hAnsiTheme="majorBidi" w:cstheme="majorBidi"/>
          <w:sz w:val="22"/>
          <w:szCs w:val="22"/>
          <w:lang w:bidi="en-US"/>
        </w:rPr>
        <w:t xml:space="preserve"> </w:t>
      </w:r>
    </w:p>
    <w:p w:rsidR="007C3A61" w:rsidRPr="009C75E8" w:rsidRDefault="00774AFA" w:rsidP="007C3A61">
      <w:pPr>
        <w:spacing w:after="80" w:line="240" w:lineRule="auto"/>
        <w:ind w:left="720" w:hanging="720"/>
        <w:rPr>
          <w:rFonts w:asciiTheme="majorBidi" w:hAnsiTheme="majorBidi" w:cstheme="majorBidi"/>
          <w:color w:val="000000" w:themeColor="text1"/>
          <w:sz w:val="22"/>
          <w:szCs w:val="22"/>
          <w:shd w:val="clear" w:color="auto" w:fill="FFFFFF"/>
        </w:rPr>
      </w:pPr>
      <w:r w:rsidRPr="009C75E8">
        <w:rPr>
          <w:rFonts w:asciiTheme="majorBidi" w:hAnsiTheme="majorBidi" w:cstheme="majorBidi"/>
          <w:sz w:val="22"/>
          <w:szCs w:val="22"/>
          <w:lang w:bidi="en-US"/>
        </w:rPr>
        <w:t>Gibson, J. (2022</w:t>
      </w:r>
      <w:r w:rsidR="00771DB8" w:rsidRPr="009C75E8">
        <w:rPr>
          <w:rFonts w:asciiTheme="majorBidi" w:hAnsiTheme="majorBidi" w:cstheme="majorBidi"/>
          <w:sz w:val="22"/>
          <w:szCs w:val="22"/>
          <w:lang w:bidi="en-US"/>
        </w:rPr>
        <w:t>a</w:t>
      </w:r>
      <w:r w:rsidRPr="009C75E8">
        <w:rPr>
          <w:rFonts w:asciiTheme="majorBidi" w:hAnsiTheme="majorBidi" w:cstheme="majorBidi"/>
          <w:sz w:val="22"/>
          <w:szCs w:val="22"/>
          <w:lang w:bidi="en-US"/>
        </w:rPr>
        <w:t>). Widespread public misunderstanding of pivotal trials for COVID-19 vaccines may damage public confidence in all vaccines. </w:t>
      </w:r>
      <w:r w:rsidRPr="009C75E8">
        <w:rPr>
          <w:rFonts w:asciiTheme="majorBidi" w:hAnsiTheme="majorBidi" w:cstheme="majorBidi"/>
          <w:i/>
          <w:iCs/>
          <w:sz w:val="22"/>
          <w:szCs w:val="22"/>
          <w:lang w:bidi="en-US"/>
        </w:rPr>
        <w:t>Frontiers in Public Health</w:t>
      </w:r>
      <w:r w:rsidRPr="009C75E8">
        <w:rPr>
          <w:rFonts w:asciiTheme="majorBidi" w:hAnsiTheme="majorBidi" w:cstheme="majorBidi"/>
          <w:sz w:val="22"/>
          <w:szCs w:val="22"/>
          <w:lang w:bidi="en-US"/>
        </w:rPr>
        <w:t>, </w:t>
      </w:r>
      <w:r w:rsidRPr="009C75E8">
        <w:rPr>
          <w:rFonts w:asciiTheme="majorBidi" w:hAnsiTheme="majorBidi" w:cstheme="majorBidi"/>
          <w:i/>
          <w:iCs/>
          <w:sz w:val="22"/>
          <w:szCs w:val="22"/>
          <w:lang w:bidi="en-US"/>
        </w:rPr>
        <w:t xml:space="preserve">10, </w:t>
      </w:r>
      <w:r w:rsidRPr="009C75E8">
        <w:rPr>
          <w:rFonts w:asciiTheme="majorBidi" w:hAnsiTheme="majorBidi" w:cstheme="majorBidi"/>
          <w:sz w:val="22"/>
          <w:szCs w:val="22"/>
          <w:lang w:bidi="en-US"/>
        </w:rPr>
        <w:t>847658.</w:t>
      </w:r>
    </w:p>
    <w:p w:rsidR="007C3A61" w:rsidRDefault="00771DB8" w:rsidP="007C3A61">
      <w:pPr>
        <w:spacing w:after="80" w:line="240" w:lineRule="auto"/>
        <w:ind w:left="720" w:hanging="720"/>
        <w:rPr>
          <w:rFonts w:asciiTheme="majorBidi" w:hAnsiTheme="majorBidi" w:cstheme="majorBidi"/>
          <w:sz w:val="22"/>
          <w:szCs w:val="22"/>
          <w:lang w:bidi="en-US"/>
        </w:rPr>
      </w:pPr>
      <w:r w:rsidRPr="009C75E8">
        <w:rPr>
          <w:rFonts w:asciiTheme="majorBidi" w:hAnsiTheme="majorBidi" w:cstheme="majorBidi"/>
          <w:sz w:val="22"/>
          <w:szCs w:val="22"/>
          <w:lang w:bidi="en-US"/>
        </w:rPr>
        <w:t>Gibson, J. (2022b). Public misunderstanding of pivotal COVID-19 vaccine trials may contribute to New Zealand’s adoption of a costly and economically inefficient vaccine mandate. </w:t>
      </w:r>
      <w:r w:rsidRPr="009C75E8">
        <w:rPr>
          <w:rFonts w:asciiTheme="majorBidi" w:hAnsiTheme="majorBidi" w:cstheme="majorBidi"/>
          <w:i/>
          <w:iCs/>
          <w:sz w:val="22"/>
          <w:szCs w:val="22"/>
          <w:lang w:bidi="en-US"/>
        </w:rPr>
        <w:t>New Zealand Economic Papers</w:t>
      </w:r>
      <w:r w:rsidRPr="009C75E8">
        <w:rPr>
          <w:rFonts w:asciiTheme="majorBidi" w:hAnsiTheme="majorBidi" w:cstheme="majorBidi"/>
          <w:sz w:val="22"/>
          <w:szCs w:val="22"/>
          <w:lang w:bidi="en-US"/>
        </w:rPr>
        <w:t xml:space="preserve">, 1-10. doi.org/10.1080/00779954.2022.2077812 </w:t>
      </w:r>
    </w:p>
    <w:p w:rsidR="00552F7D" w:rsidRPr="009C75E8" w:rsidRDefault="00552F7D" w:rsidP="00552F7D">
      <w:pPr>
        <w:spacing w:after="80" w:line="240" w:lineRule="auto"/>
        <w:ind w:left="720" w:hanging="720"/>
        <w:rPr>
          <w:rFonts w:asciiTheme="majorBidi" w:hAnsiTheme="majorBidi" w:cstheme="majorBidi"/>
          <w:color w:val="000000" w:themeColor="text1"/>
          <w:sz w:val="22"/>
          <w:szCs w:val="22"/>
          <w:shd w:val="clear" w:color="auto" w:fill="FFFFFF"/>
        </w:rPr>
      </w:pPr>
      <w:r w:rsidRPr="00552F7D">
        <w:rPr>
          <w:rFonts w:asciiTheme="majorBidi" w:hAnsiTheme="majorBidi" w:cstheme="majorBidi"/>
          <w:color w:val="000000" w:themeColor="text1"/>
          <w:sz w:val="22"/>
          <w:szCs w:val="22"/>
          <w:shd w:val="clear" w:color="auto" w:fill="FFFFFF"/>
        </w:rPr>
        <w:t>Gibson, J. (2022</w:t>
      </w:r>
      <w:r>
        <w:rPr>
          <w:rFonts w:asciiTheme="majorBidi" w:hAnsiTheme="majorBidi" w:cstheme="majorBidi"/>
          <w:color w:val="000000" w:themeColor="text1"/>
          <w:sz w:val="22"/>
          <w:szCs w:val="22"/>
          <w:shd w:val="clear" w:color="auto" w:fill="FFFFFF"/>
        </w:rPr>
        <w:t>c</w:t>
      </w:r>
      <w:r w:rsidRPr="00552F7D">
        <w:rPr>
          <w:rFonts w:asciiTheme="majorBidi" w:hAnsiTheme="majorBidi" w:cstheme="majorBidi"/>
          <w:color w:val="000000" w:themeColor="text1"/>
          <w:sz w:val="22"/>
          <w:szCs w:val="22"/>
          <w:shd w:val="clear" w:color="auto" w:fill="FFFFFF"/>
        </w:rPr>
        <w:t>). Hard, not early: putting the New Zealand Covid-19 response in context. </w:t>
      </w:r>
      <w:r w:rsidRPr="00552F7D">
        <w:rPr>
          <w:rFonts w:asciiTheme="majorBidi" w:hAnsiTheme="majorBidi" w:cstheme="majorBidi"/>
          <w:i/>
          <w:iCs/>
          <w:color w:val="000000" w:themeColor="text1"/>
          <w:sz w:val="22"/>
          <w:szCs w:val="22"/>
          <w:shd w:val="clear" w:color="auto" w:fill="FFFFFF"/>
        </w:rPr>
        <w:t>New Zealand Economic Papers</w:t>
      </w:r>
      <w:r w:rsidRPr="00552F7D">
        <w:rPr>
          <w:rFonts w:asciiTheme="majorBidi" w:hAnsiTheme="majorBidi" w:cstheme="majorBidi"/>
          <w:color w:val="000000" w:themeColor="text1"/>
          <w:sz w:val="22"/>
          <w:szCs w:val="22"/>
          <w:shd w:val="clear" w:color="auto" w:fill="FFFFFF"/>
        </w:rPr>
        <w:t>, </w:t>
      </w:r>
      <w:r w:rsidRPr="00552F7D">
        <w:rPr>
          <w:rFonts w:asciiTheme="majorBidi" w:hAnsiTheme="majorBidi" w:cstheme="majorBidi"/>
          <w:i/>
          <w:iCs/>
          <w:color w:val="000000" w:themeColor="text1"/>
          <w:sz w:val="22"/>
          <w:szCs w:val="22"/>
          <w:shd w:val="clear" w:color="auto" w:fill="FFFFFF"/>
        </w:rPr>
        <w:t>56</w:t>
      </w:r>
      <w:r w:rsidRPr="00552F7D">
        <w:rPr>
          <w:rFonts w:asciiTheme="majorBidi" w:hAnsiTheme="majorBidi" w:cstheme="majorBidi"/>
          <w:color w:val="000000" w:themeColor="text1"/>
          <w:sz w:val="22"/>
          <w:szCs w:val="22"/>
          <w:shd w:val="clear" w:color="auto" w:fill="FFFFFF"/>
        </w:rPr>
        <w:t>(1), 1-8.</w:t>
      </w:r>
    </w:p>
    <w:p w:rsidR="007C3A61" w:rsidRPr="00D530E0" w:rsidRDefault="00C8548A" w:rsidP="007C3A61">
      <w:pPr>
        <w:spacing w:after="80" w:line="240" w:lineRule="auto"/>
        <w:ind w:left="720" w:hanging="720"/>
        <w:rPr>
          <w:rFonts w:asciiTheme="majorBidi" w:hAnsiTheme="majorBidi" w:cstheme="majorBidi"/>
          <w:sz w:val="22"/>
          <w:szCs w:val="22"/>
          <w:lang w:bidi="en-US"/>
        </w:rPr>
      </w:pPr>
      <w:proofErr w:type="spellStart"/>
      <w:r w:rsidRPr="009C75E8">
        <w:rPr>
          <w:rFonts w:asciiTheme="majorBidi" w:hAnsiTheme="majorBidi" w:cstheme="majorBidi"/>
          <w:sz w:val="22"/>
          <w:szCs w:val="22"/>
          <w:lang w:bidi="en-US"/>
        </w:rPr>
        <w:t>Godlee</w:t>
      </w:r>
      <w:proofErr w:type="spellEnd"/>
      <w:r w:rsidRPr="009C75E8">
        <w:rPr>
          <w:rFonts w:asciiTheme="majorBidi" w:hAnsiTheme="majorBidi" w:cstheme="majorBidi"/>
          <w:sz w:val="22"/>
          <w:szCs w:val="22"/>
          <w:lang w:bidi="en-US"/>
        </w:rPr>
        <w:t xml:space="preserve">, F. (2020). COVID-19: Less haste, more safety. </w:t>
      </w:r>
      <w:r w:rsidRPr="00D530E0">
        <w:rPr>
          <w:rFonts w:asciiTheme="majorBidi" w:hAnsiTheme="majorBidi" w:cstheme="majorBidi"/>
          <w:i/>
          <w:iCs/>
          <w:sz w:val="22"/>
          <w:szCs w:val="22"/>
          <w:lang w:bidi="en-US"/>
        </w:rPr>
        <w:t>BMJ</w:t>
      </w:r>
      <w:r w:rsidRPr="00D530E0">
        <w:rPr>
          <w:rFonts w:asciiTheme="majorBidi" w:hAnsiTheme="majorBidi" w:cstheme="majorBidi"/>
          <w:sz w:val="22"/>
          <w:szCs w:val="22"/>
          <w:lang w:bidi="en-US"/>
        </w:rPr>
        <w:t xml:space="preserve">, </w:t>
      </w:r>
      <w:r w:rsidRPr="00D530E0">
        <w:rPr>
          <w:rFonts w:asciiTheme="majorBidi" w:hAnsiTheme="majorBidi" w:cstheme="majorBidi"/>
          <w:i/>
          <w:iCs/>
          <w:sz w:val="22"/>
          <w:szCs w:val="22"/>
          <w:lang w:bidi="en-US"/>
        </w:rPr>
        <w:t>370</w:t>
      </w:r>
      <w:r w:rsidRPr="00D530E0">
        <w:rPr>
          <w:rFonts w:asciiTheme="majorBidi" w:hAnsiTheme="majorBidi" w:cstheme="majorBidi"/>
          <w:sz w:val="22"/>
          <w:szCs w:val="22"/>
          <w:lang w:bidi="en-US"/>
        </w:rPr>
        <w:t>, m3258.</w:t>
      </w:r>
    </w:p>
    <w:p w:rsidR="00552F7D" w:rsidRPr="00606B7B" w:rsidRDefault="00552F7D" w:rsidP="007C3A61">
      <w:pPr>
        <w:spacing w:after="80" w:line="240" w:lineRule="auto"/>
        <w:ind w:left="720" w:hanging="720"/>
        <w:rPr>
          <w:rFonts w:asciiTheme="majorBidi" w:hAnsiTheme="majorBidi" w:cstheme="majorBidi"/>
          <w:color w:val="000000" w:themeColor="text1"/>
          <w:sz w:val="22"/>
          <w:szCs w:val="22"/>
          <w:shd w:val="clear" w:color="auto" w:fill="FFFFFF"/>
        </w:rPr>
      </w:pPr>
      <w:r>
        <w:rPr>
          <w:rFonts w:asciiTheme="majorBidi" w:hAnsiTheme="majorBidi" w:cstheme="majorBidi"/>
          <w:color w:val="000000" w:themeColor="text1"/>
          <w:sz w:val="22"/>
          <w:szCs w:val="22"/>
          <w:shd w:val="clear" w:color="auto" w:fill="FFFFFF"/>
        </w:rPr>
        <w:t>Hendry, D.</w:t>
      </w:r>
      <w:r w:rsidRPr="00552F7D">
        <w:rPr>
          <w:rFonts w:asciiTheme="majorBidi" w:hAnsiTheme="majorBidi" w:cstheme="majorBidi"/>
          <w:color w:val="000000" w:themeColor="text1"/>
          <w:sz w:val="22"/>
          <w:szCs w:val="22"/>
          <w:shd w:val="clear" w:color="auto" w:fill="FFFFFF"/>
        </w:rPr>
        <w:t xml:space="preserve"> (1980). E</w:t>
      </w:r>
      <w:r>
        <w:rPr>
          <w:rFonts w:asciiTheme="majorBidi" w:hAnsiTheme="majorBidi" w:cstheme="majorBidi"/>
          <w:color w:val="000000" w:themeColor="text1"/>
          <w:sz w:val="22"/>
          <w:szCs w:val="22"/>
          <w:shd w:val="clear" w:color="auto" w:fill="FFFFFF"/>
        </w:rPr>
        <w:t>conometrics-Alchemy or Science?</w:t>
      </w:r>
      <w:r w:rsidRPr="00552F7D">
        <w:rPr>
          <w:rFonts w:asciiTheme="majorBidi" w:hAnsiTheme="majorBidi" w:cstheme="majorBidi"/>
          <w:color w:val="000000" w:themeColor="text1"/>
          <w:sz w:val="22"/>
          <w:szCs w:val="22"/>
          <w:shd w:val="clear" w:color="auto" w:fill="FFFFFF"/>
        </w:rPr>
        <w:t xml:space="preserve"> </w:t>
      </w:r>
      <w:proofErr w:type="spellStart"/>
      <w:r w:rsidRPr="00606B7B">
        <w:rPr>
          <w:rFonts w:asciiTheme="majorBidi" w:hAnsiTheme="majorBidi" w:cstheme="majorBidi"/>
          <w:i/>
          <w:iCs/>
          <w:color w:val="000000" w:themeColor="text1"/>
          <w:sz w:val="22"/>
          <w:szCs w:val="22"/>
          <w:shd w:val="clear" w:color="auto" w:fill="FFFFFF"/>
        </w:rPr>
        <w:t>Economica</w:t>
      </w:r>
      <w:proofErr w:type="spellEnd"/>
      <w:r w:rsidRPr="00606B7B">
        <w:rPr>
          <w:rFonts w:asciiTheme="majorBidi" w:hAnsiTheme="majorBidi" w:cstheme="majorBidi"/>
          <w:color w:val="000000" w:themeColor="text1"/>
          <w:sz w:val="22"/>
          <w:szCs w:val="22"/>
          <w:shd w:val="clear" w:color="auto" w:fill="FFFFFF"/>
        </w:rPr>
        <w:t>,</w:t>
      </w:r>
      <w:r w:rsidRPr="00606B7B">
        <w:rPr>
          <w:rFonts w:asciiTheme="majorBidi" w:hAnsiTheme="majorBidi" w:cstheme="majorBidi"/>
          <w:i/>
          <w:iCs/>
          <w:color w:val="000000" w:themeColor="text1"/>
          <w:sz w:val="22"/>
          <w:szCs w:val="22"/>
          <w:shd w:val="clear" w:color="auto" w:fill="FFFFFF"/>
        </w:rPr>
        <w:t xml:space="preserve"> 47</w:t>
      </w:r>
      <w:r w:rsidRPr="00606B7B">
        <w:rPr>
          <w:rFonts w:asciiTheme="majorBidi" w:hAnsiTheme="majorBidi" w:cstheme="majorBidi"/>
          <w:color w:val="000000" w:themeColor="text1"/>
          <w:sz w:val="22"/>
          <w:szCs w:val="22"/>
          <w:shd w:val="clear" w:color="auto" w:fill="FFFFFF"/>
        </w:rPr>
        <w:t>, 387-406.</w:t>
      </w:r>
    </w:p>
    <w:p w:rsidR="00606B7B" w:rsidRPr="00606B7B" w:rsidRDefault="00606B7B" w:rsidP="007C3A61">
      <w:pPr>
        <w:spacing w:after="80" w:line="240" w:lineRule="auto"/>
        <w:ind w:left="720" w:hanging="720"/>
        <w:rPr>
          <w:rFonts w:asciiTheme="majorBidi" w:hAnsiTheme="majorBidi" w:cstheme="majorBidi"/>
          <w:color w:val="000000" w:themeColor="text1"/>
          <w:sz w:val="22"/>
          <w:szCs w:val="22"/>
          <w:shd w:val="clear" w:color="auto" w:fill="FFFFFF"/>
        </w:rPr>
      </w:pPr>
      <w:proofErr w:type="spellStart"/>
      <w:r w:rsidRPr="00606B7B">
        <w:rPr>
          <w:rFonts w:asciiTheme="majorBidi" w:hAnsiTheme="majorBidi" w:cstheme="majorBidi"/>
          <w:color w:val="000000" w:themeColor="text1"/>
          <w:sz w:val="22"/>
          <w:szCs w:val="22"/>
          <w:shd w:val="clear" w:color="auto" w:fill="FFFFFF"/>
        </w:rPr>
        <w:t>Hipkins</w:t>
      </w:r>
      <w:proofErr w:type="spellEnd"/>
      <w:r w:rsidRPr="00606B7B">
        <w:rPr>
          <w:rFonts w:asciiTheme="majorBidi" w:hAnsiTheme="majorBidi" w:cstheme="majorBidi"/>
          <w:color w:val="000000" w:themeColor="text1"/>
          <w:sz w:val="22"/>
          <w:szCs w:val="22"/>
          <w:shd w:val="clear" w:color="auto" w:fill="FFFFFF"/>
        </w:rPr>
        <w:t xml:space="preserve">, C. </w:t>
      </w:r>
      <w:r>
        <w:rPr>
          <w:rFonts w:asciiTheme="majorBidi" w:hAnsiTheme="majorBidi" w:cstheme="majorBidi"/>
          <w:color w:val="000000" w:themeColor="text1"/>
          <w:sz w:val="22"/>
          <w:szCs w:val="22"/>
          <w:shd w:val="clear" w:color="auto" w:fill="FFFFFF"/>
        </w:rPr>
        <w:t xml:space="preserve">(2021). Jabs rollout best we can do. </w:t>
      </w:r>
      <w:r>
        <w:rPr>
          <w:rFonts w:asciiTheme="majorBidi" w:hAnsiTheme="majorBidi" w:cstheme="majorBidi"/>
          <w:i/>
          <w:iCs/>
          <w:color w:val="000000" w:themeColor="text1"/>
          <w:sz w:val="22"/>
          <w:szCs w:val="22"/>
          <w:shd w:val="clear" w:color="auto" w:fill="FFFFFF"/>
        </w:rPr>
        <w:t>New Zealand Herald</w:t>
      </w:r>
      <w:r>
        <w:rPr>
          <w:rFonts w:asciiTheme="majorBidi" w:hAnsiTheme="majorBidi" w:cstheme="majorBidi"/>
          <w:color w:val="000000" w:themeColor="text1"/>
          <w:sz w:val="22"/>
          <w:szCs w:val="22"/>
          <w:shd w:val="clear" w:color="auto" w:fill="FFFFFF"/>
        </w:rPr>
        <w:t xml:space="preserve"> July 2, 2021. </w:t>
      </w:r>
      <w:hyperlink r:id="rId15" w:history="1">
        <w:r w:rsidR="00143ECF" w:rsidRPr="00BF7B5D">
          <w:rPr>
            <w:rStyle w:val="Hyperlink"/>
            <w:rFonts w:asciiTheme="majorBidi" w:hAnsiTheme="majorBidi" w:cstheme="majorBidi"/>
            <w:sz w:val="22"/>
            <w:szCs w:val="22"/>
            <w:shd w:val="clear" w:color="auto" w:fill="FFFFFF"/>
          </w:rPr>
          <w:t>https://www.pressreader.com/new-zealand/new-zealand-herald/20210702/281483574363989</w:t>
        </w:r>
      </w:hyperlink>
      <w:r>
        <w:rPr>
          <w:rFonts w:asciiTheme="majorBidi" w:hAnsiTheme="majorBidi" w:cstheme="majorBidi"/>
          <w:color w:val="000000" w:themeColor="text1"/>
          <w:sz w:val="22"/>
          <w:szCs w:val="22"/>
          <w:shd w:val="clear" w:color="auto" w:fill="FFFFFF"/>
        </w:rPr>
        <w:t xml:space="preserve"> </w:t>
      </w:r>
    </w:p>
    <w:p w:rsidR="009E6133" w:rsidRPr="00D530E0" w:rsidRDefault="009E6133" w:rsidP="009E6133">
      <w:pPr>
        <w:spacing w:after="80" w:line="240" w:lineRule="auto"/>
        <w:ind w:left="720" w:hanging="720"/>
        <w:rPr>
          <w:rFonts w:asciiTheme="majorBidi" w:hAnsiTheme="majorBidi" w:cstheme="majorBidi"/>
          <w:color w:val="000000" w:themeColor="text1"/>
          <w:sz w:val="22"/>
          <w:szCs w:val="22"/>
          <w:shd w:val="clear" w:color="auto" w:fill="FFFFFF"/>
        </w:rPr>
      </w:pPr>
      <w:r w:rsidRPr="009E6133">
        <w:rPr>
          <w:rFonts w:asciiTheme="majorBidi" w:hAnsiTheme="majorBidi" w:cstheme="majorBidi"/>
          <w:color w:val="000000" w:themeColor="text1"/>
          <w:sz w:val="22"/>
          <w:szCs w:val="22"/>
          <w:shd w:val="clear" w:color="auto" w:fill="FFFFFF"/>
        </w:rPr>
        <w:t xml:space="preserve">Kung, S., </w:t>
      </w:r>
      <w:proofErr w:type="spellStart"/>
      <w:r w:rsidRPr="009E6133">
        <w:rPr>
          <w:rFonts w:asciiTheme="majorBidi" w:hAnsiTheme="majorBidi" w:cstheme="majorBidi"/>
          <w:color w:val="000000" w:themeColor="text1"/>
          <w:sz w:val="22"/>
          <w:szCs w:val="22"/>
          <w:shd w:val="clear" w:color="auto" w:fill="FFFFFF"/>
        </w:rPr>
        <w:t>Doppen</w:t>
      </w:r>
      <w:proofErr w:type="spellEnd"/>
      <w:r w:rsidRPr="009E6133">
        <w:rPr>
          <w:rFonts w:asciiTheme="majorBidi" w:hAnsiTheme="majorBidi" w:cstheme="majorBidi"/>
          <w:color w:val="000000" w:themeColor="text1"/>
          <w:sz w:val="22"/>
          <w:szCs w:val="22"/>
          <w:shd w:val="clear" w:color="auto" w:fill="FFFFFF"/>
        </w:rPr>
        <w:t>, M., Black, M., Hills, T., &amp; Kearns, N. (2021). Correspondence: “Reduced mortality in New Zealand during the COVID-19 pandemic.” </w:t>
      </w:r>
      <w:r w:rsidRPr="009E6133">
        <w:rPr>
          <w:rFonts w:asciiTheme="majorBidi" w:hAnsiTheme="majorBidi" w:cstheme="majorBidi"/>
          <w:i/>
          <w:iCs/>
          <w:color w:val="000000" w:themeColor="text1"/>
          <w:sz w:val="22"/>
          <w:szCs w:val="22"/>
          <w:shd w:val="clear" w:color="auto" w:fill="FFFFFF"/>
        </w:rPr>
        <w:t>The Lancet</w:t>
      </w:r>
      <w:r w:rsidRPr="009E6133">
        <w:rPr>
          <w:rFonts w:asciiTheme="majorBidi" w:hAnsiTheme="majorBidi" w:cstheme="majorBidi"/>
          <w:color w:val="000000" w:themeColor="text1"/>
          <w:sz w:val="22"/>
          <w:szCs w:val="22"/>
          <w:shd w:val="clear" w:color="auto" w:fill="FFFFFF"/>
        </w:rPr>
        <w:t>, </w:t>
      </w:r>
      <w:r w:rsidRPr="009E6133">
        <w:rPr>
          <w:rFonts w:asciiTheme="majorBidi" w:hAnsiTheme="majorBidi" w:cstheme="majorBidi"/>
          <w:i/>
          <w:iCs/>
          <w:color w:val="000000" w:themeColor="text1"/>
          <w:sz w:val="22"/>
          <w:szCs w:val="22"/>
          <w:shd w:val="clear" w:color="auto" w:fill="FFFFFF"/>
        </w:rPr>
        <w:t>397</w:t>
      </w:r>
      <w:r>
        <w:rPr>
          <w:rFonts w:asciiTheme="majorBidi" w:hAnsiTheme="majorBidi" w:cstheme="majorBidi"/>
          <w:color w:val="000000" w:themeColor="text1"/>
          <w:sz w:val="22"/>
          <w:szCs w:val="22"/>
          <w:shd w:val="clear" w:color="auto" w:fill="FFFFFF"/>
        </w:rPr>
        <w:t xml:space="preserve">(10268), </w:t>
      </w:r>
      <w:r w:rsidRPr="009E6133">
        <w:rPr>
          <w:rFonts w:asciiTheme="majorBidi" w:hAnsiTheme="majorBidi" w:cstheme="majorBidi"/>
          <w:color w:val="000000" w:themeColor="text1"/>
          <w:sz w:val="22"/>
          <w:szCs w:val="22"/>
          <w:shd w:val="clear" w:color="auto" w:fill="FFFFFF"/>
        </w:rPr>
        <w:t>25.</w:t>
      </w:r>
    </w:p>
    <w:p w:rsidR="007C3A61" w:rsidRPr="009C75E8" w:rsidRDefault="00774AFA" w:rsidP="007C3A61">
      <w:pPr>
        <w:spacing w:after="80" w:line="240" w:lineRule="auto"/>
        <w:ind w:left="720" w:hanging="720"/>
        <w:rPr>
          <w:rFonts w:asciiTheme="majorBidi" w:hAnsiTheme="majorBidi" w:cstheme="majorBidi"/>
          <w:sz w:val="22"/>
          <w:szCs w:val="22"/>
        </w:rPr>
      </w:pPr>
      <w:r w:rsidRPr="00D530E0">
        <w:rPr>
          <w:rFonts w:asciiTheme="majorBidi" w:hAnsiTheme="majorBidi" w:cstheme="majorBidi"/>
          <w:sz w:val="22"/>
          <w:szCs w:val="22"/>
        </w:rPr>
        <w:t xml:space="preserve">Krause, P., Fleming, T., </w:t>
      </w:r>
      <w:proofErr w:type="spellStart"/>
      <w:r w:rsidRPr="00D530E0">
        <w:rPr>
          <w:rFonts w:asciiTheme="majorBidi" w:hAnsiTheme="majorBidi" w:cstheme="majorBidi"/>
          <w:sz w:val="22"/>
          <w:szCs w:val="22"/>
        </w:rPr>
        <w:t>Peto</w:t>
      </w:r>
      <w:proofErr w:type="spellEnd"/>
      <w:r w:rsidRPr="00D530E0">
        <w:rPr>
          <w:rFonts w:asciiTheme="majorBidi" w:hAnsiTheme="majorBidi" w:cstheme="majorBidi"/>
          <w:sz w:val="22"/>
          <w:szCs w:val="22"/>
        </w:rPr>
        <w:t xml:space="preserve">, R., </w:t>
      </w:r>
      <w:proofErr w:type="spellStart"/>
      <w:r w:rsidRPr="00D530E0">
        <w:rPr>
          <w:rFonts w:asciiTheme="majorBidi" w:hAnsiTheme="majorBidi" w:cstheme="majorBidi"/>
          <w:sz w:val="22"/>
          <w:szCs w:val="22"/>
        </w:rPr>
        <w:t>Longini</w:t>
      </w:r>
      <w:proofErr w:type="spellEnd"/>
      <w:r w:rsidRPr="00D530E0">
        <w:rPr>
          <w:rFonts w:asciiTheme="majorBidi" w:hAnsiTheme="majorBidi" w:cstheme="majorBidi"/>
          <w:sz w:val="22"/>
          <w:szCs w:val="22"/>
        </w:rPr>
        <w:t xml:space="preserve">, I., Figueroa, J., Sterne, J., ... </w:t>
      </w:r>
      <w:r w:rsidRPr="009C75E8">
        <w:rPr>
          <w:rFonts w:asciiTheme="majorBidi" w:hAnsiTheme="majorBidi" w:cstheme="majorBidi"/>
          <w:sz w:val="22"/>
          <w:szCs w:val="22"/>
        </w:rPr>
        <w:t xml:space="preserve">&amp; </w:t>
      </w:r>
      <w:proofErr w:type="spellStart"/>
      <w:r w:rsidRPr="009C75E8">
        <w:rPr>
          <w:rFonts w:asciiTheme="majorBidi" w:hAnsiTheme="majorBidi" w:cstheme="majorBidi"/>
          <w:sz w:val="22"/>
          <w:szCs w:val="22"/>
        </w:rPr>
        <w:t>Henao-Restrepo</w:t>
      </w:r>
      <w:proofErr w:type="spellEnd"/>
      <w:r w:rsidRPr="009C75E8">
        <w:rPr>
          <w:rFonts w:asciiTheme="majorBidi" w:hAnsiTheme="majorBidi" w:cstheme="majorBidi"/>
          <w:sz w:val="22"/>
          <w:szCs w:val="22"/>
        </w:rPr>
        <w:t>, A. (2021). Considerations in boosting COVID-19 vaccine immune responses. </w:t>
      </w:r>
      <w:r w:rsidRPr="009C75E8">
        <w:rPr>
          <w:rFonts w:asciiTheme="majorBidi" w:hAnsiTheme="majorBidi" w:cstheme="majorBidi"/>
          <w:i/>
          <w:iCs/>
          <w:sz w:val="22"/>
          <w:szCs w:val="22"/>
        </w:rPr>
        <w:t>The Lancet</w:t>
      </w:r>
      <w:r w:rsidRPr="009C75E8">
        <w:rPr>
          <w:rFonts w:asciiTheme="majorBidi" w:hAnsiTheme="majorBidi" w:cstheme="majorBidi"/>
          <w:sz w:val="22"/>
          <w:szCs w:val="22"/>
        </w:rPr>
        <w:t>, </w:t>
      </w:r>
      <w:r w:rsidRPr="009C75E8">
        <w:rPr>
          <w:rFonts w:asciiTheme="majorBidi" w:hAnsiTheme="majorBidi" w:cstheme="majorBidi"/>
          <w:i/>
          <w:iCs/>
          <w:sz w:val="22"/>
          <w:szCs w:val="22"/>
        </w:rPr>
        <w:t>398</w:t>
      </w:r>
      <w:r w:rsidRPr="009C75E8">
        <w:rPr>
          <w:rFonts w:asciiTheme="majorBidi" w:hAnsiTheme="majorBidi" w:cstheme="majorBidi"/>
          <w:sz w:val="22"/>
          <w:szCs w:val="22"/>
        </w:rPr>
        <w:t>(10308), 1377-1380.</w:t>
      </w:r>
    </w:p>
    <w:p w:rsidR="009C75E8" w:rsidRDefault="009C75E8" w:rsidP="007C3A61">
      <w:pPr>
        <w:spacing w:after="80" w:line="240" w:lineRule="auto"/>
        <w:ind w:left="720" w:hanging="720"/>
        <w:rPr>
          <w:rFonts w:asciiTheme="majorBidi" w:hAnsiTheme="majorBidi" w:cstheme="majorBidi"/>
          <w:sz w:val="22"/>
          <w:szCs w:val="22"/>
        </w:rPr>
      </w:pPr>
      <w:proofErr w:type="spellStart"/>
      <w:r w:rsidRPr="009C75E8">
        <w:rPr>
          <w:rFonts w:asciiTheme="majorBidi" w:hAnsiTheme="majorBidi" w:cstheme="majorBidi"/>
          <w:sz w:val="22"/>
          <w:szCs w:val="22"/>
        </w:rPr>
        <w:t>Makary</w:t>
      </w:r>
      <w:proofErr w:type="spellEnd"/>
      <w:r w:rsidRPr="009C75E8">
        <w:rPr>
          <w:rFonts w:asciiTheme="majorBidi" w:hAnsiTheme="majorBidi" w:cstheme="majorBidi"/>
          <w:sz w:val="22"/>
          <w:szCs w:val="22"/>
        </w:rPr>
        <w:t xml:space="preserve">, M. (2022). Why America doesn’t trust the CDC. </w:t>
      </w:r>
      <w:r w:rsidRPr="009C75E8">
        <w:rPr>
          <w:rFonts w:asciiTheme="majorBidi" w:hAnsiTheme="majorBidi" w:cstheme="majorBidi"/>
          <w:i/>
          <w:iCs/>
          <w:sz w:val="22"/>
          <w:szCs w:val="22"/>
        </w:rPr>
        <w:t>Newsweek</w:t>
      </w:r>
      <w:r w:rsidRPr="009C75E8">
        <w:rPr>
          <w:rFonts w:asciiTheme="majorBidi" w:hAnsiTheme="majorBidi" w:cstheme="majorBidi"/>
          <w:sz w:val="22"/>
          <w:szCs w:val="22"/>
        </w:rPr>
        <w:t xml:space="preserve"> June 10, 2022. </w:t>
      </w:r>
      <w:hyperlink r:id="rId16" w:history="1">
        <w:r w:rsidRPr="009C75E8">
          <w:rPr>
            <w:rStyle w:val="Hyperlink"/>
            <w:rFonts w:asciiTheme="majorBidi" w:hAnsiTheme="majorBidi" w:cstheme="majorBidi"/>
            <w:sz w:val="22"/>
            <w:szCs w:val="22"/>
          </w:rPr>
          <w:t>https://www.newsweek.com/why-america-doesnt-trust-cdc-opinion-1713145</w:t>
        </w:r>
      </w:hyperlink>
      <w:r w:rsidRPr="009C75E8">
        <w:rPr>
          <w:rFonts w:asciiTheme="majorBidi" w:hAnsiTheme="majorBidi" w:cstheme="majorBidi"/>
          <w:sz w:val="22"/>
          <w:szCs w:val="22"/>
        </w:rPr>
        <w:t xml:space="preserve"> </w:t>
      </w:r>
    </w:p>
    <w:p w:rsidR="000536CC" w:rsidRPr="009C75E8" w:rsidRDefault="000536CC" w:rsidP="007C3A61">
      <w:pPr>
        <w:spacing w:after="80" w:line="240" w:lineRule="auto"/>
        <w:ind w:left="720" w:hanging="720"/>
        <w:rPr>
          <w:rFonts w:asciiTheme="majorBidi" w:hAnsiTheme="majorBidi" w:cstheme="majorBidi"/>
          <w:color w:val="000000" w:themeColor="text1"/>
          <w:sz w:val="22"/>
          <w:szCs w:val="22"/>
          <w:shd w:val="clear" w:color="auto" w:fill="FFFFFF"/>
        </w:rPr>
      </w:pPr>
      <w:proofErr w:type="spellStart"/>
      <w:r>
        <w:rPr>
          <w:rFonts w:asciiTheme="majorBidi" w:hAnsiTheme="majorBidi" w:cstheme="majorBidi"/>
          <w:color w:val="000000" w:themeColor="text1"/>
          <w:sz w:val="22"/>
          <w:szCs w:val="22"/>
          <w:shd w:val="clear" w:color="auto" w:fill="FFFFFF"/>
        </w:rPr>
        <w:t>Lally</w:t>
      </w:r>
      <w:proofErr w:type="spellEnd"/>
      <w:r>
        <w:rPr>
          <w:rFonts w:asciiTheme="majorBidi" w:hAnsiTheme="majorBidi" w:cstheme="majorBidi"/>
          <w:color w:val="000000" w:themeColor="text1"/>
          <w:sz w:val="22"/>
          <w:szCs w:val="22"/>
          <w:shd w:val="clear" w:color="auto" w:fill="FFFFFF"/>
        </w:rPr>
        <w:t xml:space="preserve"> M. (2021). </w:t>
      </w:r>
      <w:r w:rsidRPr="000536CC">
        <w:rPr>
          <w:rFonts w:asciiTheme="majorBidi" w:hAnsiTheme="majorBidi" w:cstheme="majorBidi"/>
          <w:color w:val="000000" w:themeColor="text1"/>
          <w:sz w:val="22"/>
          <w:szCs w:val="22"/>
          <w:shd w:val="clear" w:color="auto" w:fill="FFFFFF"/>
        </w:rPr>
        <w:t>The costs and benefits of Co</w:t>
      </w:r>
      <w:r>
        <w:rPr>
          <w:rFonts w:asciiTheme="majorBidi" w:hAnsiTheme="majorBidi" w:cstheme="majorBidi"/>
          <w:color w:val="000000" w:themeColor="text1"/>
          <w:sz w:val="22"/>
          <w:szCs w:val="22"/>
          <w:shd w:val="clear" w:color="auto" w:fill="FFFFFF"/>
        </w:rPr>
        <w:t>vid-19 lockdowns in New Zealand.</w:t>
      </w:r>
      <w:r w:rsidRPr="000536CC">
        <w:rPr>
          <w:rFonts w:asciiTheme="majorBidi" w:hAnsiTheme="majorBidi" w:cstheme="majorBidi"/>
          <w:color w:val="000000" w:themeColor="text1"/>
          <w:sz w:val="22"/>
          <w:szCs w:val="22"/>
          <w:shd w:val="clear" w:color="auto" w:fill="FFFFFF"/>
        </w:rPr>
        <w:t xml:space="preserve"> </w:t>
      </w:r>
      <w:proofErr w:type="spellStart"/>
      <w:r w:rsidRPr="000536CC">
        <w:rPr>
          <w:rFonts w:asciiTheme="majorBidi" w:hAnsiTheme="majorBidi" w:cstheme="majorBidi"/>
          <w:i/>
          <w:iCs/>
          <w:color w:val="000000" w:themeColor="text1"/>
          <w:sz w:val="22"/>
          <w:szCs w:val="22"/>
          <w:shd w:val="clear" w:color="auto" w:fill="FFFFFF"/>
        </w:rPr>
        <w:t>medRxiv</w:t>
      </w:r>
      <w:proofErr w:type="spellEnd"/>
      <w:r w:rsidRPr="000536CC">
        <w:rPr>
          <w:rFonts w:asciiTheme="majorBidi" w:hAnsiTheme="majorBidi" w:cstheme="majorBidi"/>
          <w:color w:val="000000" w:themeColor="text1"/>
          <w:sz w:val="22"/>
          <w:szCs w:val="22"/>
          <w:shd w:val="clear" w:color="auto" w:fill="FFFFFF"/>
        </w:rPr>
        <w:t xml:space="preserve">. </w:t>
      </w:r>
      <w:hyperlink r:id="rId17" w:history="1">
        <w:r w:rsidRPr="00BF7B5D">
          <w:rPr>
            <w:rStyle w:val="Hyperlink"/>
            <w:rFonts w:asciiTheme="majorBidi" w:hAnsiTheme="majorBidi" w:cstheme="majorBidi"/>
            <w:sz w:val="22"/>
            <w:szCs w:val="22"/>
            <w:shd w:val="clear" w:color="auto" w:fill="FFFFFF"/>
          </w:rPr>
          <w:t>https://doi.org/10.1101/2021.07.15.21260606</w:t>
        </w:r>
      </w:hyperlink>
      <w:r>
        <w:rPr>
          <w:rFonts w:asciiTheme="majorBidi" w:hAnsiTheme="majorBidi" w:cstheme="majorBidi"/>
          <w:color w:val="000000" w:themeColor="text1"/>
          <w:sz w:val="22"/>
          <w:szCs w:val="22"/>
          <w:shd w:val="clear" w:color="auto" w:fill="FFFFFF"/>
        </w:rPr>
        <w:t xml:space="preserve"> </w:t>
      </w:r>
    </w:p>
    <w:p w:rsidR="007C3A61" w:rsidRPr="009C75E8" w:rsidRDefault="00C679DA" w:rsidP="007C3A61">
      <w:pPr>
        <w:spacing w:after="80" w:line="240" w:lineRule="auto"/>
        <w:ind w:left="720" w:hanging="720"/>
        <w:rPr>
          <w:rFonts w:asciiTheme="majorBidi" w:hAnsiTheme="majorBidi" w:cstheme="majorBidi"/>
          <w:color w:val="222222"/>
          <w:sz w:val="22"/>
          <w:szCs w:val="22"/>
          <w:shd w:val="clear" w:color="auto" w:fill="FFFFFF"/>
        </w:rPr>
      </w:pPr>
      <w:r w:rsidRPr="009C75E8">
        <w:rPr>
          <w:rFonts w:asciiTheme="majorBidi" w:hAnsiTheme="majorBidi" w:cstheme="majorBidi"/>
          <w:color w:val="222222"/>
          <w:sz w:val="22"/>
          <w:szCs w:val="22"/>
          <w:shd w:val="clear" w:color="auto" w:fill="FFFFFF"/>
        </w:rPr>
        <w:t>Mathieu, E., Ritchie, H., Ortiz-</w:t>
      </w:r>
      <w:proofErr w:type="spellStart"/>
      <w:r w:rsidRPr="009C75E8">
        <w:rPr>
          <w:rFonts w:asciiTheme="majorBidi" w:hAnsiTheme="majorBidi" w:cstheme="majorBidi"/>
          <w:color w:val="222222"/>
          <w:sz w:val="22"/>
          <w:szCs w:val="22"/>
          <w:shd w:val="clear" w:color="auto" w:fill="FFFFFF"/>
        </w:rPr>
        <w:t>Ospina</w:t>
      </w:r>
      <w:proofErr w:type="spellEnd"/>
      <w:r w:rsidRPr="009C75E8">
        <w:rPr>
          <w:rFonts w:asciiTheme="majorBidi" w:hAnsiTheme="majorBidi" w:cstheme="majorBidi"/>
          <w:color w:val="222222"/>
          <w:sz w:val="22"/>
          <w:szCs w:val="22"/>
          <w:shd w:val="clear" w:color="auto" w:fill="FFFFFF"/>
        </w:rPr>
        <w:t xml:space="preserve">, E., </w:t>
      </w:r>
      <w:proofErr w:type="spellStart"/>
      <w:r w:rsidRPr="009C75E8">
        <w:rPr>
          <w:rFonts w:asciiTheme="majorBidi" w:hAnsiTheme="majorBidi" w:cstheme="majorBidi"/>
          <w:color w:val="222222"/>
          <w:sz w:val="22"/>
          <w:szCs w:val="22"/>
          <w:shd w:val="clear" w:color="auto" w:fill="FFFFFF"/>
        </w:rPr>
        <w:t>Roser</w:t>
      </w:r>
      <w:proofErr w:type="spellEnd"/>
      <w:r w:rsidRPr="009C75E8">
        <w:rPr>
          <w:rFonts w:asciiTheme="majorBidi" w:hAnsiTheme="majorBidi" w:cstheme="majorBidi"/>
          <w:color w:val="222222"/>
          <w:sz w:val="22"/>
          <w:szCs w:val="22"/>
          <w:shd w:val="clear" w:color="auto" w:fill="FFFFFF"/>
        </w:rPr>
        <w:t xml:space="preserve">, M., </w:t>
      </w:r>
      <w:proofErr w:type="spellStart"/>
      <w:r w:rsidRPr="009C75E8">
        <w:rPr>
          <w:rFonts w:asciiTheme="majorBidi" w:hAnsiTheme="majorBidi" w:cstheme="majorBidi"/>
          <w:color w:val="222222"/>
          <w:sz w:val="22"/>
          <w:szCs w:val="22"/>
          <w:shd w:val="clear" w:color="auto" w:fill="FFFFFF"/>
        </w:rPr>
        <w:t>Hasell</w:t>
      </w:r>
      <w:proofErr w:type="spellEnd"/>
      <w:r w:rsidRPr="009C75E8">
        <w:rPr>
          <w:rFonts w:asciiTheme="majorBidi" w:hAnsiTheme="majorBidi" w:cstheme="majorBidi"/>
          <w:color w:val="222222"/>
          <w:sz w:val="22"/>
          <w:szCs w:val="22"/>
          <w:shd w:val="clear" w:color="auto" w:fill="FFFFFF"/>
        </w:rPr>
        <w:t xml:space="preserve">, J., Appel, C., </w:t>
      </w:r>
      <w:r w:rsidR="00FB74F7" w:rsidRPr="009C75E8">
        <w:rPr>
          <w:rFonts w:asciiTheme="majorBidi" w:hAnsiTheme="majorBidi" w:cstheme="majorBidi"/>
          <w:color w:val="222222"/>
          <w:sz w:val="22"/>
          <w:szCs w:val="22"/>
          <w:shd w:val="clear" w:color="auto" w:fill="FFFFFF"/>
        </w:rPr>
        <w:t>…</w:t>
      </w:r>
      <w:r w:rsidRPr="009C75E8">
        <w:rPr>
          <w:rFonts w:asciiTheme="majorBidi" w:hAnsiTheme="majorBidi" w:cstheme="majorBidi"/>
          <w:color w:val="222222"/>
          <w:sz w:val="22"/>
          <w:szCs w:val="22"/>
          <w:shd w:val="clear" w:color="auto" w:fill="FFFFFF"/>
        </w:rPr>
        <w:t xml:space="preserve"> &amp; </w:t>
      </w:r>
      <w:proofErr w:type="spellStart"/>
      <w:r w:rsidRPr="009C75E8">
        <w:rPr>
          <w:rFonts w:asciiTheme="majorBidi" w:hAnsiTheme="majorBidi" w:cstheme="majorBidi"/>
          <w:color w:val="222222"/>
          <w:sz w:val="22"/>
          <w:szCs w:val="22"/>
          <w:shd w:val="clear" w:color="auto" w:fill="FFFFFF"/>
        </w:rPr>
        <w:t>Rodés-Guirao</w:t>
      </w:r>
      <w:proofErr w:type="spellEnd"/>
      <w:r w:rsidRPr="009C75E8">
        <w:rPr>
          <w:rFonts w:asciiTheme="majorBidi" w:hAnsiTheme="majorBidi" w:cstheme="majorBidi"/>
          <w:color w:val="222222"/>
          <w:sz w:val="22"/>
          <w:szCs w:val="22"/>
          <w:shd w:val="clear" w:color="auto" w:fill="FFFFFF"/>
        </w:rPr>
        <w:t>, L. (2021). A global database of COVID-19 vaccinations. </w:t>
      </w:r>
      <w:r w:rsidRPr="009C75E8">
        <w:rPr>
          <w:rFonts w:asciiTheme="majorBidi" w:hAnsiTheme="majorBidi" w:cstheme="majorBidi"/>
          <w:i/>
          <w:iCs/>
          <w:color w:val="222222"/>
          <w:sz w:val="22"/>
          <w:szCs w:val="22"/>
          <w:shd w:val="clear" w:color="auto" w:fill="FFFFFF"/>
        </w:rPr>
        <w:t>Nature Human Behaviour</w:t>
      </w:r>
      <w:r w:rsidRPr="009C75E8">
        <w:rPr>
          <w:rFonts w:asciiTheme="majorBidi" w:hAnsiTheme="majorBidi" w:cstheme="majorBidi"/>
          <w:color w:val="222222"/>
          <w:sz w:val="22"/>
          <w:szCs w:val="22"/>
          <w:shd w:val="clear" w:color="auto" w:fill="FFFFFF"/>
        </w:rPr>
        <w:t xml:space="preserve">, </w:t>
      </w:r>
      <w:r w:rsidRPr="009C75E8">
        <w:rPr>
          <w:rFonts w:asciiTheme="majorBidi" w:hAnsiTheme="majorBidi" w:cstheme="majorBidi"/>
          <w:i/>
          <w:iCs/>
          <w:color w:val="222222"/>
          <w:sz w:val="22"/>
          <w:szCs w:val="22"/>
          <w:shd w:val="clear" w:color="auto" w:fill="FFFFFF"/>
        </w:rPr>
        <w:t>5</w:t>
      </w:r>
      <w:r w:rsidRPr="009C75E8">
        <w:rPr>
          <w:rFonts w:asciiTheme="majorBidi" w:hAnsiTheme="majorBidi" w:cstheme="majorBidi"/>
          <w:color w:val="222222"/>
          <w:sz w:val="22"/>
          <w:szCs w:val="22"/>
          <w:shd w:val="clear" w:color="auto" w:fill="FFFFFF"/>
        </w:rPr>
        <w:t>, 947–953.</w:t>
      </w:r>
    </w:p>
    <w:p w:rsidR="00001E68" w:rsidRPr="009C75E8" w:rsidRDefault="00001E68" w:rsidP="00001E68">
      <w:pPr>
        <w:spacing w:after="80" w:line="240" w:lineRule="auto"/>
        <w:ind w:left="720" w:hanging="720"/>
        <w:rPr>
          <w:rFonts w:asciiTheme="majorBidi" w:hAnsiTheme="majorBidi" w:cstheme="majorBidi"/>
          <w:color w:val="000000" w:themeColor="text1"/>
          <w:sz w:val="22"/>
          <w:szCs w:val="22"/>
          <w:shd w:val="clear" w:color="auto" w:fill="FFFFFF"/>
        </w:rPr>
      </w:pPr>
      <w:r w:rsidRPr="009C75E8">
        <w:rPr>
          <w:rFonts w:asciiTheme="majorBidi" w:hAnsiTheme="majorBidi" w:cstheme="majorBidi"/>
          <w:color w:val="000000" w:themeColor="text1"/>
          <w:sz w:val="22"/>
          <w:szCs w:val="22"/>
          <w:shd w:val="clear" w:color="auto" w:fill="FFFFFF"/>
        </w:rPr>
        <w:t xml:space="preserve">Neil, M., Fenton, N., Smalley, J, Craig, C., </w:t>
      </w:r>
      <w:proofErr w:type="spellStart"/>
      <w:r w:rsidRPr="009C75E8">
        <w:rPr>
          <w:rFonts w:asciiTheme="majorBidi" w:hAnsiTheme="majorBidi" w:cstheme="majorBidi"/>
          <w:color w:val="000000" w:themeColor="text1"/>
          <w:sz w:val="22"/>
          <w:szCs w:val="22"/>
          <w:shd w:val="clear" w:color="auto" w:fill="FFFFFF"/>
        </w:rPr>
        <w:t>Guetzkow</w:t>
      </w:r>
      <w:proofErr w:type="spellEnd"/>
      <w:r w:rsidRPr="009C75E8">
        <w:rPr>
          <w:rFonts w:asciiTheme="majorBidi" w:hAnsiTheme="majorBidi" w:cstheme="majorBidi"/>
          <w:color w:val="000000" w:themeColor="text1"/>
          <w:sz w:val="22"/>
          <w:szCs w:val="22"/>
          <w:shd w:val="clear" w:color="auto" w:fill="FFFFFF"/>
        </w:rPr>
        <w:t xml:space="preserve">, J., </w:t>
      </w:r>
      <w:proofErr w:type="spellStart"/>
      <w:r w:rsidRPr="009C75E8">
        <w:rPr>
          <w:rFonts w:asciiTheme="majorBidi" w:hAnsiTheme="majorBidi" w:cstheme="majorBidi"/>
          <w:color w:val="000000" w:themeColor="text1"/>
          <w:sz w:val="22"/>
          <w:szCs w:val="22"/>
          <w:shd w:val="clear" w:color="auto" w:fill="FFFFFF"/>
        </w:rPr>
        <w:t>McLahlan</w:t>
      </w:r>
      <w:proofErr w:type="spellEnd"/>
      <w:r w:rsidRPr="009C75E8">
        <w:rPr>
          <w:rFonts w:asciiTheme="majorBidi" w:hAnsiTheme="majorBidi" w:cstheme="majorBidi"/>
          <w:color w:val="000000" w:themeColor="text1"/>
          <w:sz w:val="22"/>
          <w:szCs w:val="22"/>
          <w:shd w:val="clear" w:color="auto" w:fill="FFFFFF"/>
        </w:rPr>
        <w:t xml:space="preserve">, S., … &amp; Rose, J. (2022). “Official mortality data for England suggest systematic </w:t>
      </w:r>
      <w:proofErr w:type="spellStart"/>
      <w:r w:rsidRPr="009C75E8">
        <w:rPr>
          <w:rFonts w:asciiTheme="majorBidi" w:hAnsiTheme="majorBidi" w:cstheme="majorBidi"/>
          <w:color w:val="000000" w:themeColor="text1"/>
          <w:sz w:val="22"/>
          <w:szCs w:val="22"/>
          <w:shd w:val="clear" w:color="auto" w:fill="FFFFFF"/>
        </w:rPr>
        <w:t>mis</w:t>
      </w:r>
      <w:proofErr w:type="spellEnd"/>
      <w:r w:rsidRPr="009C75E8">
        <w:rPr>
          <w:rFonts w:asciiTheme="majorBidi" w:hAnsiTheme="majorBidi" w:cstheme="majorBidi"/>
          <w:color w:val="000000" w:themeColor="text1"/>
          <w:sz w:val="22"/>
          <w:szCs w:val="22"/>
          <w:shd w:val="clear" w:color="auto" w:fill="FFFFFF"/>
        </w:rPr>
        <w:t>-categorisation of vaccine status and uncertain effectiveness of Covid</w:t>
      </w:r>
      <w:r w:rsidRPr="009C75E8">
        <w:rPr>
          <w:rFonts w:asciiTheme="majorBidi" w:hAnsiTheme="majorBidi" w:cstheme="majorBidi"/>
          <w:color w:val="000000" w:themeColor="text1"/>
          <w:sz w:val="22"/>
          <w:szCs w:val="22"/>
          <w:shd w:val="clear" w:color="auto" w:fill="FFFFFF"/>
        </w:rPr>
        <w:noBreakHyphen/>
        <w:t xml:space="preserve">19 vaccination” </w:t>
      </w:r>
      <w:r w:rsidRPr="009C75E8">
        <w:rPr>
          <w:rFonts w:asciiTheme="majorBidi" w:hAnsiTheme="majorBidi" w:cstheme="majorBidi"/>
          <w:i/>
          <w:iCs/>
          <w:color w:val="000000" w:themeColor="text1"/>
          <w:sz w:val="22"/>
          <w:szCs w:val="22"/>
          <w:shd w:val="clear" w:color="auto" w:fill="FFFFFF"/>
        </w:rPr>
        <w:t xml:space="preserve">Working Paper </w:t>
      </w:r>
      <w:r w:rsidRPr="009C75E8">
        <w:rPr>
          <w:rFonts w:asciiTheme="majorBidi" w:hAnsiTheme="majorBidi" w:cstheme="majorBidi"/>
          <w:color w:val="000000" w:themeColor="text1"/>
          <w:sz w:val="22"/>
          <w:szCs w:val="22"/>
          <w:shd w:val="clear" w:color="auto" w:fill="FFFFFF"/>
        </w:rPr>
        <w:t>Queen Mary University of London, doi:</w:t>
      </w:r>
      <w:hyperlink r:id="rId18" w:tgtFrame="_blank" w:history="1">
        <w:r w:rsidRPr="009C75E8">
          <w:rPr>
            <w:rStyle w:val="Hyperlink"/>
            <w:rFonts w:asciiTheme="majorBidi" w:hAnsiTheme="majorBidi" w:cstheme="majorBidi"/>
            <w:sz w:val="22"/>
            <w:szCs w:val="22"/>
            <w:shd w:val="clear" w:color="auto" w:fill="FFFFFF"/>
          </w:rPr>
          <w:t>10.13140/RG.2.2.28055.09124</w:t>
        </w:r>
      </w:hyperlink>
    </w:p>
    <w:p w:rsidR="00552F7D" w:rsidRPr="00552F7D" w:rsidRDefault="00552F7D" w:rsidP="00552F7D">
      <w:pPr>
        <w:spacing w:after="80" w:line="240" w:lineRule="auto"/>
        <w:ind w:left="720" w:hanging="720"/>
        <w:rPr>
          <w:rFonts w:asciiTheme="majorBidi" w:eastAsia="Times New Roman" w:hAnsiTheme="majorBidi" w:cstheme="majorBidi"/>
          <w:iCs/>
          <w:sz w:val="22"/>
          <w:szCs w:val="22"/>
        </w:rPr>
      </w:pPr>
      <w:proofErr w:type="spellStart"/>
      <w:r>
        <w:rPr>
          <w:rFonts w:asciiTheme="majorBidi" w:eastAsia="Times New Roman" w:hAnsiTheme="majorBidi" w:cstheme="majorBidi"/>
          <w:iCs/>
          <w:sz w:val="22"/>
          <w:szCs w:val="22"/>
        </w:rPr>
        <w:t>Németh</w:t>
      </w:r>
      <w:proofErr w:type="spellEnd"/>
      <w:r>
        <w:rPr>
          <w:rFonts w:asciiTheme="majorBidi" w:eastAsia="Times New Roman" w:hAnsiTheme="majorBidi" w:cstheme="majorBidi"/>
          <w:iCs/>
          <w:sz w:val="22"/>
          <w:szCs w:val="22"/>
        </w:rPr>
        <w:t xml:space="preserve">, L., </w:t>
      </w:r>
      <w:proofErr w:type="spellStart"/>
      <w:r>
        <w:rPr>
          <w:rFonts w:asciiTheme="majorBidi" w:eastAsia="Times New Roman" w:hAnsiTheme="majorBidi" w:cstheme="majorBidi"/>
          <w:iCs/>
          <w:sz w:val="22"/>
          <w:szCs w:val="22"/>
        </w:rPr>
        <w:t>Jdanov</w:t>
      </w:r>
      <w:proofErr w:type="spellEnd"/>
      <w:r>
        <w:rPr>
          <w:rFonts w:asciiTheme="majorBidi" w:eastAsia="Times New Roman" w:hAnsiTheme="majorBidi" w:cstheme="majorBidi"/>
          <w:iCs/>
          <w:sz w:val="22"/>
          <w:szCs w:val="22"/>
        </w:rPr>
        <w:t xml:space="preserve">, D., &amp; </w:t>
      </w:r>
      <w:proofErr w:type="spellStart"/>
      <w:r>
        <w:rPr>
          <w:rFonts w:asciiTheme="majorBidi" w:eastAsia="Times New Roman" w:hAnsiTheme="majorBidi" w:cstheme="majorBidi"/>
          <w:iCs/>
          <w:sz w:val="22"/>
          <w:szCs w:val="22"/>
        </w:rPr>
        <w:t>Shkolnikov</w:t>
      </w:r>
      <w:proofErr w:type="spellEnd"/>
      <w:r>
        <w:rPr>
          <w:rFonts w:asciiTheme="majorBidi" w:eastAsia="Times New Roman" w:hAnsiTheme="majorBidi" w:cstheme="majorBidi"/>
          <w:iCs/>
          <w:sz w:val="22"/>
          <w:szCs w:val="22"/>
        </w:rPr>
        <w:t>, V.</w:t>
      </w:r>
      <w:r w:rsidRPr="00552F7D">
        <w:rPr>
          <w:rFonts w:asciiTheme="majorBidi" w:eastAsia="Times New Roman" w:hAnsiTheme="majorBidi" w:cstheme="majorBidi"/>
          <w:iCs/>
          <w:sz w:val="22"/>
          <w:szCs w:val="22"/>
        </w:rPr>
        <w:t xml:space="preserve"> (2021). An open-sourced, web-based application to analyse weekly excess mortality based on the Short-term Mortality Fluctuations data series. </w:t>
      </w:r>
      <w:proofErr w:type="spellStart"/>
      <w:r w:rsidRPr="00552F7D">
        <w:rPr>
          <w:rFonts w:asciiTheme="majorBidi" w:eastAsia="Times New Roman" w:hAnsiTheme="majorBidi" w:cstheme="majorBidi"/>
          <w:i/>
          <w:iCs/>
          <w:sz w:val="22"/>
          <w:szCs w:val="22"/>
        </w:rPr>
        <w:t>PloS</w:t>
      </w:r>
      <w:proofErr w:type="spellEnd"/>
      <w:r w:rsidRPr="00552F7D">
        <w:rPr>
          <w:rFonts w:asciiTheme="majorBidi" w:eastAsia="Times New Roman" w:hAnsiTheme="majorBidi" w:cstheme="majorBidi"/>
          <w:i/>
          <w:iCs/>
          <w:sz w:val="22"/>
          <w:szCs w:val="22"/>
        </w:rPr>
        <w:t xml:space="preserve"> One</w:t>
      </w:r>
      <w:r w:rsidRPr="00552F7D">
        <w:rPr>
          <w:rFonts w:asciiTheme="majorBidi" w:eastAsia="Times New Roman" w:hAnsiTheme="majorBidi" w:cstheme="majorBidi"/>
          <w:iCs/>
          <w:sz w:val="22"/>
          <w:szCs w:val="22"/>
        </w:rPr>
        <w:t>, </w:t>
      </w:r>
      <w:r w:rsidRPr="00552F7D">
        <w:rPr>
          <w:rFonts w:asciiTheme="majorBidi" w:eastAsia="Times New Roman" w:hAnsiTheme="majorBidi" w:cstheme="majorBidi"/>
          <w:i/>
          <w:iCs/>
          <w:sz w:val="22"/>
          <w:szCs w:val="22"/>
        </w:rPr>
        <w:t>16</w:t>
      </w:r>
      <w:r w:rsidRPr="00552F7D">
        <w:rPr>
          <w:rFonts w:asciiTheme="majorBidi" w:eastAsia="Times New Roman" w:hAnsiTheme="majorBidi" w:cstheme="majorBidi"/>
          <w:iCs/>
          <w:sz w:val="22"/>
          <w:szCs w:val="22"/>
        </w:rPr>
        <w:t xml:space="preserve">(2), e0246663. </w:t>
      </w:r>
      <w:hyperlink r:id="rId19" w:history="1">
        <w:r w:rsidRPr="00552F7D">
          <w:rPr>
            <w:rStyle w:val="Hyperlink"/>
            <w:rFonts w:asciiTheme="majorBidi" w:eastAsia="Times New Roman" w:hAnsiTheme="majorBidi" w:cstheme="majorBidi"/>
            <w:iCs/>
            <w:sz w:val="22"/>
            <w:szCs w:val="22"/>
          </w:rPr>
          <w:t>https://doi.org/10.1371/journal.pone.0246663</w:t>
        </w:r>
      </w:hyperlink>
    </w:p>
    <w:p w:rsidR="007C3A61" w:rsidRPr="009C75E8" w:rsidRDefault="00587359" w:rsidP="007C3A61">
      <w:pPr>
        <w:spacing w:after="80" w:line="240" w:lineRule="auto"/>
        <w:ind w:left="720" w:hanging="720"/>
        <w:rPr>
          <w:rFonts w:asciiTheme="majorBidi" w:eastAsia="Times New Roman" w:hAnsiTheme="majorBidi" w:cstheme="majorBidi"/>
          <w:iCs/>
          <w:sz w:val="22"/>
          <w:szCs w:val="22"/>
          <w:lang w:val="en-AU"/>
        </w:rPr>
      </w:pPr>
      <w:proofErr w:type="spellStart"/>
      <w:r w:rsidRPr="009C75E8">
        <w:rPr>
          <w:rFonts w:asciiTheme="majorBidi" w:eastAsia="Times New Roman" w:hAnsiTheme="majorBidi" w:cstheme="majorBidi"/>
          <w:iCs/>
          <w:sz w:val="22"/>
          <w:szCs w:val="22"/>
          <w:lang w:val="en-AU"/>
        </w:rPr>
        <w:lastRenderedPageBreak/>
        <w:t>Perrone</w:t>
      </w:r>
      <w:proofErr w:type="spellEnd"/>
      <w:r w:rsidRPr="009C75E8">
        <w:rPr>
          <w:rFonts w:asciiTheme="majorBidi" w:eastAsia="Times New Roman" w:hAnsiTheme="majorBidi" w:cstheme="majorBidi"/>
          <w:iCs/>
          <w:sz w:val="22"/>
          <w:szCs w:val="22"/>
          <w:lang w:val="en-AU"/>
        </w:rPr>
        <w:t xml:space="preserve">, M., &amp; </w:t>
      </w:r>
      <w:proofErr w:type="spellStart"/>
      <w:r w:rsidRPr="009C75E8">
        <w:rPr>
          <w:rFonts w:asciiTheme="majorBidi" w:eastAsia="Times New Roman" w:hAnsiTheme="majorBidi" w:cstheme="majorBidi"/>
          <w:iCs/>
          <w:sz w:val="22"/>
          <w:szCs w:val="22"/>
          <w:lang w:val="en-AU"/>
        </w:rPr>
        <w:t>Neergaard</w:t>
      </w:r>
      <w:proofErr w:type="spellEnd"/>
      <w:r w:rsidRPr="009C75E8">
        <w:rPr>
          <w:rFonts w:asciiTheme="majorBidi" w:eastAsia="Times New Roman" w:hAnsiTheme="majorBidi" w:cstheme="majorBidi"/>
          <w:iCs/>
          <w:sz w:val="22"/>
          <w:szCs w:val="22"/>
          <w:lang w:val="en-AU"/>
        </w:rPr>
        <w:t>, L. (2021). FDA advisory panel rejects widespread Pfizer vaccine booster shots.</w:t>
      </w:r>
      <w:r w:rsidR="00C8548A" w:rsidRPr="009C75E8">
        <w:rPr>
          <w:rFonts w:asciiTheme="majorBidi" w:eastAsia="Times New Roman" w:hAnsiTheme="majorBidi" w:cstheme="majorBidi"/>
          <w:iCs/>
          <w:sz w:val="22"/>
          <w:szCs w:val="22"/>
          <w:lang w:val="en-AU"/>
        </w:rPr>
        <w:t xml:space="preserve"> </w:t>
      </w:r>
      <w:r w:rsidR="00C8548A" w:rsidRPr="009C75E8">
        <w:rPr>
          <w:rFonts w:asciiTheme="majorBidi" w:eastAsia="Times New Roman" w:hAnsiTheme="majorBidi" w:cstheme="majorBidi"/>
          <w:i/>
          <w:sz w:val="22"/>
          <w:szCs w:val="22"/>
          <w:lang w:val="en-AU"/>
        </w:rPr>
        <w:t>PBS News Hour</w:t>
      </w:r>
      <w:r w:rsidR="00C8548A" w:rsidRPr="009C75E8">
        <w:rPr>
          <w:rFonts w:asciiTheme="majorBidi" w:eastAsia="Times New Roman" w:hAnsiTheme="majorBidi" w:cstheme="majorBidi"/>
          <w:iCs/>
          <w:sz w:val="22"/>
          <w:szCs w:val="22"/>
          <w:lang w:val="en-AU"/>
        </w:rPr>
        <w:t xml:space="preserve"> September 17, 2001. </w:t>
      </w:r>
      <w:hyperlink r:id="rId20" w:history="1">
        <w:r w:rsidR="00C8548A" w:rsidRPr="009C75E8">
          <w:rPr>
            <w:rStyle w:val="Hyperlink"/>
            <w:rFonts w:asciiTheme="majorBidi" w:eastAsia="Times New Roman" w:hAnsiTheme="majorBidi" w:cstheme="majorBidi"/>
            <w:iCs/>
            <w:sz w:val="22"/>
            <w:szCs w:val="22"/>
            <w:lang w:val="en-AU"/>
          </w:rPr>
          <w:t>https://www.pbs.org/newshour/health/fda-advisory-panel-rejects-widespread-pfizer-vaccine-booster-shots</w:t>
        </w:r>
      </w:hyperlink>
      <w:r w:rsidR="00C8548A" w:rsidRPr="009C75E8">
        <w:rPr>
          <w:rFonts w:asciiTheme="majorBidi" w:eastAsia="Times New Roman" w:hAnsiTheme="majorBidi" w:cstheme="majorBidi"/>
          <w:iCs/>
          <w:sz w:val="22"/>
          <w:szCs w:val="22"/>
          <w:lang w:val="en-AU"/>
        </w:rPr>
        <w:t xml:space="preserve"> </w:t>
      </w:r>
    </w:p>
    <w:p w:rsidR="007C3A61" w:rsidRPr="009C75E8" w:rsidRDefault="007C3A61" w:rsidP="0075703C">
      <w:pPr>
        <w:spacing w:after="80" w:line="240" w:lineRule="auto"/>
        <w:ind w:left="720" w:hanging="720"/>
        <w:rPr>
          <w:rFonts w:asciiTheme="majorBidi" w:hAnsiTheme="majorBidi" w:cstheme="majorBidi"/>
          <w:color w:val="000000" w:themeColor="text1"/>
          <w:sz w:val="22"/>
          <w:szCs w:val="22"/>
          <w:shd w:val="clear" w:color="auto" w:fill="FFFFFF"/>
        </w:rPr>
      </w:pPr>
      <w:r w:rsidRPr="009C75E8">
        <w:rPr>
          <w:rFonts w:asciiTheme="majorBidi" w:hAnsiTheme="majorBidi" w:cstheme="majorBidi"/>
          <w:color w:val="000000" w:themeColor="text1"/>
          <w:sz w:val="22"/>
          <w:szCs w:val="22"/>
          <w:shd w:val="clear" w:color="auto" w:fill="FFFFFF"/>
        </w:rPr>
        <w:t xml:space="preserve">Reynolds, C., </w:t>
      </w:r>
      <w:proofErr w:type="spellStart"/>
      <w:r w:rsidRPr="009C75E8">
        <w:rPr>
          <w:rFonts w:asciiTheme="majorBidi" w:hAnsiTheme="majorBidi" w:cstheme="majorBidi"/>
          <w:color w:val="000000" w:themeColor="text1"/>
          <w:sz w:val="22"/>
          <w:szCs w:val="22"/>
          <w:shd w:val="clear" w:color="auto" w:fill="FFFFFF"/>
        </w:rPr>
        <w:t>Pade</w:t>
      </w:r>
      <w:proofErr w:type="spellEnd"/>
      <w:r w:rsidRPr="009C75E8">
        <w:rPr>
          <w:rFonts w:asciiTheme="majorBidi" w:hAnsiTheme="majorBidi" w:cstheme="majorBidi"/>
          <w:color w:val="000000" w:themeColor="text1"/>
          <w:sz w:val="22"/>
          <w:szCs w:val="22"/>
          <w:shd w:val="clear" w:color="auto" w:fill="FFFFFF"/>
        </w:rPr>
        <w:t xml:space="preserve">, C., Gibbons, J., Otter, A., Lin, K., Muñoz Sandoval, D., </w:t>
      </w:r>
      <w:r w:rsidR="0075703C" w:rsidRPr="009C75E8">
        <w:rPr>
          <w:rFonts w:asciiTheme="majorBidi" w:hAnsiTheme="majorBidi" w:cstheme="majorBidi"/>
          <w:color w:val="000000" w:themeColor="text1"/>
          <w:sz w:val="22"/>
          <w:szCs w:val="22"/>
          <w:shd w:val="clear" w:color="auto" w:fill="FFFFFF"/>
        </w:rPr>
        <w:t>… &amp; Moon, J.</w:t>
      </w:r>
      <w:r w:rsidRPr="009C75E8">
        <w:rPr>
          <w:rFonts w:asciiTheme="majorBidi" w:hAnsiTheme="majorBidi" w:cstheme="majorBidi"/>
          <w:color w:val="000000" w:themeColor="text1"/>
          <w:sz w:val="22"/>
          <w:szCs w:val="22"/>
          <w:shd w:val="clear" w:color="auto" w:fill="FFFFFF"/>
        </w:rPr>
        <w:t>. (2022). Immune boosting by B.1.1.529 </w:t>
      </w:r>
      <w:r w:rsidRPr="009C75E8">
        <w:rPr>
          <w:rFonts w:asciiTheme="majorBidi" w:hAnsiTheme="majorBidi" w:cstheme="majorBidi"/>
          <w:b/>
          <w:bCs/>
          <w:color w:val="000000" w:themeColor="text1"/>
          <w:sz w:val="22"/>
          <w:szCs w:val="22"/>
          <w:shd w:val="clear" w:color="auto" w:fill="FFFFFF"/>
        </w:rPr>
        <w:t>(</w:t>
      </w:r>
      <w:r w:rsidRPr="009C75E8">
        <w:rPr>
          <w:rFonts w:asciiTheme="majorBidi" w:hAnsiTheme="majorBidi" w:cstheme="majorBidi"/>
          <w:color w:val="000000" w:themeColor="text1"/>
          <w:sz w:val="22"/>
          <w:szCs w:val="22"/>
          <w:shd w:val="clear" w:color="auto" w:fill="FFFFFF"/>
        </w:rPr>
        <w:t>Omicron) depends on previous SARS-CoV-2</w:t>
      </w:r>
      <w:r w:rsidR="0075703C" w:rsidRPr="009C75E8">
        <w:rPr>
          <w:rFonts w:asciiTheme="majorBidi" w:hAnsiTheme="majorBidi" w:cstheme="majorBidi"/>
          <w:color w:val="000000" w:themeColor="text1"/>
          <w:sz w:val="22"/>
          <w:szCs w:val="22"/>
          <w:shd w:val="clear" w:color="auto" w:fill="FFFFFF"/>
        </w:rPr>
        <w:t xml:space="preserve"> exposure. </w:t>
      </w:r>
      <w:r w:rsidRPr="009C75E8">
        <w:rPr>
          <w:rFonts w:asciiTheme="majorBidi" w:hAnsiTheme="majorBidi" w:cstheme="majorBidi"/>
          <w:i/>
          <w:iCs/>
          <w:color w:val="000000" w:themeColor="text1"/>
          <w:sz w:val="22"/>
          <w:szCs w:val="22"/>
          <w:shd w:val="clear" w:color="auto" w:fill="FFFFFF"/>
        </w:rPr>
        <w:t>Science</w:t>
      </w:r>
      <w:r w:rsidRPr="009C75E8">
        <w:rPr>
          <w:rFonts w:asciiTheme="majorBidi" w:hAnsiTheme="majorBidi" w:cstheme="majorBidi"/>
          <w:color w:val="000000" w:themeColor="text1"/>
          <w:sz w:val="22"/>
          <w:szCs w:val="22"/>
          <w:shd w:val="clear" w:color="auto" w:fill="FFFFFF"/>
        </w:rPr>
        <w:t xml:space="preserve">, eabq1841. </w:t>
      </w:r>
      <w:hyperlink r:id="rId21" w:history="1">
        <w:r w:rsidR="0075703C" w:rsidRPr="009C75E8">
          <w:rPr>
            <w:rStyle w:val="Hyperlink"/>
            <w:rFonts w:asciiTheme="majorBidi" w:hAnsiTheme="majorBidi" w:cstheme="majorBidi"/>
            <w:sz w:val="22"/>
            <w:szCs w:val="22"/>
            <w:shd w:val="clear" w:color="auto" w:fill="FFFFFF"/>
          </w:rPr>
          <w:t>https://doi.org/10.1126/science.abq1841</w:t>
        </w:r>
      </w:hyperlink>
      <w:r w:rsidR="0075703C" w:rsidRPr="009C75E8">
        <w:rPr>
          <w:rFonts w:asciiTheme="majorBidi" w:hAnsiTheme="majorBidi" w:cstheme="majorBidi"/>
          <w:color w:val="000000" w:themeColor="text1"/>
          <w:sz w:val="22"/>
          <w:szCs w:val="22"/>
          <w:shd w:val="clear" w:color="auto" w:fill="FFFFFF"/>
        </w:rPr>
        <w:t xml:space="preserve"> </w:t>
      </w:r>
    </w:p>
    <w:p w:rsidR="00A90B31" w:rsidRPr="009C75E8" w:rsidRDefault="00A90B31" w:rsidP="007C3A61">
      <w:pPr>
        <w:spacing w:after="80" w:line="240" w:lineRule="auto"/>
        <w:ind w:left="720" w:hanging="720"/>
        <w:rPr>
          <w:rFonts w:asciiTheme="majorBidi" w:eastAsia="Times New Roman" w:hAnsiTheme="majorBidi" w:cstheme="majorBidi"/>
          <w:iCs/>
          <w:sz w:val="22"/>
          <w:szCs w:val="22"/>
        </w:rPr>
      </w:pPr>
      <w:r w:rsidRPr="009C75E8">
        <w:rPr>
          <w:rFonts w:asciiTheme="majorBidi" w:eastAsia="Times New Roman" w:hAnsiTheme="majorBidi" w:cstheme="majorBidi"/>
          <w:iCs/>
          <w:sz w:val="22"/>
          <w:szCs w:val="22"/>
          <w:lang w:val="en-AU"/>
        </w:rPr>
        <w:t>World Health Organization [WHO] (2022).</w:t>
      </w:r>
      <w:r w:rsidRPr="009C75E8">
        <w:rPr>
          <w:rFonts w:asciiTheme="majorBidi" w:eastAsia="Times New Roman" w:hAnsiTheme="majorBidi" w:cstheme="majorBidi"/>
          <w:iCs/>
          <w:sz w:val="22"/>
          <w:szCs w:val="22"/>
        </w:rPr>
        <w:t xml:space="preserve"> Interim statement on COVID-19 vaccines in the context of the circulation of the Omicron SARS-CoV-2 variant from the WHO Technical Advisory Group on COVID-19 Vaccine Composition (TAG-CO-VAC). January 11, 2022. </w:t>
      </w:r>
      <w:hyperlink r:id="rId22" w:history="1">
        <w:r w:rsidRPr="009C75E8">
          <w:rPr>
            <w:rStyle w:val="Hyperlink"/>
            <w:rFonts w:asciiTheme="majorBidi" w:eastAsia="Times New Roman" w:hAnsiTheme="majorBidi" w:cstheme="majorBidi"/>
            <w:iCs/>
            <w:sz w:val="22"/>
            <w:szCs w:val="22"/>
          </w:rPr>
          <w:t>https://www.who.int/news/item/11-01-2022-interim-statement-on-covid-19-vaccines-in-the-context-of-the-circulation-of-the-omicron-sars-cov-2-variant-from-the-who-technical-advisory-group-on-covid-19-vaccine-composition</w:t>
        </w:r>
      </w:hyperlink>
      <w:r w:rsidRPr="009C75E8">
        <w:rPr>
          <w:rFonts w:asciiTheme="majorBidi" w:eastAsia="Times New Roman" w:hAnsiTheme="majorBidi" w:cstheme="majorBidi"/>
          <w:iCs/>
          <w:sz w:val="22"/>
          <w:szCs w:val="22"/>
        </w:rPr>
        <w:t xml:space="preserve"> </w:t>
      </w:r>
    </w:p>
    <w:p w:rsidR="00F81169" w:rsidRPr="009C75E8" w:rsidRDefault="00F81169" w:rsidP="00F81169">
      <w:pPr>
        <w:spacing w:after="80" w:line="240" w:lineRule="auto"/>
        <w:ind w:left="720" w:hanging="720"/>
        <w:rPr>
          <w:rFonts w:asciiTheme="majorBidi" w:hAnsiTheme="majorBidi" w:cstheme="majorBidi"/>
          <w:color w:val="000000" w:themeColor="text1"/>
          <w:sz w:val="22"/>
          <w:szCs w:val="22"/>
          <w:shd w:val="clear" w:color="auto" w:fill="FFFFFF"/>
        </w:rPr>
      </w:pPr>
      <w:r w:rsidRPr="009C75E8">
        <w:rPr>
          <w:rFonts w:asciiTheme="majorBidi" w:hAnsiTheme="majorBidi" w:cstheme="majorBidi"/>
          <w:color w:val="000000" w:themeColor="text1"/>
          <w:sz w:val="22"/>
          <w:szCs w:val="22"/>
          <w:shd w:val="clear" w:color="auto" w:fill="FFFFFF"/>
        </w:rPr>
        <w:t xml:space="preserve">Yamamoto, K. (2022). Adverse effects of COVID-19 vaccines and measures to prevent them. </w:t>
      </w:r>
      <w:r w:rsidRPr="009C75E8">
        <w:rPr>
          <w:rFonts w:asciiTheme="majorBidi" w:hAnsiTheme="majorBidi" w:cstheme="majorBidi"/>
          <w:i/>
          <w:iCs/>
          <w:color w:val="000000" w:themeColor="text1"/>
          <w:sz w:val="22"/>
          <w:szCs w:val="22"/>
          <w:shd w:val="clear" w:color="auto" w:fill="FFFFFF"/>
        </w:rPr>
        <w:t>Virology Journal</w:t>
      </w:r>
      <w:r w:rsidRPr="009C75E8">
        <w:rPr>
          <w:rFonts w:asciiTheme="majorBidi" w:hAnsiTheme="majorBidi" w:cstheme="majorBidi"/>
          <w:color w:val="000000" w:themeColor="text1"/>
          <w:sz w:val="22"/>
          <w:szCs w:val="22"/>
          <w:shd w:val="clear" w:color="auto" w:fill="FFFFFF"/>
        </w:rPr>
        <w:t>, </w:t>
      </w:r>
      <w:r w:rsidRPr="009C75E8">
        <w:rPr>
          <w:rFonts w:asciiTheme="majorBidi" w:hAnsiTheme="majorBidi" w:cstheme="majorBidi"/>
          <w:i/>
          <w:iCs/>
          <w:color w:val="000000" w:themeColor="text1"/>
          <w:sz w:val="22"/>
          <w:szCs w:val="22"/>
          <w:shd w:val="clear" w:color="auto" w:fill="FFFFFF"/>
        </w:rPr>
        <w:t>19</w:t>
      </w:r>
      <w:r w:rsidRPr="009C75E8">
        <w:rPr>
          <w:rFonts w:asciiTheme="majorBidi" w:hAnsiTheme="majorBidi" w:cstheme="majorBidi"/>
          <w:color w:val="000000" w:themeColor="text1"/>
          <w:sz w:val="22"/>
          <w:szCs w:val="22"/>
          <w:shd w:val="clear" w:color="auto" w:fill="FFFFFF"/>
        </w:rPr>
        <w:t xml:space="preserve">(1), 1-3. </w:t>
      </w:r>
      <w:hyperlink r:id="rId23" w:history="1">
        <w:r w:rsidRPr="009C75E8">
          <w:rPr>
            <w:rStyle w:val="Hyperlink"/>
            <w:rFonts w:asciiTheme="majorBidi" w:hAnsiTheme="majorBidi" w:cstheme="majorBidi"/>
            <w:sz w:val="22"/>
            <w:szCs w:val="22"/>
            <w:shd w:val="clear" w:color="auto" w:fill="FFFFFF"/>
          </w:rPr>
          <w:t>https://doi.org/10.1186/s12985-022-01831-0</w:t>
        </w:r>
      </w:hyperlink>
      <w:r w:rsidRPr="009C75E8">
        <w:rPr>
          <w:rFonts w:asciiTheme="majorBidi" w:hAnsiTheme="majorBidi" w:cstheme="majorBidi"/>
          <w:color w:val="000000" w:themeColor="text1"/>
          <w:sz w:val="22"/>
          <w:szCs w:val="22"/>
          <w:shd w:val="clear" w:color="auto" w:fill="FFFFFF"/>
        </w:rPr>
        <w:t xml:space="preserve"> </w:t>
      </w:r>
    </w:p>
    <w:p w:rsidR="00640C1E" w:rsidRPr="00587359" w:rsidRDefault="00640C1E" w:rsidP="00133C61">
      <w:pPr>
        <w:widowControl w:val="0"/>
        <w:spacing w:after="120" w:line="276" w:lineRule="auto"/>
        <w:ind w:left="720" w:hanging="720"/>
        <w:rPr>
          <w:rFonts w:asciiTheme="majorBidi" w:eastAsia="Times New Roman" w:hAnsiTheme="majorBidi" w:cstheme="majorBidi"/>
          <w:sz w:val="22"/>
          <w:szCs w:val="22"/>
          <w:lang w:bidi="he-IL"/>
        </w:rPr>
      </w:pPr>
    </w:p>
    <w:p w:rsidR="00D530E0" w:rsidRDefault="00D530E0">
      <w:pPr>
        <w:rPr>
          <w:rFonts w:asciiTheme="majorBidi" w:eastAsia="Times New Roman" w:hAnsiTheme="majorBidi" w:cstheme="majorBidi"/>
          <w:lang w:bidi="he-IL"/>
        </w:rPr>
      </w:pPr>
      <w:r>
        <w:rPr>
          <w:rFonts w:asciiTheme="majorBidi" w:eastAsia="Times New Roman" w:hAnsiTheme="majorBidi" w:cstheme="majorBidi"/>
          <w:lang w:bidi="he-IL"/>
        </w:rPr>
        <w:br w:type="page"/>
      </w:r>
    </w:p>
    <w:p w:rsidR="006E1A33" w:rsidRPr="00D530E0" w:rsidRDefault="00D530E0" w:rsidP="00CA7076">
      <w:pPr>
        <w:widowControl w:val="0"/>
        <w:spacing w:after="20" w:line="276" w:lineRule="auto"/>
        <w:ind w:left="720" w:hanging="720"/>
        <w:jc w:val="center"/>
        <w:rPr>
          <w:rFonts w:asciiTheme="majorBidi" w:eastAsia="Times New Roman" w:hAnsiTheme="majorBidi" w:cstheme="majorBidi"/>
          <w:b/>
          <w:bCs/>
          <w:lang w:bidi="he-IL"/>
        </w:rPr>
      </w:pPr>
      <w:r w:rsidRPr="00D530E0">
        <w:rPr>
          <w:rFonts w:asciiTheme="majorBidi" w:eastAsia="Times New Roman" w:hAnsiTheme="majorBidi" w:cstheme="majorBidi"/>
          <w:b/>
          <w:bCs/>
          <w:lang w:bidi="he-IL"/>
        </w:rPr>
        <w:lastRenderedPageBreak/>
        <w:t>Appendix A</w:t>
      </w:r>
    </w:p>
    <w:p w:rsidR="00D530E0" w:rsidRDefault="00D530E0" w:rsidP="00D530E0">
      <w:pPr>
        <w:widowControl w:val="0"/>
        <w:spacing w:after="120" w:line="276" w:lineRule="auto"/>
        <w:ind w:left="720" w:hanging="720"/>
        <w:jc w:val="center"/>
        <w:rPr>
          <w:rFonts w:asciiTheme="majorBidi" w:eastAsia="Times New Roman" w:hAnsiTheme="majorBidi" w:cstheme="majorBidi"/>
          <w:lang w:bidi="he-IL"/>
        </w:rPr>
      </w:pPr>
      <w:r w:rsidRPr="00D530E0">
        <w:rPr>
          <w:rFonts w:asciiTheme="majorBidi" w:eastAsia="Times New Roman" w:hAnsiTheme="majorBidi" w:cstheme="majorBidi"/>
          <w:b/>
          <w:bCs/>
          <w:lang w:bidi="he-IL"/>
        </w:rPr>
        <w:t>Evidence from a Monthly Panel of OECD Countries</w:t>
      </w:r>
    </w:p>
    <w:p w:rsidR="00C81C41" w:rsidRDefault="00D530E0" w:rsidP="00C81C41">
      <w:pPr>
        <w:spacing w:after="0" w:line="288" w:lineRule="auto"/>
        <w:ind w:firstLine="720"/>
        <w:rPr>
          <w:rFonts w:asciiTheme="majorBidi" w:hAnsiTheme="majorBidi" w:cstheme="majorBidi"/>
        </w:rPr>
      </w:pPr>
      <w:r>
        <w:rPr>
          <w:rFonts w:eastAsia="Times New Roman" w:cs="Arial"/>
          <w:lang w:bidi="he-IL"/>
        </w:rPr>
        <w:t xml:space="preserve">Data on the number of people vaccinated under original protocols for </w:t>
      </w:r>
      <w:r w:rsidR="0093573E">
        <w:rPr>
          <w:rFonts w:eastAsia="Times New Roman" w:cs="Arial"/>
          <w:lang w:bidi="he-IL"/>
        </w:rPr>
        <w:t xml:space="preserve">the </w:t>
      </w:r>
      <w:r>
        <w:rPr>
          <w:rFonts w:eastAsia="Times New Roman" w:cs="Arial"/>
          <w:lang w:bidi="he-IL"/>
        </w:rPr>
        <w:t xml:space="preserve">COVID-19 vaccines and the number of booster doses </w:t>
      </w:r>
      <w:r w:rsidR="0093573E">
        <w:rPr>
          <w:rFonts w:eastAsia="Times New Roman" w:cs="Arial"/>
          <w:lang w:bidi="he-IL"/>
        </w:rPr>
        <w:t xml:space="preserve">given </w:t>
      </w:r>
      <w:r>
        <w:rPr>
          <w:rFonts w:eastAsia="Times New Roman" w:cs="Arial"/>
          <w:lang w:bidi="he-IL"/>
        </w:rPr>
        <w:t xml:space="preserve">(both per 100 population) were obtained from </w:t>
      </w:r>
      <w:r>
        <w:rPr>
          <w:rFonts w:eastAsia="Times New Roman" w:cs="Arial"/>
          <w:i/>
          <w:iCs/>
          <w:lang w:bidi="he-IL"/>
        </w:rPr>
        <w:t>Our World in Data</w:t>
      </w:r>
      <w:r>
        <w:rPr>
          <w:rFonts w:eastAsia="Times New Roman" w:cs="Arial"/>
          <w:lang w:bidi="he-IL"/>
        </w:rPr>
        <w:t xml:space="preserve"> </w:t>
      </w:r>
      <w:r>
        <w:rPr>
          <w:rFonts w:asciiTheme="majorBidi" w:hAnsiTheme="majorBidi" w:cstheme="majorBidi"/>
        </w:rPr>
        <w:t>(</w:t>
      </w:r>
      <w:r w:rsidRPr="008361F4">
        <w:rPr>
          <w:rFonts w:asciiTheme="majorBidi" w:hAnsiTheme="majorBidi" w:cstheme="majorBidi"/>
          <w:color w:val="222222"/>
          <w:shd w:val="clear" w:color="auto" w:fill="FFFFFF"/>
        </w:rPr>
        <w:t>Mathieu</w:t>
      </w:r>
      <w:r>
        <w:rPr>
          <w:rFonts w:asciiTheme="majorBidi" w:hAnsiTheme="majorBidi" w:cstheme="majorBidi"/>
          <w:color w:val="222222"/>
          <w:shd w:val="clear" w:color="auto" w:fill="FFFFFF"/>
        </w:rPr>
        <w:t xml:space="preserve"> et al, 2021) for the 31 countries (including New Zealand) that are members of the OECD and are part of the short-term mortality fluctuations database (</w:t>
      </w:r>
      <w:proofErr w:type="spellStart"/>
      <w:r w:rsidRPr="00D335B6">
        <w:rPr>
          <w:rFonts w:asciiTheme="majorBidi" w:eastAsia="Times New Roman" w:hAnsiTheme="majorBidi" w:cstheme="majorBidi"/>
          <w:iCs/>
        </w:rPr>
        <w:t>Németh</w:t>
      </w:r>
      <w:proofErr w:type="spellEnd"/>
      <w:r w:rsidRPr="00D335B6">
        <w:rPr>
          <w:rFonts w:asciiTheme="majorBidi" w:hAnsiTheme="majorBidi" w:cstheme="majorBidi"/>
          <w:bCs/>
        </w:rPr>
        <w:t xml:space="preserve"> et al, 2021)</w:t>
      </w:r>
      <w:r>
        <w:rPr>
          <w:rFonts w:asciiTheme="majorBidi" w:hAnsiTheme="majorBidi" w:cstheme="majorBidi"/>
          <w:bCs/>
        </w:rPr>
        <w:t xml:space="preserve">. These data were aggregated to monthly averages by country, for the August 2021 to May 2022 period, where the beginning of this period </w:t>
      </w:r>
      <w:r w:rsidR="0093573E">
        <w:rPr>
          <w:rFonts w:asciiTheme="majorBidi" w:hAnsiTheme="majorBidi" w:cstheme="majorBidi"/>
          <w:bCs/>
        </w:rPr>
        <w:t xml:space="preserve">aligns with </w:t>
      </w:r>
      <w:r>
        <w:rPr>
          <w:rFonts w:asciiTheme="majorBidi" w:hAnsiTheme="majorBidi" w:cstheme="majorBidi"/>
          <w:bCs/>
        </w:rPr>
        <w:t>the start of booster rollouts to the general population in many of these countries and the end of the period</w:t>
      </w:r>
      <w:r w:rsidR="0093573E">
        <w:rPr>
          <w:rFonts w:asciiTheme="majorBidi" w:hAnsiTheme="majorBidi" w:cstheme="majorBidi"/>
          <w:bCs/>
        </w:rPr>
        <w:t xml:space="preserve"> is set by the availability of excess mortality estimates for a majority of these countries. In this sample, </w:t>
      </w:r>
      <w:r w:rsidR="0093573E">
        <w:t>excess mortality p-scores (the percentage by which total deaths differ from expected deaths)</w:t>
      </w:r>
      <w:r w:rsidR="0093573E">
        <w:t xml:space="preserve"> average 11.8, the vaccination rate (for original protocol doses) averages 72.3% and booster use averages 28.3 doses per 100 people.</w:t>
      </w:r>
      <w:r w:rsidR="00C81C41">
        <w:t xml:space="preserve"> In other words, deaths are running 12 percent higher than expected and the interest here is</w:t>
      </w:r>
      <w:r w:rsidR="00B40655">
        <w:t xml:space="preserve"> in</w:t>
      </w:r>
      <w:r w:rsidR="00C81C41">
        <w:t xml:space="preserve"> seeing how </w:t>
      </w:r>
      <w:r w:rsidR="00B40655">
        <w:t xml:space="preserve">the </w:t>
      </w:r>
      <w:r w:rsidR="00C81C41">
        <w:t xml:space="preserve">variation around this average relates to the use of the COVID-19 vaccines (both boosters and original protocol doses). While the estimated relationship is a conditional correlation, concern about omitted variables bias can be </w:t>
      </w:r>
      <w:r w:rsidR="00C81C41">
        <w:rPr>
          <w:rFonts w:asciiTheme="majorBidi" w:hAnsiTheme="majorBidi" w:cstheme="majorBidi"/>
        </w:rPr>
        <w:t>mitigated by using two-way fixed effects to control for time-invariant unobserved country factors and space-invariant temporal factors that might othe</w:t>
      </w:r>
      <w:r w:rsidR="00B40655">
        <w:rPr>
          <w:rFonts w:asciiTheme="majorBidi" w:hAnsiTheme="majorBidi" w:cstheme="majorBidi"/>
        </w:rPr>
        <w:t>rwise confound the</w:t>
      </w:r>
      <w:r w:rsidR="00C81C41">
        <w:rPr>
          <w:rFonts w:asciiTheme="majorBidi" w:hAnsiTheme="majorBidi" w:cstheme="majorBidi"/>
        </w:rPr>
        <w:t xml:space="preserve"> relationship. The results of this regression are as follows:</w:t>
      </w:r>
    </w:p>
    <w:p w:rsidR="00C81C41" w:rsidRDefault="00B40655" w:rsidP="00B40655">
      <w:pPr>
        <w:spacing w:before="80" w:after="0" w:line="288" w:lineRule="auto"/>
        <w:jc w:val="center"/>
        <w:rPr>
          <w:rFonts w:asciiTheme="majorBidi" w:hAnsiTheme="majorBidi" w:cstheme="majorBidi"/>
        </w:rPr>
      </w:pPr>
      <w:r>
        <w:rPr>
          <w:rFonts w:asciiTheme="majorBidi" w:hAnsiTheme="majorBidi" w:cstheme="majorBidi"/>
          <w:noProof/>
          <w:lang w:eastAsia="zh-CN"/>
        </w:rPr>
        <w:drawing>
          <wp:inline distT="0" distB="0" distL="0" distR="0" wp14:anchorId="7162FA8E" wp14:editId="7D330687">
            <wp:extent cx="5632823" cy="3302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24A90.tmp"/>
                    <pic:cNvPicPr/>
                  </pic:nvPicPr>
                  <pic:blipFill rotWithShape="1">
                    <a:blip r:embed="rId24">
                      <a:extLst>
                        <a:ext uri="{28A0092B-C50C-407E-A947-70E740481C1C}">
                          <a14:useLocalDpi xmlns:a14="http://schemas.microsoft.com/office/drawing/2010/main" val="0"/>
                        </a:ext>
                      </a:extLst>
                    </a:blip>
                    <a:srcRect l="6913" t="17835" r="8265" b="10700"/>
                    <a:stretch/>
                  </pic:blipFill>
                  <pic:spPr bwMode="auto">
                    <a:xfrm>
                      <a:off x="0" y="0"/>
                      <a:ext cx="5651236" cy="3312794"/>
                    </a:xfrm>
                    <a:prstGeom prst="rect">
                      <a:avLst/>
                    </a:prstGeom>
                    <a:ln>
                      <a:noFill/>
                    </a:ln>
                    <a:extLst>
                      <a:ext uri="{53640926-AAD7-44D8-BBD7-CCE9431645EC}">
                        <a14:shadowObscured xmlns:a14="http://schemas.microsoft.com/office/drawing/2010/main"/>
                      </a:ext>
                    </a:extLst>
                  </pic:spPr>
                </pic:pic>
              </a:graphicData>
            </a:graphic>
          </wp:inline>
        </w:drawing>
      </w:r>
    </w:p>
    <w:p w:rsidR="00C81C41" w:rsidRDefault="00C81C41" w:rsidP="00872914">
      <w:pPr>
        <w:spacing w:after="0" w:line="288" w:lineRule="auto"/>
      </w:pPr>
      <w:r>
        <w:t>E</w:t>
      </w:r>
      <w:r>
        <w:t>xcess mortality p-scores are 4.4 percentage points higher for every 10 doses per 100 people higher is the average booster rate</w:t>
      </w:r>
      <w:r>
        <w:t xml:space="preserve"> </w:t>
      </w:r>
      <w:r w:rsidR="00872914">
        <w:t>(</w:t>
      </w:r>
      <w:r w:rsidR="00872914" w:rsidRPr="00872914">
        <w:rPr>
          <w:i/>
          <w:iCs/>
        </w:rPr>
        <w:t>p</w:t>
      </w:r>
      <w:r w:rsidR="00872914">
        <w:t>&lt;0.01)</w:t>
      </w:r>
      <w:r>
        <w:t xml:space="preserve">, controlling for the </w:t>
      </w:r>
      <w:r w:rsidR="00872914">
        <w:t xml:space="preserve">proportion </w:t>
      </w:r>
      <w:r>
        <w:t xml:space="preserve">of people </w:t>
      </w:r>
      <w:r w:rsidR="00872914">
        <w:t xml:space="preserve">who </w:t>
      </w:r>
      <w:r>
        <w:t>had been fully vaccinated under original protocols (noting that being fully vaccinated is a necessary condition for being boosted).</w:t>
      </w:r>
      <w:r w:rsidR="00872914">
        <w:t xml:space="preserve"> In other words, excess mortality is higher where and when booster use is higher.</w:t>
      </w:r>
    </w:p>
    <w:p w:rsidR="00C81C41" w:rsidRPr="00B40655" w:rsidRDefault="00C81C41" w:rsidP="00B40655">
      <w:bookmarkStart w:id="0" w:name="_GoBack"/>
      <w:bookmarkEnd w:id="0"/>
    </w:p>
    <w:sectPr w:rsidR="00C81C41" w:rsidRPr="00B40655" w:rsidSect="00BC3674">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45" w:rsidRDefault="00AB0B45" w:rsidP="00A97771">
      <w:pPr>
        <w:spacing w:after="0" w:line="240" w:lineRule="auto"/>
      </w:pPr>
      <w:r>
        <w:separator/>
      </w:r>
    </w:p>
  </w:endnote>
  <w:endnote w:type="continuationSeparator" w:id="0">
    <w:p w:rsidR="00AB0B45" w:rsidRDefault="00AB0B45"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71763"/>
      <w:docPartObj>
        <w:docPartGallery w:val="Page Numbers (Bottom of Page)"/>
        <w:docPartUnique/>
      </w:docPartObj>
    </w:sdtPr>
    <w:sdtEndPr>
      <w:rPr>
        <w:noProof/>
      </w:rPr>
    </w:sdtEndPr>
    <w:sdtContent>
      <w:p w:rsidR="00732025" w:rsidRDefault="00732025" w:rsidP="00FE2861">
        <w:pPr>
          <w:pStyle w:val="Footer"/>
          <w:jc w:val="center"/>
        </w:pPr>
        <w:r>
          <w:fldChar w:fldCharType="begin"/>
        </w:r>
        <w:r>
          <w:instrText xml:space="preserve"> PAGE   \* MERGEFORMAT </w:instrText>
        </w:r>
        <w:r>
          <w:fldChar w:fldCharType="separate"/>
        </w:r>
        <w:r w:rsidR="00513BF7">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45" w:rsidRDefault="00AB0B45" w:rsidP="00A97771">
      <w:pPr>
        <w:spacing w:after="0" w:line="240" w:lineRule="auto"/>
      </w:pPr>
      <w:r>
        <w:separator/>
      </w:r>
    </w:p>
  </w:footnote>
  <w:footnote w:type="continuationSeparator" w:id="0">
    <w:p w:rsidR="00AB0B45" w:rsidRDefault="00AB0B45" w:rsidP="00A97771">
      <w:pPr>
        <w:spacing w:after="0" w:line="240" w:lineRule="auto"/>
      </w:pPr>
      <w:r>
        <w:continuationSeparator/>
      </w:r>
    </w:p>
  </w:footnote>
  <w:footnote w:id="1">
    <w:p w:rsidR="00732025" w:rsidRDefault="00732025" w:rsidP="00DB6A73">
      <w:pPr>
        <w:pStyle w:val="FootnoteText"/>
      </w:pPr>
      <w:r>
        <w:rPr>
          <w:rStyle w:val="FootnoteReference"/>
        </w:rPr>
        <w:footnoteRef/>
      </w:r>
      <w:r>
        <w:t xml:space="preserve"> Appendix A shows that monthly average excess mortality p-scores (the percentage by which total deaths differ from expected deaths) are 4.4 percentage points higher for every 10 doses per 100 people higher is the average booster rate (the mean booster rate is 28 per 100), for 31 OECD countries between August 2021 and May 2022.</w:t>
      </w:r>
    </w:p>
  </w:footnote>
  <w:footnote w:id="2">
    <w:p w:rsidR="00732025" w:rsidRDefault="00732025" w:rsidP="00D530E0">
      <w:pPr>
        <w:pStyle w:val="FootnoteText"/>
      </w:pPr>
      <w:r>
        <w:rPr>
          <w:rStyle w:val="FootnoteReference"/>
        </w:rPr>
        <w:footnoteRef/>
      </w:r>
      <w:r>
        <w:t xml:space="preserve"> Using cumulative cases per million people from </w:t>
      </w:r>
      <w:r w:rsidRPr="006C580E">
        <w:rPr>
          <w:i/>
          <w:iCs/>
        </w:rPr>
        <w:t>Our World in Data</w:t>
      </w:r>
      <w:r>
        <w:t xml:space="preserve">. </w:t>
      </w:r>
      <w:r>
        <w:rPr>
          <w:rFonts w:asciiTheme="majorBidi" w:hAnsiTheme="majorBidi" w:cstheme="majorBidi"/>
          <w:bCs/>
          <w:lang w:val="en-US"/>
        </w:rPr>
        <w:t>Omicron arrived on 26 January 2022. Earlier variants were suppressed by using two-week managed isolation and quarantine for overseas arrivals, quarantining community cases and their household contacts, and a series of hard lockdowns.</w:t>
      </w:r>
    </w:p>
  </w:footnote>
  <w:footnote w:id="3">
    <w:p w:rsidR="00732025" w:rsidRDefault="00732025" w:rsidP="00EA56EF">
      <w:pPr>
        <w:pStyle w:val="FootnoteText"/>
      </w:pPr>
      <w:r>
        <w:rPr>
          <w:rStyle w:val="FootnoteReference"/>
        </w:rPr>
        <w:footnoteRef/>
      </w:r>
      <w:r>
        <w:t xml:space="preserve"> Cost-benefit analyses by the NZ Treasury reportedly use a Value of Statistical Life (VSL) of $4.7 million (Coughlan, 2019) which is about $5m in 2022 terms. Age-adjustment is needed because no booster-related rise in excess mortality shows up for the 0-29 age group. Using a quality-adjusted life year value of $62,000 (</w:t>
      </w:r>
      <w:proofErr w:type="spellStart"/>
      <w:r>
        <w:t>Lally</w:t>
      </w:r>
      <w:proofErr w:type="spellEnd"/>
      <w:r>
        <w:t>, 2021) adds up to almost $1 million for the median person aged 0-29 years, so without them the average VSL for the remaining ages should be about $4 million.</w:t>
      </w:r>
    </w:p>
  </w:footnote>
  <w:footnote w:id="4">
    <w:p w:rsidR="00732025" w:rsidRDefault="00732025" w:rsidP="00910485">
      <w:pPr>
        <w:pStyle w:val="FootnoteText"/>
      </w:pPr>
      <w:r>
        <w:rPr>
          <w:rStyle w:val="FootnoteReference"/>
        </w:rPr>
        <w:footnoteRef/>
      </w:r>
      <w:r>
        <w:t xml:space="preserve"> </w:t>
      </w:r>
      <w:r w:rsidRPr="00C92516">
        <w:t xml:space="preserve">Data are from </w:t>
      </w:r>
      <w:hyperlink r:id="rId1" w:history="1">
        <w:r w:rsidRPr="00BF7B5D">
          <w:rPr>
            <w:rStyle w:val="Hyperlink"/>
          </w:rPr>
          <w:t>https://www.stats.govt.nz/experimental/covid-19-data-portal</w:t>
        </w:r>
      </w:hyperlink>
      <w:r>
        <w:t>.</w:t>
      </w:r>
      <w:r w:rsidRPr="00C92516">
        <w:t xml:space="preserve"> Counts of all deaths (for four age groups), based on </w:t>
      </w:r>
      <w:r>
        <w:t xml:space="preserve">week </w:t>
      </w:r>
      <w:r w:rsidRPr="00C92516">
        <w:t>of death</w:t>
      </w:r>
      <w:r>
        <w:t xml:space="preserve">, are given. This is more correct than using </w:t>
      </w:r>
      <w:r w:rsidRPr="00C92516">
        <w:t>date of registration (</w:t>
      </w:r>
      <w:r w:rsidR="000A08AF">
        <w:t xml:space="preserve">which is </w:t>
      </w:r>
      <w:r>
        <w:t xml:space="preserve">based </w:t>
      </w:r>
      <w:r w:rsidRPr="00C92516">
        <w:t xml:space="preserve">on </w:t>
      </w:r>
      <w:r>
        <w:t xml:space="preserve">burial or </w:t>
      </w:r>
      <w:r w:rsidRPr="00C92516">
        <w:t>cremation dates).</w:t>
      </w:r>
    </w:p>
  </w:footnote>
  <w:footnote w:id="5">
    <w:p w:rsidR="00732025" w:rsidRDefault="00732025" w:rsidP="000A08AF">
      <w:pPr>
        <w:pStyle w:val="FootnoteText"/>
      </w:pPr>
      <w:r>
        <w:rPr>
          <w:rStyle w:val="FootnoteReference"/>
        </w:rPr>
        <w:footnoteRef/>
      </w:r>
      <w:r>
        <w:t xml:space="preserve"> As of mid-June 2022, deaths data are available through late May. However, latest counts are revised upwards for several weeks thereafter so the most </w:t>
      </w:r>
      <w:r w:rsidR="000A08AF">
        <w:t xml:space="preserve">accurate </w:t>
      </w:r>
      <w:r>
        <w:t>data have a lag of at least eight weeks.</w:t>
      </w:r>
    </w:p>
  </w:footnote>
  <w:footnote w:id="6">
    <w:p w:rsidR="00536A78" w:rsidRPr="00536A78" w:rsidRDefault="00536A78" w:rsidP="00536A78">
      <w:pPr>
        <w:pStyle w:val="FootnoteText"/>
        <w:rPr>
          <w:rFonts w:asciiTheme="majorBidi" w:hAnsiTheme="majorBidi" w:cstheme="majorBidi"/>
        </w:rPr>
      </w:pPr>
      <w:r w:rsidRPr="00536A78">
        <w:rPr>
          <w:rStyle w:val="FootnoteReference"/>
          <w:rFonts w:asciiTheme="majorBidi" w:hAnsiTheme="majorBidi" w:cstheme="majorBidi"/>
        </w:rPr>
        <w:footnoteRef/>
      </w:r>
      <w:r w:rsidRPr="00536A78">
        <w:rPr>
          <w:rFonts w:asciiTheme="majorBidi" w:hAnsiTheme="majorBidi" w:cstheme="majorBidi"/>
        </w:rPr>
        <w:t xml:space="preserve"> </w:t>
      </w:r>
      <w:r w:rsidRPr="00536A78">
        <w:rPr>
          <w:rFonts w:asciiTheme="majorBidi" w:hAnsiTheme="majorBidi" w:cstheme="majorBidi"/>
          <w:shd w:val="clear" w:color="auto" w:fill="FFFFFF"/>
        </w:rPr>
        <w:t> </w:t>
      </w:r>
      <w:r>
        <w:rPr>
          <w:rFonts w:asciiTheme="majorBidi" w:hAnsiTheme="majorBidi" w:cstheme="majorBidi"/>
          <w:shd w:val="clear" w:color="auto" w:fill="FFFFFF"/>
        </w:rPr>
        <w:t>I</w:t>
      </w:r>
      <w:r w:rsidRPr="00536A78">
        <w:rPr>
          <w:rFonts w:asciiTheme="majorBidi" w:hAnsiTheme="majorBidi" w:cstheme="majorBidi"/>
          <w:shd w:val="clear" w:color="auto" w:fill="FFFFFF"/>
        </w:rPr>
        <w:t xml:space="preserve">ncreased risk (relative to </w:t>
      </w:r>
      <w:r>
        <w:rPr>
          <w:rFonts w:asciiTheme="majorBidi" w:hAnsiTheme="majorBidi" w:cstheme="majorBidi"/>
          <w:shd w:val="clear" w:color="auto" w:fill="FFFFFF"/>
        </w:rPr>
        <w:t xml:space="preserve">placebo group </w:t>
      </w:r>
      <w:r w:rsidRPr="00536A78">
        <w:rPr>
          <w:rFonts w:asciiTheme="majorBidi" w:hAnsiTheme="majorBidi" w:cstheme="majorBidi"/>
          <w:shd w:val="clear" w:color="auto" w:fill="FFFFFF"/>
        </w:rPr>
        <w:t>baselines) of serious adverse events</w:t>
      </w:r>
      <w:r>
        <w:rPr>
          <w:rFonts w:asciiTheme="majorBidi" w:hAnsiTheme="majorBidi" w:cstheme="majorBidi"/>
          <w:shd w:val="clear" w:color="auto" w:fill="FFFFFF"/>
        </w:rPr>
        <w:t xml:space="preserve"> were 151 per 100,000 vaccinated with </w:t>
      </w:r>
      <w:proofErr w:type="spellStart"/>
      <w:r>
        <w:rPr>
          <w:rFonts w:asciiTheme="majorBidi" w:hAnsiTheme="majorBidi" w:cstheme="majorBidi"/>
          <w:shd w:val="clear" w:color="auto" w:fill="FFFFFF"/>
        </w:rPr>
        <w:t>Moderna</w:t>
      </w:r>
      <w:proofErr w:type="spellEnd"/>
      <w:r>
        <w:rPr>
          <w:rFonts w:asciiTheme="majorBidi" w:hAnsiTheme="majorBidi" w:cstheme="majorBidi"/>
          <w:shd w:val="clear" w:color="auto" w:fill="FFFFFF"/>
        </w:rPr>
        <w:t xml:space="preserve"> and 10</w:t>
      </w:r>
      <w:r w:rsidRPr="00536A78">
        <w:rPr>
          <w:rFonts w:asciiTheme="majorBidi" w:hAnsiTheme="majorBidi" w:cstheme="majorBidi"/>
          <w:shd w:val="clear" w:color="auto" w:fill="FFFFFF"/>
        </w:rPr>
        <w:t>1 per 10</w:t>
      </w:r>
      <w:r>
        <w:rPr>
          <w:rFonts w:asciiTheme="majorBidi" w:hAnsiTheme="majorBidi" w:cstheme="majorBidi"/>
          <w:shd w:val="clear" w:color="auto" w:fill="FFFFFF"/>
        </w:rPr>
        <w:t>0</w:t>
      </w:r>
      <w:r w:rsidRPr="00536A78">
        <w:rPr>
          <w:rFonts w:asciiTheme="majorBidi" w:hAnsiTheme="majorBidi" w:cstheme="majorBidi"/>
          <w:shd w:val="clear" w:color="auto" w:fill="FFFFFF"/>
        </w:rPr>
        <w:t>,000 vaccinated </w:t>
      </w:r>
      <w:r>
        <w:rPr>
          <w:rFonts w:asciiTheme="majorBidi" w:hAnsiTheme="majorBidi" w:cstheme="majorBidi"/>
          <w:shd w:val="clear" w:color="auto" w:fill="FFFFFF"/>
        </w:rPr>
        <w:t xml:space="preserve">with Pfizer. These increased risks exceeded the risk reduction for COVID-19 hospitalization for vaccinees.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B30"/>
    <w:multiLevelType w:val="hybridMultilevel"/>
    <w:tmpl w:val="2AFA34B2"/>
    <w:lvl w:ilvl="0" w:tplc="5A2EFB8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CD46F1A"/>
    <w:multiLevelType w:val="hybridMultilevel"/>
    <w:tmpl w:val="67E2E9C6"/>
    <w:lvl w:ilvl="0" w:tplc="FBBC02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B"/>
    <w:rsid w:val="00000E84"/>
    <w:rsid w:val="00001B7E"/>
    <w:rsid w:val="00001E68"/>
    <w:rsid w:val="00002279"/>
    <w:rsid w:val="00004403"/>
    <w:rsid w:val="00004567"/>
    <w:rsid w:val="000053DA"/>
    <w:rsid w:val="000065F2"/>
    <w:rsid w:val="00007103"/>
    <w:rsid w:val="00007462"/>
    <w:rsid w:val="00007A41"/>
    <w:rsid w:val="00010C53"/>
    <w:rsid w:val="00012246"/>
    <w:rsid w:val="00013328"/>
    <w:rsid w:val="0001424F"/>
    <w:rsid w:val="0001456C"/>
    <w:rsid w:val="000150BC"/>
    <w:rsid w:val="00016A72"/>
    <w:rsid w:val="00016ED6"/>
    <w:rsid w:val="000200EC"/>
    <w:rsid w:val="00020BEC"/>
    <w:rsid w:val="00023C81"/>
    <w:rsid w:val="00023ED8"/>
    <w:rsid w:val="0002469C"/>
    <w:rsid w:val="0002493E"/>
    <w:rsid w:val="00025317"/>
    <w:rsid w:val="00026615"/>
    <w:rsid w:val="000271F1"/>
    <w:rsid w:val="00027ABC"/>
    <w:rsid w:val="00027AC8"/>
    <w:rsid w:val="000302A6"/>
    <w:rsid w:val="000304BD"/>
    <w:rsid w:val="00031CE0"/>
    <w:rsid w:val="00031EE7"/>
    <w:rsid w:val="00032873"/>
    <w:rsid w:val="00032B6E"/>
    <w:rsid w:val="00032F1D"/>
    <w:rsid w:val="000359F4"/>
    <w:rsid w:val="00036F59"/>
    <w:rsid w:val="00037AFC"/>
    <w:rsid w:val="00040879"/>
    <w:rsid w:val="00041814"/>
    <w:rsid w:val="00041C56"/>
    <w:rsid w:val="000429B6"/>
    <w:rsid w:val="000430B4"/>
    <w:rsid w:val="00044576"/>
    <w:rsid w:val="0004457F"/>
    <w:rsid w:val="00044689"/>
    <w:rsid w:val="00045373"/>
    <w:rsid w:val="00047C60"/>
    <w:rsid w:val="0005182B"/>
    <w:rsid w:val="00051CFA"/>
    <w:rsid w:val="00052401"/>
    <w:rsid w:val="00052767"/>
    <w:rsid w:val="000536CC"/>
    <w:rsid w:val="00055721"/>
    <w:rsid w:val="00056FE0"/>
    <w:rsid w:val="000575F7"/>
    <w:rsid w:val="00057774"/>
    <w:rsid w:val="0006405C"/>
    <w:rsid w:val="000663C4"/>
    <w:rsid w:val="00066616"/>
    <w:rsid w:val="00066A91"/>
    <w:rsid w:val="00066F0C"/>
    <w:rsid w:val="000679C1"/>
    <w:rsid w:val="00070934"/>
    <w:rsid w:val="00070E29"/>
    <w:rsid w:val="00071E99"/>
    <w:rsid w:val="000728C5"/>
    <w:rsid w:val="00072F37"/>
    <w:rsid w:val="00074ECB"/>
    <w:rsid w:val="00075759"/>
    <w:rsid w:val="00075D6D"/>
    <w:rsid w:val="000766F8"/>
    <w:rsid w:val="00080066"/>
    <w:rsid w:val="00080123"/>
    <w:rsid w:val="0008015C"/>
    <w:rsid w:val="00081B74"/>
    <w:rsid w:val="0008350E"/>
    <w:rsid w:val="000841D6"/>
    <w:rsid w:val="00084D97"/>
    <w:rsid w:val="000851F0"/>
    <w:rsid w:val="000875B9"/>
    <w:rsid w:val="00087C02"/>
    <w:rsid w:val="000900CE"/>
    <w:rsid w:val="00091BAC"/>
    <w:rsid w:val="00092079"/>
    <w:rsid w:val="00092EA4"/>
    <w:rsid w:val="000A08AF"/>
    <w:rsid w:val="000A200C"/>
    <w:rsid w:val="000A3580"/>
    <w:rsid w:val="000A3E9C"/>
    <w:rsid w:val="000A4237"/>
    <w:rsid w:val="000A5474"/>
    <w:rsid w:val="000A6977"/>
    <w:rsid w:val="000A75AB"/>
    <w:rsid w:val="000A7729"/>
    <w:rsid w:val="000B11EE"/>
    <w:rsid w:val="000B26C3"/>
    <w:rsid w:val="000B384A"/>
    <w:rsid w:val="000B69D0"/>
    <w:rsid w:val="000B78E9"/>
    <w:rsid w:val="000B7C0F"/>
    <w:rsid w:val="000C0044"/>
    <w:rsid w:val="000C0821"/>
    <w:rsid w:val="000C096F"/>
    <w:rsid w:val="000C0A63"/>
    <w:rsid w:val="000C1545"/>
    <w:rsid w:val="000C1DA7"/>
    <w:rsid w:val="000C21D9"/>
    <w:rsid w:val="000C2308"/>
    <w:rsid w:val="000C2DBE"/>
    <w:rsid w:val="000C368B"/>
    <w:rsid w:val="000C572C"/>
    <w:rsid w:val="000C5757"/>
    <w:rsid w:val="000C63F5"/>
    <w:rsid w:val="000C6826"/>
    <w:rsid w:val="000C6960"/>
    <w:rsid w:val="000C6F48"/>
    <w:rsid w:val="000D158E"/>
    <w:rsid w:val="000D4B3C"/>
    <w:rsid w:val="000D5669"/>
    <w:rsid w:val="000D727D"/>
    <w:rsid w:val="000D79D7"/>
    <w:rsid w:val="000E0071"/>
    <w:rsid w:val="000E00AD"/>
    <w:rsid w:val="000E1BF8"/>
    <w:rsid w:val="000E4023"/>
    <w:rsid w:val="000E4879"/>
    <w:rsid w:val="000E4918"/>
    <w:rsid w:val="000E4A01"/>
    <w:rsid w:val="000E5AC1"/>
    <w:rsid w:val="000E5ACF"/>
    <w:rsid w:val="000E6DC9"/>
    <w:rsid w:val="000E752E"/>
    <w:rsid w:val="000E75E5"/>
    <w:rsid w:val="000E7A10"/>
    <w:rsid w:val="000E7DE0"/>
    <w:rsid w:val="000F0020"/>
    <w:rsid w:val="000F06D5"/>
    <w:rsid w:val="000F0817"/>
    <w:rsid w:val="000F0884"/>
    <w:rsid w:val="000F0F9C"/>
    <w:rsid w:val="000F170D"/>
    <w:rsid w:val="000F180D"/>
    <w:rsid w:val="000F1892"/>
    <w:rsid w:val="000F199B"/>
    <w:rsid w:val="000F3FBA"/>
    <w:rsid w:val="000F5A73"/>
    <w:rsid w:val="000F5EB6"/>
    <w:rsid w:val="000F622A"/>
    <w:rsid w:val="000F63D2"/>
    <w:rsid w:val="00100286"/>
    <w:rsid w:val="00100D22"/>
    <w:rsid w:val="00101073"/>
    <w:rsid w:val="0010124A"/>
    <w:rsid w:val="00101C23"/>
    <w:rsid w:val="00102929"/>
    <w:rsid w:val="00104533"/>
    <w:rsid w:val="001046A3"/>
    <w:rsid w:val="001046FC"/>
    <w:rsid w:val="001106A9"/>
    <w:rsid w:val="00110C8B"/>
    <w:rsid w:val="00112AC7"/>
    <w:rsid w:val="00114D29"/>
    <w:rsid w:val="001151B0"/>
    <w:rsid w:val="001224B2"/>
    <w:rsid w:val="00123084"/>
    <w:rsid w:val="00124D49"/>
    <w:rsid w:val="001250FD"/>
    <w:rsid w:val="00125536"/>
    <w:rsid w:val="00126BFD"/>
    <w:rsid w:val="00126FD2"/>
    <w:rsid w:val="00133C61"/>
    <w:rsid w:val="001340E6"/>
    <w:rsid w:val="00134337"/>
    <w:rsid w:val="00134537"/>
    <w:rsid w:val="001347AC"/>
    <w:rsid w:val="001358D4"/>
    <w:rsid w:val="00137D1D"/>
    <w:rsid w:val="00137DC8"/>
    <w:rsid w:val="00143ECF"/>
    <w:rsid w:val="00144B68"/>
    <w:rsid w:val="00144D60"/>
    <w:rsid w:val="00147A8D"/>
    <w:rsid w:val="001514FA"/>
    <w:rsid w:val="00151C20"/>
    <w:rsid w:val="001521B9"/>
    <w:rsid w:val="00152B75"/>
    <w:rsid w:val="00153566"/>
    <w:rsid w:val="001547C0"/>
    <w:rsid w:val="001548D2"/>
    <w:rsid w:val="00156B76"/>
    <w:rsid w:val="00160E01"/>
    <w:rsid w:val="00161EE3"/>
    <w:rsid w:val="001629B2"/>
    <w:rsid w:val="00163B89"/>
    <w:rsid w:val="001653E3"/>
    <w:rsid w:val="00170A57"/>
    <w:rsid w:val="00171B42"/>
    <w:rsid w:val="00171CB6"/>
    <w:rsid w:val="001745CF"/>
    <w:rsid w:val="00176C50"/>
    <w:rsid w:val="0018220C"/>
    <w:rsid w:val="00182DF0"/>
    <w:rsid w:val="0018427F"/>
    <w:rsid w:val="00184897"/>
    <w:rsid w:val="00184EBC"/>
    <w:rsid w:val="001862F5"/>
    <w:rsid w:val="0018663B"/>
    <w:rsid w:val="001879DA"/>
    <w:rsid w:val="0019091C"/>
    <w:rsid w:val="00191F05"/>
    <w:rsid w:val="00192F68"/>
    <w:rsid w:val="001936B0"/>
    <w:rsid w:val="00194405"/>
    <w:rsid w:val="00194DE6"/>
    <w:rsid w:val="001953B5"/>
    <w:rsid w:val="00196DEE"/>
    <w:rsid w:val="0019712A"/>
    <w:rsid w:val="00197D19"/>
    <w:rsid w:val="001A1111"/>
    <w:rsid w:val="001A196B"/>
    <w:rsid w:val="001A1AE4"/>
    <w:rsid w:val="001A1E83"/>
    <w:rsid w:val="001A330D"/>
    <w:rsid w:val="001A3F51"/>
    <w:rsid w:val="001A6B9B"/>
    <w:rsid w:val="001A7193"/>
    <w:rsid w:val="001B0B56"/>
    <w:rsid w:val="001B0EFF"/>
    <w:rsid w:val="001B307F"/>
    <w:rsid w:val="001B33D1"/>
    <w:rsid w:val="001B4E73"/>
    <w:rsid w:val="001B5F59"/>
    <w:rsid w:val="001C1F4D"/>
    <w:rsid w:val="001C3FE8"/>
    <w:rsid w:val="001C7364"/>
    <w:rsid w:val="001D050D"/>
    <w:rsid w:val="001D2F72"/>
    <w:rsid w:val="001D52FC"/>
    <w:rsid w:val="001D68E2"/>
    <w:rsid w:val="001D6BC7"/>
    <w:rsid w:val="001E0F73"/>
    <w:rsid w:val="001E1D87"/>
    <w:rsid w:val="001E2802"/>
    <w:rsid w:val="001E7415"/>
    <w:rsid w:val="001E79CD"/>
    <w:rsid w:val="001E7B15"/>
    <w:rsid w:val="001E7DBB"/>
    <w:rsid w:val="001F0D09"/>
    <w:rsid w:val="001F484F"/>
    <w:rsid w:val="001F6018"/>
    <w:rsid w:val="001F64DA"/>
    <w:rsid w:val="001F75DB"/>
    <w:rsid w:val="001F76DE"/>
    <w:rsid w:val="0020283B"/>
    <w:rsid w:val="00202E7E"/>
    <w:rsid w:val="00206140"/>
    <w:rsid w:val="002065F7"/>
    <w:rsid w:val="00207713"/>
    <w:rsid w:val="002113A9"/>
    <w:rsid w:val="00211D2B"/>
    <w:rsid w:val="00213A18"/>
    <w:rsid w:val="00213C1D"/>
    <w:rsid w:val="00213D13"/>
    <w:rsid w:val="00214174"/>
    <w:rsid w:val="00214622"/>
    <w:rsid w:val="00214726"/>
    <w:rsid w:val="002147F0"/>
    <w:rsid w:val="00214A7D"/>
    <w:rsid w:val="00214C92"/>
    <w:rsid w:val="00214D94"/>
    <w:rsid w:val="0021726B"/>
    <w:rsid w:val="00217731"/>
    <w:rsid w:val="00217783"/>
    <w:rsid w:val="00220548"/>
    <w:rsid w:val="00221253"/>
    <w:rsid w:val="00221C8F"/>
    <w:rsid w:val="002227FE"/>
    <w:rsid w:val="002235D3"/>
    <w:rsid w:val="0022401B"/>
    <w:rsid w:val="002240A8"/>
    <w:rsid w:val="00224732"/>
    <w:rsid w:val="00224F73"/>
    <w:rsid w:val="00225D79"/>
    <w:rsid w:val="00227BD1"/>
    <w:rsid w:val="00227D7A"/>
    <w:rsid w:val="0023069C"/>
    <w:rsid w:val="002319E5"/>
    <w:rsid w:val="00233546"/>
    <w:rsid w:val="00233E8F"/>
    <w:rsid w:val="00234068"/>
    <w:rsid w:val="00235687"/>
    <w:rsid w:val="00235A3B"/>
    <w:rsid w:val="002428BD"/>
    <w:rsid w:val="00242CDB"/>
    <w:rsid w:val="00243BE9"/>
    <w:rsid w:val="00244069"/>
    <w:rsid w:val="00244F1A"/>
    <w:rsid w:val="002466E8"/>
    <w:rsid w:val="00250584"/>
    <w:rsid w:val="00250D8F"/>
    <w:rsid w:val="00251D61"/>
    <w:rsid w:val="002520F7"/>
    <w:rsid w:val="002524F6"/>
    <w:rsid w:val="00254DE6"/>
    <w:rsid w:val="002556AD"/>
    <w:rsid w:val="0025570B"/>
    <w:rsid w:val="00260C95"/>
    <w:rsid w:val="002619E2"/>
    <w:rsid w:val="00261AB7"/>
    <w:rsid w:val="00267618"/>
    <w:rsid w:val="00267FA0"/>
    <w:rsid w:val="00271BB7"/>
    <w:rsid w:val="00274481"/>
    <w:rsid w:val="00274AE9"/>
    <w:rsid w:val="00275508"/>
    <w:rsid w:val="00275D16"/>
    <w:rsid w:val="0028356F"/>
    <w:rsid w:val="00284373"/>
    <w:rsid w:val="002858B5"/>
    <w:rsid w:val="00287E18"/>
    <w:rsid w:val="002903EF"/>
    <w:rsid w:val="00291A78"/>
    <w:rsid w:val="00291F25"/>
    <w:rsid w:val="002920BD"/>
    <w:rsid w:val="0029226C"/>
    <w:rsid w:val="002936EA"/>
    <w:rsid w:val="00293F73"/>
    <w:rsid w:val="00294D67"/>
    <w:rsid w:val="00296C04"/>
    <w:rsid w:val="00296F29"/>
    <w:rsid w:val="00297096"/>
    <w:rsid w:val="00297677"/>
    <w:rsid w:val="002A1F76"/>
    <w:rsid w:val="002A21F3"/>
    <w:rsid w:val="002A2603"/>
    <w:rsid w:val="002A30C8"/>
    <w:rsid w:val="002A423A"/>
    <w:rsid w:val="002A5E2D"/>
    <w:rsid w:val="002A6915"/>
    <w:rsid w:val="002A6B07"/>
    <w:rsid w:val="002B06A5"/>
    <w:rsid w:val="002B1F34"/>
    <w:rsid w:val="002B3897"/>
    <w:rsid w:val="002B4166"/>
    <w:rsid w:val="002B71DC"/>
    <w:rsid w:val="002B7418"/>
    <w:rsid w:val="002C0CBB"/>
    <w:rsid w:val="002C127F"/>
    <w:rsid w:val="002C1C8A"/>
    <w:rsid w:val="002C1FBF"/>
    <w:rsid w:val="002C2413"/>
    <w:rsid w:val="002C25F9"/>
    <w:rsid w:val="002C3EE7"/>
    <w:rsid w:val="002C44AA"/>
    <w:rsid w:val="002C5554"/>
    <w:rsid w:val="002C5B8B"/>
    <w:rsid w:val="002C6994"/>
    <w:rsid w:val="002C74C4"/>
    <w:rsid w:val="002D0466"/>
    <w:rsid w:val="002D05F2"/>
    <w:rsid w:val="002D2D8E"/>
    <w:rsid w:val="002D3117"/>
    <w:rsid w:val="002D31C8"/>
    <w:rsid w:val="002D3E06"/>
    <w:rsid w:val="002D50DC"/>
    <w:rsid w:val="002D59F7"/>
    <w:rsid w:val="002D6353"/>
    <w:rsid w:val="002E09AF"/>
    <w:rsid w:val="002E115F"/>
    <w:rsid w:val="002E13C3"/>
    <w:rsid w:val="002E25B7"/>
    <w:rsid w:val="002E3247"/>
    <w:rsid w:val="002E3741"/>
    <w:rsid w:val="002E62D9"/>
    <w:rsid w:val="002E6937"/>
    <w:rsid w:val="002F0C3F"/>
    <w:rsid w:val="002F1C9E"/>
    <w:rsid w:val="002F23D5"/>
    <w:rsid w:val="002F35F1"/>
    <w:rsid w:val="002F5BBC"/>
    <w:rsid w:val="002F6CD4"/>
    <w:rsid w:val="0030131B"/>
    <w:rsid w:val="003015B5"/>
    <w:rsid w:val="00301C42"/>
    <w:rsid w:val="00303F15"/>
    <w:rsid w:val="00304E9C"/>
    <w:rsid w:val="00305809"/>
    <w:rsid w:val="00307CB8"/>
    <w:rsid w:val="00310A4D"/>
    <w:rsid w:val="0031118F"/>
    <w:rsid w:val="003115C3"/>
    <w:rsid w:val="003122A1"/>
    <w:rsid w:val="00312C8D"/>
    <w:rsid w:val="003176A2"/>
    <w:rsid w:val="003215DC"/>
    <w:rsid w:val="003220E4"/>
    <w:rsid w:val="003226F2"/>
    <w:rsid w:val="00322983"/>
    <w:rsid w:val="00323192"/>
    <w:rsid w:val="0032325D"/>
    <w:rsid w:val="003232B6"/>
    <w:rsid w:val="0032581D"/>
    <w:rsid w:val="0032699D"/>
    <w:rsid w:val="00326CF7"/>
    <w:rsid w:val="003270BE"/>
    <w:rsid w:val="00327A5A"/>
    <w:rsid w:val="003306E7"/>
    <w:rsid w:val="0033098D"/>
    <w:rsid w:val="00330CA6"/>
    <w:rsid w:val="0033209F"/>
    <w:rsid w:val="0033214C"/>
    <w:rsid w:val="00332AAD"/>
    <w:rsid w:val="0033540C"/>
    <w:rsid w:val="00336CA2"/>
    <w:rsid w:val="0034053E"/>
    <w:rsid w:val="003416E7"/>
    <w:rsid w:val="00342A26"/>
    <w:rsid w:val="00342C43"/>
    <w:rsid w:val="00342CEC"/>
    <w:rsid w:val="00342E38"/>
    <w:rsid w:val="003461E2"/>
    <w:rsid w:val="003466ED"/>
    <w:rsid w:val="00346E44"/>
    <w:rsid w:val="00351228"/>
    <w:rsid w:val="00351695"/>
    <w:rsid w:val="00352283"/>
    <w:rsid w:val="00357070"/>
    <w:rsid w:val="003575FD"/>
    <w:rsid w:val="0035782B"/>
    <w:rsid w:val="003607A1"/>
    <w:rsid w:val="00360994"/>
    <w:rsid w:val="003639E3"/>
    <w:rsid w:val="0036420A"/>
    <w:rsid w:val="0036596F"/>
    <w:rsid w:val="00367361"/>
    <w:rsid w:val="003705EA"/>
    <w:rsid w:val="00371247"/>
    <w:rsid w:val="00372189"/>
    <w:rsid w:val="0037219C"/>
    <w:rsid w:val="0037345B"/>
    <w:rsid w:val="0037378E"/>
    <w:rsid w:val="00373DC9"/>
    <w:rsid w:val="00374734"/>
    <w:rsid w:val="00374ADC"/>
    <w:rsid w:val="00377520"/>
    <w:rsid w:val="00377714"/>
    <w:rsid w:val="003802F8"/>
    <w:rsid w:val="003815C0"/>
    <w:rsid w:val="00381D95"/>
    <w:rsid w:val="003832DF"/>
    <w:rsid w:val="00385A0E"/>
    <w:rsid w:val="00385E02"/>
    <w:rsid w:val="00386B5A"/>
    <w:rsid w:val="00386EE0"/>
    <w:rsid w:val="00387156"/>
    <w:rsid w:val="00387464"/>
    <w:rsid w:val="0038767B"/>
    <w:rsid w:val="0039140B"/>
    <w:rsid w:val="00391E8D"/>
    <w:rsid w:val="003924E8"/>
    <w:rsid w:val="0039259D"/>
    <w:rsid w:val="00392A11"/>
    <w:rsid w:val="003965A5"/>
    <w:rsid w:val="003965EC"/>
    <w:rsid w:val="003967E9"/>
    <w:rsid w:val="003A0386"/>
    <w:rsid w:val="003A1456"/>
    <w:rsid w:val="003A36C0"/>
    <w:rsid w:val="003A496E"/>
    <w:rsid w:val="003A56CD"/>
    <w:rsid w:val="003A62C7"/>
    <w:rsid w:val="003A75AA"/>
    <w:rsid w:val="003A75AB"/>
    <w:rsid w:val="003A7F49"/>
    <w:rsid w:val="003B03BA"/>
    <w:rsid w:val="003B042D"/>
    <w:rsid w:val="003B0607"/>
    <w:rsid w:val="003B0C66"/>
    <w:rsid w:val="003B1580"/>
    <w:rsid w:val="003B427C"/>
    <w:rsid w:val="003B4381"/>
    <w:rsid w:val="003B4D8E"/>
    <w:rsid w:val="003B5740"/>
    <w:rsid w:val="003B64A6"/>
    <w:rsid w:val="003B69A0"/>
    <w:rsid w:val="003B7672"/>
    <w:rsid w:val="003B7A69"/>
    <w:rsid w:val="003C2496"/>
    <w:rsid w:val="003C24DF"/>
    <w:rsid w:val="003C3A3E"/>
    <w:rsid w:val="003C5D9F"/>
    <w:rsid w:val="003C60B8"/>
    <w:rsid w:val="003C617A"/>
    <w:rsid w:val="003C6226"/>
    <w:rsid w:val="003C66B6"/>
    <w:rsid w:val="003C7709"/>
    <w:rsid w:val="003D043B"/>
    <w:rsid w:val="003D2AA7"/>
    <w:rsid w:val="003D33C9"/>
    <w:rsid w:val="003D33D2"/>
    <w:rsid w:val="003D4B34"/>
    <w:rsid w:val="003D5189"/>
    <w:rsid w:val="003D5D8A"/>
    <w:rsid w:val="003E023A"/>
    <w:rsid w:val="003E026B"/>
    <w:rsid w:val="003E1DEE"/>
    <w:rsid w:val="003E2175"/>
    <w:rsid w:val="003E2743"/>
    <w:rsid w:val="003E6335"/>
    <w:rsid w:val="003E642B"/>
    <w:rsid w:val="003E73FE"/>
    <w:rsid w:val="003E7847"/>
    <w:rsid w:val="003F0198"/>
    <w:rsid w:val="003F1BC3"/>
    <w:rsid w:val="003F2177"/>
    <w:rsid w:val="003F3282"/>
    <w:rsid w:val="003F359E"/>
    <w:rsid w:val="003F465D"/>
    <w:rsid w:val="003F490C"/>
    <w:rsid w:val="003F4B87"/>
    <w:rsid w:val="003F4C23"/>
    <w:rsid w:val="003F68AF"/>
    <w:rsid w:val="003F6961"/>
    <w:rsid w:val="003F6D59"/>
    <w:rsid w:val="004001ED"/>
    <w:rsid w:val="00404AE6"/>
    <w:rsid w:val="00404F15"/>
    <w:rsid w:val="00405EAA"/>
    <w:rsid w:val="0041000D"/>
    <w:rsid w:val="004101BE"/>
    <w:rsid w:val="00410ABE"/>
    <w:rsid w:val="0041227B"/>
    <w:rsid w:val="00413C37"/>
    <w:rsid w:val="0041438D"/>
    <w:rsid w:val="004148FF"/>
    <w:rsid w:val="00421CC7"/>
    <w:rsid w:val="0043256F"/>
    <w:rsid w:val="004327EE"/>
    <w:rsid w:val="00433461"/>
    <w:rsid w:val="00434F1E"/>
    <w:rsid w:val="004355AB"/>
    <w:rsid w:val="00435FB9"/>
    <w:rsid w:val="004367F1"/>
    <w:rsid w:val="00437255"/>
    <w:rsid w:val="004378F9"/>
    <w:rsid w:val="00446258"/>
    <w:rsid w:val="0044662D"/>
    <w:rsid w:val="00447027"/>
    <w:rsid w:val="00451C9A"/>
    <w:rsid w:val="00451CD2"/>
    <w:rsid w:val="00452061"/>
    <w:rsid w:val="004527A1"/>
    <w:rsid w:val="004529B6"/>
    <w:rsid w:val="00453EAA"/>
    <w:rsid w:val="0045572F"/>
    <w:rsid w:val="00456343"/>
    <w:rsid w:val="00456E61"/>
    <w:rsid w:val="00456F71"/>
    <w:rsid w:val="0045731C"/>
    <w:rsid w:val="00457FE2"/>
    <w:rsid w:val="00461097"/>
    <w:rsid w:val="004639E4"/>
    <w:rsid w:val="004640A5"/>
    <w:rsid w:val="00464B9C"/>
    <w:rsid w:val="0046574C"/>
    <w:rsid w:val="00465FD9"/>
    <w:rsid w:val="004660CE"/>
    <w:rsid w:val="00467A48"/>
    <w:rsid w:val="00467E26"/>
    <w:rsid w:val="00470B2C"/>
    <w:rsid w:val="0047304A"/>
    <w:rsid w:val="00475F32"/>
    <w:rsid w:val="00477CC3"/>
    <w:rsid w:val="0048060A"/>
    <w:rsid w:val="00482133"/>
    <w:rsid w:val="0048292E"/>
    <w:rsid w:val="0048381D"/>
    <w:rsid w:val="0048394C"/>
    <w:rsid w:val="004839DE"/>
    <w:rsid w:val="004855B9"/>
    <w:rsid w:val="004862F3"/>
    <w:rsid w:val="004872D2"/>
    <w:rsid w:val="004901F9"/>
    <w:rsid w:val="00493EE6"/>
    <w:rsid w:val="00494324"/>
    <w:rsid w:val="00496EA0"/>
    <w:rsid w:val="004976CA"/>
    <w:rsid w:val="004A1E78"/>
    <w:rsid w:val="004A2068"/>
    <w:rsid w:val="004A2F9C"/>
    <w:rsid w:val="004A3AE2"/>
    <w:rsid w:val="004A3EAC"/>
    <w:rsid w:val="004A5144"/>
    <w:rsid w:val="004A621D"/>
    <w:rsid w:val="004A7046"/>
    <w:rsid w:val="004B0257"/>
    <w:rsid w:val="004B0289"/>
    <w:rsid w:val="004B0396"/>
    <w:rsid w:val="004B0F83"/>
    <w:rsid w:val="004B1019"/>
    <w:rsid w:val="004B2158"/>
    <w:rsid w:val="004B48CE"/>
    <w:rsid w:val="004B4D63"/>
    <w:rsid w:val="004B6CCC"/>
    <w:rsid w:val="004C0DAC"/>
    <w:rsid w:val="004C1709"/>
    <w:rsid w:val="004C21C8"/>
    <w:rsid w:val="004C344C"/>
    <w:rsid w:val="004C43EE"/>
    <w:rsid w:val="004C47DB"/>
    <w:rsid w:val="004C5EA1"/>
    <w:rsid w:val="004C6DA3"/>
    <w:rsid w:val="004D26F5"/>
    <w:rsid w:val="004D2BD7"/>
    <w:rsid w:val="004D315B"/>
    <w:rsid w:val="004D5A97"/>
    <w:rsid w:val="004D5CDB"/>
    <w:rsid w:val="004D5DA7"/>
    <w:rsid w:val="004E6525"/>
    <w:rsid w:val="004E6C2F"/>
    <w:rsid w:val="004E73C3"/>
    <w:rsid w:val="004F1F88"/>
    <w:rsid w:val="004F3372"/>
    <w:rsid w:val="004F3C54"/>
    <w:rsid w:val="004F3FCB"/>
    <w:rsid w:val="004F5D29"/>
    <w:rsid w:val="004F612E"/>
    <w:rsid w:val="004F762C"/>
    <w:rsid w:val="004F7B6C"/>
    <w:rsid w:val="004F7F1B"/>
    <w:rsid w:val="005017BD"/>
    <w:rsid w:val="00501E32"/>
    <w:rsid w:val="005046F4"/>
    <w:rsid w:val="0050594D"/>
    <w:rsid w:val="00506047"/>
    <w:rsid w:val="005063EA"/>
    <w:rsid w:val="00506830"/>
    <w:rsid w:val="00507E37"/>
    <w:rsid w:val="00510206"/>
    <w:rsid w:val="00510E58"/>
    <w:rsid w:val="00513BF7"/>
    <w:rsid w:val="0051580D"/>
    <w:rsid w:val="0052052A"/>
    <w:rsid w:val="0052077C"/>
    <w:rsid w:val="00520C02"/>
    <w:rsid w:val="00522690"/>
    <w:rsid w:val="00523356"/>
    <w:rsid w:val="00523DBC"/>
    <w:rsid w:val="0052490F"/>
    <w:rsid w:val="00526A0C"/>
    <w:rsid w:val="00527085"/>
    <w:rsid w:val="00527356"/>
    <w:rsid w:val="0052796B"/>
    <w:rsid w:val="00530D91"/>
    <w:rsid w:val="00530FC8"/>
    <w:rsid w:val="00530FF0"/>
    <w:rsid w:val="005321E5"/>
    <w:rsid w:val="0053301E"/>
    <w:rsid w:val="005336B5"/>
    <w:rsid w:val="005338E9"/>
    <w:rsid w:val="0053483E"/>
    <w:rsid w:val="00536611"/>
    <w:rsid w:val="00536A78"/>
    <w:rsid w:val="00537144"/>
    <w:rsid w:val="00537736"/>
    <w:rsid w:val="005378DF"/>
    <w:rsid w:val="00540940"/>
    <w:rsid w:val="0054147B"/>
    <w:rsid w:val="00541F35"/>
    <w:rsid w:val="00542CBB"/>
    <w:rsid w:val="00543442"/>
    <w:rsid w:val="00544737"/>
    <w:rsid w:val="00544901"/>
    <w:rsid w:val="00547562"/>
    <w:rsid w:val="00547B30"/>
    <w:rsid w:val="00547BE5"/>
    <w:rsid w:val="005503B6"/>
    <w:rsid w:val="005523DF"/>
    <w:rsid w:val="00552F7D"/>
    <w:rsid w:val="00555CD4"/>
    <w:rsid w:val="00560CD2"/>
    <w:rsid w:val="00561DAD"/>
    <w:rsid w:val="00564EA6"/>
    <w:rsid w:val="0056551B"/>
    <w:rsid w:val="00566909"/>
    <w:rsid w:val="00566FA7"/>
    <w:rsid w:val="005722DC"/>
    <w:rsid w:val="005741F4"/>
    <w:rsid w:val="0057675C"/>
    <w:rsid w:val="005769F7"/>
    <w:rsid w:val="00576CF1"/>
    <w:rsid w:val="005775C2"/>
    <w:rsid w:val="00577BF6"/>
    <w:rsid w:val="005811DF"/>
    <w:rsid w:val="00582836"/>
    <w:rsid w:val="00582C7C"/>
    <w:rsid w:val="00582FD6"/>
    <w:rsid w:val="00583170"/>
    <w:rsid w:val="00583A9D"/>
    <w:rsid w:val="00583CCC"/>
    <w:rsid w:val="00584009"/>
    <w:rsid w:val="00584236"/>
    <w:rsid w:val="00585703"/>
    <w:rsid w:val="005865E9"/>
    <w:rsid w:val="00586929"/>
    <w:rsid w:val="00587157"/>
    <w:rsid w:val="00587359"/>
    <w:rsid w:val="00587A31"/>
    <w:rsid w:val="00590169"/>
    <w:rsid w:val="00592154"/>
    <w:rsid w:val="005922B7"/>
    <w:rsid w:val="00592C8E"/>
    <w:rsid w:val="0059408F"/>
    <w:rsid w:val="00594187"/>
    <w:rsid w:val="005966D7"/>
    <w:rsid w:val="00596E37"/>
    <w:rsid w:val="005977D7"/>
    <w:rsid w:val="005A0260"/>
    <w:rsid w:val="005A1042"/>
    <w:rsid w:val="005A243F"/>
    <w:rsid w:val="005A2993"/>
    <w:rsid w:val="005A461C"/>
    <w:rsid w:val="005A4794"/>
    <w:rsid w:val="005A4B57"/>
    <w:rsid w:val="005A545A"/>
    <w:rsid w:val="005A66DE"/>
    <w:rsid w:val="005B3645"/>
    <w:rsid w:val="005B473E"/>
    <w:rsid w:val="005B4C84"/>
    <w:rsid w:val="005B59A4"/>
    <w:rsid w:val="005B6B2D"/>
    <w:rsid w:val="005B7948"/>
    <w:rsid w:val="005B7D6B"/>
    <w:rsid w:val="005C2836"/>
    <w:rsid w:val="005C2E59"/>
    <w:rsid w:val="005C323B"/>
    <w:rsid w:val="005C3C5E"/>
    <w:rsid w:val="005C51A6"/>
    <w:rsid w:val="005C6074"/>
    <w:rsid w:val="005C777B"/>
    <w:rsid w:val="005C7A41"/>
    <w:rsid w:val="005C7FCF"/>
    <w:rsid w:val="005D1361"/>
    <w:rsid w:val="005D1A93"/>
    <w:rsid w:val="005D1F08"/>
    <w:rsid w:val="005D2698"/>
    <w:rsid w:val="005D3F48"/>
    <w:rsid w:val="005D4F7F"/>
    <w:rsid w:val="005D6CFF"/>
    <w:rsid w:val="005D7C12"/>
    <w:rsid w:val="005E0399"/>
    <w:rsid w:val="005E160E"/>
    <w:rsid w:val="005E6824"/>
    <w:rsid w:val="005E7897"/>
    <w:rsid w:val="005F0720"/>
    <w:rsid w:val="005F11CF"/>
    <w:rsid w:val="005F6B3F"/>
    <w:rsid w:val="005F7860"/>
    <w:rsid w:val="006004F8"/>
    <w:rsid w:val="00600B4D"/>
    <w:rsid w:val="00601072"/>
    <w:rsid w:val="00601715"/>
    <w:rsid w:val="0060211C"/>
    <w:rsid w:val="0060230A"/>
    <w:rsid w:val="00602CB3"/>
    <w:rsid w:val="00603843"/>
    <w:rsid w:val="00604524"/>
    <w:rsid w:val="006052B5"/>
    <w:rsid w:val="00605454"/>
    <w:rsid w:val="00606B7B"/>
    <w:rsid w:val="00607DB5"/>
    <w:rsid w:val="0061099C"/>
    <w:rsid w:val="0061127D"/>
    <w:rsid w:val="00611B1C"/>
    <w:rsid w:val="00611FE5"/>
    <w:rsid w:val="006120E1"/>
    <w:rsid w:val="00612E4D"/>
    <w:rsid w:val="0061317E"/>
    <w:rsid w:val="00615CB9"/>
    <w:rsid w:val="00616F31"/>
    <w:rsid w:val="00617583"/>
    <w:rsid w:val="00621BA8"/>
    <w:rsid w:val="00622006"/>
    <w:rsid w:val="00622A5D"/>
    <w:rsid w:val="00623641"/>
    <w:rsid w:val="00624A4E"/>
    <w:rsid w:val="00630706"/>
    <w:rsid w:val="0063343D"/>
    <w:rsid w:val="006351C8"/>
    <w:rsid w:val="00637B96"/>
    <w:rsid w:val="00640C1E"/>
    <w:rsid w:val="00641F5D"/>
    <w:rsid w:val="0064256F"/>
    <w:rsid w:val="006430B8"/>
    <w:rsid w:val="006432D6"/>
    <w:rsid w:val="00645D7F"/>
    <w:rsid w:val="00646F3E"/>
    <w:rsid w:val="00647C21"/>
    <w:rsid w:val="00647CE4"/>
    <w:rsid w:val="00647F65"/>
    <w:rsid w:val="0065168B"/>
    <w:rsid w:val="00652EB5"/>
    <w:rsid w:val="00655ADB"/>
    <w:rsid w:val="00656259"/>
    <w:rsid w:val="006577A8"/>
    <w:rsid w:val="006579F2"/>
    <w:rsid w:val="00657A8F"/>
    <w:rsid w:val="00661687"/>
    <w:rsid w:val="00663AEB"/>
    <w:rsid w:val="00664A06"/>
    <w:rsid w:val="0066585D"/>
    <w:rsid w:val="00665FB1"/>
    <w:rsid w:val="006702A7"/>
    <w:rsid w:val="00670698"/>
    <w:rsid w:val="00670752"/>
    <w:rsid w:val="0067241A"/>
    <w:rsid w:val="00673043"/>
    <w:rsid w:val="006741F0"/>
    <w:rsid w:val="00674F26"/>
    <w:rsid w:val="00675115"/>
    <w:rsid w:val="006760E8"/>
    <w:rsid w:val="006763F5"/>
    <w:rsid w:val="006774BB"/>
    <w:rsid w:val="00680335"/>
    <w:rsid w:val="00681A39"/>
    <w:rsid w:val="0068603E"/>
    <w:rsid w:val="00692DA7"/>
    <w:rsid w:val="006932DE"/>
    <w:rsid w:val="006935DB"/>
    <w:rsid w:val="00694592"/>
    <w:rsid w:val="00695332"/>
    <w:rsid w:val="00695ACB"/>
    <w:rsid w:val="00695E2D"/>
    <w:rsid w:val="00696846"/>
    <w:rsid w:val="006A0942"/>
    <w:rsid w:val="006A1853"/>
    <w:rsid w:val="006A19D2"/>
    <w:rsid w:val="006A30C2"/>
    <w:rsid w:val="006A49CA"/>
    <w:rsid w:val="006A5436"/>
    <w:rsid w:val="006A59AD"/>
    <w:rsid w:val="006A6529"/>
    <w:rsid w:val="006A7104"/>
    <w:rsid w:val="006A7767"/>
    <w:rsid w:val="006A7F30"/>
    <w:rsid w:val="006B23E4"/>
    <w:rsid w:val="006B374C"/>
    <w:rsid w:val="006B396D"/>
    <w:rsid w:val="006B3BED"/>
    <w:rsid w:val="006B4336"/>
    <w:rsid w:val="006B51D5"/>
    <w:rsid w:val="006B5BE1"/>
    <w:rsid w:val="006B7C93"/>
    <w:rsid w:val="006C422F"/>
    <w:rsid w:val="006C44B6"/>
    <w:rsid w:val="006C482B"/>
    <w:rsid w:val="006C52D9"/>
    <w:rsid w:val="006C580E"/>
    <w:rsid w:val="006C6424"/>
    <w:rsid w:val="006C76B3"/>
    <w:rsid w:val="006D18AA"/>
    <w:rsid w:val="006D1B9E"/>
    <w:rsid w:val="006D1D0A"/>
    <w:rsid w:val="006D28EA"/>
    <w:rsid w:val="006D49D1"/>
    <w:rsid w:val="006D6658"/>
    <w:rsid w:val="006E1698"/>
    <w:rsid w:val="006E1A33"/>
    <w:rsid w:val="006E474F"/>
    <w:rsid w:val="006E6113"/>
    <w:rsid w:val="006E6954"/>
    <w:rsid w:val="006E6EA7"/>
    <w:rsid w:val="006F0748"/>
    <w:rsid w:val="006F1946"/>
    <w:rsid w:val="006F26DF"/>
    <w:rsid w:val="006F29EE"/>
    <w:rsid w:val="006F2CD4"/>
    <w:rsid w:val="006F4F14"/>
    <w:rsid w:val="006F5FB3"/>
    <w:rsid w:val="006F6526"/>
    <w:rsid w:val="006F6B8E"/>
    <w:rsid w:val="006F707D"/>
    <w:rsid w:val="006F799B"/>
    <w:rsid w:val="00700872"/>
    <w:rsid w:val="00702703"/>
    <w:rsid w:val="0070376E"/>
    <w:rsid w:val="00703ED8"/>
    <w:rsid w:val="007114A4"/>
    <w:rsid w:val="00711B5B"/>
    <w:rsid w:val="0071265F"/>
    <w:rsid w:val="00714DA8"/>
    <w:rsid w:val="00715ECB"/>
    <w:rsid w:val="007177A8"/>
    <w:rsid w:val="0071780B"/>
    <w:rsid w:val="00717F08"/>
    <w:rsid w:val="00720DBF"/>
    <w:rsid w:val="007211E2"/>
    <w:rsid w:val="00723937"/>
    <w:rsid w:val="00725EE4"/>
    <w:rsid w:val="00727528"/>
    <w:rsid w:val="00732025"/>
    <w:rsid w:val="0073232E"/>
    <w:rsid w:val="00733A30"/>
    <w:rsid w:val="00734351"/>
    <w:rsid w:val="00735301"/>
    <w:rsid w:val="00735A9C"/>
    <w:rsid w:val="0073600F"/>
    <w:rsid w:val="00740A96"/>
    <w:rsid w:val="00741202"/>
    <w:rsid w:val="00741776"/>
    <w:rsid w:val="00742893"/>
    <w:rsid w:val="007437F7"/>
    <w:rsid w:val="00744BAC"/>
    <w:rsid w:val="00745450"/>
    <w:rsid w:val="007468AF"/>
    <w:rsid w:val="00747049"/>
    <w:rsid w:val="007474C2"/>
    <w:rsid w:val="00747BA5"/>
    <w:rsid w:val="00751316"/>
    <w:rsid w:val="00756DB4"/>
    <w:rsid w:val="0075703C"/>
    <w:rsid w:val="00757943"/>
    <w:rsid w:val="00757F22"/>
    <w:rsid w:val="007600F8"/>
    <w:rsid w:val="0076032F"/>
    <w:rsid w:val="0076061B"/>
    <w:rsid w:val="007624DF"/>
    <w:rsid w:val="007632DB"/>
    <w:rsid w:val="00763CF9"/>
    <w:rsid w:val="00763D6E"/>
    <w:rsid w:val="00764A8F"/>
    <w:rsid w:val="007717B8"/>
    <w:rsid w:val="00771DB8"/>
    <w:rsid w:val="007729F5"/>
    <w:rsid w:val="00772E71"/>
    <w:rsid w:val="007732CD"/>
    <w:rsid w:val="007737A3"/>
    <w:rsid w:val="00773D1F"/>
    <w:rsid w:val="00774AFA"/>
    <w:rsid w:val="00774E66"/>
    <w:rsid w:val="0077567C"/>
    <w:rsid w:val="00775A95"/>
    <w:rsid w:val="007760BF"/>
    <w:rsid w:val="007766CE"/>
    <w:rsid w:val="007768DA"/>
    <w:rsid w:val="007813CB"/>
    <w:rsid w:val="007835D8"/>
    <w:rsid w:val="00790CFD"/>
    <w:rsid w:val="0079186E"/>
    <w:rsid w:val="00791ABA"/>
    <w:rsid w:val="00791BEA"/>
    <w:rsid w:val="00793B70"/>
    <w:rsid w:val="007957AB"/>
    <w:rsid w:val="007968C5"/>
    <w:rsid w:val="00796933"/>
    <w:rsid w:val="00796B00"/>
    <w:rsid w:val="00796DC9"/>
    <w:rsid w:val="00797832"/>
    <w:rsid w:val="007A04FA"/>
    <w:rsid w:val="007A415D"/>
    <w:rsid w:val="007A4302"/>
    <w:rsid w:val="007A5055"/>
    <w:rsid w:val="007A722F"/>
    <w:rsid w:val="007B0726"/>
    <w:rsid w:val="007B1338"/>
    <w:rsid w:val="007B45F3"/>
    <w:rsid w:val="007B4B54"/>
    <w:rsid w:val="007B519E"/>
    <w:rsid w:val="007B5B95"/>
    <w:rsid w:val="007B5EEB"/>
    <w:rsid w:val="007B5F42"/>
    <w:rsid w:val="007B5FCB"/>
    <w:rsid w:val="007C0060"/>
    <w:rsid w:val="007C0AFD"/>
    <w:rsid w:val="007C1CDD"/>
    <w:rsid w:val="007C2C05"/>
    <w:rsid w:val="007C3222"/>
    <w:rsid w:val="007C3A61"/>
    <w:rsid w:val="007C3E25"/>
    <w:rsid w:val="007C4988"/>
    <w:rsid w:val="007C6206"/>
    <w:rsid w:val="007C676A"/>
    <w:rsid w:val="007C6C7B"/>
    <w:rsid w:val="007D0313"/>
    <w:rsid w:val="007D1FD1"/>
    <w:rsid w:val="007D4330"/>
    <w:rsid w:val="007D4367"/>
    <w:rsid w:val="007D670F"/>
    <w:rsid w:val="007D716A"/>
    <w:rsid w:val="007E1017"/>
    <w:rsid w:val="007E2BC4"/>
    <w:rsid w:val="007E3A94"/>
    <w:rsid w:val="007E3C3D"/>
    <w:rsid w:val="007E5B69"/>
    <w:rsid w:val="007E6A7D"/>
    <w:rsid w:val="007F23E7"/>
    <w:rsid w:val="007F268F"/>
    <w:rsid w:val="007F4B11"/>
    <w:rsid w:val="007F6127"/>
    <w:rsid w:val="007F6D64"/>
    <w:rsid w:val="007F7137"/>
    <w:rsid w:val="0080262D"/>
    <w:rsid w:val="00802A80"/>
    <w:rsid w:val="0080380C"/>
    <w:rsid w:val="00803C8B"/>
    <w:rsid w:val="00804449"/>
    <w:rsid w:val="008065A8"/>
    <w:rsid w:val="00806D4F"/>
    <w:rsid w:val="0080760F"/>
    <w:rsid w:val="00807C5A"/>
    <w:rsid w:val="00807D7C"/>
    <w:rsid w:val="00807E7C"/>
    <w:rsid w:val="0081149C"/>
    <w:rsid w:val="0081286D"/>
    <w:rsid w:val="00813802"/>
    <w:rsid w:val="008168B6"/>
    <w:rsid w:val="00817218"/>
    <w:rsid w:val="008207F3"/>
    <w:rsid w:val="00821D4F"/>
    <w:rsid w:val="00822078"/>
    <w:rsid w:val="00822860"/>
    <w:rsid w:val="00823957"/>
    <w:rsid w:val="0082626C"/>
    <w:rsid w:val="008268F1"/>
    <w:rsid w:val="00832B4A"/>
    <w:rsid w:val="008335F6"/>
    <w:rsid w:val="00833CB7"/>
    <w:rsid w:val="00836317"/>
    <w:rsid w:val="00837F99"/>
    <w:rsid w:val="00837F9B"/>
    <w:rsid w:val="0084159F"/>
    <w:rsid w:val="008419DE"/>
    <w:rsid w:val="00841BCF"/>
    <w:rsid w:val="00842746"/>
    <w:rsid w:val="00842D3D"/>
    <w:rsid w:val="00845AC8"/>
    <w:rsid w:val="008463EB"/>
    <w:rsid w:val="00846DD6"/>
    <w:rsid w:val="0085025E"/>
    <w:rsid w:val="00851883"/>
    <w:rsid w:val="008518B7"/>
    <w:rsid w:val="008528BF"/>
    <w:rsid w:val="00853925"/>
    <w:rsid w:val="00854781"/>
    <w:rsid w:val="00854C0C"/>
    <w:rsid w:val="00855250"/>
    <w:rsid w:val="00855ACB"/>
    <w:rsid w:val="00857990"/>
    <w:rsid w:val="00860C38"/>
    <w:rsid w:val="00860F17"/>
    <w:rsid w:val="0086182F"/>
    <w:rsid w:val="00865E08"/>
    <w:rsid w:val="008663BC"/>
    <w:rsid w:val="008673D0"/>
    <w:rsid w:val="0087183B"/>
    <w:rsid w:val="0087247F"/>
    <w:rsid w:val="00872914"/>
    <w:rsid w:val="00873EF2"/>
    <w:rsid w:val="008743F1"/>
    <w:rsid w:val="00880F72"/>
    <w:rsid w:val="0088156A"/>
    <w:rsid w:val="00881831"/>
    <w:rsid w:val="00882924"/>
    <w:rsid w:val="00884525"/>
    <w:rsid w:val="008854F8"/>
    <w:rsid w:val="00885FF3"/>
    <w:rsid w:val="00886096"/>
    <w:rsid w:val="008866A2"/>
    <w:rsid w:val="008904AC"/>
    <w:rsid w:val="00895E5E"/>
    <w:rsid w:val="008961C1"/>
    <w:rsid w:val="008976CE"/>
    <w:rsid w:val="00897E09"/>
    <w:rsid w:val="008A06E0"/>
    <w:rsid w:val="008A070C"/>
    <w:rsid w:val="008A08FC"/>
    <w:rsid w:val="008A1FCF"/>
    <w:rsid w:val="008A34A9"/>
    <w:rsid w:val="008A36B5"/>
    <w:rsid w:val="008A4BF2"/>
    <w:rsid w:val="008A622D"/>
    <w:rsid w:val="008A6487"/>
    <w:rsid w:val="008A6CA9"/>
    <w:rsid w:val="008A795D"/>
    <w:rsid w:val="008B0E66"/>
    <w:rsid w:val="008B16CA"/>
    <w:rsid w:val="008B2515"/>
    <w:rsid w:val="008B5C22"/>
    <w:rsid w:val="008B5CF7"/>
    <w:rsid w:val="008B6E69"/>
    <w:rsid w:val="008C02F4"/>
    <w:rsid w:val="008C2B5E"/>
    <w:rsid w:val="008C31C3"/>
    <w:rsid w:val="008C40E6"/>
    <w:rsid w:val="008C6430"/>
    <w:rsid w:val="008D0CCD"/>
    <w:rsid w:val="008D3193"/>
    <w:rsid w:val="008D36D0"/>
    <w:rsid w:val="008D4729"/>
    <w:rsid w:val="008D4CA7"/>
    <w:rsid w:val="008D63A2"/>
    <w:rsid w:val="008D6BA3"/>
    <w:rsid w:val="008E07BD"/>
    <w:rsid w:val="008E1189"/>
    <w:rsid w:val="008E1370"/>
    <w:rsid w:val="008E3BE5"/>
    <w:rsid w:val="008E5462"/>
    <w:rsid w:val="008E5EBA"/>
    <w:rsid w:val="008E6427"/>
    <w:rsid w:val="008E7BDE"/>
    <w:rsid w:val="008F08C9"/>
    <w:rsid w:val="008F1A12"/>
    <w:rsid w:val="008F58AB"/>
    <w:rsid w:val="008F5DB8"/>
    <w:rsid w:val="008F627B"/>
    <w:rsid w:val="008F6C77"/>
    <w:rsid w:val="009009ED"/>
    <w:rsid w:val="00901389"/>
    <w:rsid w:val="009013F2"/>
    <w:rsid w:val="0090187B"/>
    <w:rsid w:val="00901F58"/>
    <w:rsid w:val="00904060"/>
    <w:rsid w:val="0090557B"/>
    <w:rsid w:val="00906556"/>
    <w:rsid w:val="00910485"/>
    <w:rsid w:val="00912F6D"/>
    <w:rsid w:val="0091321F"/>
    <w:rsid w:val="0091339E"/>
    <w:rsid w:val="00915AD8"/>
    <w:rsid w:val="0091664F"/>
    <w:rsid w:val="00920210"/>
    <w:rsid w:val="00920E18"/>
    <w:rsid w:val="009217E3"/>
    <w:rsid w:val="0092277C"/>
    <w:rsid w:val="009238F5"/>
    <w:rsid w:val="00923A3D"/>
    <w:rsid w:val="009254ED"/>
    <w:rsid w:val="00925695"/>
    <w:rsid w:val="00926FDA"/>
    <w:rsid w:val="00927C7B"/>
    <w:rsid w:val="00927D43"/>
    <w:rsid w:val="009302E0"/>
    <w:rsid w:val="00933546"/>
    <w:rsid w:val="0093367E"/>
    <w:rsid w:val="00933D03"/>
    <w:rsid w:val="00933E9A"/>
    <w:rsid w:val="00935460"/>
    <w:rsid w:val="0093573E"/>
    <w:rsid w:val="00936B60"/>
    <w:rsid w:val="00936FE4"/>
    <w:rsid w:val="00937089"/>
    <w:rsid w:val="009376CD"/>
    <w:rsid w:val="00937A04"/>
    <w:rsid w:val="00937D8B"/>
    <w:rsid w:val="00940900"/>
    <w:rsid w:val="00942A59"/>
    <w:rsid w:val="009457EF"/>
    <w:rsid w:val="009472D2"/>
    <w:rsid w:val="009509B4"/>
    <w:rsid w:val="00951103"/>
    <w:rsid w:val="00952701"/>
    <w:rsid w:val="00952F3C"/>
    <w:rsid w:val="00955FCE"/>
    <w:rsid w:val="00956728"/>
    <w:rsid w:val="00956EED"/>
    <w:rsid w:val="0096039C"/>
    <w:rsid w:val="00960511"/>
    <w:rsid w:val="00961676"/>
    <w:rsid w:val="0096670D"/>
    <w:rsid w:val="00967384"/>
    <w:rsid w:val="0096772C"/>
    <w:rsid w:val="00967C19"/>
    <w:rsid w:val="00970235"/>
    <w:rsid w:val="0097049A"/>
    <w:rsid w:val="0097064A"/>
    <w:rsid w:val="00970860"/>
    <w:rsid w:val="00972422"/>
    <w:rsid w:val="00972651"/>
    <w:rsid w:val="00973A2D"/>
    <w:rsid w:val="00974AEA"/>
    <w:rsid w:val="00975662"/>
    <w:rsid w:val="009760A6"/>
    <w:rsid w:val="0098105F"/>
    <w:rsid w:val="00981A1A"/>
    <w:rsid w:val="00981CAB"/>
    <w:rsid w:val="00982ECF"/>
    <w:rsid w:val="00983639"/>
    <w:rsid w:val="00986F8D"/>
    <w:rsid w:val="00987810"/>
    <w:rsid w:val="00991682"/>
    <w:rsid w:val="00991DF9"/>
    <w:rsid w:val="009928CA"/>
    <w:rsid w:val="009936F7"/>
    <w:rsid w:val="00993D21"/>
    <w:rsid w:val="0099494D"/>
    <w:rsid w:val="009954ED"/>
    <w:rsid w:val="00995DE9"/>
    <w:rsid w:val="009969BD"/>
    <w:rsid w:val="009979C0"/>
    <w:rsid w:val="00997F40"/>
    <w:rsid w:val="009A0C91"/>
    <w:rsid w:val="009A152E"/>
    <w:rsid w:val="009A15CD"/>
    <w:rsid w:val="009A2126"/>
    <w:rsid w:val="009A3C97"/>
    <w:rsid w:val="009A4271"/>
    <w:rsid w:val="009A5730"/>
    <w:rsid w:val="009A62B9"/>
    <w:rsid w:val="009B03C5"/>
    <w:rsid w:val="009B1E94"/>
    <w:rsid w:val="009B4576"/>
    <w:rsid w:val="009B47E4"/>
    <w:rsid w:val="009B5F78"/>
    <w:rsid w:val="009B64F1"/>
    <w:rsid w:val="009B66D3"/>
    <w:rsid w:val="009B68FA"/>
    <w:rsid w:val="009B6960"/>
    <w:rsid w:val="009B6CEF"/>
    <w:rsid w:val="009C0A86"/>
    <w:rsid w:val="009C0D82"/>
    <w:rsid w:val="009C1234"/>
    <w:rsid w:val="009C1A97"/>
    <w:rsid w:val="009C25C6"/>
    <w:rsid w:val="009C399B"/>
    <w:rsid w:val="009C4471"/>
    <w:rsid w:val="009C50B9"/>
    <w:rsid w:val="009C54B6"/>
    <w:rsid w:val="009C75E8"/>
    <w:rsid w:val="009D1035"/>
    <w:rsid w:val="009D12B3"/>
    <w:rsid w:val="009D1406"/>
    <w:rsid w:val="009D29A5"/>
    <w:rsid w:val="009D3011"/>
    <w:rsid w:val="009D4771"/>
    <w:rsid w:val="009D51DB"/>
    <w:rsid w:val="009D6AAB"/>
    <w:rsid w:val="009D6EB8"/>
    <w:rsid w:val="009E0BDB"/>
    <w:rsid w:val="009E1F26"/>
    <w:rsid w:val="009E3BAC"/>
    <w:rsid w:val="009E3CD4"/>
    <w:rsid w:val="009E4750"/>
    <w:rsid w:val="009E5B10"/>
    <w:rsid w:val="009E5FD5"/>
    <w:rsid w:val="009E6133"/>
    <w:rsid w:val="009F0F6F"/>
    <w:rsid w:val="009F1C24"/>
    <w:rsid w:val="009F21F4"/>
    <w:rsid w:val="009F2468"/>
    <w:rsid w:val="009F2A5D"/>
    <w:rsid w:val="009F309D"/>
    <w:rsid w:val="009F5929"/>
    <w:rsid w:val="009F5AE6"/>
    <w:rsid w:val="009F6004"/>
    <w:rsid w:val="00A0065E"/>
    <w:rsid w:val="00A010FA"/>
    <w:rsid w:val="00A02C51"/>
    <w:rsid w:val="00A0302B"/>
    <w:rsid w:val="00A046B0"/>
    <w:rsid w:val="00A04EEE"/>
    <w:rsid w:val="00A07280"/>
    <w:rsid w:val="00A07708"/>
    <w:rsid w:val="00A10CFF"/>
    <w:rsid w:val="00A1336E"/>
    <w:rsid w:val="00A135CD"/>
    <w:rsid w:val="00A13ABC"/>
    <w:rsid w:val="00A157E3"/>
    <w:rsid w:val="00A15972"/>
    <w:rsid w:val="00A159BD"/>
    <w:rsid w:val="00A1606E"/>
    <w:rsid w:val="00A163B6"/>
    <w:rsid w:val="00A21D41"/>
    <w:rsid w:val="00A22BAB"/>
    <w:rsid w:val="00A247A1"/>
    <w:rsid w:val="00A25CCA"/>
    <w:rsid w:val="00A25F4E"/>
    <w:rsid w:val="00A312F3"/>
    <w:rsid w:val="00A320FC"/>
    <w:rsid w:val="00A3690A"/>
    <w:rsid w:val="00A406A2"/>
    <w:rsid w:val="00A419CC"/>
    <w:rsid w:val="00A43367"/>
    <w:rsid w:val="00A446C2"/>
    <w:rsid w:val="00A4478D"/>
    <w:rsid w:val="00A46836"/>
    <w:rsid w:val="00A47B1B"/>
    <w:rsid w:val="00A50826"/>
    <w:rsid w:val="00A524C4"/>
    <w:rsid w:val="00A53B58"/>
    <w:rsid w:val="00A547B2"/>
    <w:rsid w:val="00A55DA9"/>
    <w:rsid w:val="00A55FF2"/>
    <w:rsid w:val="00A5647A"/>
    <w:rsid w:val="00A566A9"/>
    <w:rsid w:val="00A57C1A"/>
    <w:rsid w:val="00A60D4A"/>
    <w:rsid w:val="00A61755"/>
    <w:rsid w:val="00A62CED"/>
    <w:rsid w:val="00A63080"/>
    <w:rsid w:val="00A6622D"/>
    <w:rsid w:val="00A67CD1"/>
    <w:rsid w:val="00A71303"/>
    <w:rsid w:val="00A7220C"/>
    <w:rsid w:val="00A7229C"/>
    <w:rsid w:val="00A73ECA"/>
    <w:rsid w:val="00A76ED8"/>
    <w:rsid w:val="00A82C8D"/>
    <w:rsid w:val="00A82D8A"/>
    <w:rsid w:val="00A8428F"/>
    <w:rsid w:val="00A84E22"/>
    <w:rsid w:val="00A86049"/>
    <w:rsid w:val="00A86AF2"/>
    <w:rsid w:val="00A87A02"/>
    <w:rsid w:val="00A90B31"/>
    <w:rsid w:val="00A9155A"/>
    <w:rsid w:val="00A93490"/>
    <w:rsid w:val="00A934E6"/>
    <w:rsid w:val="00A93E81"/>
    <w:rsid w:val="00A94CA5"/>
    <w:rsid w:val="00A97771"/>
    <w:rsid w:val="00AA2444"/>
    <w:rsid w:val="00AA25FD"/>
    <w:rsid w:val="00AA37C6"/>
    <w:rsid w:val="00AA39EC"/>
    <w:rsid w:val="00AA3F1F"/>
    <w:rsid w:val="00AA4CD3"/>
    <w:rsid w:val="00AA4ECC"/>
    <w:rsid w:val="00AA4FA0"/>
    <w:rsid w:val="00AA5625"/>
    <w:rsid w:val="00AA73A5"/>
    <w:rsid w:val="00AB08BA"/>
    <w:rsid w:val="00AB0B45"/>
    <w:rsid w:val="00AB0D18"/>
    <w:rsid w:val="00AB0E57"/>
    <w:rsid w:val="00AB2207"/>
    <w:rsid w:val="00AB2378"/>
    <w:rsid w:val="00AB595B"/>
    <w:rsid w:val="00AB6BC1"/>
    <w:rsid w:val="00AB7015"/>
    <w:rsid w:val="00AB72C3"/>
    <w:rsid w:val="00AC0F07"/>
    <w:rsid w:val="00AC119B"/>
    <w:rsid w:val="00AC21C2"/>
    <w:rsid w:val="00AC290E"/>
    <w:rsid w:val="00AC3E52"/>
    <w:rsid w:val="00AC4D37"/>
    <w:rsid w:val="00AC50B1"/>
    <w:rsid w:val="00AC5685"/>
    <w:rsid w:val="00AC7E1F"/>
    <w:rsid w:val="00AD0A3C"/>
    <w:rsid w:val="00AD1C2A"/>
    <w:rsid w:val="00AD2BBA"/>
    <w:rsid w:val="00AD3145"/>
    <w:rsid w:val="00AD35AC"/>
    <w:rsid w:val="00AE131F"/>
    <w:rsid w:val="00AE2CE5"/>
    <w:rsid w:val="00AE404C"/>
    <w:rsid w:val="00AE40F5"/>
    <w:rsid w:val="00AE6EED"/>
    <w:rsid w:val="00AE73E2"/>
    <w:rsid w:val="00AF07D5"/>
    <w:rsid w:val="00AF0C78"/>
    <w:rsid w:val="00AF1135"/>
    <w:rsid w:val="00AF2CB8"/>
    <w:rsid w:val="00AF32B3"/>
    <w:rsid w:val="00AF33F8"/>
    <w:rsid w:val="00AF399A"/>
    <w:rsid w:val="00AF478A"/>
    <w:rsid w:val="00AF51C8"/>
    <w:rsid w:val="00AF547A"/>
    <w:rsid w:val="00B00AA3"/>
    <w:rsid w:val="00B01003"/>
    <w:rsid w:val="00B01446"/>
    <w:rsid w:val="00B01B5E"/>
    <w:rsid w:val="00B05871"/>
    <w:rsid w:val="00B0656D"/>
    <w:rsid w:val="00B10789"/>
    <w:rsid w:val="00B107FD"/>
    <w:rsid w:val="00B1094A"/>
    <w:rsid w:val="00B13A4D"/>
    <w:rsid w:val="00B15348"/>
    <w:rsid w:val="00B15458"/>
    <w:rsid w:val="00B15D84"/>
    <w:rsid w:val="00B16101"/>
    <w:rsid w:val="00B21CCC"/>
    <w:rsid w:val="00B22682"/>
    <w:rsid w:val="00B2284D"/>
    <w:rsid w:val="00B2300A"/>
    <w:rsid w:val="00B23263"/>
    <w:rsid w:val="00B24D38"/>
    <w:rsid w:val="00B254CE"/>
    <w:rsid w:val="00B25AD0"/>
    <w:rsid w:val="00B25BD1"/>
    <w:rsid w:val="00B2616F"/>
    <w:rsid w:val="00B3232F"/>
    <w:rsid w:val="00B33662"/>
    <w:rsid w:val="00B336D4"/>
    <w:rsid w:val="00B34841"/>
    <w:rsid w:val="00B35B11"/>
    <w:rsid w:val="00B35D0D"/>
    <w:rsid w:val="00B36FAF"/>
    <w:rsid w:val="00B40655"/>
    <w:rsid w:val="00B4175A"/>
    <w:rsid w:val="00B42705"/>
    <w:rsid w:val="00B427C0"/>
    <w:rsid w:val="00B42B1B"/>
    <w:rsid w:val="00B430F1"/>
    <w:rsid w:val="00B43ADD"/>
    <w:rsid w:val="00B43FED"/>
    <w:rsid w:val="00B44491"/>
    <w:rsid w:val="00B45DE7"/>
    <w:rsid w:val="00B46773"/>
    <w:rsid w:val="00B46CE8"/>
    <w:rsid w:val="00B503EC"/>
    <w:rsid w:val="00B5041D"/>
    <w:rsid w:val="00B515E7"/>
    <w:rsid w:val="00B52546"/>
    <w:rsid w:val="00B52D27"/>
    <w:rsid w:val="00B5301F"/>
    <w:rsid w:val="00B53744"/>
    <w:rsid w:val="00B54528"/>
    <w:rsid w:val="00B54B6A"/>
    <w:rsid w:val="00B55BC7"/>
    <w:rsid w:val="00B566E2"/>
    <w:rsid w:val="00B576E4"/>
    <w:rsid w:val="00B5790D"/>
    <w:rsid w:val="00B57E84"/>
    <w:rsid w:val="00B61E16"/>
    <w:rsid w:val="00B63294"/>
    <w:rsid w:val="00B6383A"/>
    <w:rsid w:val="00B63D7C"/>
    <w:rsid w:val="00B64166"/>
    <w:rsid w:val="00B650E7"/>
    <w:rsid w:val="00B654A3"/>
    <w:rsid w:val="00B65675"/>
    <w:rsid w:val="00B65938"/>
    <w:rsid w:val="00B664DA"/>
    <w:rsid w:val="00B668C8"/>
    <w:rsid w:val="00B66A5C"/>
    <w:rsid w:val="00B67E99"/>
    <w:rsid w:val="00B7141B"/>
    <w:rsid w:val="00B71CDD"/>
    <w:rsid w:val="00B72AEE"/>
    <w:rsid w:val="00B732CF"/>
    <w:rsid w:val="00B73375"/>
    <w:rsid w:val="00B762C6"/>
    <w:rsid w:val="00B8066A"/>
    <w:rsid w:val="00B83E10"/>
    <w:rsid w:val="00B85B32"/>
    <w:rsid w:val="00B86F7F"/>
    <w:rsid w:val="00B910AE"/>
    <w:rsid w:val="00B91BC9"/>
    <w:rsid w:val="00B91ED8"/>
    <w:rsid w:val="00B91F19"/>
    <w:rsid w:val="00B95680"/>
    <w:rsid w:val="00B95BFD"/>
    <w:rsid w:val="00B97C47"/>
    <w:rsid w:val="00BA04BD"/>
    <w:rsid w:val="00BA1121"/>
    <w:rsid w:val="00BA2AD7"/>
    <w:rsid w:val="00BA2BFB"/>
    <w:rsid w:val="00BA38DC"/>
    <w:rsid w:val="00BA3B1C"/>
    <w:rsid w:val="00BA4D9B"/>
    <w:rsid w:val="00BA5778"/>
    <w:rsid w:val="00BA58DD"/>
    <w:rsid w:val="00BA5C29"/>
    <w:rsid w:val="00BA65A2"/>
    <w:rsid w:val="00BA66D2"/>
    <w:rsid w:val="00BA6C19"/>
    <w:rsid w:val="00BA7790"/>
    <w:rsid w:val="00BA791D"/>
    <w:rsid w:val="00BB12D9"/>
    <w:rsid w:val="00BB2BAA"/>
    <w:rsid w:val="00BB5B2E"/>
    <w:rsid w:val="00BB6CD3"/>
    <w:rsid w:val="00BB70A4"/>
    <w:rsid w:val="00BB766F"/>
    <w:rsid w:val="00BB769A"/>
    <w:rsid w:val="00BB7F49"/>
    <w:rsid w:val="00BC038A"/>
    <w:rsid w:val="00BC0811"/>
    <w:rsid w:val="00BC222A"/>
    <w:rsid w:val="00BC3674"/>
    <w:rsid w:val="00BC38B5"/>
    <w:rsid w:val="00BC47D3"/>
    <w:rsid w:val="00BC4E80"/>
    <w:rsid w:val="00BC5145"/>
    <w:rsid w:val="00BD103E"/>
    <w:rsid w:val="00BD25C3"/>
    <w:rsid w:val="00BD260C"/>
    <w:rsid w:val="00BD5394"/>
    <w:rsid w:val="00BD56E7"/>
    <w:rsid w:val="00BD5D45"/>
    <w:rsid w:val="00BD6111"/>
    <w:rsid w:val="00BD6660"/>
    <w:rsid w:val="00BD6E8A"/>
    <w:rsid w:val="00BD7E64"/>
    <w:rsid w:val="00BE12E6"/>
    <w:rsid w:val="00BE1A47"/>
    <w:rsid w:val="00BE4C3E"/>
    <w:rsid w:val="00BE534D"/>
    <w:rsid w:val="00BE5437"/>
    <w:rsid w:val="00BE6B4B"/>
    <w:rsid w:val="00BF1615"/>
    <w:rsid w:val="00BF27F9"/>
    <w:rsid w:val="00BF5CB7"/>
    <w:rsid w:val="00BF7E70"/>
    <w:rsid w:val="00C013E5"/>
    <w:rsid w:val="00C03265"/>
    <w:rsid w:val="00C03B42"/>
    <w:rsid w:val="00C03C18"/>
    <w:rsid w:val="00C041CB"/>
    <w:rsid w:val="00C06396"/>
    <w:rsid w:val="00C063AC"/>
    <w:rsid w:val="00C0661B"/>
    <w:rsid w:val="00C06F28"/>
    <w:rsid w:val="00C079FA"/>
    <w:rsid w:val="00C1162C"/>
    <w:rsid w:val="00C122A2"/>
    <w:rsid w:val="00C13FCF"/>
    <w:rsid w:val="00C154A4"/>
    <w:rsid w:val="00C15A41"/>
    <w:rsid w:val="00C167EA"/>
    <w:rsid w:val="00C16A67"/>
    <w:rsid w:val="00C16CF7"/>
    <w:rsid w:val="00C16FBB"/>
    <w:rsid w:val="00C1755C"/>
    <w:rsid w:val="00C2056D"/>
    <w:rsid w:val="00C21F7A"/>
    <w:rsid w:val="00C224CE"/>
    <w:rsid w:val="00C23239"/>
    <w:rsid w:val="00C23955"/>
    <w:rsid w:val="00C24084"/>
    <w:rsid w:val="00C241D9"/>
    <w:rsid w:val="00C24BEB"/>
    <w:rsid w:val="00C27525"/>
    <w:rsid w:val="00C343D9"/>
    <w:rsid w:val="00C3544B"/>
    <w:rsid w:val="00C357CF"/>
    <w:rsid w:val="00C35DB2"/>
    <w:rsid w:val="00C35DD7"/>
    <w:rsid w:val="00C37ADB"/>
    <w:rsid w:val="00C37F68"/>
    <w:rsid w:val="00C40988"/>
    <w:rsid w:val="00C40E8E"/>
    <w:rsid w:val="00C41B68"/>
    <w:rsid w:val="00C43A0B"/>
    <w:rsid w:val="00C446F0"/>
    <w:rsid w:val="00C45905"/>
    <w:rsid w:val="00C461E6"/>
    <w:rsid w:val="00C50F14"/>
    <w:rsid w:val="00C513B4"/>
    <w:rsid w:val="00C5177A"/>
    <w:rsid w:val="00C52D82"/>
    <w:rsid w:val="00C56785"/>
    <w:rsid w:val="00C573B4"/>
    <w:rsid w:val="00C57A3A"/>
    <w:rsid w:val="00C57C44"/>
    <w:rsid w:val="00C602AA"/>
    <w:rsid w:val="00C61197"/>
    <w:rsid w:val="00C61245"/>
    <w:rsid w:val="00C66173"/>
    <w:rsid w:val="00C679DA"/>
    <w:rsid w:val="00C70578"/>
    <w:rsid w:val="00C7195D"/>
    <w:rsid w:val="00C723B3"/>
    <w:rsid w:val="00C72511"/>
    <w:rsid w:val="00C75BF2"/>
    <w:rsid w:val="00C768FB"/>
    <w:rsid w:val="00C7708E"/>
    <w:rsid w:val="00C77932"/>
    <w:rsid w:val="00C77CC0"/>
    <w:rsid w:val="00C8047A"/>
    <w:rsid w:val="00C81443"/>
    <w:rsid w:val="00C81C41"/>
    <w:rsid w:val="00C81E8C"/>
    <w:rsid w:val="00C837D7"/>
    <w:rsid w:val="00C84DA6"/>
    <w:rsid w:val="00C8503F"/>
    <w:rsid w:val="00C8548A"/>
    <w:rsid w:val="00C854E2"/>
    <w:rsid w:val="00C861C3"/>
    <w:rsid w:val="00C86204"/>
    <w:rsid w:val="00C90E88"/>
    <w:rsid w:val="00C9210B"/>
    <w:rsid w:val="00C92516"/>
    <w:rsid w:val="00C933A5"/>
    <w:rsid w:val="00C942A1"/>
    <w:rsid w:val="00C943FC"/>
    <w:rsid w:val="00C94C9F"/>
    <w:rsid w:val="00C97326"/>
    <w:rsid w:val="00CA32C7"/>
    <w:rsid w:val="00CA3CF1"/>
    <w:rsid w:val="00CA426E"/>
    <w:rsid w:val="00CA4DB6"/>
    <w:rsid w:val="00CA4EF2"/>
    <w:rsid w:val="00CA7076"/>
    <w:rsid w:val="00CB216E"/>
    <w:rsid w:val="00CB34D3"/>
    <w:rsid w:val="00CB5AC3"/>
    <w:rsid w:val="00CB5C19"/>
    <w:rsid w:val="00CB5D16"/>
    <w:rsid w:val="00CC1295"/>
    <w:rsid w:val="00CC1BCF"/>
    <w:rsid w:val="00CC1F37"/>
    <w:rsid w:val="00CC22A1"/>
    <w:rsid w:val="00CC4092"/>
    <w:rsid w:val="00CC6FB3"/>
    <w:rsid w:val="00CC746F"/>
    <w:rsid w:val="00CD1075"/>
    <w:rsid w:val="00CD1C6C"/>
    <w:rsid w:val="00CD1F79"/>
    <w:rsid w:val="00CD23FF"/>
    <w:rsid w:val="00CD2588"/>
    <w:rsid w:val="00CD2CD3"/>
    <w:rsid w:val="00CD4353"/>
    <w:rsid w:val="00CD4930"/>
    <w:rsid w:val="00CD5653"/>
    <w:rsid w:val="00CD62A6"/>
    <w:rsid w:val="00CD7F22"/>
    <w:rsid w:val="00CE09ED"/>
    <w:rsid w:val="00CE17EB"/>
    <w:rsid w:val="00CE1F50"/>
    <w:rsid w:val="00CE27EF"/>
    <w:rsid w:val="00CE5774"/>
    <w:rsid w:val="00CE6708"/>
    <w:rsid w:val="00CE6D4F"/>
    <w:rsid w:val="00CE7A5D"/>
    <w:rsid w:val="00CF11DF"/>
    <w:rsid w:val="00CF1210"/>
    <w:rsid w:val="00CF1B23"/>
    <w:rsid w:val="00CF3D5C"/>
    <w:rsid w:val="00CF55C0"/>
    <w:rsid w:val="00CF5788"/>
    <w:rsid w:val="00D00136"/>
    <w:rsid w:val="00D00213"/>
    <w:rsid w:val="00D01563"/>
    <w:rsid w:val="00D01924"/>
    <w:rsid w:val="00D035A4"/>
    <w:rsid w:val="00D0365F"/>
    <w:rsid w:val="00D04893"/>
    <w:rsid w:val="00D04B9C"/>
    <w:rsid w:val="00D04BBB"/>
    <w:rsid w:val="00D07231"/>
    <w:rsid w:val="00D07FD2"/>
    <w:rsid w:val="00D10542"/>
    <w:rsid w:val="00D11745"/>
    <w:rsid w:val="00D1202F"/>
    <w:rsid w:val="00D121C1"/>
    <w:rsid w:val="00D12B69"/>
    <w:rsid w:val="00D14111"/>
    <w:rsid w:val="00D15381"/>
    <w:rsid w:val="00D16B36"/>
    <w:rsid w:val="00D1721C"/>
    <w:rsid w:val="00D20FE3"/>
    <w:rsid w:val="00D21DAA"/>
    <w:rsid w:val="00D220D6"/>
    <w:rsid w:val="00D23E5D"/>
    <w:rsid w:val="00D24303"/>
    <w:rsid w:val="00D3100C"/>
    <w:rsid w:val="00D31DFA"/>
    <w:rsid w:val="00D3266D"/>
    <w:rsid w:val="00D335B6"/>
    <w:rsid w:val="00D3503B"/>
    <w:rsid w:val="00D36BF8"/>
    <w:rsid w:val="00D37747"/>
    <w:rsid w:val="00D40362"/>
    <w:rsid w:val="00D40416"/>
    <w:rsid w:val="00D406F2"/>
    <w:rsid w:val="00D409F8"/>
    <w:rsid w:val="00D4156A"/>
    <w:rsid w:val="00D41883"/>
    <w:rsid w:val="00D41DB6"/>
    <w:rsid w:val="00D42E54"/>
    <w:rsid w:val="00D44B51"/>
    <w:rsid w:val="00D45821"/>
    <w:rsid w:val="00D4695F"/>
    <w:rsid w:val="00D47449"/>
    <w:rsid w:val="00D47958"/>
    <w:rsid w:val="00D47B5A"/>
    <w:rsid w:val="00D47F3C"/>
    <w:rsid w:val="00D530E0"/>
    <w:rsid w:val="00D5356D"/>
    <w:rsid w:val="00D5359A"/>
    <w:rsid w:val="00D55187"/>
    <w:rsid w:val="00D56BAE"/>
    <w:rsid w:val="00D571E6"/>
    <w:rsid w:val="00D573D0"/>
    <w:rsid w:val="00D57494"/>
    <w:rsid w:val="00D61AC1"/>
    <w:rsid w:val="00D61BB3"/>
    <w:rsid w:val="00D633AE"/>
    <w:rsid w:val="00D63E54"/>
    <w:rsid w:val="00D646D5"/>
    <w:rsid w:val="00D65E31"/>
    <w:rsid w:val="00D66673"/>
    <w:rsid w:val="00D676AD"/>
    <w:rsid w:val="00D71713"/>
    <w:rsid w:val="00D73BDE"/>
    <w:rsid w:val="00D73C64"/>
    <w:rsid w:val="00D7714F"/>
    <w:rsid w:val="00D77470"/>
    <w:rsid w:val="00D808C0"/>
    <w:rsid w:val="00D81873"/>
    <w:rsid w:val="00D825C4"/>
    <w:rsid w:val="00D84A8B"/>
    <w:rsid w:val="00D85381"/>
    <w:rsid w:val="00D865EC"/>
    <w:rsid w:val="00D86BF6"/>
    <w:rsid w:val="00D9009D"/>
    <w:rsid w:val="00D903FA"/>
    <w:rsid w:val="00D9131E"/>
    <w:rsid w:val="00D92CF8"/>
    <w:rsid w:val="00D93F18"/>
    <w:rsid w:val="00D943DD"/>
    <w:rsid w:val="00D964B0"/>
    <w:rsid w:val="00D96F7E"/>
    <w:rsid w:val="00D97BC8"/>
    <w:rsid w:val="00DA0B00"/>
    <w:rsid w:val="00DA0EA5"/>
    <w:rsid w:val="00DA34FB"/>
    <w:rsid w:val="00DA561D"/>
    <w:rsid w:val="00DA58F1"/>
    <w:rsid w:val="00DB034C"/>
    <w:rsid w:val="00DB03A4"/>
    <w:rsid w:val="00DB0D33"/>
    <w:rsid w:val="00DB3261"/>
    <w:rsid w:val="00DB3C87"/>
    <w:rsid w:val="00DB47D3"/>
    <w:rsid w:val="00DB58E0"/>
    <w:rsid w:val="00DB6A73"/>
    <w:rsid w:val="00DB6F71"/>
    <w:rsid w:val="00DB7E64"/>
    <w:rsid w:val="00DC0191"/>
    <w:rsid w:val="00DC0ECC"/>
    <w:rsid w:val="00DC46A8"/>
    <w:rsid w:val="00DD2768"/>
    <w:rsid w:val="00DD6F8E"/>
    <w:rsid w:val="00DE2107"/>
    <w:rsid w:val="00DE2529"/>
    <w:rsid w:val="00DE28EA"/>
    <w:rsid w:val="00DE3E20"/>
    <w:rsid w:val="00DE4D7F"/>
    <w:rsid w:val="00DE65D2"/>
    <w:rsid w:val="00DE6734"/>
    <w:rsid w:val="00DE7627"/>
    <w:rsid w:val="00DF10AE"/>
    <w:rsid w:val="00DF1831"/>
    <w:rsid w:val="00DF2E71"/>
    <w:rsid w:val="00DF3147"/>
    <w:rsid w:val="00DF465F"/>
    <w:rsid w:val="00DF5DA3"/>
    <w:rsid w:val="00E00C60"/>
    <w:rsid w:val="00E00D7C"/>
    <w:rsid w:val="00E0243C"/>
    <w:rsid w:val="00E03CEE"/>
    <w:rsid w:val="00E04D3B"/>
    <w:rsid w:val="00E05661"/>
    <w:rsid w:val="00E05CCA"/>
    <w:rsid w:val="00E07E8C"/>
    <w:rsid w:val="00E103CA"/>
    <w:rsid w:val="00E106CB"/>
    <w:rsid w:val="00E11630"/>
    <w:rsid w:val="00E11683"/>
    <w:rsid w:val="00E118C4"/>
    <w:rsid w:val="00E11DD1"/>
    <w:rsid w:val="00E122D0"/>
    <w:rsid w:val="00E137C3"/>
    <w:rsid w:val="00E15DC1"/>
    <w:rsid w:val="00E20602"/>
    <w:rsid w:val="00E20A5D"/>
    <w:rsid w:val="00E2232B"/>
    <w:rsid w:val="00E22B51"/>
    <w:rsid w:val="00E23253"/>
    <w:rsid w:val="00E24720"/>
    <w:rsid w:val="00E26DB3"/>
    <w:rsid w:val="00E31807"/>
    <w:rsid w:val="00E32486"/>
    <w:rsid w:val="00E32E1C"/>
    <w:rsid w:val="00E34CD1"/>
    <w:rsid w:val="00E35903"/>
    <w:rsid w:val="00E405EE"/>
    <w:rsid w:val="00E41003"/>
    <w:rsid w:val="00E41396"/>
    <w:rsid w:val="00E433D8"/>
    <w:rsid w:val="00E43B33"/>
    <w:rsid w:val="00E43D61"/>
    <w:rsid w:val="00E45228"/>
    <w:rsid w:val="00E46AD0"/>
    <w:rsid w:val="00E47E1D"/>
    <w:rsid w:val="00E5009B"/>
    <w:rsid w:val="00E50445"/>
    <w:rsid w:val="00E5156B"/>
    <w:rsid w:val="00E52AB6"/>
    <w:rsid w:val="00E53EB6"/>
    <w:rsid w:val="00E54150"/>
    <w:rsid w:val="00E5469A"/>
    <w:rsid w:val="00E56EF1"/>
    <w:rsid w:val="00E573A3"/>
    <w:rsid w:val="00E60104"/>
    <w:rsid w:val="00E60A10"/>
    <w:rsid w:val="00E61E6D"/>
    <w:rsid w:val="00E635CD"/>
    <w:rsid w:val="00E63939"/>
    <w:rsid w:val="00E63F84"/>
    <w:rsid w:val="00E64A99"/>
    <w:rsid w:val="00E64D5E"/>
    <w:rsid w:val="00E65FAE"/>
    <w:rsid w:val="00E66958"/>
    <w:rsid w:val="00E67C79"/>
    <w:rsid w:val="00E72AC4"/>
    <w:rsid w:val="00E72EE2"/>
    <w:rsid w:val="00E73218"/>
    <w:rsid w:val="00E733D3"/>
    <w:rsid w:val="00E741A9"/>
    <w:rsid w:val="00E74ADA"/>
    <w:rsid w:val="00E74E43"/>
    <w:rsid w:val="00E759C1"/>
    <w:rsid w:val="00E75A17"/>
    <w:rsid w:val="00E77C07"/>
    <w:rsid w:val="00E77E0C"/>
    <w:rsid w:val="00E80FD9"/>
    <w:rsid w:val="00E81246"/>
    <w:rsid w:val="00E8144F"/>
    <w:rsid w:val="00E81C59"/>
    <w:rsid w:val="00E82B9E"/>
    <w:rsid w:val="00E84BEE"/>
    <w:rsid w:val="00E85C83"/>
    <w:rsid w:val="00E8683A"/>
    <w:rsid w:val="00E87829"/>
    <w:rsid w:val="00E87EFC"/>
    <w:rsid w:val="00E90075"/>
    <w:rsid w:val="00E90B98"/>
    <w:rsid w:val="00E90EC3"/>
    <w:rsid w:val="00E916D5"/>
    <w:rsid w:val="00E91D2D"/>
    <w:rsid w:val="00E92719"/>
    <w:rsid w:val="00E92CE4"/>
    <w:rsid w:val="00E93ABC"/>
    <w:rsid w:val="00E95FC6"/>
    <w:rsid w:val="00E97639"/>
    <w:rsid w:val="00EA1E0B"/>
    <w:rsid w:val="00EA273E"/>
    <w:rsid w:val="00EA41A0"/>
    <w:rsid w:val="00EA43C8"/>
    <w:rsid w:val="00EA4854"/>
    <w:rsid w:val="00EA4D34"/>
    <w:rsid w:val="00EA5114"/>
    <w:rsid w:val="00EA56EF"/>
    <w:rsid w:val="00EA66F3"/>
    <w:rsid w:val="00EA6E1A"/>
    <w:rsid w:val="00EA7090"/>
    <w:rsid w:val="00EA7427"/>
    <w:rsid w:val="00EA769E"/>
    <w:rsid w:val="00EB221F"/>
    <w:rsid w:val="00EB36A1"/>
    <w:rsid w:val="00EB3B0A"/>
    <w:rsid w:val="00EB3D73"/>
    <w:rsid w:val="00EB5D6B"/>
    <w:rsid w:val="00EC12CF"/>
    <w:rsid w:val="00EC16E8"/>
    <w:rsid w:val="00EC595B"/>
    <w:rsid w:val="00EC5BB4"/>
    <w:rsid w:val="00EC6AA7"/>
    <w:rsid w:val="00EC735B"/>
    <w:rsid w:val="00EC7FE5"/>
    <w:rsid w:val="00ED1EB5"/>
    <w:rsid w:val="00ED5CD1"/>
    <w:rsid w:val="00ED5E9B"/>
    <w:rsid w:val="00EE1DFD"/>
    <w:rsid w:val="00EE1EF4"/>
    <w:rsid w:val="00EE3270"/>
    <w:rsid w:val="00EE4F21"/>
    <w:rsid w:val="00EE6CE9"/>
    <w:rsid w:val="00EE7128"/>
    <w:rsid w:val="00EF364D"/>
    <w:rsid w:val="00EF365E"/>
    <w:rsid w:val="00EF4291"/>
    <w:rsid w:val="00EF4F66"/>
    <w:rsid w:val="00EF5434"/>
    <w:rsid w:val="00EF6CE3"/>
    <w:rsid w:val="00EF7482"/>
    <w:rsid w:val="00F01264"/>
    <w:rsid w:val="00F0149A"/>
    <w:rsid w:val="00F039AC"/>
    <w:rsid w:val="00F03DB3"/>
    <w:rsid w:val="00F07464"/>
    <w:rsid w:val="00F07FEC"/>
    <w:rsid w:val="00F16FC9"/>
    <w:rsid w:val="00F201CD"/>
    <w:rsid w:val="00F212A8"/>
    <w:rsid w:val="00F221A0"/>
    <w:rsid w:val="00F23BE4"/>
    <w:rsid w:val="00F24828"/>
    <w:rsid w:val="00F24BA6"/>
    <w:rsid w:val="00F2521C"/>
    <w:rsid w:val="00F25298"/>
    <w:rsid w:val="00F2581B"/>
    <w:rsid w:val="00F3005F"/>
    <w:rsid w:val="00F327D7"/>
    <w:rsid w:val="00F33527"/>
    <w:rsid w:val="00F35108"/>
    <w:rsid w:val="00F360E8"/>
    <w:rsid w:val="00F361EA"/>
    <w:rsid w:val="00F36B5A"/>
    <w:rsid w:val="00F40B31"/>
    <w:rsid w:val="00F40E38"/>
    <w:rsid w:val="00F43497"/>
    <w:rsid w:val="00F4471B"/>
    <w:rsid w:val="00F4565A"/>
    <w:rsid w:val="00F465C8"/>
    <w:rsid w:val="00F47232"/>
    <w:rsid w:val="00F47606"/>
    <w:rsid w:val="00F52159"/>
    <w:rsid w:val="00F52AE4"/>
    <w:rsid w:val="00F54EF0"/>
    <w:rsid w:val="00F5611B"/>
    <w:rsid w:val="00F56C2F"/>
    <w:rsid w:val="00F60D82"/>
    <w:rsid w:val="00F62AF0"/>
    <w:rsid w:val="00F65609"/>
    <w:rsid w:val="00F66459"/>
    <w:rsid w:val="00F6666B"/>
    <w:rsid w:val="00F66849"/>
    <w:rsid w:val="00F6728F"/>
    <w:rsid w:val="00F67582"/>
    <w:rsid w:val="00F734B1"/>
    <w:rsid w:val="00F73C9C"/>
    <w:rsid w:val="00F74D9D"/>
    <w:rsid w:val="00F75524"/>
    <w:rsid w:val="00F75820"/>
    <w:rsid w:val="00F770AD"/>
    <w:rsid w:val="00F777AB"/>
    <w:rsid w:val="00F77E67"/>
    <w:rsid w:val="00F80469"/>
    <w:rsid w:val="00F806FB"/>
    <w:rsid w:val="00F81169"/>
    <w:rsid w:val="00F84335"/>
    <w:rsid w:val="00F902A7"/>
    <w:rsid w:val="00F90D87"/>
    <w:rsid w:val="00F90FAF"/>
    <w:rsid w:val="00F914C4"/>
    <w:rsid w:val="00F92B7B"/>
    <w:rsid w:val="00F92C47"/>
    <w:rsid w:val="00F93A98"/>
    <w:rsid w:val="00F95057"/>
    <w:rsid w:val="00F96420"/>
    <w:rsid w:val="00F96993"/>
    <w:rsid w:val="00FA1384"/>
    <w:rsid w:val="00FA265F"/>
    <w:rsid w:val="00FA3849"/>
    <w:rsid w:val="00FB0DFC"/>
    <w:rsid w:val="00FB532F"/>
    <w:rsid w:val="00FB74F7"/>
    <w:rsid w:val="00FC1095"/>
    <w:rsid w:val="00FC1242"/>
    <w:rsid w:val="00FC1CB2"/>
    <w:rsid w:val="00FC3E2B"/>
    <w:rsid w:val="00FC6A49"/>
    <w:rsid w:val="00FC73A0"/>
    <w:rsid w:val="00FC74F0"/>
    <w:rsid w:val="00FC78A0"/>
    <w:rsid w:val="00FC78D1"/>
    <w:rsid w:val="00FD0052"/>
    <w:rsid w:val="00FD22A8"/>
    <w:rsid w:val="00FD5C43"/>
    <w:rsid w:val="00FD7FB0"/>
    <w:rsid w:val="00FE1BE3"/>
    <w:rsid w:val="00FE225D"/>
    <w:rsid w:val="00FE2719"/>
    <w:rsid w:val="00FE2861"/>
    <w:rsid w:val="00FE317D"/>
    <w:rsid w:val="00FE38C9"/>
    <w:rsid w:val="00FE3CD4"/>
    <w:rsid w:val="00FE4C55"/>
    <w:rsid w:val="00FE51E0"/>
    <w:rsid w:val="00FE5311"/>
    <w:rsid w:val="00FE56C8"/>
    <w:rsid w:val="00FE694E"/>
    <w:rsid w:val="00FE6FE9"/>
    <w:rsid w:val="00FE7970"/>
    <w:rsid w:val="00FF2952"/>
    <w:rsid w:val="00FF2EFB"/>
    <w:rsid w:val="00FF68D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A0FF2"/>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2861"/>
    <w:rPr>
      <w:rFonts w:ascii="Consolas" w:hAnsi="Consolas"/>
      <w:sz w:val="21"/>
      <w:szCs w:val="21"/>
    </w:rPr>
  </w:style>
  <w:style w:type="table" w:styleId="TableGrid">
    <w:name w:val="Table Grid"/>
    <w:basedOn w:val="TableNormal"/>
    <w:uiPriority w:val="3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semiHidden/>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character" w:styleId="FollowedHyperlink">
    <w:name w:val="FollowedHyperlink"/>
    <w:basedOn w:val="DefaultParagraphFont"/>
    <w:uiPriority w:val="99"/>
    <w:semiHidden/>
    <w:unhideWhenUsed/>
    <w:rsid w:val="00F40E38"/>
    <w:rPr>
      <w:color w:val="954F72" w:themeColor="followedHyperlink"/>
      <w:u w:val="single"/>
    </w:rPr>
  </w:style>
  <w:style w:type="character" w:customStyle="1" w:styleId="hgkelc">
    <w:name w:val="hgkelc"/>
    <w:basedOn w:val="DefaultParagraphFont"/>
    <w:rsid w:val="00133C61"/>
  </w:style>
  <w:style w:type="paragraph" w:customStyle="1" w:styleId="Default">
    <w:name w:val="Default"/>
    <w:rsid w:val="00E67C79"/>
    <w:pPr>
      <w:autoSpaceDE w:val="0"/>
      <w:autoSpaceDN w:val="0"/>
      <w:adjustRightInd w:val="0"/>
      <w:spacing w:after="0" w:line="240" w:lineRule="auto"/>
    </w:pPr>
    <w:rPr>
      <w:rFonts w:eastAsia="Times New Roman"/>
      <w:color w:val="000000"/>
      <w:lang w:eastAsia="en-NZ"/>
    </w:rPr>
  </w:style>
  <w:style w:type="paragraph" w:customStyle="1" w:styleId="CM3">
    <w:name w:val="CM3"/>
    <w:basedOn w:val="Default"/>
    <w:next w:val="Default"/>
    <w:rsid w:val="00E67C79"/>
    <w:pPr>
      <w:widowControl w:val="0"/>
    </w:pPr>
    <w:rPr>
      <w:color w:val="auto"/>
      <w:lang w:val="en-US" w:eastAsia="en-US"/>
    </w:rPr>
  </w:style>
  <w:style w:type="paragraph" w:customStyle="1" w:styleId="CM4">
    <w:name w:val="CM4"/>
    <w:basedOn w:val="Default"/>
    <w:next w:val="Default"/>
    <w:rsid w:val="00E67C79"/>
    <w:pPr>
      <w:widowControl w:val="0"/>
      <w:spacing w:line="253" w:lineRule="atLeast"/>
    </w:pPr>
    <w:rPr>
      <w:color w:val="auto"/>
      <w:lang w:val="en-US" w:eastAsia="en-US"/>
    </w:rPr>
  </w:style>
  <w:style w:type="paragraph" w:customStyle="1" w:styleId="CM23">
    <w:name w:val="CM23"/>
    <w:basedOn w:val="Default"/>
    <w:next w:val="Default"/>
    <w:rsid w:val="00E67C79"/>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775">
      <w:bodyDiv w:val="1"/>
      <w:marLeft w:val="0"/>
      <w:marRight w:val="0"/>
      <w:marTop w:val="0"/>
      <w:marBottom w:val="0"/>
      <w:divBdr>
        <w:top w:val="none" w:sz="0" w:space="0" w:color="auto"/>
        <w:left w:val="none" w:sz="0" w:space="0" w:color="auto"/>
        <w:bottom w:val="none" w:sz="0" w:space="0" w:color="auto"/>
        <w:right w:val="none" w:sz="0" w:space="0" w:color="auto"/>
      </w:divBdr>
    </w:div>
    <w:div w:id="195125462">
      <w:bodyDiv w:val="1"/>
      <w:marLeft w:val="0"/>
      <w:marRight w:val="0"/>
      <w:marTop w:val="0"/>
      <w:marBottom w:val="0"/>
      <w:divBdr>
        <w:top w:val="none" w:sz="0" w:space="0" w:color="auto"/>
        <w:left w:val="none" w:sz="0" w:space="0" w:color="auto"/>
        <w:bottom w:val="none" w:sz="0" w:space="0" w:color="auto"/>
        <w:right w:val="none" w:sz="0" w:space="0" w:color="auto"/>
      </w:divBdr>
    </w:div>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324552745">
      <w:bodyDiv w:val="1"/>
      <w:marLeft w:val="0"/>
      <w:marRight w:val="0"/>
      <w:marTop w:val="0"/>
      <w:marBottom w:val="0"/>
      <w:divBdr>
        <w:top w:val="none" w:sz="0" w:space="0" w:color="auto"/>
        <w:left w:val="none" w:sz="0" w:space="0" w:color="auto"/>
        <w:bottom w:val="none" w:sz="0" w:space="0" w:color="auto"/>
        <w:right w:val="none" w:sz="0" w:space="0" w:color="auto"/>
      </w:divBdr>
    </w:div>
    <w:div w:id="425462170">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732853316">
      <w:bodyDiv w:val="1"/>
      <w:marLeft w:val="0"/>
      <w:marRight w:val="0"/>
      <w:marTop w:val="0"/>
      <w:marBottom w:val="0"/>
      <w:divBdr>
        <w:top w:val="none" w:sz="0" w:space="0" w:color="auto"/>
        <w:left w:val="none" w:sz="0" w:space="0" w:color="auto"/>
        <w:bottom w:val="none" w:sz="0" w:space="0" w:color="auto"/>
        <w:right w:val="none" w:sz="0" w:space="0" w:color="auto"/>
      </w:divBdr>
    </w:div>
    <w:div w:id="746465666">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941650059">
      <w:bodyDiv w:val="1"/>
      <w:marLeft w:val="0"/>
      <w:marRight w:val="0"/>
      <w:marTop w:val="0"/>
      <w:marBottom w:val="0"/>
      <w:divBdr>
        <w:top w:val="none" w:sz="0" w:space="0" w:color="auto"/>
        <w:left w:val="none" w:sz="0" w:space="0" w:color="auto"/>
        <w:bottom w:val="none" w:sz="0" w:space="0" w:color="auto"/>
        <w:right w:val="none" w:sz="0" w:space="0" w:color="auto"/>
      </w:divBdr>
    </w:div>
    <w:div w:id="1085491060">
      <w:bodyDiv w:val="1"/>
      <w:marLeft w:val="0"/>
      <w:marRight w:val="0"/>
      <w:marTop w:val="0"/>
      <w:marBottom w:val="0"/>
      <w:divBdr>
        <w:top w:val="none" w:sz="0" w:space="0" w:color="auto"/>
        <w:left w:val="none" w:sz="0" w:space="0" w:color="auto"/>
        <w:bottom w:val="none" w:sz="0" w:space="0" w:color="auto"/>
        <w:right w:val="none" w:sz="0" w:space="0" w:color="auto"/>
      </w:divBdr>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 w:id="1218662986">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395619013">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532186022">
      <w:bodyDiv w:val="1"/>
      <w:marLeft w:val="0"/>
      <w:marRight w:val="0"/>
      <w:marTop w:val="0"/>
      <w:marBottom w:val="0"/>
      <w:divBdr>
        <w:top w:val="none" w:sz="0" w:space="0" w:color="auto"/>
        <w:left w:val="none" w:sz="0" w:space="0" w:color="auto"/>
        <w:bottom w:val="none" w:sz="0" w:space="0" w:color="auto"/>
        <w:right w:val="none" w:sz="0" w:space="0" w:color="auto"/>
      </w:divBdr>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 w:id="20324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da.gov/media/154950/download" TargetMode="External"/><Relationship Id="rId18" Type="http://schemas.openxmlformats.org/officeDocument/2006/relationships/hyperlink" Target="http://dx.doi.org/10.13140/RG.2.2.28055.091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26/science.abq1841" TargetMode="External"/><Relationship Id="rId7" Type="http://schemas.openxmlformats.org/officeDocument/2006/relationships/endnotes" Target="endnotes.xml"/><Relationship Id="rId12" Type="http://schemas.openxmlformats.org/officeDocument/2006/relationships/hyperlink" Target="https://www.stuff.co.nz/national/politics/110753822/is-a-life-worth-47-million" TargetMode="External"/><Relationship Id="rId17" Type="http://schemas.openxmlformats.org/officeDocument/2006/relationships/hyperlink" Target="https://doi.org/10.1101/2021.07.15.2126060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ewsweek.com/why-america-doesnt-trust-cdc-opinion-1713145" TargetMode="External"/><Relationship Id="rId20" Type="http://schemas.openxmlformats.org/officeDocument/2006/relationships/hyperlink" Target="https://www.pbs.org/newshour/health/fda-advisory-panel-rejects-widespread-pfizer-vaccine-booster-sho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hyperlink" Target="https://www.pressreader.com/new-zealand/new-zealand-herald/20210702/281483574363989" TargetMode="External"/><Relationship Id="rId23" Type="http://schemas.openxmlformats.org/officeDocument/2006/relationships/hyperlink" Target="https://doi.org/10.1186/s12985-022-01831-0" TargetMode="External"/><Relationship Id="rId10" Type="http://schemas.openxmlformats.org/officeDocument/2006/relationships/image" Target="media/image1.emf"/><Relationship Id="rId19" Type="http://schemas.openxmlformats.org/officeDocument/2006/relationships/hyperlink" Target="https://doi.org/10.1371/journal.pone.0246663"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srn.com/abstract=4125239" TargetMode="External"/><Relationship Id="rId22" Type="http://schemas.openxmlformats.org/officeDocument/2006/relationships/hyperlink" Target="https://www.who.int/news/item/11-01-2022-interim-statement-on-covid-19-vaccines-in-the-context-of-the-circulation-of-the-omicron-sars-cov-2-variant-from-the-who-technical-advisory-group-on-covid-19-vaccine-composi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govt.nz/experimental/covid-19-data-porta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urrent\NZStudies\Weekly_Deaths\Figure_1_Boosters_Excess_Mortal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urrent\NZStudies\Weekly_Deaths\Figure_1_Boosters_Excess_Mortalit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1958983716456"/>
          <c:y val="3.5414735837446157E-2"/>
          <c:w val="0.7924219044407862"/>
          <c:h val="0.81170879955794994"/>
        </c:manualLayout>
      </c:layout>
      <c:lineChart>
        <c:grouping val="standard"/>
        <c:varyColors val="0"/>
        <c:ser>
          <c:idx val="0"/>
          <c:order val="0"/>
          <c:tx>
            <c:strRef>
              <c:f>Fig1a!$C$1</c:f>
              <c:strCache>
                <c:ptCount val="1"/>
                <c:pt idx="0">
                  <c:v>Actual Deaths</c:v>
                </c:pt>
              </c:strCache>
            </c:strRef>
          </c:tx>
          <c:spPr>
            <a:ln w="28575" cap="rnd">
              <a:solidFill>
                <a:schemeClr val="tx1"/>
              </a:solidFill>
              <a:round/>
            </a:ln>
            <a:effectLst/>
          </c:spPr>
          <c:marker>
            <c:symbol val="none"/>
          </c:marker>
          <c:cat>
            <c:numRef>
              <c:f>Fig1a!$B$2:$B$53</c:f>
              <c:numCache>
                <c:formatCode>d\-mmm\-yy</c:formatCode>
                <c:ptCount val="52"/>
                <c:pt idx="0">
                  <c:v>44290</c:v>
                </c:pt>
                <c:pt idx="1">
                  <c:v>44297</c:v>
                </c:pt>
                <c:pt idx="2">
                  <c:v>44304</c:v>
                </c:pt>
                <c:pt idx="3">
                  <c:v>44311</c:v>
                </c:pt>
                <c:pt idx="4">
                  <c:v>44318</c:v>
                </c:pt>
                <c:pt idx="5">
                  <c:v>44325</c:v>
                </c:pt>
                <c:pt idx="6">
                  <c:v>44332</c:v>
                </c:pt>
                <c:pt idx="7">
                  <c:v>44339</c:v>
                </c:pt>
                <c:pt idx="8">
                  <c:v>44346</c:v>
                </c:pt>
                <c:pt idx="9">
                  <c:v>44353</c:v>
                </c:pt>
                <c:pt idx="10">
                  <c:v>44360</c:v>
                </c:pt>
                <c:pt idx="11">
                  <c:v>44367</c:v>
                </c:pt>
                <c:pt idx="12">
                  <c:v>44374</c:v>
                </c:pt>
                <c:pt idx="13">
                  <c:v>44381</c:v>
                </c:pt>
                <c:pt idx="14">
                  <c:v>44388</c:v>
                </c:pt>
                <c:pt idx="15">
                  <c:v>44395</c:v>
                </c:pt>
                <c:pt idx="16">
                  <c:v>44402</c:v>
                </c:pt>
                <c:pt idx="17">
                  <c:v>44409</c:v>
                </c:pt>
                <c:pt idx="18">
                  <c:v>44416</c:v>
                </c:pt>
                <c:pt idx="19">
                  <c:v>44423</c:v>
                </c:pt>
                <c:pt idx="20">
                  <c:v>44430</c:v>
                </c:pt>
                <c:pt idx="21">
                  <c:v>44437</c:v>
                </c:pt>
                <c:pt idx="22">
                  <c:v>44444</c:v>
                </c:pt>
                <c:pt idx="23">
                  <c:v>44451</c:v>
                </c:pt>
                <c:pt idx="24">
                  <c:v>44458</c:v>
                </c:pt>
                <c:pt idx="25">
                  <c:v>44465</c:v>
                </c:pt>
                <c:pt idx="26">
                  <c:v>44472</c:v>
                </c:pt>
                <c:pt idx="27">
                  <c:v>44479</c:v>
                </c:pt>
                <c:pt idx="28">
                  <c:v>44486</c:v>
                </c:pt>
                <c:pt idx="29">
                  <c:v>44493</c:v>
                </c:pt>
                <c:pt idx="30">
                  <c:v>44500</c:v>
                </c:pt>
                <c:pt idx="31">
                  <c:v>44507</c:v>
                </c:pt>
                <c:pt idx="32">
                  <c:v>44514</c:v>
                </c:pt>
                <c:pt idx="33">
                  <c:v>44521</c:v>
                </c:pt>
                <c:pt idx="34">
                  <c:v>44528</c:v>
                </c:pt>
                <c:pt idx="35">
                  <c:v>44535</c:v>
                </c:pt>
                <c:pt idx="36">
                  <c:v>44542</c:v>
                </c:pt>
                <c:pt idx="37">
                  <c:v>44549</c:v>
                </c:pt>
                <c:pt idx="38">
                  <c:v>44556</c:v>
                </c:pt>
                <c:pt idx="39">
                  <c:v>44563</c:v>
                </c:pt>
                <c:pt idx="40">
                  <c:v>44570</c:v>
                </c:pt>
                <c:pt idx="41">
                  <c:v>44577</c:v>
                </c:pt>
                <c:pt idx="42">
                  <c:v>44584</c:v>
                </c:pt>
                <c:pt idx="43">
                  <c:v>44591</c:v>
                </c:pt>
                <c:pt idx="44">
                  <c:v>44598</c:v>
                </c:pt>
                <c:pt idx="45">
                  <c:v>44605</c:v>
                </c:pt>
                <c:pt idx="46">
                  <c:v>44612</c:v>
                </c:pt>
                <c:pt idx="47">
                  <c:v>44619</c:v>
                </c:pt>
                <c:pt idx="48">
                  <c:v>44626</c:v>
                </c:pt>
                <c:pt idx="49">
                  <c:v>44633</c:v>
                </c:pt>
                <c:pt idx="50">
                  <c:v>44640</c:v>
                </c:pt>
                <c:pt idx="51">
                  <c:v>44647</c:v>
                </c:pt>
              </c:numCache>
            </c:numRef>
          </c:cat>
          <c:val>
            <c:numRef>
              <c:f>Fig1a!$C$2:$C$53</c:f>
              <c:numCache>
                <c:formatCode>General</c:formatCode>
                <c:ptCount val="52"/>
                <c:pt idx="0">
                  <c:v>649.66669999999999</c:v>
                </c:pt>
                <c:pt idx="1">
                  <c:v>646.66669999999999</c:v>
                </c:pt>
                <c:pt idx="2">
                  <c:v>633</c:v>
                </c:pt>
                <c:pt idx="3">
                  <c:v>651.33330000000001</c:v>
                </c:pt>
                <c:pt idx="4">
                  <c:v>660.33330000000001</c:v>
                </c:pt>
                <c:pt idx="5">
                  <c:v>660.33330000000001</c:v>
                </c:pt>
                <c:pt idx="6">
                  <c:v>658</c:v>
                </c:pt>
                <c:pt idx="7">
                  <c:v>658.66669999999999</c:v>
                </c:pt>
                <c:pt idx="8">
                  <c:v>673.66669999999999</c:v>
                </c:pt>
                <c:pt idx="9">
                  <c:v>674.66669999999999</c:v>
                </c:pt>
                <c:pt idx="10">
                  <c:v>701.33330000000001</c:v>
                </c:pt>
                <c:pt idx="11">
                  <c:v>694.66669999999999</c:v>
                </c:pt>
                <c:pt idx="12">
                  <c:v>687</c:v>
                </c:pt>
                <c:pt idx="13">
                  <c:v>689</c:v>
                </c:pt>
                <c:pt idx="14">
                  <c:v>722</c:v>
                </c:pt>
                <c:pt idx="15">
                  <c:v>753.33330000000001</c:v>
                </c:pt>
                <c:pt idx="16">
                  <c:v>757.33330000000001</c:v>
                </c:pt>
                <c:pt idx="17">
                  <c:v>763</c:v>
                </c:pt>
                <c:pt idx="18">
                  <c:v>774</c:v>
                </c:pt>
                <c:pt idx="19">
                  <c:v>778.66669999999999</c:v>
                </c:pt>
                <c:pt idx="20">
                  <c:v>754</c:v>
                </c:pt>
                <c:pt idx="21">
                  <c:v>736.33330000000001</c:v>
                </c:pt>
                <c:pt idx="22">
                  <c:v>717</c:v>
                </c:pt>
                <c:pt idx="23">
                  <c:v>696.66669999999999</c:v>
                </c:pt>
                <c:pt idx="24">
                  <c:v>670</c:v>
                </c:pt>
                <c:pt idx="25">
                  <c:v>648</c:v>
                </c:pt>
                <c:pt idx="26">
                  <c:v>647.66669999999999</c:v>
                </c:pt>
                <c:pt idx="27">
                  <c:v>646.33330000000001</c:v>
                </c:pt>
                <c:pt idx="28">
                  <c:v>656.66669999999999</c:v>
                </c:pt>
                <c:pt idx="29">
                  <c:v>655</c:v>
                </c:pt>
                <c:pt idx="30">
                  <c:v>654</c:v>
                </c:pt>
                <c:pt idx="31">
                  <c:v>649</c:v>
                </c:pt>
                <c:pt idx="32">
                  <c:v>658.33330000000001</c:v>
                </c:pt>
                <c:pt idx="33">
                  <c:v>654.33330000000001</c:v>
                </c:pt>
                <c:pt idx="34">
                  <c:v>644</c:v>
                </c:pt>
                <c:pt idx="35">
                  <c:v>643</c:v>
                </c:pt>
                <c:pt idx="36">
                  <c:v>633</c:v>
                </c:pt>
                <c:pt idx="37">
                  <c:v>657</c:v>
                </c:pt>
                <c:pt idx="38">
                  <c:v>643</c:v>
                </c:pt>
                <c:pt idx="39">
                  <c:v>667</c:v>
                </c:pt>
                <c:pt idx="40">
                  <c:v>635.66669999999999</c:v>
                </c:pt>
                <c:pt idx="41">
                  <c:v>640</c:v>
                </c:pt>
                <c:pt idx="42">
                  <c:v>630</c:v>
                </c:pt>
                <c:pt idx="43">
                  <c:v>647.33330000000001</c:v>
                </c:pt>
                <c:pt idx="44">
                  <c:v>662.33330000000001</c:v>
                </c:pt>
                <c:pt idx="45">
                  <c:v>660.66669999999999</c:v>
                </c:pt>
                <c:pt idx="46">
                  <c:v>649</c:v>
                </c:pt>
                <c:pt idx="47">
                  <c:v>649.66669999999999</c:v>
                </c:pt>
                <c:pt idx="48">
                  <c:v>679.66669999999999</c:v>
                </c:pt>
                <c:pt idx="49">
                  <c:v>729.66669999999999</c:v>
                </c:pt>
                <c:pt idx="50">
                  <c:v>753</c:v>
                </c:pt>
                <c:pt idx="51">
                  <c:v>759.33330000000001</c:v>
                </c:pt>
              </c:numCache>
            </c:numRef>
          </c:val>
          <c:smooth val="0"/>
          <c:extLst>
            <c:ext xmlns:c16="http://schemas.microsoft.com/office/drawing/2014/chart" uri="{C3380CC4-5D6E-409C-BE32-E72D297353CC}">
              <c16:uniqueId val="{00000000-68C2-457A-8E3A-F0EFAB812AD4}"/>
            </c:ext>
          </c:extLst>
        </c:ser>
        <c:ser>
          <c:idx val="1"/>
          <c:order val="1"/>
          <c:tx>
            <c:strRef>
              <c:f>Fig1a!$D$1</c:f>
              <c:strCache>
                <c:ptCount val="1"/>
                <c:pt idx="0">
                  <c:v>Expected Deaths</c:v>
                </c:pt>
              </c:strCache>
            </c:strRef>
          </c:tx>
          <c:spPr>
            <a:ln w="28575" cap="rnd">
              <a:solidFill>
                <a:srgbClr val="CC9900"/>
              </a:solidFill>
              <a:prstDash val="dash"/>
              <a:round/>
            </a:ln>
            <a:effectLst/>
          </c:spPr>
          <c:marker>
            <c:symbol val="none"/>
          </c:marker>
          <c:cat>
            <c:numRef>
              <c:f>Fig1a!$B$2:$B$53</c:f>
              <c:numCache>
                <c:formatCode>d\-mmm\-yy</c:formatCode>
                <c:ptCount val="52"/>
                <c:pt idx="0">
                  <c:v>44290</c:v>
                </c:pt>
                <c:pt idx="1">
                  <c:v>44297</c:v>
                </c:pt>
                <c:pt idx="2">
                  <c:v>44304</c:v>
                </c:pt>
                <c:pt idx="3">
                  <c:v>44311</c:v>
                </c:pt>
                <c:pt idx="4">
                  <c:v>44318</c:v>
                </c:pt>
                <c:pt idx="5">
                  <c:v>44325</c:v>
                </c:pt>
                <c:pt idx="6">
                  <c:v>44332</c:v>
                </c:pt>
                <c:pt idx="7">
                  <c:v>44339</c:v>
                </c:pt>
                <c:pt idx="8">
                  <c:v>44346</c:v>
                </c:pt>
                <c:pt idx="9">
                  <c:v>44353</c:v>
                </c:pt>
                <c:pt idx="10">
                  <c:v>44360</c:v>
                </c:pt>
                <c:pt idx="11">
                  <c:v>44367</c:v>
                </c:pt>
                <c:pt idx="12">
                  <c:v>44374</c:v>
                </c:pt>
                <c:pt idx="13">
                  <c:v>44381</c:v>
                </c:pt>
                <c:pt idx="14">
                  <c:v>44388</c:v>
                </c:pt>
                <c:pt idx="15">
                  <c:v>44395</c:v>
                </c:pt>
                <c:pt idx="16">
                  <c:v>44402</c:v>
                </c:pt>
                <c:pt idx="17">
                  <c:v>44409</c:v>
                </c:pt>
                <c:pt idx="18">
                  <c:v>44416</c:v>
                </c:pt>
                <c:pt idx="19">
                  <c:v>44423</c:v>
                </c:pt>
                <c:pt idx="20">
                  <c:v>44430</c:v>
                </c:pt>
                <c:pt idx="21">
                  <c:v>44437</c:v>
                </c:pt>
                <c:pt idx="22">
                  <c:v>44444</c:v>
                </c:pt>
                <c:pt idx="23">
                  <c:v>44451</c:v>
                </c:pt>
                <c:pt idx="24">
                  <c:v>44458</c:v>
                </c:pt>
                <c:pt idx="25">
                  <c:v>44465</c:v>
                </c:pt>
                <c:pt idx="26">
                  <c:v>44472</c:v>
                </c:pt>
                <c:pt idx="27">
                  <c:v>44479</c:v>
                </c:pt>
                <c:pt idx="28">
                  <c:v>44486</c:v>
                </c:pt>
                <c:pt idx="29">
                  <c:v>44493</c:v>
                </c:pt>
                <c:pt idx="30">
                  <c:v>44500</c:v>
                </c:pt>
                <c:pt idx="31">
                  <c:v>44507</c:v>
                </c:pt>
                <c:pt idx="32">
                  <c:v>44514</c:v>
                </c:pt>
                <c:pt idx="33">
                  <c:v>44521</c:v>
                </c:pt>
                <c:pt idx="34">
                  <c:v>44528</c:v>
                </c:pt>
                <c:pt idx="35">
                  <c:v>44535</c:v>
                </c:pt>
                <c:pt idx="36">
                  <c:v>44542</c:v>
                </c:pt>
                <c:pt idx="37">
                  <c:v>44549</c:v>
                </c:pt>
                <c:pt idx="38">
                  <c:v>44556</c:v>
                </c:pt>
                <c:pt idx="39">
                  <c:v>44563</c:v>
                </c:pt>
                <c:pt idx="40">
                  <c:v>44570</c:v>
                </c:pt>
                <c:pt idx="41">
                  <c:v>44577</c:v>
                </c:pt>
                <c:pt idx="42">
                  <c:v>44584</c:v>
                </c:pt>
                <c:pt idx="43">
                  <c:v>44591</c:v>
                </c:pt>
                <c:pt idx="44">
                  <c:v>44598</c:v>
                </c:pt>
                <c:pt idx="45">
                  <c:v>44605</c:v>
                </c:pt>
                <c:pt idx="46">
                  <c:v>44612</c:v>
                </c:pt>
                <c:pt idx="47">
                  <c:v>44619</c:v>
                </c:pt>
                <c:pt idx="48">
                  <c:v>44626</c:v>
                </c:pt>
                <c:pt idx="49">
                  <c:v>44633</c:v>
                </c:pt>
                <c:pt idx="50">
                  <c:v>44640</c:v>
                </c:pt>
                <c:pt idx="51">
                  <c:v>44647</c:v>
                </c:pt>
              </c:numCache>
            </c:numRef>
          </c:cat>
          <c:val>
            <c:numRef>
              <c:f>Fig1a!$D$2:$D$53</c:f>
              <c:numCache>
                <c:formatCode>General</c:formatCode>
                <c:ptCount val="52"/>
                <c:pt idx="0">
                  <c:v>625.78300000000002</c:v>
                </c:pt>
                <c:pt idx="1">
                  <c:v>632.51969999999994</c:v>
                </c:pt>
                <c:pt idx="2">
                  <c:v>636.2604</c:v>
                </c:pt>
                <c:pt idx="3">
                  <c:v>642.33450000000005</c:v>
                </c:pt>
                <c:pt idx="4">
                  <c:v>649.03819999999996</c:v>
                </c:pt>
                <c:pt idx="5">
                  <c:v>655.48270000000002</c:v>
                </c:pt>
                <c:pt idx="6">
                  <c:v>662.59379999999999</c:v>
                </c:pt>
                <c:pt idx="7">
                  <c:v>670.51969999999994</c:v>
                </c:pt>
                <c:pt idx="8">
                  <c:v>677.44560000000001</c:v>
                </c:pt>
                <c:pt idx="9">
                  <c:v>683.44560000000001</c:v>
                </c:pt>
                <c:pt idx="10">
                  <c:v>689.51969999999994</c:v>
                </c:pt>
                <c:pt idx="11">
                  <c:v>697.9067</c:v>
                </c:pt>
                <c:pt idx="12">
                  <c:v>707.66899999999998</c:v>
                </c:pt>
                <c:pt idx="13">
                  <c:v>716.69060000000002</c:v>
                </c:pt>
                <c:pt idx="14">
                  <c:v>724.88070000000005</c:v>
                </c:pt>
                <c:pt idx="15">
                  <c:v>738.88070000000005</c:v>
                </c:pt>
                <c:pt idx="16">
                  <c:v>745.17700000000002</c:v>
                </c:pt>
                <c:pt idx="17">
                  <c:v>754.88070000000005</c:v>
                </c:pt>
                <c:pt idx="18">
                  <c:v>754.02890000000002</c:v>
                </c:pt>
                <c:pt idx="19">
                  <c:v>748.88070000000005</c:v>
                </c:pt>
                <c:pt idx="20">
                  <c:v>733.73249999999996</c:v>
                </c:pt>
                <c:pt idx="21">
                  <c:v>721.25109999999995</c:v>
                </c:pt>
                <c:pt idx="22">
                  <c:v>719.54740000000004</c:v>
                </c:pt>
                <c:pt idx="23">
                  <c:v>719.91769999999997</c:v>
                </c:pt>
                <c:pt idx="24">
                  <c:v>714.28809999999999</c:v>
                </c:pt>
                <c:pt idx="25">
                  <c:v>698.279</c:v>
                </c:pt>
                <c:pt idx="26">
                  <c:v>689.78859999999997</c:v>
                </c:pt>
                <c:pt idx="27">
                  <c:v>677.29830000000004</c:v>
                </c:pt>
                <c:pt idx="28">
                  <c:v>667.52070000000003</c:v>
                </c:pt>
                <c:pt idx="29">
                  <c:v>655.11329999999998</c:v>
                </c:pt>
                <c:pt idx="30">
                  <c:v>655.44669999999996</c:v>
                </c:pt>
                <c:pt idx="31">
                  <c:v>650.78</c:v>
                </c:pt>
                <c:pt idx="32">
                  <c:v>643.81700000000001</c:v>
                </c:pt>
                <c:pt idx="33">
                  <c:v>637.07629999999995</c:v>
                </c:pt>
                <c:pt idx="34">
                  <c:v>631.55780000000004</c:v>
                </c:pt>
                <c:pt idx="35">
                  <c:v>625.70590000000004</c:v>
                </c:pt>
                <c:pt idx="36">
                  <c:v>622.70590000000004</c:v>
                </c:pt>
                <c:pt idx="37">
                  <c:v>623.53779999999995</c:v>
                </c:pt>
                <c:pt idx="38">
                  <c:v>626.47709999999995</c:v>
                </c:pt>
                <c:pt idx="39">
                  <c:v>621.75720000000001</c:v>
                </c:pt>
                <c:pt idx="40">
                  <c:v>624.61659999999995</c:v>
                </c:pt>
                <c:pt idx="41">
                  <c:v>618.61659999999995</c:v>
                </c:pt>
                <c:pt idx="42">
                  <c:v>615.48329999999999</c:v>
                </c:pt>
                <c:pt idx="43">
                  <c:v>610.41660000000002</c:v>
                </c:pt>
                <c:pt idx="44">
                  <c:v>609.51660000000004</c:v>
                </c:pt>
                <c:pt idx="45">
                  <c:v>609.31659999999999</c:v>
                </c:pt>
                <c:pt idx="46">
                  <c:v>608.1259</c:v>
                </c:pt>
                <c:pt idx="47">
                  <c:v>609.09249999999997</c:v>
                </c:pt>
                <c:pt idx="48">
                  <c:v>611.99980000000005</c:v>
                </c:pt>
                <c:pt idx="49">
                  <c:v>613.72389999999996</c:v>
                </c:pt>
                <c:pt idx="50">
                  <c:v>617.48479999999995</c:v>
                </c:pt>
                <c:pt idx="51">
                  <c:v>622.33489999999995</c:v>
                </c:pt>
              </c:numCache>
            </c:numRef>
          </c:val>
          <c:smooth val="0"/>
          <c:extLst>
            <c:ext xmlns:c16="http://schemas.microsoft.com/office/drawing/2014/chart" uri="{C3380CC4-5D6E-409C-BE32-E72D297353CC}">
              <c16:uniqueId val="{00000001-68C2-457A-8E3A-F0EFAB812AD4}"/>
            </c:ext>
          </c:extLst>
        </c:ser>
        <c:dLbls>
          <c:showLegendKey val="0"/>
          <c:showVal val="0"/>
          <c:showCatName val="0"/>
          <c:showSerName val="0"/>
          <c:showPercent val="0"/>
          <c:showBubbleSize val="0"/>
        </c:dLbls>
        <c:smooth val="0"/>
        <c:axId val="1351608063"/>
        <c:axId val="1351621791"/>
      </c:lineChart>
      <c:dateAx>
        <c:axId val="1351608063"/>
        <c:scaling>
          <c:orientation val="minMax"/>
        </c:scaling>
        <c:delete val="0"/>
        <c:axPos val="b"/>
        <c:numFmt formatCode="mmm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51621791"/>
        <c:crosses val="autoZero"/>
        <c:auto val="1"/>
        <c:lblOffset val="100"/>
        <c:baseTimeUnit val="days"/>
        <c:majorUnit val="2"/>
        <c:majorTimeUnit val="months"/>
      </c:dateAx>
      <c:valAx>
        <c:axId val="1351621791"/>
        <c:scaling>
          <c:orientation val="minMax"/>
          <c:max val="800"/>
          <c:min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NZ" b="1"/>
                  <a:t>Weekly</a:t>
                </a:r>
                <a:r>
                  <a:rPr lang="en-NZ" b="1" baseline="0"/>
                  <a:t> Deaths</a:t>
                </a:r>
                <a:endParaRPr lang="en-NZ" b="1"/>
              </a:p>
            </c:rich>
          </c:tx>
          <c:layout>
            <c:manualLayout>
              <c:xMode val="edge"/>
              <c:yMode val="edge"/>
              <c:x val="1.2638886134195443E-2"/>
              <c:y val="0.328860842155496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51608063"/>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Fig1b!$C$1</c:f>
              <c:strCache>
                <c:ptCount val="1"/>
                <c:pt idx="0">
                  <c:v>Excess deaths (left axis)</c:v>
                </c:pt>
              </c:strCache>
            </c:strRef>
          </c:tx>
          <c:spPr>
            <a:ln w="28575" cap="rnd">
              <a:solidFill>
                <a:srgbClr val="002060"/>
              </a:solidFill>
              <a:round/>
            </a:ln>
            <a:effectLst/>
          </c:spPr>
          <c:marker>
            <c:symbol val="none"/>
          </c:marker>
          <c:cat>
            <c:numRef>
              <c:f>Fig1b!$B$2:$B$53</c:f>
              <c:numCache>
                <c:formatCode>d\-mmm\-yy</c:formatCode>
                <c:ptCount val="52"/>
                <c:pt idx="0">
                  <c:v>44290</c:v>
                </c:pt>
                <c:pt idx="1">
                  <c:v>44297</c:v>
                </c:pt>
                <c:pt idx="2">
                  <c:v>44304</c:v>
                </c:pt>
                <c:pt idx="3">
                  <c:v>44311</c:v>
                </c:pt>
                <c:pt idx="4">
                  <c:v>44318</c:v>
                </c:pt>
                <c:pt idx="5">
                  <c:v>44325</c:v>
                </c:pt>
                <c:pt idx="6">
                  <c:v>44332</c:v>
                </c:pt>
                <c:pt idx="7">
                  <c:v>44339</c:v>
                </c:pt>
                <c:pt idx="8">
                  <c:v>44346</c:v>
                </c:pt>
                <c:pt idx="9">
                  <c:v>44353</c:v>
                </c:pt>
                <c:pt idx="10">
                  <c:v>44360</c:v>
                </c:pt>
                <c:pt idx="11">
                  <c:v>44367</c:v>
                </c:pt>
                <c:pt idx="12">
                  <c:v>44374</c:v>
                </c:pt>
                <c:pt idx="13">
                  <c:v>44381</c:v>
                </c:pt>
                <c:pt idx="14">
                  <c:v>44388</c:v>
                </c:pt>
                <c:pt idx="15">
                  <c:v>44395</c:v>
                </c:pt>
                <c:pt idx="16">
                  <c:v>44402</c:v>
                </c:pt>
                <c:pt idx="17">
                  <c:v>44409</c:v>
                </c:pt>
                <c:pt idx="18">
                  <c:v>44416</c:v>
                </c:pt>
                <c:pt idx="19">
                  <c:v>44423</c:v>
                </c:pt>
                <c:pt idx="20">
                  <c:v>44430</c:v>
                </c:pt>
                <c:pt idx="21">
                  <c:v>44437</c:v>
                </c:pt>
                <c:pt idx="22">
                  <c:v>44444</c:v>
                </c:pt>
                <c:pt idx="23">
                  <c:v>44451</c:v>
                </c:pt>
                <c:pt idx="24">
                  <c:v>44458</c:v>
                </c:pt>
                <c:pt idx="25">
                  <c:v>44465</c:v>
                </c:pt>
                <c:pt idx="26">
                  <c:v>44472</c:v>
                </c:pt>
                <c:pt idx="27">
                  <c:v>44479</c:v>
                </c:pt>
                <c:pt idx="28">
                  <c:v>44486</c:v>
                </c:pt>
                <c:pt idx="29">
                  <c:v>44493</c:v>
                </c:pt>
                <c:pt idx="30">
                  <c:v>44500</c:v>
                </c:pt>
                <c:pt idx="31">
                  <c:v>44507</c:v>
                </c:pt>
                <c:pt idx="32">
                  <c:v>44514</c:v>
                </c:pt>
                <c:pt idx="33">
                  <c:v>44521</c:v>
                </c:pt>
                <c:pt idx="34">
                  <c:v>44528</c:v>
                </c:pt>
                <c:pt idx="35">
                  <c:v>44535</c:v>
                </c:pt>
                <c:pt idx="36">
                  <c:v>44542</c:v>
                </c:pt>
                <c:pt idx="37">
                  <c:v>44549</c:v>
                </c:pt>
                <c:pt idx="38">
                  <c:v>44556</c:v>
                </c:pt>
                <c:pt idx="39">
                  <c:v>44563</c:v>
                </c:pt>
                <c:pt idx="40">
                  <c:v>44570</c:v>
                </c:pt>
                <c:pt idx="41">
                  <c:v>44577</c:v>
                </c:pt>
                <c:pt idx="42">
                  <c:v>44584</c:v>
                </c:pt>
                <c:pt idx="43">
                  <c:v>44591</c:v>
                </c:pt>
                <c:pt idx="44">
                  <c:v>44598</c:v>
                </c:pt>
                <c:pt idx="45">
                  <c:v>44605</c:v>
                </c:pt>
                <c:pt idx="46">
                  <c:v>44612</c:v>
                </c:pt>
                <c:pt idx="47">
                  <c:v>44619</c:v>
                </c:pt>
                <c:pt idx="48">
                  <c:v>44626</c:v>
                </c:pt>
                <c:pt idx="49">
                  <c:v>44633</c:v>
                </c:pt>
                <c:pt idx="50">
                  <c:v>44640</c:v>
                </c:pt>
                <c:pt idx="51">
                  <c:v>44647</c:v>
                </c:pt>
              </c:numCache>
            </c:numRef>
          </c:cat>
          <c:val>
            <c:numRef>
              <c:f>Fig1b!$C$2:$C$53</c:f>
              <c:numCache>
                <c:formatCode>General</c:formatCode>
                <c:ptCount val="52"/>
                <c:pt idx="0">
                  <c:v>46.739559999999997</c:v>
                </c:pt>
                <c:pt idx="1">
                  <c:v>55.256900000000002</c:v>
                </c:pt>
                <c:pt idx="2">
                  <c:v>42.440919999999998</c:v>
                </c:pt>
                <c:pt idx="3">
                  <c:v>36.95825</c:v>
                </c:pt>
                <c:pt idx="4">
                  <c:v>82.253360000000001</c:v>
                </c:pt>
                <c:pt idx="5">
                  <c:v>76.326229999999995</c:v>
                </c:pt>
                <c:pt idx="6">
                  <c:v>51.510249999999999</c:v>
                </c:pt>
                <c:pt idx="7">
                  <c:v>68.472049999999996</c:v>
                </c:pt>
                <c:pt idx="8">
                  <c:v>40.767150000000001</c:v>
                </c:pt>
                <c:pt idx="9">
                  <c:v>40.173400000000001</c:v>
                </c:pt>
                <c:pt idx="10">
                  <c:v>42.135190000000001</c:v>
                </c:pt>
                <c:pt idx="11">
                  <c:v>76.208070000000006</c:v>
                </c:pt>
                <c:pt idx="12">
                  <c:v>30.45337</c:v>
                </c:pt>
                <c:pt idx="13">
                  <c:v>-19.871770000000001</c:v>
                </c:pt>
                <c:pt idx="14">
                  <c:v>-6.8635859999999997</c:v>
                </c:pt>
                <c:pt idx="15">
                  <c:v>21.81128</c:v>
                </c:pt>
                <c:pt idx="16">
                  <c:v>23.486149999999999</c:v>
                </c:pt>
                <c:pt idx="17">
                  <c:v>29.605409999999999</c:v>
                </c:pt>
                <c:pt idx="18">
                  <c:v>46.169130000000003</c:v>
                </c:pt>
                <c:pt idx="19">
                  <c:v>83.399540000000002</c:v>
                </c:pt>
                <c:pt idx="20">
                  <c:v>118.9633</c:v>
                </c:pt>
                <c:pt idx="21">
                  <c:v>106.9714</c:v>
                </c:pt>
                <c:pt idx="22">
                  <c:v>128.6463</c:v>
                </c:pt>
                <c:pt idx="23">
                  <c:v>111.3212</c:v>
                </c:pt>
                <c:pt idx="24">
                  <c:v>37.218260000000001</c:v>
                </c:pt>
                <c:pt idx="25">
                  <c:v>-4.2180179999999998</c:v>
                </c:pt>
                <c:pt idx="26">
                  <c:v>-39.515810000000002</c:v>
                </c:pt>
                <c:pt idx="27">
                  <c:v>-89.147639999999996</c:v>
                </c:pt>
                <c:pt idx="28">
                  <c:v>-97.112790000000004</c:v>
                </c:pt>
                <c:pt idx="29">
                  <c:v>-72.077939999999998</c:v>
                </c:pt>
                <c:pt idx="30">
                  <c:v>-89.487549999999999</c:v>
                </c:pt>
                <c:pt idx="31">
                  <c:v>-101.45269999999999</c:v>
                </c:pt>
                <c:pt idx="32">
                  <c:v>-77.417850000000001</c:v>
                </c:pt>
                <c:pt idx="33">
                  <c:v>-45.938600000000001</c:v>
                </c:pt>
                <c:pt idx="34">
                  <c:v>-49.681579999999997</c:v>
                </c:pt>
                <c:pt idx="35">
                  <c:v>-40.091189999999997</c:v>
                </c:pt>
                <c:pt idx="36">
                  <c:v>5.9436650000000002</c:v>
                </c:pt>
                <c:pt idx="37">
                  <c:v>-18.799320000000002</c:v>
                </c:pt>
                <c:pt idx="38">
                  <c:v>60.295529999999999</c:v>
                </c:pt>
                <c:pt idx="39">
                  <c:v>55.512270000000001</c:v>
                </c:pt>
                <c:pt idx="40">
                  <c:v>116.929</c:v>
                </c:pt>
                <c:pt idx="41">
                  <c:v>93.445740000000001</c:v>
                </c:pt>
                <c:pt idx="42">
                  <c:v>119.66249999999999</c:v>
                </c:pt>
                <c:pt idx="43">
                  <c:v>160.47919999999999</c:v>
                </c:pt>
                <c:pt idx="44">
                  <c:v>204.19589999999999</c:v>
                </c:pt>
                <c:pt idx="45">
                  <c:v>278.11270000000002</c:v>
                </c:pt>
                <c:pt idx="46">
                  <c:v>314.52940000000001</c:v>
                </c:pt>
                <c:pt idx="47">
                  <c:v>326.81830000000002</c:v>
                </c:pt>
                <c:pt idx="48">
                  <c:v>399.83499999999998</c:v>
                </c:pt>
                <c:pt idx="49">
                  <c:v>517.53</c:v>
                </c:pt>
                <c:pt idx="50">
                  <c:v>674.64670000000001</c:v>
                </c:pt>
                <c:pt idx="51">
                  <c:v>806.38059999999996</c:v>
                </c:pt>
              </c:numCache>
            </c:numRef>
          </c:val>
          <c:smooth val="0"/>
          <c:extLst>
            <c:ext xmlns:c16="http://schemas.microsoft.com/office/drawing/2014/chart" uri="{C3380CC4-5D6E-409C-BE32-E72D297353CC}">
              <c16:uniqueId val="{00000000-EEA0-487E-AA65-04BCB3D5607E}"/>
            </c:ext>
          </c:extLst>
        </c:ser>
        <c:dLbls>
          <c:showLegendKey val="0"/>
          <c:showVal val="0"/>
          <c:showCatName val="0"/>
          <c:showSerName val="0"/>
          <c:showPercent val="0"/>
          <c:showBubbleSize val="0"/>
        </c:dLbls>
        <c:marker val="1"/>
        <c:smooth val="0"/>
        <c:axId val="1351608063"/>
        <c:axId val="1351621791"/>
      </c:lineChart>
      <c:lineChart>
        <c:grouping val="standard"/>
        <c:varyColors val="0"/>
        <c:ser>
          <c:idx val="1"/>
          <c:order val="1"/>
          <c:tx>
            <c:strRef>
              <c:f>Fig1b!$D$1</c:f>
              <c:strCache>
                <c:ptCount val="1"/>
                <c:pt idx="0">
                  <c:v>Vaccinated (right axis)</c:v>
                </c:pt>
              </c:strCache>
            </c:strRef>
          </c:tx>
          <c:spPr>
            <a:ln w="28575" cap="rnd">
              <a:solidFill>
                <a:srgbClr val="FF0000"/>
              </a:solidFill>
              <a:prstDash val="dash"/>
              <a:round/>
            </a:ln>
            <a:effectLst/>
          </c:spPr>
          <c:marker>
            <c:symbol val="none"/>
          </c:marker>
          <c:cat>
            <c:numRef>
              <c:f>Fig1b!$B$2:$B$53</c:f>
              <c:numCache>
                <c:formatCode>d\-mmm\-yy</c:formatCode>
                <c:ptCount val="52"/>
                <c:pt idx="0">
                  <c:v>44290</c:v>
                </c:pt>
                <c:pt idx="1">
                  <c:v>44297</c:v>
                </c:pt>
                <c:pt idx="2">
                  <c:v>44304</c:v>
                </c:pt>
                <c:pt idx="3">
                  <c:v>44311</c:v>
                </c:pt>
                <c:pt idx="4">
                  <c:v>44318</c:v>
                </c:pt>
                <c:pt idx="5">
                  <c:v>44325</c:v>
                </c:pt>
                <c:pt idx="6">
                  <c:v>44332</c:v>
                </c:pt>
                <c:pt idx="7">
                  <c:v>44339</c:v>
                </c:pt>
                <c:pt idx="8">
                  <c:v>44346</c:v>
                </c:pt>
                <c:pt idx="9">
                  <c:v>44353</c:v>
                </c:pt>
                <c:pt idx="10">
                  <c:v>44360</c:v>
                </c:pt>
                <c:pt idx="11">
                  <c:v>44367</c:v>
                </c:pt>
                <c:pt idx="12">
                  <c:v>44374</c:v>
                </c:pt>
                <c:pt idx="13">
                  <c:v>44381</c:v>
                </c:pt>
                <c:pt idx="14">
                  <c:v>44388</c:v>
                </c:pt>
                <c:pt idx="15">
                  <c:v>44395</c:v>
                </c:pt>
                <c:pt idx="16">
                  <c:v>44402</c:v>
                </c:pt>
                <c:pt idx="17">
                  <c:v>44409</c:v>
                </c:pt>
                <c:pt idx="18">
                  <c:v>44416</c:v>
                </c:pt>
                <c:pt idx="19">
                  <c:v>44423</c:v>
                </c:pt>
                <c:pt idx="20">
                  <c:v>44430</c:v>
                </c:pt>
                <c:pt idx="21">
                  <c:v>44437</c:v>
                </c:pt>
                <c:pt idx="22">
                  <c:v>44444</c:v>
                </c:pt>
                <c:pt idx="23">
                  <c:v>44451</c:v>
                </c:pt>
                <c:pt idx="24">
                  <c:v>44458</c:v>
                </c:pt>
                <c:pt idx="25">
                  <c:v>44465</c:v>
                </c:pt>
                <c:pt idx="26">
                  <c:v>44472</c:v>
                </c:pt>
                <c:pt idx="27">
                  <c:v>44479</c:v>
                </c:pt>
                <c:pt idx="28">
                  <c:v>44486</c:v>
                </c:pt>
                <c:pt idx="29">
                  <c:v>44493</c:v>
                </c:pt>
                <c:pt idx="30">
                  <c:v>44500</c:v>
                </c:pt>
                <c:pt idx="31">
                  <c:v>44507</c:v>
                </c:pt>
                <c:pt idx="32">
                  <c:v>44514</c:v>
                </c:pt>
                <c:pt idx="33">
                  <c:v>44521</c:v>
                </c:pt>
                <c:pt idx="34">
                  <c:v>44528</c:v>
                </c:pt>
                <c:pt idx="35">
                  <c:v>44535</c:v>
                </c:pt>
                <c:pt idx="36">
                  <c:v>44542</c:v>
                </c:pt>
                <c:pt idx="37">
                  <c:v>44549</c:v>
                </c:pt>
                <c:pt idx="38">
                  <c:v>44556</c:v>
                </c:pt>
                <c:pt idx="39">
                  <c:v>44563</c:v>
                </c:pt>
                <c:pt idx="40">
                  <c:v>44570</c:v>
                </c:pt>
                <c:pt idx="41">
                  <c:v>44577</c:v>
                </c:pt>
                <c:pt idx="42">
                  <c:v>44584</c:v>
                </c:pt>
                <c:pt idx="43">
                  <c:v>44591</c:v>
                </c:pt>
                <c:pt idx="44">
                  <c:v>44598</c:v>
                </c:pt>
                <c:pt idx="45">
                  <c:v>44605</c:v>
                </c:pt>
                <c:pt idx="46">
                  <c:v>44612</c:v>
                </c:pt>
                <c:pt idx="47">
                  <c:v>44619</c:v>
                </c:pt>
                <c:pt idx="48">
                  <c:v>44626</c:v>
                </c:pt>
                <c:pt idx="49">
                  <c:v>44633</c:v>
                </c:pt>
                <c:pt idx="50">
                  <c:v>44640</c:v>
                </c:pt>
                <c:pt idx="51">
                  <c:v>44647</c:v>
                </c:pt>
              </c:numCache>
            </c:numRef>
          </c:cat>
          <c:val>
            <c:numRef>
              <c:f>Fig1b!$D$2:$D$53</c:f>
              <c:numCache>
                <c:formatCode>General</c:formatCode>
                <c:ptCount val="52"/>
                <c:pt idx="0">
                  <c:v>0.43791000000000002</c:v>
                </c:pt>
                <c:pt idx="1">
                  <c:v>0.62936150000000002</c:v>
                </c:pt>
                <c:pt idx="2">
                  <c:v>0.86576850000000005</c:v>
                </c:pt>
                <c:pt idx="3">
                  <c:v>1.1381764999999999</c:v>
                </c:pt>
                <c:pt idx="4">
                  <c:v>1.4638515000000001</c:v>
                </c:pt>
                <c:pt idx="5">
                  <c:v>1.8381835</c:v>
                </c:pt>
                <c:pt idx="6">
                  <c:v>2.2558064999999998</c:v>
                </c:pt>
                <c:pt idx="7">
                  <c:v>2.7074500000000001</c:v>
                </c:pt>
                <c:pt idx="8">
                  <c:v>3.2074799999999999</c:v>
                </c:pt>
                <c:pt idx="9">
                  <c:v>3.7386765</c:v>
                </c:pt>
                <c:pt idx="10">
                  <c:v>4.3135465000000002</c:v>
                </c:pt>
                <c:pt idx="11">
                  <c:v>4.9206335000000001</c:v>
                </c:pt>
                <c:pt idx="12">
                  <c:v>5.5603999999999996</c:v>
                </c:pt>
                <c:pt idx="13">
                  <c:v>6.2021750000000004</c:v>
                </c:pt>
                <c:pt idx="14">
                  <c:v>6.8487450000000001</c:v>
                </c:pt>
                <c:pt idx="15">
                  <c:v>7.6067349999999996</c:v>
                </c:pt>
                <c:pt idx="16">
                  <c:v>8.5735550000000007</c:v>
                </c:pt>
                <c:pt idx="17">
                  <c:v>9.7557950000000009</c:v>
                </c:pt>
                <c:pt idx="18">
                  <c:v>11.122925</c:v>
                </c:pt>
                <c:pt idx="19">
                  <c:v>12.539675000000001</c:v>
                </c:pt>
                <c:pt idx="20">
                  <c:v>14.43591</c:v>
                </c:pt>
                <c:pt idx="21">
                  <c:v>16.753775000000001</c:v>
                </c:pt>
                <c:pt idx="22">
                  <c:v>19.317830000000001</c:v>
                </c:pt>
                <c:pt idx="23">
                  <c:v>21.602004999999998</c:v>
                </c:pt>
                <c:pt idx="24">
                  <c:v>23.519169999999999</c:v>
                </c:pt>
                <c:pt idx="25">
                  <c:v>25.214884999999999</c:v>
                </c:pt>
                <c:pt idx="26">
                  <c:v>27.0778</c:v>
                </c:pt>
                <c:pt idx="27">
                  <c:v>29.239435</c:v>
                </c:pt>
                <c:pt idx="28">
                  <c:v>31.365539999999999</c:v>
                </c:pt>
                <c:pt idx="29">
                  <c:v>33.091119999999997</c:v>
                </c:pt>
                <c:pt idx="30">
                  <c:v>34.277650000000001</c:v>
                </c:pt>
                <c:pt idx="31">
                  <c:v>35.262165000000003</c:v>
                </c:pt>
                <c:pt idx="32">
                  <c:v>36.073754999999998</c:v>
                </c:pt>
                <c:pt idx="33">
                  <c:v>36.779730000000001</c:v>
                </c:pt>
                <c:pt idx="34">
                  <c:v>37.466810000000002</c:v>
                </c:pt>
                <c:pt idx="35">
                  <c:v>38.064484999999998</c:v>
                </c:pt>
                <c:pt idx="36">
                  <c:v>38.564295000000001</c:v>
                </c:pt>
                <c:pt idx="37">
                  <c:v>38.893405000000001</c:v>
                </c:pt>
                <c:pt idx="38">
                  <c:v>39.115805000000002</c:v>
                </c:pt>
                <c:pt idx="39">
                  <c:v>39.270105000000001</c:v>
                </c:pt>
                <c:pt idx="40">
                  <c:v>39.40551</c:v>
                </c:pt>
                <c:pt idx="41">
                  <c:v>39.673000000000002</c:v>
                </c:pt>
                <c:pt idx="42">
                  <c:v>40.072614999999999</c:v>
                </c:pt>
                <c:pt idx="43">
                  <c:v>40.507330000000003</c:v>
                </c:pt>
                <c:pt idx="44">
                  <c:v>40.819895000000002</c:v>
                </c:pt>
                <c:pt idx="45">
                  <c:v>41.001784999999998</c:v>
                </c:pt>
                <c:pt idx="46">
                  <c:v>41.135539999999999</c:v>
                </c:pt>
                <c:pt idx="47">
                  <c:v>41.251069999999999</c:v>
                </c:pt>
                <c:pt idx="48">
                  <c:v>41.345140000000001</c:v>
                </c:pt>
                <c:pt idx="49">
                  <c:v>41.465955000000001</c:v>
                </c:pt>
                <c:pt idx="50">
                  <c:v>41.615450000000003</c:v>
                </c:pt>
                <c:pt idx="51">
                  <c:v>41.778390000000002</c:v>
                </c:pt>
              </c:numCache>
            </c:numRef>
          </c:val>
          <c:smooth val="0"/>
          <c:extLst>
            <c:ext xmlns:c16="http://schemas.microsoft.com/office/drawing/2014/chart" uri="{C3380CC4-5D6E-409C-BE32-E72D297353CC}">
              <c16:uniqueId val="{00000001-EEA0-487E-AA65-04BCB3D5607E}"/>
            </c:ext>
          </c:extLst>
        </c:ser>
        <c:ser>
          <c:idx val="2"/>
          <c:order val="2"/>
          <c:tx>
            <c:strRef>
              <c:f>Fig1b!$E$1</c:f>
              <c:strCache>
                <c:ptCount val="1"/>
                <c:pt idx="0">
                  <c:v>Boosted (right axis)</c:v>
                </c:pt>
              </c:strCache>
            </c:strRef>
          </c:tx>
          <c:spPr>
            <a:ln w="28575" cap="rnd">
              <a:solidFill>
                <a:srgbClr val="FF99FF"/>
              </a:solidFill>
              <a:prstDash val="sysDash"/>
              <a:round/>
            </a:ln>
            <a:effectLst/>
          </c:spPr>
          <c:marker>
            <c:symbol val="none"/>
          </c:marker>
          <c:cat>
            <c:numRef>
              <c:f>Fig1b!$B$2:$B$53</c:f>
              <c:numCache>
                <c:formatCode>d\-mmm\-yy</c:formatCode>
                <c:ptCount val="52"/>
                <c:pt idx="0">
                  <c:v>44290</c:v>
                </c:pt>
                <c:pt idx="1">
                  <c:v>44297</c:v>
                </c:pt>
                <c:pt idx="2">
                  <c:v>44304</c:v>
                </c:pt>
                <c:pt idx="3">
                  <c:v>44311</c:v>
                </c:pt>
                <c:pt idx="4">
                  <c:v>44318</c:v>
                </c:pt>
                <c:pt idx="5">
                  <c:v>44325</c:v>
                </c:pt>
                <c:pt idx="6">
                  <c:v>44332</c:v>
                </c:pt>
                <c:pt idx="7">
                  <c:v>44339</c:v>
                </c:pt>
                <c:pt idx="8">
                  <c:v>44346</c:v>
                </c:pt>
                <c:pt idx="9">
                  <c:v>44353</c:v>
                </c:pt>
                <c:pt idx="10">
                  <c:v>44360</c:v>
                </c:pt>
                <c:pt idx="11">
                  <c:v>44367</c:v>
                </c:pt>
                <c:pt idx="12">
                  <c:v>44374</c:v>
                </c:pt>
                <c:pt idx="13">
                  <c:v>44381</c:v>
                </c:pt>
                <c:pt idx="14">
                  <c:v>44388</c:v>
                </c:pt>
                <c:pt idx="15">
                  <c:v>44395</c:v>
                </c:pt>
                <c:pt idx="16">
                  <c:v>44402</c:v>
                </c:pt>
                <c:pt idx="17">
                  <c:v>44409</c:v>
                </c:pt>
                <c:pt idx="18">
                  <c:v>44416</c:v>
                </c:pt>
                <c:pt idx="19">
                  <c:v>44423</c:v>
                </c:pt>
                <c:pt idx="20">
                  <c:v>44430</c:v>
                </c:pt>
                <c:pt idx="21">
                  <c:v>44437</c:v>
                </c:pt>
                <c:pt idx="22">
                  <c:v>44444</c:v>
                </c:pt>
                <c:pt idx="23">
                  <c:v>44451</c:v>
                </c:pt>
                <c:pt idx="24">
                  <c:v>44458</c:v>
                </c:pt>
                <c:pt idx="25">
                  <c:v>44465</c:v>
                </c:pt>
                <c:pt idx="26">
                  <c:v>44472</c:v>
                </c:pt>
                <c:pt idx="27">
                  <c:v>44479</c:v>
                </c:pt>
                <c:pt idx="28">
                  <c:v>44486</c:v>
                </c:pt>
                <c:pt idx="29">
                  <c:v>44493</c:v>
                </c:pt>
                <c:pt idx="30">
                  <c:v>44500</c:v>
                </c:pt>
                <c:pt idx="31">
                  <c:v>44507</c:v>
                </c:pt>
                <c:pt idx="32">
                  <c:v>44514</c:v>
                </c:pt>
                <c:pt idx="33">
                  <c:v>44521</c:v>
                </c:pt>
                <c:pt idx="34">
                  <c:v>44528</c:v>
                </c:pt>
                <c:pt idx="35">
                  <c:v>44535</c:v>
                </c:pt>
                <c:pt idx="36">
                  <c:v>44542</c:v>
                </c:pt>
                <c:pt idx="37">
                  <c:v>44549</c:v>
                </c:pt>
                <c:pt idx="38">
                  <c:v>44556</c:v>
                </c:pt>
                <c:pt idx="39">
                  <c:v>44563</c:v>
                </c:pt>
                <c:pt idx="40">
                  <c:v>44570</c:v>
                </c:pt>
                <c:pt idx="41">
                  <c:v>44577</c:v>
                </c:pt>
                <c:pt idx="42">
                  <c:v>44584</c:v>
                </c:pt>
                <c:pt idx="43">
                  <c:v>44591</c:v>
                </c:pt>
                <c:pt idx="44">
                  <c:v>44598</c:v>
                </c:pt>
                <c:pt idx="45">
                  <c:v>44605</c:v>
                </c:pt>
                <c:pt idx="46">
                  <c:v>44612</c:v>
                </c:pt>
                <c:pt idx="47">
                  <c:v>44619</c:v>
                </c:pt>
                <c:pt idx="48">
                  <c:v>44626</c:v>
                </c:pt>
                <c:pt idx="49">
                  <c:v>44633</c:v>
                </c:pt>
                <c:pt idx="50">
                  <c:v>44640</c:v>
                </c:pt>
                <c:pt idx="51">
                  <c:v>44647</c:v>
                </c:pt>
              </c:numCache>
            </c:numRef>
          </c:cat>
          <c:val>
            <c:numRef>
              <c:f>Fig1b!$E$2:$E$53</c:f>
              <c:numCache>
                <c:formatCode>General</c:formatCode>
                <c:ptCount val="5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3.3299999999999999E-6</c:v>
                </c:pt>
                <c:pt idx="16">
                  <c:v>6.6699999999999997E-6</c:v>
                </c:pt>
                <c:pt idx="17">
                  <c:v>1.33E-5</c:v>
                </c:pt>
                <c:pt idx="18">
                  <c:v>2.0000000000000002E-5</c:v>
                </c:pt>
                <c:pt idx="19">
                  <c:v>3.6699999999999998E-5</c:v>
                </c:pt>
                <c:pt idx="20">
                  <c:v>7.6699999999999994E-5</c:v>
                </c:pt>
                <c:pt idx="21">
                  <c:v>1.2669999999999999E-4</c:v>
                </c:pt>
                <c:pt idx="22">
                  <c:v>1.9670000000000001E-4</c:v>
                </c:pt>
                <c:pt idx="23">
                  <c:v>2.7999999999999998E-4</c:v>
                </c:pt>
                <c:pt idx="24">
                  <c:v>4.0000000000000002E-4</c:v>
                </c:pt>
                <c:pt idx="25">
                  <c:v>5.2669999999999995E-4</c:v>
                </c:pt>
                <c:pt idx="26">
                  <c:v>7.0669999999999999E-4</c:v>
                </c:pt>
                <c:pt idx="27">
                  <c:v>9.6000000000000002E-4</c:v>
                </c:pt>
                <c:pt idx="28">
                  <c:v>1.34E-3</c:v>
                </c:pt>
                <c:pt idx="29">
                  <c:v>1.8132999999999999E-3</c:v>
                </c:pt>
                <c:pt idx="30">
                  <c:v>2.3132999999999999E-3</c:v>
                </c:pt>
                <c:pt idx="31">
                  <c:v>2.9233000000000002E-3</c:v>
                </c:pt>
                <c:pt idx="32">
                  <c:v>4.1967000000000003E-3</c:v>
                </c:pt>
                <c:pt idx="33">
                  <c:v>4.5943299999999999E-2</c:v>
                </c:pt>
                <c:pt idx="34">
                  <c:v>0.41135670000000002</c:v>
                </c:pt>
                <c:pt idx="35">
                  <c:v>0.94945670000000004</c:v>
                </c:pt>
                <c:pt idx="36">
                  <c:v>1.64585</c:v>
                </c:pt>
                <c:pt idx="37">
                  <c:v>2.2164030000000001</c:v>
                </c:pt>
                <c:pt idx="38">
                  <c:v>2.7975669999999999</c:v>
                </c:pt>
                <c:pt idx="39">
                  <c:v>3.7577530000000001</c:v>
                </c:pt>
                <c:pt idx="40">
                  <c:v>5.3637800000000002</c:v>
                </c:pt>
                <c:pt idx="41">
                  <c:v>7.6009529999999996</c:v>
                </c:pt>
                <c:pt idx="42">
                  <c:v>10.27266</c:v>
                </c:pt>
                <c:pt idx="43">
                  <c:v>13.053229999999999</c:v>
                </c:pt>
                <c:pt idx="44">
                  <c:v>16.071010000000001</c:v>
                </c:pt>
                <c:pt idx="45">
                  <c:v>18.941880000000001</c:v>
                </c:pt>
                <c:pt idx="46">
                  <c:v>21.453959999999999</c:v>
                </c:pt>
                <c:pt idx="47">
                  <c:v>23.290659999999999</c:v>
                </c:pt>
                <c:pt idx="48">
                  <c:v>24.450189999999999</c:v>
                </c:pt>
                <c:pt idx="49">
                  <c:v>25.13578</c:v>
                </c:pt>
                <c:pt idx="50">
                  <c:v>25.51755</c:v>
                </c:pt>
                <c:pt idx="51">
                  <c:v>25.757429999999999</c:v>
                </c:pt>
              </c:numCache>
            </c:numRef>
          </c:val>
          <c:smooth val="0"/>
          <c:extLst>
            <c:ext xmlns:c16="http://schemas.microsoft.com/office/drawing/2014/chart" uri="{C3380CC4-5D6E-409C-BE32-E72D297353CC}">
              <c16:uniqueId val="{00000002-EEA0-487E-AA65-04BCB3D5607E}"/>
            </c:ext>
          </c:extLst>
        </c:ser>
        <c:dLbls>
          <c:showLegendKey val="0"/>
          <c:showVal val="0"/>
          <c:showCatName val="0"/>
          <c:showSerName val="0"/>
          <c:showPercent val="0"/>
          <c:showBubbleSize val="0"/>
        </c:dLbls>
        <c:marker val="1"/>
        <c:smooth val="0"/>
        <c:axId val="1453215615"/>
        <c:axId val="1453203967"/>
      </c:lineChart>
      <c:dateAx>
        <c:axId val="1351608063"/>
        <c:scaling>
          <c:orientation val="minMax"/>
        </c:scaling>
        <c:delete val="0"/>
        <c:axPos val="b"/>
        <c:numFmt formatCode="mmmm;@"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51621791"/>
        <c:crosses val="autoZero"/>
        <c:auto val="1"/>
        <c:lblOffset val="100"/>
        <c:baseTimeUnit val="days"/>
        <c:majorUnit val="2"/>
        <c:majorTimeUnit val="months"/>
      </c:dateAx>
      <c:valAx>
        <c:axId val="1351621791"/>
        <c:scaling>
          <c:orientation val="minMax"/>
          <c:max val="81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Excess deaths, cumulative April 2021 to March 2022</a:t>
                </a:r>
              </a:p>
            </c:rich>
          </c:tx>
          <c:layout>
            <c:manualLayout>
              <c:xMode val="edge"/>
              <c:yMode val="edge"/>
              <c:x val="2.2727272727272728E-2"/>
              <c:y val="8.8119152570043574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51608063"/>
        <c:crosses val="autoZero"/>
        <c:crossBetween val="between"/>
      </c:valAx>
      <c:valAx>
        <c:axId val="1453203967"/>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NZ" b="1"/>
                  <a:t>People</a:t>
                </a:r>
                <a:r>
                  <a:rPr lang="en-NZ" b="1" baseline="0"/>
                  <a:t> vaccinated, boosted (100,000s)</a:t>
                </a:r>
                <a:endParaRPr lang="en-NZ" b="1"/>
              </a:p>
            </c:rich>
          </c:tx>
          <c:layout>
            <c:manualLayout>
              <c:xMode val="edge"/>
              <c:yMode val="edge"/>
              <c:x val="0.94392666825737692"/>
              <c:y val="0.1768511471951173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53215615"/>
        <c:crosses val="max"/>
        <c:crossBetween val="between"/>
      </c:valAx>
      <c:dateAx>
        <c:axId val="1453215615"/>
        <c:scaling>
          <c:orientation val="minMax"/>
        </c:scaling>
        <c:delete val="1"/>
        <c:axPos val="b"/>
        <c:numFmt formatCode="d\-mmm\-yy" sourceLinked="1"/>
        <c:majorTickMark val="out"/>
        <c:minorTickMark val="none"/>
        <c:tickLblPos val="nextTo"/>
        <c:crossAx val="1453203967"/>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0FC2-4449-450F-8442-3D773628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John Gibson</cp:lastModifiedBy>
  <cp:revision>2</cp:revision>
  <cp:lastPrinted>2022-06-28T01:17:00Z</cp:lastPrinted>
  <dcterms:created xsi:type="dcterms:W3CDTF">2022-06-28T01:23:00Z</dcterms:created>
  <dcterms:modified xsi:type="dcterms:W3CDTF">2022-06-28T01:23:00Z</dcterms:modified>
</cp:coreProperties>
</file>