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C79" w:rsidRDefault="00E67C79" w:rsidP="00E67C79">
      <w:pPr>
        <w:spacing w:after="0" w:line="300" w:lineRule="auto"/>
        <w:rPr>
          <w:rFonts w:eastAsia="Times New Roman"/>
          <w:b/>
          <w:bCs/>
          <w:sz w:val="28"/>
          <w:lang w:val="en-US"/>
        </w:rPr>
      </w:pPr>
    </w:p>
    <w:p w:rsidR="00E67C79" w:rsidRDefault="00E67C79" w:rsidP="00E67C79">
      <w:pPr>
        <w:pStyle w:val="PlainText"/>
        <w:tabs>
          <w:tab w:val="left" w:pos="284"/>
        </w:tabs>
        <w:jc w:val="center"/>
        <w:rPr>
          <w:rFonts w:ascii="Times New Roman" w:hAnsi="Times New Roman"/>
          <w:b/>
          <w:sz w:val="28"/>
        </w:rPr>
      </w:pPr>
    </w:p>
    <w:p w:rsidR="00E67C79" w:rsidRDefault="00E67C79" w:rsidP="00E67C79">
      <w:pPr>
        <w:pStyle w:val="PlainText"/>
        <w:tabs>
          <w:tab w:val="left" w:pos="284"/>
        </w:tabs>
        <w:jc w:val="center"/>
        <w:rPr>
          <w:rFonts w:ascii="Times New Roman" w:hAnsi="Times New Roman"/>
          <w:b/>
          <w:sz w:val="28"/>
        </w:rPr>
      </w:pPr>
      <w:r>
        <w:rPr>
          <w:rFonts w:ascii="Times New Roman" w:hAnsi="Times New Roman"/>
          <w:b/>
          <w:sz w:val="28"/>
        </w:rPr>
        <w:t>UNIVERSITY OF WAIKATO</w:t>
      </w:r>
    </w:p>
    <w:p w:rsidR="00E67C79" w:rsidRDefault="00E67C79" w:rsidP="00E67C79">
      <w:pPr>
        <w:pStyle w:val="PlainText"/>
        <w:tabs>
          <w:tab w:val="left" w:pos="284"/>
        </w:tabs>
        <w:jc w:val="center"/>
        <w:rPr>
          <w:rFonts w:ascii="Times New Roman" w:hAnsi="Times New Roman"/>
          <w:b/>
          <w:sz w:val="28"/>
        </w:rPr>
      </w:pPr>
    </w:p>
    <w:p w:rsidR="00E67C79" w:rsidRDefault="00E67C79" w:rsidP="00E67C79">
      <w:pPr>
        <w:pStyle w:val="PlainText"/>
        <w:tabs>
          <w:tab w:val="left" w:pos="284"/>
        </w:tabs>
        <w:jc w:val="center"/>
        <w:rPr>
          <w:rFonts w:ascii="Times New Roman" w:hAnsi="Times New Roman"/>
          <w:b/>
          <w:sz w:val="28"/>
        </w:rPr>
      </w:pPr>
      <w:r>
        <w:rPr>
          <w:rFonts w:ascii="Times New Roman" w:hAnsi="Times New Roman"/>
          <w:b/>
          <w:sz w:val="28"/>
        </w:rPr>
        <w:t>Hamilton</w:t>
      </w:r>
    </w:p>
    <w:p w:rsidR="00E67C79" w:rsidRDefault="00E67C79" w:rsidP="00E67C79">
      <w:pPr>
        <w:pStyle w:val="PlainText"/>
        <w:tabs>
          <w:tab w:val="left" w:pos="284"/>
        </w:tabs>
        <w:jc w:val="center"/>
        <w:rPr>
          <w:rFonts w:ascii="Times New Roman" w:hAnsi="Times New Roman"/>
          <w:b/>
          <w:sz w:val="28"/>
        </w:rPr>
      </w:pPr>
      <w:r>
        <w:rPr>
          <w:rFonts w:ascii="Times New Roman" w:hAnsi="Times New Roman"/>
          <w:b/>
          <w:sz w:val="28"/>
        </w:rPr>
        <w:t>New Zealand</w:t>
      </w:r>
    </w:p>
    <w:p w:rsidR="00E67C79" w:rsidRDefault="00E67C79" w:rsidP="00E67C79">
      <w:pPr>
        <w:pStyle w:val="PlainText"/>
        <w:tabs>
          <w:tab w:val="left" w:pos="284"/>
        </w:tabs>
        <w:jc w:val="center"/>
        <w:rPr>
          <w:rFonts w:ascii="Times New Roman" w:hAnsi="Times New Roman"/>
          <w:b/>
          <w:sz w:val="28"/>
        </w:rPr>
      </w:pPr>
    </w:p>
    <w:p w:rsidR="00E67C79" w:rsidRDefault="00E67C79" w:rsidP="00E67C79">
      <w:pPr>
        <w:pStyle w:val="PlainText"/>
        <w:tabs>
          <w:tab w:val="left" w:pos="284"/>
        </w:tabs>
        <w:jc w:val="center"/>
        <w:rPr>
          <w:rFonts w:ascii="Times New Roman" w:hAnsi="Times New Roman"/>
          <w:b/>
          <w:sz w:val="28"/>
        </w:rPr>
      </w:pPr>
    </w:p>
    <w:p w:rsidR="00E67C79" w:rsidRPr="00E67C79" w:rsidRDefault="00D943DD" w:rsidP="0073083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bCs/>
          <w:sz w:val="14"/>
          <w:szCs w:val="14"/>
        </w:rPr>
      </w:pPr>
      <w:r w:rsidRPr="00D943DD">
        <w:rPr>
          <w:rFonts w:asciiTheme="majorBidi" w:hAnsiTheme="majorBidi" w:cstheme="majorBidi"/>
          <w:b/>
          <w:bCs/>
          <w:sz w:val="12"/>
          <w:szCs w:val="12"/>
        </w:rPr>
        <w:br/>
      </w:r>
      <w:r w:rsidR="00730837">
        <w:rPr>
          <w:rFonts w:asciiTheme="majorBidi" w:hAnsiTheme="majorBidi" w:cstheme="majorBidi"/>
          <w:b/>
          <w:bCs/>
          <w:sz w:val="28"/>
          <w:szCs w:val="28"/>
        </w:rPr>
        <w:t>Remotely (and wrongly) too equal</w:t>
      </w:r>
      <w:r w:rsidR="00E67C79" w:rsidRPr="00E67C79">
        <w:rPr>
          <w:rFonts w:asciiTheme="majorBidi" w:hAnsiTheme="majorBidi" w:cstheme="majorBidi"/>
          <w:b/>
          <w:bCs/>
          <w:sz w:val="28"/>
          <w:szCs w:val="28"/>
        </w:rPr>
        <w:t>:</w:t>
      </w:r>
      <w:r w:rsidR="00E67C79" w:rsidRPr="00E67C79">
        <w:rPr>
          <w:rFonts w:cs="Arial"/>
          <w:b/>
          <w:bCs/>
          <w:sz w:val="28"/>
          <w:szCs w:val="28"/>
        </w:rPr>
        <w:br/>
      </w:r>
      <w:r w:rsidR="00730837">
        <w:rPr>
          <w:rFonts w:asciiTheme="majorBidi" w:hAnsiTheme="majorBidi" w:cstheme="majorBidi"/>
          <w:b/>
          <w:bCs/>
          <w:sz w:val="28"/>
          <w:szCs w:val="28"/>
        </w:rPr>
        <w:t>Popular night-time lights data understate spatial inequality</w:t>
      </w:r>
      <w:r w:rsidR="00730837" w:rsidRPr="00E67C79">
        <w:rPr>
          <w:rFonts w:cs="Arial"/>
          <w:b/>
          <w:bCs/>
          <w:sz w:val="28"/>
          <w:szCs w:val="28"/>
        </w:rPr>
        <w:t xml:space="preserve"> </w:t>
      </w:r>
      <w:r w:rsidR="00E67C79" w:rsidRPr="00E67C79">
        <w:rPr>
          <w:rFonts w:cs="Arial"/>
          <w:b/>
          <w:bCs/>
          <w:sz w:val="28"/>
          <w:szCs w:val="28"/>
        </w:rPr>
        <w:br/>
      </w:r>
      <w:r w:rsidR="00E67C79" w:rsidRPr="00E67C79">
        <w:rPr>
          <w:rFonts w:ascii="Times New Roman" w:hAnsi="Times New Roman"/>
          <w:b/>
          <w:bCs/>
          <w:sz w:val="28"/>
          <w:szCs w:val="28"/>
        </w:rPr>
        <w:t xml:space="preserve"> </w:t>
      </w:r>
    </w:p>
    <w:p w:rsidR="00E67C79" w:rsidRDefault="00730837" w:rsidP="00E67C7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sz w:val="28"/>
        </w:rPr>
      </w:pPr>
      <w:proofErr w:type="spellStart"/>
      <w:r>
        <w:rPr>
          <w:rFonts w:ascii="Times New Roman" w:hAnsi="Times New Roman"/>
          <w:sz w:val="28"/>
        </w:rPr>
        <w:t>Xiaoxuan</w:t>
      </w:r>
      <w:proofErr w:type="spellEnd"/>
      <w:r>
        <w:rPr>
          <w:rFonts w:ascii="Times New Roman" w:hAnsi="Times New Roman"/>
          <w:sz w:val="28"/>
        </w:rPr>
        <w:t xml:space="preserve"> Zhang</w:t>
      </w:r>
      <w:r w:rsidR="00E67C79">
        <w:rPr>
          <w:rFonts w:ascii="Times New Roman" w:hAnsi="Times New Roman"/>
          <w:sz w:val="28"/>
        </w:rPr>
        <w:t xml:space="preserve">, </w:t>
      </w:r>
      <w:r>
        <w:rPr>
          <w:rFonts w:ascii="Times New Roman" w:hAnsi="Times New Roman"/>
          <w:sz w:val="28"/>
        </w:rPr>
        <w:t xml:space="preserve">John Gibson and </w:t>
      </w:r>
      <w:proofErr w:type="spellStart"/>
      <w:r>
        <w:rPr>
          <w:rFonts w:ascii="Times New Roman" w:hAnsi="Times New Roman"/>
          <w:sz w:val="28"/>
        </w:rPr>
        <w:t>Xiangzheng</w:t>
      </w:r>
      <w:proofErr w:type="spellEnd"/>
      <w:r>
        <w:rPr>
          <w:rFonts w:ascii="Times New Roman" w:hAnsi="Times New Roman"/>
          <w:sz w:val="28"/>
        </w:rPr>
        <w:t xml:space="preserve"> Deng</w:t>
      </w:r>
    </w:p>
    <w:p w:rsidR="00E67C79" w:rsidRDefault="00E67C79" w:rsidP="00E67C7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8"/>
        </w:rPr>
      </w:pPr>
    </w:p>
    <w:p w:rsidR="00E67C79" w:rsidRDefault="00E67C79" w:rsidP="00E67C79">
      <w:pPr>
        <w:pStyle w:val="PlainText"/>
        <w:tabs>
          <w:tab w:val="left" w:pos="284"/>
        </w:tabs>
        <w:rPr>
          <w:rFonts w:ascii="Times New Roman" w:hAnsi="Times New Roman"/>
          <w:b/>
          <w:sz w:val="28"/>
        </w:rPr>
      </w:pPr>
    </w:p>
    <w:p w:rsidR="00E67C79" w:rsidRDefault="00E67C79" w:rsidP="00E67C79">
      <w:pPr>
        <w:pStyle w:val="PlainText"/>
        <w:tabs>
          <w:tab w:val="left" w:pos="284"/>
        </w:tabs>
        <w:rPr>
          <w:rFonts w:ascii="Times New Roman" w:hAnsi="Times New Roman"/>
          <w:b/>
          <w:sz w:val="28"/>
        </w:rPr>
      </w:pPr>
    </w:p>
    <w:p w:rsidR="00E67C79" w:rsidRDefault="00E67C79" w:rsidP="00E67C79">
      <w:pPr>
        <w:pStyle w:val="PlainText"/>
        <w:tabs>
          <w:tab w:val="left" w:pos="284"/>
        </w:tabs>
        <w:spacing w:before="100" w:line="360" w:lineRule="auto"/>
        <w:jc w:val="center"/>
        <w:rPr>
          <w:rFonts w:ascii="Times New Roman" w:hAnsi="Times New Roman"/>
          <w:b/>
          <w:bCs/>
          <w:sz w:val="28"/>
        </w:rPr>
      </w:pPr>
      <w:r>
        <w:rPr>
          <w:rFonts w:ascii="Times New Roman" w:hAnsi="Times New Roman"/>
          <w:b/>
          <w:bCs/>
          <w:sz w:val="28"/>
        </w:rPr>
        <w:t xml:space="preserve">Working Paper in Economics </w:t>
      </w:r>
      <w:r w:rsidR="00730837">
        <w:rPr>
          <w:rFonts w:ascii="Times New Roman" w:hAnsi="Times New Roman"/>
          <w:b/>
          <w:bCs/>
          <w:sz w:val="28"/>
        </w:rPr>
        <w:t>13/22</w:t>
      </w:r>
    </w:p>
    <w:p w:rsidR="00E67C79" w:rsidRDefault="00730837" w:rsidP="00E67C79">
      <w:pPr>
        <w:pStyle w:val="PlainText"/>
        <w:tabs>
          <w:tab w:val="left" w:pos="284"/>
        </w:tabs>
        <w:spacing w:before="100" w:line="360" w:lineRule="auto"/>
        <w:jc w:val="center"/>
        <w:rPr>
          <w:rFonts w:ascii="Times New Roman" w:hAnsi="Times New Roman"/>
          <w:sz w:val="28"/>
        </w:rPr>
      </w:pPr>
      <w:r>
        <w:rPr>
          <w:rFonts w:ascii="Times New Roman" w:hAnsi="Times New Roman"/>
          <w:sz w:val="28"/>
        </w:rPr>
        <w:t>November 2022</w:t>
      </w:r>
    </w:p>
    <w:p w:rsidR="00AE73E2" w:rsidRPr="00AE73E2" w:rsidRDefault="00AE73E2" w:rsidP="00AE73E2">
      <w:pPr>
        <w:spacing w:after="0" w:line="276" w:lineRule="auto"/>
        <w:jc w:val="center"/>
        <w:rPr>
          <w:b/>
          <w:bCs/>
        </w:rPr>
      </w:pPr>
      <w:r>
        <w:rPr>
          <w:sz w:val="32"/>
          <w:szCs w:val="32"/>
        </w:rPr>
        <w:br/>
      </w:r>
      <w:proofErr w:type="spellStart"/>
      <w:r w:rsidR="00730837">
        <w:rPr>
          <w:b/>
          <w:bCs/>
        </w:rPr>
        <w:t>Xiaoxuan</w:t>
      </w:r>
      <w:proofErr w:type="spellEnd"/>
      <w:r w:rsidR="00730837">
        <w:rPr>
          <w:b/>
          <w:bCs/>
        </w:rPr>
        <w:t xml:space="preserve"> Zhang</w:t>
      </w:r>
    </w:p>
    <w:p w:rsidR="00AE73E2" w:rsidRDefault="00730837" w:rsidP="00AE73E2">
      <w:pPr>
        <w:spacing w:after="0" w:line="276" w:lineRule="auto"/>
        <w:jc w:val="center"/>
      </w:pPr>
      <w:r>
        <w:t>University of Waikato</w:t>
      </w:r>
    </w:p>
    <w:p w:rsidR="00AE73E2" w:rsidRDefault="00AE73E2" w:rsidP="00AE73E2">
      <w:pPr>
        <w:spacing w:after="0" w:line="276" w:lineRule="auto"/>
        <w:jc w:val="center"/>
      </w:pPr>
    </w:p>
    <w:p w:rsidR="00AE73E2" w:rsidRPr="0076045F" w:rsidRDefault="00AE73E2" w:rsidP="00AE73E2">
      <w:pPr>
        <w:pStyle w:val="CM4"/>
        <w:spacing w:line="240" w:lineRule="auto"/>
        <w:jc w:val="center"/>
        <w:rPr>
          <w:bCs/>
          <w:i/>
        </w:rPr>
      </w:pPr>
      <w:r w:rsidRPr="0076045F">
        <w:rPr>
          <w:bCs/>
          <w:i/>
        </w:rPr>
        <w:t>Corresponding Author</w:t>
      </w:r>
    </w:p>
    <w:p w:rsidR="00AE73E2" w:rsidRPr="005B2FFB" w:rsidRDefault="00AE73E2" w:rsidP="00AE73E2">
      <w:pPr>
        <w:pStyle w:val="CM4"/>
        <w:spacing w:line="240" w:lineRule="auto"/>
        <w:jc w:val="center"/>
        <w:rPr>
          <w:b/>
          <w:bCs/>
          <w:sz w:val="12"/>
          <w:szCs w:val="12"/>
        </w:rPr>
      </w:pPr>
    </w:p>
    <w:p w:rsidR="00AE73E2" w:rsidRPr="0076045F" w:rsidRDefault="00AE73E2" w:rsidP="00AE73E2">
      <w:pPr>
        <w:pStyle w:val="CM4"/>
        <w:spacing w:before="60" w:line="240" w:lineRule="auto"/>
        <w:jc w:val="center"/>
      </w:pPr>
      <w:r w:rsidRPr="0076045F">
        <w:rPr>
          <w:b/>
          <w:bCs/>
        </w:rPr>
        <w:t>John Gibson</w:t>
      </w:r>
    </w:p>
    <w:p w:rsidR="00AE73E2" w:rsidRDefault="00AE73E2" w:rsidP="00AE73E2">
      <w:pPr>
        <w:pStyle w:val="CM23"/>
        <w:spacing w:after="0"/>
        <w:jc w:val="center"/>
      </w:pPr>
      <w:r w:rsidRPr="0076045F">
        <w:t xml:space="preserve">School of Accounting, Finance </w:t>
      </w:r>
    </w:p>
    <w:p w:rsidR="00AE73E2" w:rsidRPr="0076045F" w:rsidRDefault="00AE73E2" w:rsidP="00AE73E2">
      <w:pPr>
        <w:pStyle w:val="CM23"/>
        <w:spacing w:after="0"/>
        <w:jc w:val="center"/>
      </w:pPr>
      <w:r>
        <w:t xml:space="preserve">and </w:t>
      </w:r>
      <w:r w:rsidRPr="0076045F">
        <w:t>Economics</w:t>
      </w:r>
    </w:p>
    <w:p w:rsidR="00AE73E2" w:rsidRPr="0076045F" w:rsidRDefault="00AE73E2" w:rsidP="00AE73E2">
      <w:pPr>
        <w:pStyle w:val="CM23"/>
        <w:spacing w:after="0"/>
        <w:jc w:val="center"/>
      </w:pPr>
      <w:r w:rsidRPr="0076045F">
        <w:t>University of Waikato</w:t>
      </w:r>
    </w:p>
    <w:p w:rsidR="00AE73E2" w:rsidRPr="0076045F" w:rsidRDefault="00AE73E2" w:rsidP="00AE73E2">
      <w:pPr>
        <w:pStyle w:val="CM23"/>
        <w:spacing w:after="0"/>
        <w:jc w:val="center"/>
      </w:pPr>
      <w:r w:rsidRPr="0076045F">
        <w:t>Private Bag 3105</w:t>
      </w:r>
    </w:p>
    <w:p w:rsidR="00AE73E2" w:rsidRPr="0076045F" w:rsidRDefault="00AE73E2" w:rsidP="00AE73E2">
      <w:pPr>
        <w:pStyle w:val="CM23"/>
        <w:spacing w:after="0"/>
        <w:jc w:val="center"/>
      </w:pPr>
      <w:r w:rsidRPr="0076045F">
        <w:t>Hamilton, 3240</w:t>
      </w:r>
    </w:p>
    <w:p w:rsidR="00AE73E2" w:rsidRPr="0076045F" w:rsidRDefault="00AE73E2" w:rsidP="00AE73E2">
      <w:pPr>
        <w:pStyle w:val="CM23"/>
        <w:spacing w:after="0"/>
        <w:jc w:val="center"/>
      </w:pPr>
      <w:r w:rsidRPr="0076045F">
        <w:t xml:space="preserve">New Zealand </w:t>
      </w:r>
    </w:p>
    <w:p w:rsidR="00AE73E2" w:rsidRPr="00CD094B" w:rsidRDefault="00AE73E2" w:rsidP="00AE73E2">
      <w:pPr>
        <w:pStyle w:val="Default"/>
        <w:rPr>
          <w:sz w:val="12"/>
          <w:szCs w:val="12"/>
        </w:rPr>
      </w:pPr>
    </w:p>
    <w:p w:rsidR="00AE73E2" w:rsidRPr="0076045F" w:rsidRDefault="00AE73E2" w:rsidP="00AE73E2">
      <w:pPr>
        <w:pStyle w:val="Default"/>
        <w:jc w:val="center"/>
      </w:pPr>
      <w:r w:rsidRPr="0076045F">
        <w:t>Tel: +64 (7) 838 4289</w:t>
      </w:r>
    </w:p>
    <w:p w:rsidR="00AE73E2" w:rsidRPr="0076045F" w:rsidRDefault="00AE73E2" w:rsidP="00AE73E2">
      <w:pPr>
        <w:pStyle w:val="CM3"/>
        <w:jc w:val="center"/>
        <w:rPr>
          <w:bCs/>
        </w:rPr>
      </w:pPr>
      <w:r w:rsidRPr="0076045F">
        <w:rPr>
          <w:bCs/>
        </w:rPr>
        <w:t>Email: jkgibson@waikato.ac.nz</w:t>
      </w:r>
    </w:p>
    <w:p w:rsidR="00AE73E2" w:rsidRPr="00AE73E2" w:rsidRDefault="00AE73E2" w:rsidP="00AE73E2">
      <w:pPr>
        <w:spacing w:after="0" w:line="276" w:lineRule="auto"/>
        <w:jc w:val="center"/>
        <w:rPr>
          <w:lang w:val="en-US"/>
        </w:rPr>
      </w:pPr>
    </w:p>
    <w:p w:rsidR="00AE73E2" w:rsidRPr="0076045F" w:rsidRDefault="00730837" w:rsidP="00AE73E2">
      <w:pPr>
        <w:pStyle w:val="CM23"/>
        <w:spacing w:after="0"/>
        <w:jc w:val="center"/>
        <w:rPr>
          <w:b/>
        </w:rPr>
      </w:pPr>
      <w:proofErr w:type="spellStart"/>
      <w:r>
        <w:rPr>
          <w:b/>
        </w:rPr>
        <w:t>Xiangzheng</w:t>
      </w:r>
      <w:proofErr w:type="spellEnd"/>
      <w:r>
        <w:rPr>
          <w:b/>
        </w:rPr>
        <w:t xml:space="preserve"> Deng</w:t>
      </w:r>
    </w:p>
    <w:p w:rsidR="00730837" w:rsidRDefault="00730837" w:rsidP="00AE73E2">
      <w:pPr>
        <w:pStyle w:val="CM23"/>
        <w:spacing w:after="0"/>
        <w:jc w:val="center"/>
      </w:pPr>
      <w:r>
        <w:t>Institute of Ge</w:t>
      </w:r>
      <w:bookmarkStart w:id="0" w:name="_GoBack"/>
      <w:bookmarkEnd w:id="0"/>
      <w:r>
        <w:t>ographic Science and Natural Resources Research</w:t>
      </w:r>
    </w:p>
    <w:p w:rsidR="00AE73E2" w:rsidRPr="0076045F" w:rsidRDefault="00730837" w:rsidP="00AF547A">
      <w:pPr>
        <w:pStyle w:val="CM23"/>
        <w:spacing w:after="0"/>
        <w:jc w:val="center"/>
      </w:pPr>
      <w:r>
        <w:t>Chinese Academy of Sciences</w:t>
      </w:r>
    </w:p>
    <w:p w:rsidR="005D3F48" w:rsidRDefault="005D3F48" w:rsidP="005D3F48">
      <w:pPr>
        <w:spacing w:line="240" w:lineRule="auto"/>
        <w:jc w:val="center"/>
        <w:rPr>
          <w:b/>
          <w:bCs/>
        </w:rPr>
      </w:pPr>
    </w:p>
    <w:p w:rsidR="00730837" w:rsidRDefault="00730837">
      <w:pPr>
        <w:rPr>
          <w:b/>
          <w:bCs/>
        </w:rPr>
      </w:pPr>
      <w:r>
        <w:rPr>
          <w:b/>
          <w:bCs/>
        </w:rPr>
        <w:br w:type="page"/>
      </w:r>
    </w:p>
    <w:p w:rsidR="005D3F48" w:rsidRDefault="005D3F48" w:rsidP="005D3F48">
      <w:pPr>
        <w:spacing w:line="240" w:lineRule="auto"/>
        <w:jc w:val="center"/>
        <w:rPr>
          <w:b/>
          <w:bCs/>
        </w:rPr>
      </w:pPr>
    </w:p>
    <w:p w:rsidR="005D3F48" w:rsidRDefault="005D3F48" w:rsidP="005D3F48">
      <w:pPr>
        <w:spacing w:line="240" w:lineRule="auto"/>
        <w:jc w:val="center"/>
        <w:rPr>
          <w:b/>
          <w:bCs/>
        </w:rPr>
      </w:pPr>
    </w:p>
    <w:p w:rsidR="00E67C79" w:rsidRDefault="00E67C79" w:rsidP="005D3F48">
      <w:pPr>
        <w:spacing w:line="240" w:lineRule="auto"/>
        <w:jc w:val="center"/>
        <w:rPr>
          <w:b/>
        </w:rPr>
      </w:pPr>
      <w:r w:rsidRPr="00AF7EC2">
        <w:rPr>
          <w:b/>
        </w:rPr>
        <w:t>Abstract</w:t>
      </w:r>
    </w:p>
    <w:p w:rsidR="005D3F48" w:rsidRPr="00AF7EC2" w:rsidRDefault="005D3F48" w:rsidP="005D3F48">
      <w:pPr>
        <w:spacing w:line="240" w:lineRule="auto"/>
        <w:jc w:val="center"/>
        <w:rPr>
          <w:b/>
        </w:rPr>
      </w:pPr>
    </w:p>
    <w:p w:rsidR="00730837" w:rsidRPr="00730837" w:rsidRDefault="00730837" w:rsidP="00730837">
      <w:pPr>
        <w:spacing w:after="0" w:line="360" w:lineRule="auto"/>
        <w:jc w:val="both"/>
        <w:rPr>
          <w:bCs/>
          <w:lang w:val="en-US"/>
        </w:rPr>
      </w:pPr>
      <w:r w:rsidRPr="00730837">
        <w:rPr>
          <w:bCs/>
          <w:lang w:val="en-US"/>
        </w:rPr>
        <w:t>Several studies in economics and regional science use Defense Meteorological Satellite Program (DMSP) night-time lights data to measure spatial inequality. These DMSP data are a poor proxy in this context because they have spatially mean-reverting errors, yielding significantly lower inequality estimates than what sub-national GDP data show. Inequality estimates from DMSP are also lower than what newer, research-focused and more accurate, satellites show from their observations of the earth at night. In this paper, county-level data from the United States and China are used to demonstrate the understatement of spatial inequality when DMSP data are used. In both settings, benchmark data on sub-national GDP are available for establishing the level and trend in spatial inequality, which is then used to assess the accuracy of the estimates coming from remote sensing sources. In the rush to use big data it is important to not lose sight of basic measurement error features of some of these data sources.</w:t>
      </w:r>
    </w:p>
    <w:p w:rsidR="00FE5311" w:rsidRDefault="00FE5311" w:rsidP="00E67C79">
      <w:pPr>
        <w:tabs>
          <w:tab w:val="left" w:pos="426"/>
        </w:tabs>
        <w:spacing w:line="300" w:lineRule="auto"/>
      </w:pPr>
    </w:p>
    <w:p w:rsidR="00E67C79" w:rsidRPr="00CC12E6" w:rsidRDefault="00E67C79" w:rsidP="00E67C79">
      <w:pPr>
        <w:spacing w:after="0" w:line="300" w:lineRule="auto"/>
        <w:jc w:val="center"/>
        <w:rPr>
          <w:rFonts w:eastAsia="Times New Roman"/>
          <w:b/>
          <w:lang w:val="en-US"/>
        </w:rPr>
      </w:pPr>
      <w:r w:rsidRPr="00CC12E6">
        <w:rPr>
          <w:rFonts w:eastAsia="Times New Roman"/>
          <w:b/>
          <w:lang w:val="en-US"/>
        </w:rPr>
        <w:t>Keywords</w:t>
      </w:r>
    </w:p>
    <w:p w:rsidR="00E67C79" w:rsidRDefault="00730837" w:rsidP="00B668C8">
      <w:pPr>
        <w:spacing w:after="0" w:line="360" w:lineRule="auto"/>
        <w:jc w:val="center"/>
        <w:rPr>
          <w:rFonts w:eastAsia="Times New Roman"/>
          <w:bCs/>
          <w:lang w:val="en-US"/>
        </w:rPr>
      </w:pPr>
      <w:r>
        <w:rPr>
          <w:rFonts w:eastAsia="Batang"/>
          <w:lang w:val="en-US" w:eastAsia="ko-KR"/>
        </w:rPr>
        <w:t>DMSP</w:t>
      </w:r>
    </w:p>
    <w:p w:rsidR="00E67C79" w:rsidRDefault="00730837" w:rsidP="00B668C8">
      <w:pPr>
        <w:spacing w:after="0" w:line="360" w:lineRule="auto"/>
        <w:jc w:val="center"/>
        <w:rPr>
          <w:rFonts w:eastAsia="Times New Roman"/>
          <w:bCs/>
          <w:lang w:val="en-US"/>
        </w:rPr>
      </w:pPr>
      <w:r>
        <w:rPr>
          <w:rFonts w:eastAsia="Times New Roman"/>
          <w:bCs/>
          <w:lang w:val="en-US"/>
        </w:rPr>
        <w:t>mean-reverting error</w:t>
      </w:r>
    </w:p>
    <w:p w:rsidR="00E67C79" w:rsidRDefault="00730837" w:rsidP="00B668C8">
      <w:pPr>
        <w:spacing w:after="0" w:line="360" w:lineRule="auto"/>
        <w:jc w:val="center"/>
        <w:rPr>
          <w:rFonts w:eastAsia="Times New Roman"/>
          <w:bCs/>
          <w:lang w:val="en-US"/>
        </w:rPr>
      </w:pPr>
      <w:r>
        <w:rPr>
          <w:rFonts w:eastAsia="Times New Roman"/>
          <w:bCs/>
          <w:lang w:val="en-US"/>
        </w:rPr>
        <w:t>night light</w:t>
      </w:r>
      <w:r w:rsidR="005D3F48">
        <w:rPr>
          <w:rFonts w:eastAsia="Times New Roman"/>
          <w:bCs/>
          <w:lang w:val="en-US"/>
        </w:rPr>
        <w:t>s</w:t>
      </w:r>
    </w:p>
    <w:p w:rsidR="00730837" w:rsidRDefault="00730837" w:rsidP="00B668C8">
      <w:pPr>
        <w:spacing w:after="0" w:line="360" w:lineRule="auto"/>
        <w:jc w:val="center"/>
        <w:rPr>
          <w:rFonts w:eastAsia="Times New Roman"/>
          <w:bCs/>
          <w:lang w:val="en-US"/>
        </w:rPr>
      </w:pPr>
      <w:r>
        <w:rPr>
          <w:rFonts w:eastAsia="Times New Roman"/>
          <w:bCs/>
          <w:lang w:val="en-US"/>
        </w:rPr>
        <w:t>spatial inequality</w:t>
      </w:r>
    </w:p>
    <w:p w:rsidR="00E67C79" w:rsidRPr="00CC12E6" w:rsidRDefault="00730837" w:rsidP="00B668C8">
      <w:pPr>
        <w:spacing w:after="0" w:line="360" w:lineRule="auto"/>
        <w:jc w:val="center"/>
        <w:rPr>
          <w:rFonts w:eastAsia="Times New Roman"/>
          <w:bCs/>
          <w:lang w:val="en-US"/>
        </w:rPr>
      </w:pPr>
      <w:r>
        <w:rPr>
          <w:rFonts w:eastAsia="Times New Roman"/>
          <w:bCs/>
          <w:lang w:val="en-US"/>
        </w:rPr>
        <w:t>VIIRS</w:t>
      </w:r>
      <w:r w:rsidR="005D3F48">
        <w:rPr>
          <w:rFonts w:eastAsia="Times New Roman"/>
          <w:bCs/>
          <w:lang w:val="en-US"/>
        </w:rPr>
        <w:br/>
      </w:r>
    </w:p>
    <w:p w:rsidR="00E67C79" w:rsidRPr="00CC12E6" w:rsidRDefault="00E67C79" w:rsidP="00E67C79">
      <w:pPr>
        <w:spacing w:after="0" w:line="300" w:lineRule="auto"/>
        <w:jc w:val="center"/>
        <w:rPr>
          <w:rFonts w:eastAsia="Times New Roman"/>
          <w:b/>
          <w:lang w:val="en-US"/>
        </w:rPr>
      </w:pPr>
      <w:r w:rsidRPr="00CC12E6">
        <w:rPr>
          <w:rFonts w:eastAsia="Times New Roman"/>
          <w:b/>
          <w:lang w:val="en-US"/>
        </w:rPr>
        <w:t>JEL Classification</w:t>
      </w:r>
    </w:p>
    <w:p w:rsidR="005D3F48" w:rsidRDefault="00730837" w:rsidP="00AE73E2">
      <w:pPr>
        <w:spacing w:after="0" w:line="300" w:lineRule="auto"/>
        <w:jc w:val="center"/>
        <w:rPr>
          <w:rFonts w:eastAsia="Batang"/>
          <w:lang w:val="en-US" w:eastAsia="ko-KR"/>
        </w:rPr>
      </w:pPr>
      <w:r>
        <w:rPr>
          <w:rFonts w:eastAsia="Batang"/>
          <w:lang w:val="en-US" w:eastAsia="ko-KR"/>
        </w:rPr>
        <w:t>E01</w:t>
      </w:r>
    </w:p>
    <w:p w:rsidR="00E67C79" w:rsidRPr="00E67C79" w:rsidRDefault="00730837" w:rsidP="00AE73E2">
      <w:pPr>
        <w:spacing w:after="0" w:line="300" w:lineRule="auto"/>
        <w:jc w:val="center"/>
        <w:rPr>
          <w:rFonts w:eastAsia="Times New Roman"/>
          <w:bCs/>
        </w:rPr>
      </w:pPr>
      <w:r>
        <w:rPr>
          <w:rFonts w:eastAsia="Batang"/>
          <w:lang w:val="en-US" w:eastAsia="ko-KR"/>
        </w:rPr>
        <w:t>R</w:t>
      </w:r>
      <w:r w:rsidR="00AE73E2">
        <w:rPr>
          <w:rFonts w:eastAsia="Batang"/>
          <w:lang w:val="en-US" w:eastAsia="ko-KR"/>
        </w:rPr>
        <w:t>1</w:t>
      </w:r>
      <w:r>
        <w:rPr>
          <w:rFonts w:eastAsia="Batang"/>
          <w:lang w:val="en-US" w:eastAsia="ko-KR"/>
        </w:rPr>
        <w:t>2</w:t>
      </w:r>
    </w:p>
    <w:p w:rsidR="00E67C79" w:rsidRPr="00E67C79" w:rsidRDefault="00E67C79" w:rsidP="00E67C79">
      <w:pPr>
        <w:spacing w:after="0" w:line="300" w:lineRule="auto"/>
        <w:rPr>
          <w:rFonts w:eastAsia="Times New Roman"/>
          <w:bCs/>
        </w:rPr>
      </w:pPr>
    </w:p>
    <w:p w:rsidR="00E67C79" w:rsidRDefault="00E67C79" w:rsidP="00E67C79">
      <w:pPr>
        <w:spacing w:after="0" w:line="300" w:lineRule="auto"/>
        <w:rPr>
          <w:rFonts w:eastAsia="Times New Roman"/>
          <w:bCs/>
        </w:rPr>
      </w:pPr>
    </w:p>
    <w:p w:rsidR="00B668C8" w:rsidRDefault="00B668C8" w:rsidP="00E67C79">
      <w:pPr>
        <w:spacing w:after="0" w:line="300" w:lineRule="auto"/>
        <w:rPr>
          <w:rFonts w:eastAsia="Times New Roman"/>
          <w:bCs/>
        </w:rPr>
      </w:pPr>
    </w:p>
    <w:p w:rsidR="00B668C8" w:rsidRPr="00E67C79" w:rsidRDefault="00B668C8" w:rsidP="00E67C79">
      <w:pPr>
        <w:spacing w:after="0" w:line="300" w:lineRule="auto"/>
        <w:rPr>
          <w:rFonts w:eastAsia="Times New Roman"/>
          <w:bCs/>
        </w:rPr>
      </w:pPr>
    </w:p>
    <w:p w:rsidR="00E67C79" w:rsidRPr="005B6573" w:rsidRDefault="00E67C79" w:rsidP="00E67C79">
      <w:pPr>
        <w:spacing w:after="0" w:line="300" w:lineRule="auto"/>
        <w:jc w:val="center"/>
        <w:rPr>
          <w:rFonts w:eastAsia="Times New Roman"/>
          <w:b/>
        </w:rPr>
      </w:pPr>
      <w:r w:rsidRPr="005B6573">
        <w:rPr>
          <w:rFonts w:eastAsia="Times New Roman"/>
          <w:b/>
        </w:rPr>
        <w:t>Acknowledgements</w:t>
      </w:r>
    </w:p>
    <w:p w:rsidR="00E67C79" w:rsidRPr="005D3F48" w:rsidRDefault="00730837" w:rsidP="00C33C7B">
      <w:pPr>
        <w:tabs>
          <w:tab w:val="left" w:pos="426"/>
        </w:tabs>
        <w:spacing w:line="300" w:lineRule="auto"/>
        <w:jc w:val="center"/>
        <w:rPr>
          <w:bCs/>
        </w:rPr>
      </w:pPr>
      <w:r>
        <w:t>The f</w:t>
      </w:r>
      <w:r w:rsidRPr="00730837">
        <w:t xml:space="preserve">inancial support from Marsden Fund project UOW1901 and </w:t>
      </w:r>
      <w:r>
        <w:t xml:space="preserve">the </w:t>
      </w:r>
      <w:r w:rsidRPr="00730837">
        <w:t xml:space="preserve">assistance from </w:t>
      </w:r>
      <w:r w:rsidR="00C33C7B">
        <w:t xml:space="preserve">Chao Li </w:t>
      </w:r>
      <w:r w:rsidR="00D931F6">
        <w:t xml:space="preserve">and </w:t>
      </w:r>
      <w:r w:rsidRPr="00730837">
        <w:t xml:space="preserve">Geua Boe-Gibson is </w:t>
      </w:r>
      <w:r>
        <w:t xml:space="preserve">gratefully </w:t>
      </w:r>
      <w:r w:rsidRPr="00730837">
        <w:t>acknowledged.</w:t>
      </w:r>
    </w:p>
    <w:p w:rsidR="002C5B8B" w:rsidRPr="008A622D" w:rsidRDefault="005D3F48" w:rsidP="00743E18">
      <w:pPr>
        <w:spacing w:after="80"/>
        <w:rPr>
          <w:rFonts w:asciiTheme="majorBidi" w:hAnsiTheme="majorBidi" w:cstheme="majorBidi"/>
          <w:bCs/>
          <w:lang w:val="en-AU"/>
        </w:rPr>
      </w:pPr>
      <w:r>
        <w:rPr>
          <w:rFonts w:cs="Arial"/>
          <w:b/>
          <w:bCs/>
          <w:sz w:val="28"/>
          <w:szCs w:val="28"/>
        </w:rPr>
        <w:br w:type="page"/>
      </w:r>
      <w:r w:rsidR="004327EE" w:rsidRPr="008A622D">
        <w:rPr>
          <w:rFonts w:asciiTheme="majorBidi" w:hAnsiTheme="majorBidi" w:cstheme="majorBidi"/>
          <w:b/>
          <w:bCs/>
        </w:rPr>
        <w:lastRenderedPageBreak/>
        <w:t>I.</w:t>
      </w:r>
      <w:r w:rsidR="004327EE" w:rsidRPr="008A622D">
        <w:rPr>
          <w:rFonts w:asciiTheme="majorBidi" w:hAnsiTheme="majorBidi" w:cstheme="majorBidi"/>
          <w:b/>
          <w:bCs/>
        </w:rPr>
        <w:tab/>
        <w:t>Introduction</w:t>
      </w:r>
      <w:r w:rsidR="004327EE" w:rsidRPr="008A622D">
        <w:rPr>
          <w:rFonts w:asciiTheme="majorBidi" w:hAnsiTheme="majorBidi" w:cstheme="majorBidi"/>
          <w:bCs/>
          <w:lang w:val="en-AU"/>
        </w:rPr>
        <w:t xml:space="preserve"> </w:t>
      </w:r>
    </w:p>
    <w:p w:rsidR="009F6B87" w:rsidRPr="009F6B87" w:rsidRDefault="009F6B87" w:rsidP="00743E18">
      <w:pPr>
        <w:widowControl w:val="0"/>
        <w:spacing w:after="40" w:line="288" w:lineRule="auto"/>
        <w:jc w:val="both"/>
        <w:rPr>
          <w:rFonts w:asciiTheme="majorBidi" w:hAnsiTheme="majorBidi" w:cstheme="majorBidi"/>
          <w:bCs/>
        </w:rPr>
      </w:pPr>
      <w:r w:rsidRPr="009F6B87">
        <w:rPr>
          <w:rFonts w:asciiTheme="majorBidi" w:hAnsiTheme="majorBidi" w:cstheme="majorBidi"/>
          <w:bCs/>
        </w:rPr>
        <w:t xml:space="preserve">A growing literature uses data on satellite-detected night-time lights to study spatial inequality. Our review found over 25 </w:t>
      </w:r>
      <w:r w:rsidR="007C6D5E">
        <w:rPr>
          <w:rFonts w:asciiTheme="majorBidi" w:hAnsiTheme="majorBidi" w:cstheme="majorBidi"/>
          <w:bCs/>
        </w:rPr>
        <w:t xml:space="preserve">papers </w:t>
      </w:r>
      <w:r w:rsidRPr="009F6B87">
        <w:rPr>
          <w:rFonts w:asciiTheme="majorBidi" w:hAnsiTheme="majorBidi" w:cstheme="majorBidi"/>
          <w:bCs/>
        </w:rPr>
        <w:t xml:space="preserve">in this literature, a majority of which have published in the last four years. </w:t>
      </w:r>
      <w:r>
        <w:rPr>
          <w:rFonts w:asciiTheme="majorBidi" w:hAnsiTheme="majorBidi" w:cstheme="majorBidi"/>
          <w:bCs/>
        </w:rPr>
        <w:t>P</w:t>
      </w:r>
      <w:r w:rsidRPr="009F6B87">
        <w:rPr>
          <w:rFonts w:asciiTheme="majorBidi" w:hAnsiTheme="majorBidi" w:cstheme="majorBidi"/>
          <w:bCs/>
        </w:rPr>
        <w:t>otential advantages of this remote sensing approach include greater comparability over space irrespective of countries’ varying levels of statistical capacity, cheaper and more timely data, and the opportunity to extend inequality estimates to spatial units below the level at which GDP data or survey data are reported.</w:t>
      </w:r>
      <w:r w:rsidRPr="009F6B87">
        <w:rPr>
          <w:rFonts w:asciiTheme="majorBidi" w:hAnsiTheme="majorBidi" w:cstheme="majorBidi"/>
          <w:bCs/>
          <w:vertAlign w:val="superscript"/>
        </w:rPr>
        <w:footnoteReference w:id="1"/>
      </w:r>
      <w:r w:rsidRPr="009F6B87">
        <w:rPr>
          <w:rFonts w:asciiTheme="majorBidi" w:hAnsiTheme="majorBidi" w:cstheme="majorBidi"/>
          <w:bCs/>
        </w:rPr>
        <w:t xml:space="preserve"> In contrast, the existing situation with traditional approaches is aptly described by Mirza et al (2021:1) as one where “our knowledge about inequality in the developing world is limited by paucity, poor quality, uncertainty, and incomparability of data.”</w:t>
      </w:r>
    </w:p>
    <w:p w:rsidR="009F6B87" w:rsidRPr="009F6B87" w:rsidRDefault="009F6B87" w:rsidP="00743E18">
      <w:pPr>
        <w:widowControl w:val="0"/>
        <w:spacing w:after="40" w:line="288" w:lineRule="auto"/>
        <w:ind w:firstLine="720"/>
        <w:jc w:val="both"/>
        <w:rPr>
          <w:rFonts w:asciiTheme="majorBidi" w:hAnsiTheme="majorBidi" w:cstheme="majorBidi"/>
          <w:bCs/>
          <w:lang w:val="en-US"/>
        </w:rPr>
      </w:pPr>
      <w:r w:rsidRPr="009F6B87">
        <w:rPr>
          <w:rFonts w:asciiTheme="majorBidi" w:hAnsiTheme="majorBidi" w:cstheme="majorBidi"/>
          <w:bCs/>
        </w:rPr>
        <w:t xml:space="preserve">There is a potential flaw in this new research on inequality, because most studies rely on using </w:t>
      </w:r>
      <w:r w:rsidRPr="009F6B87">
        <w:rPr>
          <w:rFonts w:asciiTheme="majorBidi" w:hAnsiTheme="majorBidi" w:cstheme="majorBidi"/>
          <w:bCs/>
          <w:lang w:val="en-US"/>
        </w:rPr>
        <w:t xml:space="preserve">Defense Meteorological Satellite Program (DMSP) data. This involves repurposing images originally gathered to detect clouds for short-term Air Force weather forecasts. While a seminal study in economics finds that these DMSP data can also be used for long-run observations of economic activity on earth (Henderson et al, 2012), that study only required that the measurement errors in DMSP data are independent of the errors in reported GDP (because an optimal mix of the two types of noisy data was used to better proxy for the true but unknown economic activity). In contrast, the recent inequality studies use the DMSP data directly and because these data have spatially mean-reverting errors (Gibson, 2021) they are singularly ill-suited for measuring spatial inequality, even if they are a reasonable proxy in the context where Henderson et al (2012) used them (for studying growth in national GDP). </w:t>
      </w:r>
    </w:p>
    <w:p w:rsidR="009F6B87" w:rsidRPr="009F6B87" w:rsidRDefault="009F6B87" w:rsidP="00743E18">
      <w:pPr>
        <w:widowControl w:val="0"/>
        <w:spacing w:after="60" w:line="288" w:lineRule="auto"/>
        <w:ind w:firstLine="720"/>
        <w:jc w:val="both"/>
        <w:rPr>
          <w:rFonts w:asciiTheme="majorBidi" w:hAnsiTheme="majorBidi" w:cstheme="majorBidi"/>
          <w:bCs/>
          <w:lang w:val="en-US"/>
        </w:rPr>
      </w:pPr>
      <w:r w:rsidRPr="009F6B87">
        <w:rPr>
          <w:rFonts w:asciiTheme="majorBidi" w:hAnsiTheme="majorBidi" w:cstheme="majorBidi"/>
          <w:bCs/>
          <w:lang w:val="en-US"/>
        </w:rPr>
        <w:t>A consequence of these spatially mean-reverting errors is that DMSP data yield far lower inequality estimates than what sub-national GDP data show. The inequality estimates from DMSP are also lower than what newer, research-focused and more accurate, satellites show from their observations of the earth at night. Moreover, our results here suggest that not just the apparent level of spatial inequality, but also the temporal trend, may be affected if the DMSP data are used. In other words, even though using night-time lights data has potential to overcome some constraints on our understanding of inequality, the data that have been most commonly used to date could introduce some new misunderstandings.</w:t>
      </w:r>
    </w:p>
    <w:p w:rsidR="009F6B87" w:rsidRPr="009F6B87" w:rsidRDefault="009F6B87" w:rsidP="00743E18">
      <w:pPr>
        <w:widowControl w:val="0"/>
        <w:spacing w:after="60" w:line="288" w:lineRule="auto"/>
        <w:ind w:firstLine="720"/>
        <w:jc w:val="both"/>
        <w:rPr>
          <w:rFonts w:asciiTheme="majorBidi" w:hAnsiTheme="majorBidi" w:cstheme="majorBidi"/>
          <w:bCs/>
          <w:lang w:val="en-US"/>
        </w:rPr>
      </w:pPr>
      <w:r w:rsidRPr="009F6B87">
        <w:rPr>
          <w:rFonts w:asciiTheme="majorBidi" w:hAnsiTheme="majorBidi" w:cstheme="majorBidi"/>
          <w:bCs/>
          <w:lang w:val="en-US"/>
        </w:rPr>
        <w:t>In the next section we discuss the sources of spatially mean-reverting errors in DMSP data. A visual example is given in Section III, to show how DMSP blurring and top-coding distort apparent patterns of spatial variation in economic activity. Our literature review in Section IV shows that recent inequality studies ignore these spatially mean-reverting errors. Section V has county-level evidence from the United States and China on the understatement of spatial inequality when the DMSP data are used. Section VI has our conclusions.</w:t>
      </w:r>
    </w:p>
    <w:p w:rsidR="008961C1" w:rsidRPr="008A622D" w:rsidRDefault="00EE7128" w:rsidP="006934D1">
      <w:pPr>
        <w:widowControl w:val="0"/>
        <w:spacing w:before="120" w:after="0" w:line="360" w:lineRule="auto"/>
        <w:rPr>
          <w:rFonts w:asciiTheme="majorBidi" w:hAnsiTheme="majorBidi" w:cstheme="majorBidi"/>
          <w:b/>
          <w:lang w:val="en-US"/>
        </w:rPr>
      </w:pPr>
      <w:r w:rsidRPr="008A622D">
        <w:rPr>
          <w:rFonts w:asciiTheme="majorBidi" w:hAnsiTheme="majorBidi" w:cstheme="majorBidi"/>
          <w:b/>
          <w:lang w:val="en-US"/>
        </w:rPr>
        <w:lastRenderedPageBreak/>
        <w:t>II.</w:t>
      </w:r>
      <w:r w:rsidRPr="008A622D">
        <w:rPr>
          <w:rFonts w:asciiTheme="majorBidi" w:hAnsiTheme="majorBidi" w:cstheme="majorBidi"/>
          <w:b/>
          <w:lang w:val="en-US"/>
        </w:rPr>
        <w:tab/>
      </w:r>
      <w:r w:rsidR="009F6B87">
        <w:rPr>
          <w:rFonts w:asciiTheme="majorBidi" w:hAnsiTheme="majorBidi" w:cstheme="majorBidi"/>
          <w:b/>
          <w:lang w:val="en-US"/>
        </w:rPr>
        <w:t>The Spatially Mean-Reverting Errors in DMSP Night Lights Data</w:t>
      </w:r>
    </w:p>
    <w:p w:rsidR="009F6B87" w:rsidRPr="009F6B87" w:rsidRDefault="007C6D5E" w:rsidP="009E3B1D">
      <w:pPr>
        <w:widowControl w:val="0"/>
        <w:spacing w:after="120" w:line="288" w:lineRule="auto"/>
        <w:jc w:val="both"/>
        <w:rPr>
          <w:rFonts w:asciiTheme="majorBidi" w:hAnsiTheme="majorBidi" w:cstheme="majorBidi"/>
          <w:bCs/>
          <w:lang w:val="en-US"/>
        </w:rPr>
      </w:pPr>
      <w:r>
        <w:rPr>
          <w:rFonts w:asciiTheme="majorBidi" w:hAnsiTheme="majorBidi" w:cstheme="majorBidi"/>
          <w:bCs/>
          <w:lang w:val="en-US"/>
        </w:rPr>
        <w:t>The spatially mean-</w:t>
      </w:r>
      <w:r w:rsidR="009F6B87" w:rsidRPr="009F6B87">
        <w:rPr>
          <w:rFonts w:asciiTheme="majorBidi" w:hAnsiTheme="majorBidi" w:cstheme="majorBidi"/>
          <w:bCs/>
          <w:lang w:val="en-US"/>
        </w:rPr>
        <w:t xml:space="preserve">reverting errors in DMSP data have two main sources, and both reflect some of the inherent limitations of DMSP sensors and data management (Abrahams et al, 2018). First, DMSP images are blurred, so some light is attributed to places from where it was not emitted. Earlier remote sensing studies used terms like ‘blooming’ and ‘overglow’ to describe aspects of this blurring (e.g. Small et al, 2005) but that discussion did not pinpoint sources of the problem. Moreover, when economists started to use the night-time lights data they focused on just one aspect of the earlier literature—that environmental factors such as snow and water may cause reflections and create overglow—and inferred that the blurring problem should therefore matter in only a few places (e.g. </w:t>
      </w:r>
      <w:proofErr w:type="spellStart"/>
      <w:r w:rsidR="009F6B87" w:rsidRPr="009F6B87">
        <w:rPr>
          <w:rFonts w:asciiTheme="majorBidi" w:hAnsiTheme="majorBidi" w:cstheme="majorBidi"/>
          <w:bCs/>
        </w:rPr>
        <w:t>Michalopoulos</w:t>
      </w:r>
      <w:proofErr w:type="spellEnd"/>
      <w:r w:rsidR="009F6B87" w:rsidRPr="009F6B87">
        <w:rPr>
          <w:rFonts w:asciiTheme="majorBidi" w:hAnsiTheme="majorBidi" w:cstheme="majorBidi"/>
          <w:bCs/>
        </w:rPr>
        <w:t xml:space="preserve"> and </w:t>
      </w:r>
      <w:proofErr w:type="spellStart"/>
      <w:r w:rsidR="009F6B87" w:rsidRPr="009F6B87">
        <w:rPr>
          <w:rFonts w:asciiTheme="majorBidi" w:hAnsiTheme="majorBidi" w:cstheme="majorBidi"/>
          <w:bCs/>
        </w:rPr>
        <w:t>Papaioannou</w:t>
      </w:r>
      <w:proofErr w:type="spellEnd"/>
      <w:r w:rsidR="009F6B87" w:rsidRPr="009F6B87">
        <w:rPr>
          <w:rFonts w:asciiTheme="majorBidi" w:hAnsiTheme="majorBidi" w:cstheme="majorBidi"/>
          <w:bCs/>
        </w:rPr>
        <w:t>, 2014). In fact, blurring is a universal feature of DMSP data that shows up everywhere.</w:t>
      </w:r>
    </w:p>
    <w:p w:rsidR="009F6B87" w:rsidRPr="009F6B87" w:rsidRDefault="009F6B87" w:rsidP="009E3B1D">
      <w:pPr>
        <w:widowControl w:val="0"/>
        <w:spacing w:after="120" w:line="288" w:lineRule="auto"/>
        <w:ind w:firstLine="720"/>
        <w:jc w:val="both"/>
        <w:rPr>
          <w:rFonts w:asciiTheme="majorBidi" w:hAnsiTheme="majorBidi" w:cstheme="majorBidi"/>
          <w:bCs/>
          <w:lang w:val="en-AU"/>
        </w:rPr>
      </w:pPr>
      <w:r w:rsidRPr="009F6B87">
        <w:rPr>
          <w:rFonts w:asciiTheme="majorBidi" w:hAnsiTheme="majorBidi" w:cstheme="majorBidi"/>
          <w:bCs/>
          <w:lang w:val="en-US"/>
        </w:rPr>
        <w:t xml:space="preserve">The blurring occurs for at least three reasons. </w:t>
      </w:r>
      <w:r w:rsidRPr="009F6B87">
        <w:rPr>
          <w:rFonts w:asciiTheme="majorBidi" w:hAnsiTheme="majorBidi" w:cstheme="majorBidi"/>
          <w:bCs/>
          <w:lang w:val="en-AU"/>
        </w:rPr>
        <w:t>First, away from the nadir of the 3000 kilometre (km) wide scan the DMSP sensor views the earth at an angle and this causes the Field-of-View (</w:t>
      </w:r>
      <w:proofErr w:type="spellStart"/>
      <w:r w:rsidRPr="009F6B87">
        <w:rPr>
          <w:rFonts w:asciiTheme="majorBidi" w:hAnsiTheme="majorBidi" w:cstheme="majorBidi"/>
          <w:bCs/>
          <w:lang w:val="en-AU"/>
        </w:rPr>
        <w:t>FoV</w:t>
      </w:r>
      <w:proofErr w:type="spellEnd"/>
      <w:r w:rsidRPr="009F6B87">
        <w:rPr>
          <w:rFonts w:asciiTheme="majorBidi" w:hAnsiTheme="majorBidi" w:cstheme="majorBidi"/>
          <w:bCs/>
          <w:lang w:val="en-AU"/>
        </w:rPr>
        <w:t>) to expand (by 400% at the scan edge).</w:t>
      </w:r>
      <w:r w:rsidRPr="009F6B87">
        <w:rPr>
          <w:rFonts w:asciiTheme="majorBidi" w:hAnsiTheme="majorBidi" w:cstheme="majorBidi"/>
          <w:bCs/>
          <w:vertAlign w:val="superscript"/>
          <w:lang w:val="en-AU"/>
        </w:rPr>
        <w:footnoteReference w:id="2"/>
      </w:r>
      <w:r w:rsidRPr="009F6B87">
        <w:rPr>
          <w:rFonts w:asciiTheme="majorBidi" w:hAnsiTheme="majorBidi" w:cstheme="majorBidi"/>
          <w:bCs/>
          <w:lang w:val="en-AU"/>
        </w:rPr>
        <w:t xml:space="preserve"> All light from the expanded </w:t>
      </w:r>
      <w:proofErr w:type="spellStart"/>
      <w:r w:rsidRPr="009F6B87">
        <w:rPr>
          <w:rFonts w:asciiTheme="majorBidi" w:hAnsiTheme="majorBidi" w:cstheme="majorBidi"/>
          <w:bCs/>
          <w:lang w:val="en-AU"/>
        </w:rPr>
        <w:t>FoV</w:t>
      </w:r>
      <w:proofErr w:type="spellEnd"/>
      <w:r w:rsidRPr="009F6B87">
        <w:rPr>
          <w:rFonts w:asciiTheme="majorBidi" w:hAnsiTheme="majorBidi" w:cstheme="majorBidi"/>
          <w:bCs/>
          <w:lang w:val="en-AU"/>
        </w:rPr>
        <w:t xml:space="preserve"> gets (wrongly) attributed to a far smaller pixel in the centre of the </w:t>
      </w:r>
      <w:proofErr w:type="spellStart"/>
      <w:r w:rsidRPr="009F6B87">
        <w:rPr>
          <w:rFonts w:asciiTheme="majorBidi" w:hAnsiTheme="majorBidi" w:cstheme="majorBidi"/>
          <w:bCs/>
          <w:lang w:val="en-AU"/>
        </w:rPr>
        <w:t>FoV</w:t>
      </w:r>
      <w:proofErr w:type="spellEnd"/>
      <w:r w:rsidRPr="009F6B87">
        <w:rPr>
          <w:rFonts w:asciiTheme="majorBidi" w:hAnsiTheme="majorBidi" w:cstheme="majorBidi"/>
          <w:bCs/>
          <w:lang w:val="en-AU"/>
        </w:rPr>
        <w:t xml:space="preserve">. To limit the bias the </w:t>
      </w:r>
      <w:r w:rsidRPr="009F6B87">
        <w:rPr>
          <w:rFonts w:asciiTheme="majorBidi" w:hAnsiTheme="majorBidi" w:cstheme="majorBidi"/>
          <w:bCs/>
        </w:rPr>
        <w:t xml:space="preserve">National Oceanic and Atmospheric Administration (NOAA) only use pixels between the nadir and the half-scan (where the </w:t>
      </w:r>
      <w:proofErr w:type="spellStart"/>
      <w:r w:rsidRPr="009F6B87">
        <w:rPr>
          <w:rFonts w:asciiTheme="majorBidi" w:hAnsiTheme="majorBidi" w:cstheme="majorBidi"/>
          <w:bCs/>
        </w:rPr>
        <w:t>FoV</w:t>
      </w:r>
      <w:proofErr w:type="spellEnd"/>
      <w:r w:rsidRPr="009F6B87">
        <w:rPr>
          <w:rFonts w:asciiTheme="majorBidi" w:hAnsiTheme="majorBidi" w:cstheme="majorBidi"/>
          <w:bCs/>
        </w:rPr>
        <w:t xml:space="preserve"> is expanded by just 240%) when processing DMSP images but this does not reverse the blurring. </w:t>
      </w:r>
      <w:r w:rsidRPr="009F6B87">
        <w:rPr>
          <w:rFonts w:asciiTheme="majorBidi" w:hAnsiTheme="majorBidi" w:cstheme="majorBidi"/>
          <w:bCs/>
          <w:lang w:val="en-AU"/>
        </w:rPr>
        <w:t xml:space="preserve">Second, the on-board computers cannot hold all the data, so to conserve memory the pixels are aggregated to 5×5 blocks. Third, random geo-location errors, with a mean of about 3 km, also spread recorded light away from its point of origin (Tuttle et al, 2013). A method to de-blur DMSP images was developed by Abrahams et al (2018) but our review found no inequality studies using this method with DMSP data. </w:t>
      </w:r>
    </w:p>
    <w:p w:rsidR="009F6B87" w:rsidRPr="009F6B87" w:rsidRDefault="009F6B87" w:rsidP="009E3B1D">
      <w:pPr>
        <w:widowControl w:val="0"/>
        <w:spacing w:after="120" w:line="288" w:lineRule="auto"/>
        <w:ind w:firstLine="720"/>
        <w:jc w:val="both"/>
        <w:rPr>
          <w:rFonts w:asciiTheme="majorBidi" w:hAnsiTheme="majorBidi" w:cstheme="majorBidi"/>
          <w:bCs/>
          <w:lang w:val="en-AU"/>
        </w:rPr>
      </w:pPr>
      <w:r w:rsidRPr="009F6B87">
        <w:rPr>
          <w:rFonts w:asciiTheme="majorBidi" w:hAnsiTheme="majorBidi" w:cstheme="majorBidi"/>
          <w:bCs/>
          <w:lang w:val="en-AU"/>
        </w:rPr>
        <w:t xml:space="preserve">The net effect of the expanded </w:t>
      </w:r>
      <w:proofErr w:type="spellStart"/>
      <w:r w:rsidRPr="009F6B87">
        <w:rPr>
          <w:rFonts w:asciiTheme="majorBidi" w:hAnsiTheme="majorBidi" w:cstheme="majorBidi"/>
          <w:bCs/>
          <w:lang w:val="en-AU"/>
        </w:rPr>
        <w:t>FoV</w:t>
      </w:r>
      <w:proofErr w:type="spellEnd"/>
      <w:r w:rsidRPr="009F6B87">
        <w:rPr>
          <w:rFonts w:asciiTheme="majorBidi" w:hAnsiTheme="majorBidi" w:cstheme="majorBidi"/>
          <w:bCs/>
          <w:lang w:val="en-AU"/>
        </w:rPr>
        <w:t>, the pixel aggregation, and the geo-location errors is that the ground footprint for the DMSP sensor is 25 km</w:t>
      </w:r>
      <w:r w:rsidRPr="009F6B87">
        <w:rPr>
          <w:rFonts w:asciiTheme="majorBidi" w:hAnsiTheme="majorBidi" w:cstheme="majorBidi"/>
          <w:bCs/>
          <w:vertAlign w:val="superscript"/>
          <w:lang w:val="en-AU"/>
        </w:rPr>
        <w:t>2</w:t>
      </w:r>
      <w:r w:rsidRPr="009F6B87">
        <w:rPr>
          <w:rFonts w:asciiTheme="majorBidi" w:hAnsiTheme="majorBidi" w:cstheme="majorBidi"/>
          <w:bCs/>
          <w:lang w:val="en-AU"/>
        </w:rPr>
        <w:t xml:space="preserve"> at nadir (</w:t>
      </w:r>
      <w:proofErr w:type="spellStart"/>
      <w:r w:rsidRPr="009F6B87">
        <w:rPr>
          <w:rFonts w:asciiTheme="majorBidi" w:hAnsiTheme="majorBidi" w:cstheme="majorBidi"/>
          <w:bCs/>
          <w:lang w:val="en-AU"/>
        </w:rPr>
        <w:t>Elvidge</w:t>
      </w:r>
      <w:proofErr w:type="spellEnd"/>
      <w:r w:rsidRPr="009F6B87">
        <w:rPr>
          <w:rFonts w:asciiTheme="majorBidi" w:hAnsiTheme="majorBidi" w:cstheme="majorBidi"/>
          <w:bCs/>
          <w:lang w:val="en-AU"/>
        </w:rPr>
        <w:t xml:space="preserve"> et al, 2013). At the edge of the half-scan it may be up to 60 km</w:t>
      </w:r>
      <w:r w:rsidRPr="009F6B87">
        <w:rPr>
          <w:rFonts w:asciiTheme="majorBidi" w:hAnsiTheme="majorBidi" w:cstheme="majorBidi"/>
          <w:bCs/>
          <w:vertAlign w:val="superscript"/>
          <w:lang w:val="en-AU"/>
        </w:rPr>
        <w:t>2</w:t>
      </w:r>
      <w:r w:rsidRPr="009F6B87">
        <w:rPr>
          <w:rFonts w:asciiTheme="majorBidi" w:hAnsiTheme="majorBidi" w:cstheme="majorBidi"/>
          <w:bCs/>
          <w:lang w:val="en-AU"/>
        </w:rPr>
        <w:t xml:space="preserve"> because the </w:t>
      </w:r>
      <w:proofErr w:type="spellStart"/>
      <w:r w:rsidRPr="009F6B87">
        <w:rPr>
          <w:rFonts w:asciiTheme="majorBidi" w:hAnsiTheme="majorBidi" w:cstheme="majorBidi"/>
          <w:bCs/>
          <w:lang w:val="en-AU"/>
        </w:rPr>
        <w:t>FoV</w:t>
      </w:r>
      <w:proofErr w:type="spellEnd"/>
      <w:r w:rsidRPr="009F6B87">
        <w:rPr>
          <w:rFonts w:asciiTheme="majorBidi" w:hAnsiTheme="majorBidi" w:cstheme="majorBidi"/>
          <w:bCs/>
          <w:lang w:val="en-AU"/>
        </w:rPr>
        <w:t xml:space="preserve"> expands when viewing the earth at an angle for off-nadir pixels. This spatial resolution is far coarser than the footprint of the sensors used by newer, research-orientated, night lights data sources such as VIIRS Night Lights (VNL) and NASA’s Black Marble (BM).</w:t>
      </w:r>
      <w:r w:rsidRPr="009F6B87">
        <w:rPr>
          <w:rFonts w:asciiTheme="majorBidi" w:hAnsiTheme="majorBidi" w:cstheme="majorBidi"/>
          <w:bCs/>
          <w:vertAlign w:val="superscript"/>
          <w:lang w:val="en-AU"/>
        </w:rPr>
        <w:footnoteReference w:id="3"/>
      </w:r>
      <w:r w:rsidRPr="009F6B87">
        <w:rPr>
          <w:rFonts w:asciiTheme="majorBidi" w:hAnsiTheme="majorBidi" w:cstheme="majorBidi"/>
          <w:bCs/>
          <w:lang w:val="en-AU"/>
        </w:rPr>
        <w:t xml:space="preserve"> A comparison of various night lights data sources in Table 1 shows the sensors used by VNL and BM have constant 0.55 km</w:t>
      </w:r>
      <w:r w:rsidRPr="009F6B87">
        <w:rPr>
          <w:rFonts w:asciiTheme="majorBidi" w:hAnsiTheme="majorBidi" w:cstheme="majorBidi"/>
          <w:bCs/>
          <w:vertAlign w:val="superscript"/>
          <w:lang w:val="en-AU"/>
        </w:rPr>
        <w:t>2</w:t>
      </w:r>
      <w:r w:rsidRPr="009F6B87">
        <w:rPr>
          <w:rFonts w:asciiTheme="majorBidi" w:hAnsiTheme="majorBidi" w:cstheme="majorBidi"/>
          <w:bCs/>
          <w:lang w:val="en-AU"/>
        </w:rPr>
        <w:t xml:space="preserve"> footprint, where this invariance is achieved by turning off some of the detector elements away from the nadir to counteract the effect of viewing the earth at an angle. These newer data sources are at least 45-times more spatially precise than are the DMSP images (</w:t>
      </w:r>
      <w:proofErr w:type="spellStart"/>
      <w:r w:rsidRPr="009F6B87">
        <w:rPr>
          <w:rFonts w:asciiTheme="majorBidi" w:hAnsiTheme="majorBidi" w:cstheme="majorBidi"/>
          <w:bCs/>
          <w:lang w:val="en-AU"/>
        </w:rPr>
        <w:t>Elvidge</w:t>
      </w:r>
      <w:proofErr w:type="spellEnd"/>
      <w:r w:rsidRPr="009F6B87">
        <w:rPr>
          <w:rFonts w:asciiTheme="majorBidi" w:hAnsiTheme="majorBidi" w:cstheme="majorBidi"/>
          <w:bCs/>
          <w:lang w:val="en-AU"/>
        </w:rPr>
        <w:t xml:space="preserve"> et al, 2013). </w:t>
      </w:r>
    </w:p>
    <w:p w:rsidR="009F6B87" w:rsidRDefault="009F6B87" w:rsidP="009E3B1D">
      <w:pPr>
        <w:widowControl w:val="0"/>
        <w:spacing w:after="120" w:line="288" w:lineRule="auto"/>
        <w:ind w:firstLine="720"/>
        <w:jc w:val="both"/>
        <w:rPr>
          <w:rFonts w:asciiTheme="majorBidi" w:hAnsiTheme="majorBidi" w:cstheme="majorBidi"/>
          <w:bCs/>
          <w:lang w:val="en-US"/>
        </w:rPr>
      </w:pPr>
      <w:r w:rsidRPr="009F6B87">
        <w:rPr>
          <w:rFonts w:asciiTheme="majorBidi" w:hAnsiTheme="majorBidi" w:cstheme="majorBidi"/>
          <w:bCs/>
          <w:lang w:val="en-AU"/>
        </w:rPr>
        <w:t>The 25 km</w:t>
      </w:r>
      <w:r w:rsidRPr="009F6B87">
        <w:rPr>
          <w:rFonts w:asciiTheme="majorBidi" w:hAnsiTheme="majorBidi" w:cstheme="majorBidi"/>
          <w:bCs/>
          <w:vertAlign w:val="superscript"/>
          <w:lang w:val="en-AU"/>
        </w:rPr>
        <w:t>2</w:t>
      </w:r>
      <w:r w:rsidRPr="009F6B87">
        <w:rPr>
          <w:rFonts w:asciiTheme="majorBidi" w:hAnsiTheme="majorBidi" w:cstheme="majorBidi"/>
          <w:bCs/>
          <w:lang w:val="en-AU"/>
        </w:rPr>
        <w:t xml:space="preserve"> (or larger) ground footprint of the DMSP sensor is also far larger than the 30 arc second (roughly 0.9km × 0.9km at the equator or 0.9km × 0.6km at 45° latitude) grid onto which DMSP data are allocated. The inequality literature using DMSP data seems to not recognize the distinction between the sensor resolution and the scale of the output grid. For example, a recent study simply states that DMSP </w:t>
      </w:r>
      <w:r w:rsidRPr="009F6B87">
        <w:rPr>
          <w:rFonts w:asciiTheme="majorBidi" w:hAnsiTheme="majorBidi" w:cstheme="majorBidi"/>
          <w:bCs/>
        </w:rPr>
        <w:t xml:space="preserve">has “spatial resolution of 30 × 30 arc seconds </w:t>
      </w:r>
      <w:r w:rsidRPr="009F6B87">
        <w:rPr>
          <w:rFonts w:asciiTheme="majorBidi" w:hAnsiTheme="majorBidi" w:cstheme="majorBidi"/>
          <w:bCs/>
        </w:rPr>
        <w:lastRenderedPageBreak/>
        <w:t>(approximately 1 × 1 km)” (</w:t>
      </w:r>
      <w:proofErr w:type="spellStart"/>
      <w:r w:rsidRPr="009F6B87">
        <w:rPr>
          <w:rFonts w:asciiTheme="majorBidi" w:hAnsiTheme="majorBidi" w:cstheme="majorBidi"/>
          <w:bCs/>
          <w:lang w:val="en-AU"/>
        </w:rPr>
        <w:t>Sangkasem</w:t>
      </w:r>
      <w:proofErr w:type="spellEnd"/>
      <w:r w:rsidRPr="009F6B87">
        <w:rPr>
          <w:rFonts w:asciiTheme="majorBidi" w:hAnsiTheme="majorBidi" w:cstheme="majorBidi"/>
          <w:bCs/>
          <w:lang w:val="en-AU"/>
        </w:rPr>
        <w:t xml:space="preserve"> &amp; </w:t>
      </w:r>
      <w:proofErr w:type="spellStart"/>
      <w:r w:rsidRPr="009F6B87">
        <w:rPr>
          <w:rFonts w:asciiTheme="majorBidi" w:hAnsiTheme="majorBidi" w:cstheme="majorBidi"/>
          <w:bCs/>
        </w:rPr>
        <w:t>Puttanapong</w:t>
      </w:r>
      <w:proofErr w:type="spellEnd"/>
      <w:r w:rsidRPr="009F6B87">
        <w:rPr>
          <w:rFonts w:asciiTheme="majorBidi" w:hAnsiTheme="majorBidi" w:cstheme="majorBidi"/>
          <w:bCs/>
        </w:rPr>
        <w:t>, 2022</w:t>
      </w:r>
      <w:r w:rsidRPr="009F6B87">
        <w:rPr>
          <w:rFonts w:asciiTheme="majorBidi" w:hAnsiTheme="majorBidi" w:cstheme="majorBidi"/>
          <w:bCs/>
          <w:lang w:val="en-AU"/>
        </w:rPr>
        <w:t xml:space="preserve">: 830). In fact, spatial </w:t>
      </w:r>
      <w:r w:rsidRPr="009F6B87">
        <w:rPr>
          <w:rFonts w:asciiTheme="majorBidi" w:hAnsiTheme="majorBidi" w:cstheme="majorBidi"/>
          <w:bCs/>
          <w:lang w:val="en-US"/>
        </w:rPr>
        <w:t>resolution of the sensor is far coarser than the output grid, so differences between each of the 30 arc second DMSP output pixels are blurred. The threat to spatial inequality estimates is easiest to explain with the pixel aggregation to conserve on-board memory. Consider an area with one brightly-lit pixel surrounded by 24 unlit pixels, which would suggest a high degree of local inequality. With pixel aggregation, luminosity attributed to the brightly-lit pixel will be dragged down to the mean for the 25 pixels, while for the 24 unlit pixels their values will be overstated; aggregation is inherently mean-reverting. The impact of this bias will depend on the spatial scale of an analysis; it should matter more for smaller spatial units than for very large ones such as countries or regions at the first sub-national level.</w:t>
      </w:r>
    </w:p>
    <w:tbl>
      <w:tblPr>
        <w:tblStyle w:val="TableGrid"/>
        <w:tblpPr w:leftFromText="180" w:rightFromText="180" w:vertAnchor="text" w:horzAnchor="margin" w:tblpY="4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3912"/>
        <w:gridCol w:w="1376"/>
        <w:gridCol w:w="325"/>
        <w:gridCol w:w="567"/>
        <w:gridCol w:w="400"/>
        <w:gridCol w:w="734"/>
        <w:gridCol w:w="563"/>
        <w:gridCol w:w="1138"/>
      </w:tblGrid>
      <w:tr w:rsidR="00D816C7" w:rsidTr="005F7BB2">
        <w:tc>
          <w:tcPr>
            <w:tcW w:w="3912" w:type="dxa"/>
            <w:tcBorders>
              <w:top w:val="single" w:sz="4" w:space="0" w:color="auto"/>
              <w:bottom w:val="single" w:sz="4" w:space="0" w:color="auto"/>
            </w:tcBorders>
          </w:tcPr>
          <w:p w:rsidR="00D816C7" w:rsidRDefault="00D816C7" w:rsidP="005F7BB2">
            <w:pPr>
              <w:pStyle w:val="MDPI31text"/>
              <w:ind w:left="0" w:firstLine="0"/>
            </w:pPr>
          </w:p>
        </w:tc>
        <w:tc>
          <w:tcPr>
            <w:tcW w:w="1701" w:type="dxa"/>
            <w:gridSpan w:val="2"/>
            <w:tcBorders>
              <w:top w:val="single" w:sz="4" w:space="0" w:color="auto"/>
              <w:bottom w:val="single" w:sz="4" w:space="0" w:color="auto"/>
            </w:tcBorders>
          </w:tcPr>
          <w:p w:rsidR="00D816C7" w:rsidRDefault="00D816C7" w:rsidP="005F7BB2">
            <w:pPr>
              <w:pStyle w:val="MDPI31text"/>
              <w:ind w:left="340" w:firstLine="0"/>
              <w:jc w:val="center"/>
            </w:pPr>
            <w:r>
              <w:t>DMSP</w:t>
            </w:r>
          </w:p>
        </w:tc>
        <w:tc>
          <w:tcPr>
            <w:tcW w:w="1701" w:type="dxa"/>
            <w:gridSpan w:val="3"/>
            <w:tcBorders>
              <w:top w:val="single" w:sz="4" w:space="0" w:color="auto"/>
              <w:bottom w:val="single" w:sz="4" w:space="0" w:color="auto"/>
            </w:tcBorders>
          </w:tcPr>
          <w:p w:rsidR="00D816C7" w:rsidRDefault="00D816C7" w:rsidP="005F7BB2">
            <w:pPr>
              <w:pStyle w:val="MDPI31text"/>
              <w:ind w:left="340" w:firstLine="0"/>
              <w:jc w:val="center"/>
            </w:pPr>
            <w:r>
              <w:t>VNL</w:t>
            </w:r>
          </w:p>
        </w:tc>
        <w:tc>
          <w:tcPr>
            <w:tcW w:w="1701" w:type="dxa"/>
            <w:gridSpan w:val="2"/>
            <w:tcBorders>
              <w:top w:val="single" w:sz="4" w:space="0" w:color="auto"/>
              <w:bottom w:val="single" w:sz="4" w:space="0" w:color="auto"/>
            </w:tcBorders>
          </w:tcPr>
          <w:p w:rsidR="00D816C7" w:rsidRDefault="00D816C7" w:rsidP="005F7BB2">
            <w:pPr>
              <w:pStyle w:val="MDPI31text"/>
              <w:ind w:left="113" w:firstLine="0"/>
              <w:jc w:val="center"/>
            </w:pPr>
            <w:r>
              <w:t>Black Marble</w:t>
            </w:r>
          </w:p>
        </w:tc>
      </w:tr>
      <w:tr w:rsidR="00D816C7" w:rsidRPr="00811990" w:rsidTr="005F7BB2">
        <w:trPr>
          <w:gridAfter w:val="1"/>
          <w:wAfter w:w="1138" w:type="dxa"/>
        </w:trPr>
        <w:tc>
          <w:tcPr>
            <w:tcW w:w="3912" w:type="dxa"/>
            <w:tcBorders>
              <w:top w:val="single" w:sz="4" w:space="0" w:color="auto"/>
            </w:tcBorders>
          </w:tcPr>
          <w:p w:rsidR="00D816C7" w:rsidRPr="00811990" w:rsidRDefault="00D816C7" w:rsidP="005F7BB2">
            <w:pPr>
              <w:pStyle w:val="MDPI31text"/>
              <w:spacing w:before="40"/>
              <w:ind w:left="0" w:firstLine="0"/>
              <w:rPr>
                <w:rFonts w:asciiTheme="majorBidi" w:hAnsiTheme="majorBidi" w:cstheme="majorBidi"/>
                <w:i/>
                <w:iCs/>
              </w:rPr>
            </w:pPr>
            <w:r w:rsidRPr="00811990">
              <w:rPr>
                <w:rFonts w:asciiTheme="majorBidi" w:hAnsiTheme="majorBidi" w:cstheme="majorBidi"/>
                <w:i/>
                <w:iCs/>
              </w:rPr>
              <w:t>Satellite/Sensor Attributes</w:t>
            </w:r>
          </w:p>
        </w:tc>
        <w:tc>
          <w:tcPr>
            <w:tcW w:w="1376" w:type="dxa"/>
            <w:tcBorders>
              <w:top w:val="single" w:sz="4" w:space="0" w:color="auto"/>
            </w:tcBorders>
          </w:tcPr>
          <w:p w:rsidR="00D816C7" w:rsidRPr="00811990" w:rsidRDefault="00D816C7" w:rsidP="005F7BB2">
            <w:pPr>
              <w:pStyle w:val="MDPI31text"/>
              <w:ind w:left="0" w:firstLine="0"/>
              <w:jc w:val="center"/>
              <w:rPr>
                <w:rFonts w:asciiTheme="majorBidi" w:hAnsiTheme="majorBidi" w:cstheme="majorBidi"/>
              </w:rPr>
            </w:pPr>
          </w:p>
        </w:tc>
        <w:tc>
          <w:tcPr>
            <w:tcW w:w="1292" w:type="dxa"/>
            <w:gridSpan w:val="3"/>
            <w:tcBorders>
              <w:top w:val="single" w:sz="4" w:space="0" w:color="auto"/>
            </w:tcBorders>
          </w:tcPr>
          <w:p w:rsidR="00D816C7" w:rsidRPr="00811990" w:rsidRDefault="00D816C7" w:rsidP="005F7BB2">
            <w:pPr>
              <w:pStyle w:val="MDPI31text"/>
              <w:ind w:left="0" w:firstLine="0"/>
              <w:jc w:val="center"/>
              <w:rPr>
                <w:rFonts w:asciiTheme="majorBidi" w:hAnsiTheme="majorBidi" w:cstheme="majorBidi"/>
              </w:rPr>
            </w:pPr>
          </w:p>
        </w:tc>
        <w:tc>
          <w:tcPr>
            <w:tcW w:w="1297" w:type="dxa"/>
            <w:gridSpan w:val="2"/>
            <w:tcBorders>
              <w:top w:val="single" w:sz="4" w:space="0" w:color="auto"/>
            </w:tcBorders>
          </w:tcPr>
          <w:p w:rsidR="00D816C7" w:rsidRPr="00811990" w:rsidRDefault="00D816C7" w:rsidP="005F7BB2">
            <w:pPr>
              <w:pStyle w:val="MDPI31text"/>
              <w:ind w:left="0" w:firstLine="0"/>
              <w:jc w:val="center"/>
              <w:rPr>
                <w:rFonts w:asciiTheme="majorBidi" w:hAnsiTheme="majorBidi" w:cstheme="majorBidi"/>
              </w:rPr>
            </w:pPr>
          </w:p>
        </w:tc>
      </w:tr>
      <w:tr w:rsidR="00D816C7" w:rsidRPr="00811990" w:rsidTr="005F7BB2">
        <w:tc>
          <w:tcPr>
            <w:tcW w:w="3912" w:type="dxa"/>
          </w:tcPr>
          <w:p w:rsidR="00D816C7" w:rsidRPr="00811990" w:rsidRDefault="00D816C7" w:rsidP="005F7BB2">
            <w:pPr>
              <w:pStyle w:val="MDPI31text"/>
              <w:spacing w:before="40"/>
              <w:ind w:left="0" w:firstLine="0"/>
              <w:rPr>
                <w:rFonts w:asciiTheme="majorBidi" w:hAnsiTheme="majorBidi" w:cstheme="majorBidi"/>
              </w:rPr>
            </w:pPr>
            <w:r w:rsidRPr="00811990">
              <w:rPr>
                <w:rFonts w:asciiTheme="majorBidi" w:hAnsiTheme="majorBidi" w:cstheme="majorBidi"/>
              </w:rPr>
              <w:t>Operator</w:t>
            </w:r>
          </w:p>
        </w:tc>
        <w:tc>
          <w:tcPr>
            <w:tcW w:w="2268" w:type="dxa"/>
            <w:gridSpan w:val="3"/>
          </w:tcPr>
          <w:p w:rsidR="00D816C7" w:rsidRPr="00811990" w:rsidRDefault="00D816C7" w:rsidP="005F7BB2">
            <w:pPr>
              <w:pStyle w:val="MDPI31text"/>
              <w:spacing w:before="40"/>
              <w:ind w:left="0" w:right="113" w:firstLine="0"/>
              <w:jc w:val="center"/>
              <w:rPr>
                <w:rFonts w:asciiTheme="majorBidi" w:hAnsiTheme="majorBidi" w:cstheme="majorBidi"/>
              </w:rPr>
            </w:pPr>
            <w:r w:rsidRPr="00811990">
              <w:rPr>
                <w:rFonts w:asciiTheme="majorBidi" w:hAnsiTheme="majorBidi" w:cstheme="majorBidi"/>
              </w:rPr>
              <w:t>US DoD</w:t>
            </w:r>
          </w:p>
        </w:tc>
        <w:tc>
          <w:tcPr>
            <w:tcW w:w="2835" w:type="dxa"/>
            <w:gridSpan w:val="4"/>
          </w:tcPr>
          <w:p w:rsidR="00D816C7" w:rsidRPr="00811990" w:rsidRDefault="00D816C7" w:rsidP="005F7BB2">
            <w:pPr>
              <w:pStyle w:val="MDPI31text"/>
              <w:spacing w:before="40"/>
              <w:ind w:left="227" w:firstLine="0"/>
              <w:jc w:val="center"/>
              <w:rPr>
                <w:rFonts w:asciiTheme="majorBidi" w:hAnsiTheme="majorBidi" w:cstheme="majorBidi"/>
              </w:rPr>
            </w:pPr>
            <w:r w:rsidRPr="00811990">
              <w:rPr>
                <w:rFonts w:asciiTheme="majorBidi" w:hAnsiTheme="majorBidi" w:cstheme="majorBidi"/>
              </w:rPr>
              <w:t>NASA/NOAA</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Original purpose</w:t>
            </w:r>
          </w:p>
        </w:tc>
        <w:tc>
          <w:tcPr>
            <w:tcW w:w="2268" w:type="dxa"/>
            <w:gridSpan w:val="3"/>
          </w:tcPr>
          <w:p w:rsidR="00D816C7" w:rsidRPr="00811990" w:rsidRDefault="00D816C7" w:rsidP="005F7BB2">
            <w:pPr>
              <w:pStyle w:val="MDPI31text"/>
              <w:spacing w:before="80"/>
              <w:ind w:left="0" w:right="113" w:firstLine="0"/>
              <w:jc w:val="center"/>
              <w:rPr>
                <w:rFonts w:asciiTheme="majorBidi" w:hAnsiTheme="majorBidi" w:cstheme="majorBidi"/>
              </w:rPr>
            </w:pPr>
            <w:r>
              <w:rPr>
                <w:rFonts w:asciiTheme="majorBidi" w:hAnsiTheme="majorBidi" w:cstheme="majorBidi"/>
              </w:rPr>
              <w:t>Detect moon-lit clouds for weather forecasts</w:t>
            </w:r>
          </w:p>
        </w:tc>
        <w:tc>
          <w:tcPr>
            <w:tcW w:w="2835" w:type="dxa"/>
            <w:gridSpan w:val="4"/>
          </w:tcPr>
          <w:p w:rsidR="00D816C7" w:rsidRPr="00811990" w:rsidRDefault="00D816C7" w:rsidP="005F7BB2">
            <w:pPr>
              <w:pStyle w:val="MDPI31text"/>
              <w:spacing w:before="80"/>
              <w:ind w:left="227" w:firstLine="0"/>
              <w:jc w:val="center"/>
              <w:rPr>
                <w:rFonts w:asciiTheme="majorBidi" w:hAnsiTheme="majorBidi" w:cstheme="majorBidi"/>
              </w:rPr>
            </w:pPr>
            <w:r>
              <w:rPr>
                <w:rFonts w:asciiTheme="majorBidi" w:hAnsiTheme="majorBidi" w:cstheme="majorBidi"/>
              </w:rPr>
              <w:t>Earth observation for scientific research</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Available years</w:t>
            </w:r>
          </w:p>
        </w:tc>
        <w:tc>
          <w:tcPr>
            <w:tcW w:w="2268" w:type="dxa"/>
            <w:gridSpan w:val="3"/>
          </w:tcPr>
          <w:p w:rsidR="00D816C7" w:rsidRPr="00811990" w:rsidRDefault="00D816C7" w:rsidP="005F7BB2">
            <w:pPr>
              <w:pStyle w:val="MDPI31text"/>
              <w:spacing w:before="80"/>
              <w:ind w:left="0" w:right="113" w:firstLine="0"/>
              <w:jc w:val="center"/>
              <w:rPr>
                <w:rFonts w:asciiTheme="majorBidi" w:hAnsiTheme="majorBidi" w:cstheme="majorBidi"/>
              </w:rPr>
            </w:pPr>
            <w:r>
              <w:rPr>
                <w:rFonts w:asciiTheme="majorBidi" w:hAnsiTheme="majorBidi" w:cstheme="majorBidi"/>
              </w:rPr>
              <w:t>1992-2021</w:t>
            </w:r>
          </w:p>
        </w:tc>
        <w:tc>
          <w:tcPr>
            <w:tcW w:w="2835" w:type="dxa"/>
            <w:gridSpan w:val="4"/>
          </w:tcPr>
          <w:p w:rsidR="00D816C7" w:rsidRPr="00811990" w:rsidRDefault="00D816C7" w:rsidP="005F7BB2">
            <w:pPr>
              <w:pStyle w:val="MDPI31text"/>
              <w:spacing w:before="80"/>
              <w:ind w:left="227" w:firstLine="0"/>
              <w:jc w:val="center"/>
              <w:rPr>
                <w:rFonts w:asciiTheme="majorBidi" w:hAnsiTheme="majorBidi" w:cstheme="majorBidi"/>
              </w:rPr>
            </w:pPr>
            <w:r w:rsidRPr="00811990">
              <w:rPr>
                <w:rFonts w:asciiTheme="majorBidi" w:hAnsiTheme="majorBidi" w:cstheme="majorBidi"/>
              </w:rPr>
              <w:t>2012-20</w:t>
            </w:r>
            <w:r>
              <w:rPr>
                <w:rFonts w:asciiTheme="majorBidi" w:hAnsiTheme="majorBidi" w:cstheme="majorBidi"/>
              </w:rPr>
              <w:t>21</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Pr>
                <w:rFonts w:asciiTheme="majorBidi" w:hAnsiTheme="majorBidi" w:cstheme="majorBidi"/>
              </w:rPr>
              <w:t>Ground footprint</w:t>
            </w:r>
            <w:r w:rsidRPr="00811990">
              <w:rPr>
                <w:rFonts w:asciiTheme="majorBidi" w:hAnsiTheme="majorBidi" w:cstheme="majorBidi"/>
              </w:rPr>
              <w:t xml:space="preserve"> at nadir</w:t>
            </w:r>
          </w:p>
        </w:tc>
        <w:tc>
          <w:tcPr>
            <w:tcW w:w="2268" w:type="dxa"/>
            <w:gridSpan w:val="3"/>
          </w:tcPr>
          <w:p w:rsidR="00D816C7" w:rsidRPr="009D0760" w:rsidRDefault="00D816C7" w:rsidP="005F7BB2">
            <w:pPr>
              <w:pStyle w:val="MDPI31text"/>
              <w:spacing w:before="80"/>
              <w:ind w:left="0" w:right="113" w:firstLine="0"/>
              <w:jc w:val="center"/>
              <w:rPr>
                <w:rFonts w:asciiTheme="majorBidi" w:hAnsiTheme="majorBidi" w:cstheme="majorBidi"/>
                <w:vertAlign w:val="superscript"/>
              </w:rPr>
            </w:pPr>
            <w:r>
              <w:rPr>
                <w:rFonts w:asciiTheme="majorBidi" w:hAnsiTheme="majorBidi" w:cstheme="majorBidi"/>
              </w:rPr>
              <w:t>25</w:t>
            </w:r>
            <w:r w:rsidRPr="00811990">
              <w:rPr>
                <w:rFonts w:asciiTheme="majorBidi" w:hAnsiTheme="majorBidi" w:cstheme="majorBidi"/>
              </w:rPr>
              <w:t xml:space="preserve"> km</w:t>
            </w:r>
            <w:r>
              <w:rPr>
                <w:rFonts w:asciiTheme="majorBidi" w:hAnsiTheme="majorBidi" w:cstheme="majorBidi"/>
                <w:vertAlign w:val="superscript"/>
              </w:rPr>
              <w:t>2</w:t>
            </w:r>
          </w:p>
        </w:tc>
        <w:tc>
          <w:tcPr>
            <w:tcW w:w="2835" w:type="dxa"/>
            <w:gridSpan w:val="4"/>
          </w:tcPr>
          <w:p w:rsidR="00D816C7" w:rsidRPr="009D0760" w:rsidRDefault="00D816C7" w:rsidP="005F7BB2">
            <w:pPr>
              <w:pStyle w:val="MDPI31text"/>
              <w:spacing w:before="80"/>
              <w:ind w:left="227" w:firstLine="0"/>
              <w:jc w:val="center"/>
              <w:rPr>
                <w:rFonts w:asciiTheme="majorBidi" w:hAnsiTheme="majorBidi" w:cstheme="majorBidi"/>
                <w:vertAlign w:val="superscript"/>
              </w:rPr>
            </w:pPr>
            <w:r>
              <w:rPr>
                <w:rFonts w:asciiTheme="majorBidi" w:hAnsiTheme="majorBidi" w:cstheme="majorBidi"/>
              </w:rPr>
              <w:t>0.55 km</w:t>
            </w:r>
            <w:r>
              <w:rPr>
                <w:rFonts w:asciiTheme="majorBidi" w:hAnsiTheme="majorBidi" w:cstheme="majorBidi"/>
                <w:vertAlign w:val="superscript"/>
              </w:rPr>
              <w:t>2</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Scan width</w:t>
            </w:r>
          </w:p>
        </w:tc>
        <w:tc>
          <w:tcPr>
            <w:tcW w:w="2268" w:type="dxa"/>
            <w:gridSpan w:val="3"/>
          </w:tcPr>
          <w:p w:rsidR="00D816C7" w:rsidRPr="00811990" w:rsidRDefault="00D816C7" w:rsidP="005F7BB2">
            <w:pPr>
              <w:pStyle w:val="MDPI31text"/>
              <w:spacing w:before="80"/>
              <w:ind w:left="0" w:right="113" w:firstLine="0"/>
              <w:jc w:val="center"/>
              <w:rPr>
                <w:rFonts w:asciiTheme="majorBidi" w:hAnsiTheme="majorBidi" w:cstheme="majorBidi"/>
              </w:rPr>
            </w:pPr>
            <w:r w:rsidRPr="00811990">
              <w:rPr>
                <w:rFonts w:asciiTheme="majorBidi" w:hAnsiTheme="majorBidi" w:cstheme="majorBidi"/>
              </w:rPr>
              <w:t>3000 km</w:t>
            </w:r>
            <w:r>
              <w:rPr>
                <w:rFonts w:asciiTheme="majorBidi" w:hAnsiTheme="majorBidi" w:cstheme="majorBidi"/>
              </w:rPr>
              <w:t xml:space="preserve"> (but only the center half is processed)</w:t>
            </w:r>
          </w:p>
        </w:tc>
        <w:tc>
          <w:tcPr>
            <w:tcW w:w="2835" w:type="dxa"/>
            <w:gridSpan w:val="4"/>
          </w:tcPr>
          <w:p w:rsidR="00D816C7" w:rsidRPr="00811990" w:rsidRDefault="00D816C7" w:rsidP="005F7BB2">
            <w:pPr>
              <w:pStyle w:val="MDPI31text"/>
              <w:spacing w:before="80"/>
              <w:ind w:left="227" w:firstLine="0"/>
              <w:jc w:val="center"/>
              <w:rPr>
                <w:rFonts w:asciiTheme="majorBidi" w:hAnsiTheme="majorBidi" w:cstheme="majorBidi"/>
              </w:rPr>
            </w:pPr>
            <w:r w:rsidRPr="00811990">
              <w:rPr>
                <w:rFonts w:asciiTheme="majorBidi" w:hAnsiTheme="majorBidi" w:cstheme="majorBidi"/>
              </w:rPr>
              <w:t>3000 km</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Revisit time</w:t>
            </w:r>
          </w:p>
        </w:tc>
        <w:tc>
          <w:tcPr>
            <w:tcW w:w="2268" w:type="dxa"/>
            <w:gridSpan w:val="3"/>
          </w:tcPr>
          <w:p w:rsidR="00D816C7" w:rsidRPr="00811990" w:rsidRDefault="00D816C7" w:rsidP="005F7BB2">
            <w:pPr>
              <w:pStyle w:val="MDPI31text"/>
              <w:spacing w:before="80"/>
              <w:ind w:left="0" w:right="113" w:firstLine="0"/>
              <w:jc w:val="center"/>
              <w:rPr>
                <w:rFonts w:asciiTheme="majorBidi" w:hAnsiTheme="majorBidi" w:cstheme="majorBidi"/>
              </w:rPr>
            </w:pPr>
            <w:r w:rsidRPr="00811990">
              <w:rPr>
                <w:rFonts w:asciiTheme="majorBidi" w:hAnsiTheme="majorBidi" w:cstheme="majorBidi"/>
              </w:rPr>
              <w:t xml:space="preserve">12 </w:t>
            </w:r>
            <w:proofErr w:type="spellStart"/>
            <w:r w:rsidRPr="00811990">
              <w:rPr>
                <w:rFonts w:asciiTheme="majorBidi" w:hAnsiTheme="majorBidi" w:cstheme="majorBidi"/>
              </w:rPr>
              <w:t>hr</w:t>
            </w:r>
            <w:proofErr w:type="spellEnd"/>
          </w:p>
        </w:tc>
        <w:tc>
          <w:tcPr>
            <w:tcW w:w="2835" w:type="dxa"/>
            <w:gridSpan w:val="4"/>
          </w:tcPr>
          <w:p w:rsidR="00D816C7" w:rsidRPr="00811990" w:rsidRDefault="00D816C7" w:rsidP="005F7BB2">
            <w:pPr>
              <w:pStyle w:val="MDPI31text"/>
              <w:spacing w:before="80"/>
              <w:ind w:left="227" w:firstLine="0"/>
              <w:jc w:val="center"/>
              <w:rPr>
                <w:rFonts w:asciiTheme="majorBidi" w:hAnsiTheme="majorBidi" w:cstheme="majorBidi"/>
              </w:rPr>
            </w:pPr>
            <w:r w:rsidRPr="00811990">
              <w:rPr>
                <w:rFonts w:asciiTheme="majorBidi" w:hAnsiTheme="majorBidi" w:cstheme="majorBidi"/>
              </w:rPr>
              <w:t xml:space="preserve">12 </w:t>
            </w:r>
            <w:proofErr w:type="spellStart"/>
            <w:r w:rsidRPr="00811990">
              <w:rPr>
                <w:rFonts w:asciiTheme="majorBidi" w:hAnsiTheme="majorBidi" w:cstheme="majorBidi"/>
              </w:rPr>
              <w:t>hr</w:t>
            </w:r>
            <w:proofErr w:type="spellEnd"/>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Pixel saturation</w:t>
            </w:r>
          </w:p>
        </w:tc>
        <w:tc>
          <w:tcPr>
            <w:tcW w:w="2268" w:type="dxa"/>
            <w:gridSpan w:val="3"/>
          </w:tcPr>
          <w:p w:rsidR="00D816C7" w:rsidRPr="00811990" w:rsidRDefault="00D816C7" w:rsidP="005F7BB2">
            <w:pPr>
              <w:pStyle w:val="MDPI31text"/>
              <w:spacing w:before="80"/>
              <w:ind w:left="0" w:right="113" w:firstLine="0"/>
              <w:jc w:val="center"/>
              <w:rPr>
                <w:rFonts w:asciiTheme="majorBidi" w:hAnsiTheme="majorBidi" w:cstheme="majorBidi"/>
              </w:rPr>
            </w:pPr>
            <w:r w:rsidRPr="00811990">
              <w:rPr>
                <w:rFonts w:asciiTheme="majorBidi" w:hAnsiTheme="majorBidi" w:cstheme="majorBidi"/>
              </w:rPr>
              <w:t>Saturated</w:t>
            </w:r>
          </w:p>
        </w:tc>
        <w:tc>
          <w:tcPr>
            <w:tcW w:w="2835" w:type="dxa"/>
            <w:gridSpan w:val="4"/>
          </w:tcPr>
          <w:p w:rsidR="00D816C7" w:rsidRPr="00811990" w:rsidRDefault="00D816C7" w:rsidP="005F7BB2">
            <w:pPr>
              <w:pStyle w:val="MDPI31text"/>
              <w:spacing w:before="80"/>
              <w:ind w:left="227" w:firstLine="0"/>
              <w:jc w:val="center"/>
              <w:rPr>
                <w:rFonts w:asciiTheme="majorBidi" w:hAnsiTheme="majorBidi" w:cstheme="majorBidi"/>
              </w:rPr>
            </w:pPr>
            <w:r w:rsidRPr="00811990">
              <w:rPr>
                <w:rFonts w:asciiTheme="majorBidi" w:hAnsiTheme="majorBidi" w:cstheme="majorBidi"/>
              </w:rPr>
              <w:t>Not saturated</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On-board calibration</w:t>
            </w:r>
          </w:p>
        </w:tc>
        <w:tc>
          <w:tcPr>
            <w:tcW w:w="2268" w:type="dxa"/>
            <w:gridSpan w:val="3"/>
          </w:tcPr>
          <w:p w:rsidR="00D816C7" w:rsidRPr="00811990" w:rsidRDefault="00D816C7" w:rsidP="005F7BB2">
            <w:pPr>
              <w:pStyle w:val="MDPI31text"/>
              <w:spacing w:before="80"/>
              <w:ind w:left="0" w:right="113" w:firstLine="0"/>
              <w:jc w:val="center"/>
              <w:rPr>
                <w:rFonts w:asciiTheme="majorBidi" w:hAnsiTheme="majorBidi" w:cstheme="majorBidi"/>
              </w:rPr>
            </w:pPr>
            <w:r w:rsidRPr="00811990">
              <w:rPr>
                <w:rFonts w:asciiTheme="majorBidi" w:hAnsiTheme="majorBidi" w:cstheme="majorBidi"/>
              </w:rPr>
              <w:t>No</w:t>
            </w:r>
          </w:p>
        </w:tc>
        <w:tc>
          <w:tcPr>
            <w:tcW w:w="2835" w:type="dxa"/>
            <w:gridSpan w:val="4"/>
          </w:tcPr>
          <w:p w:rsidR="00D816C7" w:rsidRPr="00811990" w:rsidRDefault="00D816C7" w:rsidP="005F7BB2">
            <w:pPr>
              <w:pStyle w:val="MDPI31text"/>
              <w:spacing w:before="80"/>
              <w:ind w:left="227" w:firstLine="0"/>
              <w:jc w:val="center"/>
              <w:rPr>
                <w:rFonts w:asciiTheme="majorBidi" w:hAnsiTheme="majorBidi" w:cstheme="majorBidi"/>
              </w:rPr>
            </w:pPr>
            <w:r w:rsidRPr="00811990">
              <w:rPr>
                <w:rFonts w:asciiTheme="majorBidi" w:hAnsiTheme="majorBidi" w:cstheme="majorBidi"/>
              </w:rPr>
              <w:t>Yes</w:t>
            </w:r>
          </w:p>
        </w:tc>
      </w:tr>
      <w:tr w:rsidR="00D816C7" w:rsidRPr="00811990" w:rsidTr="005F7BB2">
        <w:trPr>
          <w:gridAfter w:val="1"/>
          <w:wAfter w:w="1138" w:type="dxa"/>
        </w:trPr>
        <w:tc>
          <w:tcPr>
            <w:tcW w:w="3912" w:type="dxa"/>
          </w:tcPr>
          <w:p w:rsidR="00D816C7" w:rsidRPr="00811990" w:rsidRDefault="00D816C7" w:rsidP="005F7BB2">
            <w:pPr>
              <w:pStyle w:val="MDPI31text"/>
              <w:spacing w:before="40"/>
              <w:ind w:left="0" w:firstLine="0"/>
              <w:rPr>
                <w:rFonts w:asciiTheme="majorBidi" w:hAnsiTheme="majorBidi" w:cstheme="majorBidi"/>
                <w:i/>
                <w:iCs/>
              </w:rPr>
            </w:pPr>
            <w:r w:rsidRPr="00811990">
              <w:rPr>
                <w:rFonts w:asciiTheme="majorBidi" w:hAnsiTheme="majorBidi" w:cstheme="majorBidi"/>
                <w:i/>
                <w:iCs/>
              </w:rPr>
              <w:t>Data Products</w:t>
            </w:r>
          </w:p>
        </w:tc>
        <w:tc>
          <w:tcPr>
            <w:tcW w:w="1376" w:type="dxa"/>
          </w:tcPr>
          <w:p w:rsidR="00D816C7" w:rsidRPr="00811990" w:rsidRDefault="00D816C7" w:rsidP="005F7BB2">
            <w:pPr>
              <w:pStyle w:val="MDPI31text"/>
              <w:spacing w:before="40"/>
              <w:ind w:left="0" w:firstLine="0"/>
              <w:rPr>
                <w:rFonts w:asciiTheme="majorBidi" w:hAnsiTheme="majorBidi" w:cstheme="majorBidi"/>
              </w:rPr>
            </w:pPr>
          </w:p>
        </w:tc>
        <w:tc>
          <w:tcPr>
            <w:tcW w:w="1292" w:type="dxa"/>
            <w:gridSpan w:val="3"/>
          </w:tcPr>
          <w:p w:rsidR="00D816C7" w:rsidRPr="00811990" w:rsidRDefault="00D816C7" w:rsidP="005F7BB2">
            <w:pPr>
              <w:pStyle w:val="MDPI31text"/>
              <w:spacing w:before="40"/>
              <w:ind w:left="0" w:firstLine="0"/>
              <w:rPr>
                <w:rFonts w:asciiTheme="majorBidi" w:hAnsiTheme="majorBidi" w:cstheme="majorBidi"/>
              </w:rPr>
            </w:pPr>
          </w:p>
        </w:tc>
        <w:tc>
          <w:tcPr>
            <w:tcW w:w="1297" w:type="dxa"/>
            <w:gridSpan w:val="2"/>
          </w:tcPr>
          <w:p w:rsidR="00D816C7" w:rsidRPr="00811990" w:rsidRDefault="00D816C7" w:rsidP="005F7BB2">
            <w:pPr>
              <w:pStyle w:val="MDPI31text"/>
              <w:spacing w:before="40"/>
              <w:ind w:left="0" w:firstLine="0"/>
              <w:rPr>
                <w:rFonts w:asciiTheme="majorBidi" w:hAnsiTheme="majorBidi" w:cstheme="majorBidi"/>
              </w:rPr>
            </w:pP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Creator of annual composites</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EOG</w:t>
            </w:r>
          </w:p>
        </w:tc>
        <w:tc>
          <w:tcPr>
            <w:tcW w:w="1701" w:type="dxa"/>
            <w:gridSpan w:val="3"/>
          </w:tcPr>
          <w:p w:rsidR="00D816C7" w:rsidRPr="00811990" w:rsidRDefault="00D816C7" w:rsidP="005F7BB2">
            <w:pPr>
              <w:pStyle w:val="MDPI31text"/>
              <w:spacing w:before="80"/>
              <w:ind w:left="113" w:firstLine="0"/>
              <w:jc w:val="center"/>
              <w:rPr>
                <w:rFonts w:asciiTheme="majorBidi" w:hAnsiTheme="majorBidi" w:cstheme="majorBidi"/>
              </w:rPr>
            </w:pPr>
            <w:r w:rsidRPr="00811990">
              <w:rPr>
                <w:rFonts w:asciiTheme="majorBidi" w:hAnsiTheme="majorBidi" w:cstheme="majorBidi"/>
              </w:rPr>
              <w:t>EOG</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NASA</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Spatial resolution</w:t>
            </w:r>
            <w:r>
              <w:rPr>
                <w:rFonts w:asciiTheme="majorBidi" w:hAnsiTheme="majorBidi" w:cstheme="majorBidi"/>
              </w:rPr>
              <w:t xml:space="preserve"> of processed data</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30 arc second</w:t>
            </w:r>
            <w:r>
              <w:rPr>
                <w:rFonts w:asciiTheme="majorBidi" w:hAnsiTheme="majorBidi" w:cstheme="majorBidi"/>
              </w:rPr>
              <w:t xml:space="preserve"> grid</w:t>
            </w:r>
          </w:p>
        </w:tc>
        <w:tc>
          <w:tcPr>
            <w:tcW w:w="1701" w:type="dxa"/>
            <w:gridSpan w:val="3"/>
          </w:tcPr>
          <w:p w:rsidR="00D816C7" w:rsidRPr="00811990" w:rsidRDefault="00D816C7" w:rsidP="005F7BB2">
            <w:pPr>
              <w:pStyle w:val="MDPI31text"/>
              <w:spacing w:before="80"/>
              <w:ind w:left="113" w:firstLine="0"/>
              <w:jc w:val="center"/>
              <w:rPr>
                <w:rFonts w:asciiTheme="majorBidi" w:hAnsiTheme="majorBidi" w:cstheme="majorBidi"/>
              </w:rPr>
            </w:pPr>
            <w:r w:rsidRPr="00811990">
              <w:rPr>
                <w:rFonts w:asciiTheme="majorBidi" w:hAnsiTheme="majorBidi" w:cstheme="majorBidi"/>
              </w:rPr>
              <w:t>15 arc second</w:t>
            </w:r>
            <w:r>
              <w:rPr>
                <w:rFonts w:asciiTheme="majorBidi" w:hAnsiTheme="majorBidi" w:cstheme="majorBidi"/>
              </w:rPr>
              <w:t xml:space="preserve"> grid</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15 arc second</w:t>
            </w:r>
            <w:r>
              <w:rPr>
                <w:rFonts w:asciiTheme="majorBidi" w:hAnsiTheme="majorBidi" w:cstheme="majorBidi"/>
              </w:rPr>
              <w:t xml:space="preserve"> grid</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Pr>
                <w:rFonts w:asciiTheme="majorBidi" w:hAnsiTheme="majorBidi" w:cstheme="majorBidi"/>
              </w:rPr>
              <w:t>Quantization</w:t>
            </w:r>
          </w:p>
        </w:tc>
        <w:tc>
          <w:tcPr>
            <w:tcW w:w="1701" w:type="dxa"/>
            <w:gridSpan w:val="2"/>
          </w:tcPr>
          <w:p w:rsidR="00D816C7" w:rsidRPr="005A1769" w:rsidRDefault="00D816C7" w:rsidP="005F7BB2">
            <w:pPr>
              <w:pStyle w:val="MDPI31text"/>
              <w:spacing w:before="80"/>
              <w:ind w:left="0" w:firstLine="0"/>
              <w:jc w:val="center"/>
              <w:rPr>
                <w:rFonts w:asciiTheme="majorBidi" w:hAnsiTheme="majorBidi" w:cstheme="majorBidi"/>
              </w:rPr>
            </w:pPr>
            <w:r>
              <w:rPr>
                <w:rFonts w:asciiTheme="majorBidi" w:hAnsiTheme="majorBidi" w:cstheme="majorBidi"/>
              </w:rPr>
              <w:t>6-bit (</w:t>
            </w:r>
            <w:r>
              <w:rPr>
                <w:rFonts w:asciiTheme="majorBidi" w:hAnsiTheme="majorBidi" w:cstheme="majorBidi"/>
                <w:i/>
                <w:iCs/>
              </w:rPr>
              <w:t>n</w:t>
            </w:r>
            <w:r>
              <w:rPr>
                <w:rFonts w:asciiTheme="majorBidi" w:hAnsiTheme="majorBidi" w:cstheme="majorBidi"/>
              </w:rPr>
              <w:t>=64)</w:t>
            </w:r>
          </w:p>
        </w:tc>
        <w:tc>
          <w:tcPr>
            <w:tcW w:w="1701" w:type="dxa"/>
            <w:gridSpan w:val="3"/>
          </w:tcPr>
          <w:p w:rsidR="00D816C7" w:rsidRPr="005A1769" w:rsidRDefault="00D816C7" w:rsidP="005F7BB2">
            <w:pPr>
              <w:pStyle w:val="MDPI31text"/>
              <w:spacing w:before="80"/>
              <w:ind w:left="113" w:firstLine="0"/>
              <w:jc w:val="center"/>
              <w:rPr>
                <w:rFonts w:asciiTheme="majorBidi" w:hAnsiTheme="majorBidi" w:cstheme="majorBidi"/>
              </w:rPr>
            </w:pPr>
            <w:r>
              <w:rPr>
                <w:rFonts w:asciiTheme="majorBidi" w:hAnsiTheme="majorBidi" w:cstheme="majorBidi"/>
              </w:rPr>
              <w:t xml:space="preserve">14 </w:t>
            </w:r>
            <w:proofErr w:type="gramStart"/>
            <w:r>
              <w:rPr>
                <w:rFonts w:asciiTheme="majorBidi" w:hAnsiTheme="majorBidi" w:cstheme="majorBidi"/>
              </w:rPr>
              <w:t>bit</w:t>
            </w:r>
            <w:proofErr w:type="gramEnd"/>
            <w:r>
              <w:rPr>
                <w:rFonts w:asciiTheme="majorBidi" w:hAnsiTheme="majorBidi" w:cstheme="majorBidi"/>
              </w:rPr>
              <w:t xml:space="preserve"> (</w:t>
            </w:r>
            <w:r>
              <w:rPr>
                <w:rFonts w:asciiTheme="majorBidi" w:hAnsiTheme="majorBidi" w:cstheme="majorBidi"/>
                <w:i/>
                <w:iCs/>
              </w:rPr>
              <w:t>n</w:t>
            </w:r>
            <w:r>
              <w:rPr>
                <w:rFonts w:asciiTheme="majorBidi" w:hAnsiTheme="majorBidi" w:cstheme="majorBidi"/>
              </w:rPr>
              <w:t>=16,384)</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Pr>
                <w:rFonts w:asciiTheme="majorBidi" w:hAnsiTheme="majorBidi" w:cstheme="majorBidi"/>
              </w:rPr>
              <w:t xml:space="preserve">16 </w:t>
            </w:r>
            <w:proofErr w:type="gramStart"/>
            <w:r>
              <w:rPr>
                <w:rFonts w:asciiTheme="majorBidi" w:hAnsiTheme="majorBidi" w:cstheme="majorBidi"/>
              </w:rPr>
              <w:t>bit</w:t>
            </w:r>
            <w:proofErr w:type="gramEnd"/>
            <w:r>
              <w:rPr>
                <w:rFonts w:asciiTheme="majorBidi" w:hAnsiTheme="majorBidi" w:cstheme="majorBidi"/>
              </w:rPr>
              <w:t xml:space="preserve"> (</w:t>
            </w:r>
            <w:r>
              <w:rPr>
                <w:rFonts w:asciiTheme="majorBidi" w:hAnsiTheme="majorBidi" w:cstheme="majorBidi"/>
                <w:i/>
                <w:iCs/>
              </w:rPr>
              <w:t>n</w:t>
            </w:r>
            <w:r>
              <w:rPr>
                <w:rFonts w:asciiTheme="majorBidi" w:hAnsiTheme="majorBidi" w:cstheme="majorBidi"/>
              </w:rPr>
              <w:t>=65,536)</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Masking of ephemeral light sources</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No</w:t>
            </w:r>
          </w:p>
        </w:tc>
        <w:tc>
          <w:tcPr>
            <w:tcW w:w="1701" w:type="dxa"/>
            <w:gridSpan w:val="3"/>
          </w:tcPr>
          <w:p w:rsidR="00D816C7" w:rsidRPr="00811990" w:rsidRDefault="00D816C7" w:rsidP="005F7BB2">
            <w:pPr>
              <w:pStyle w:val="MDPI31text"/>
              <w:spacing w:before="80"/>
              <w:ind w:left="113" w:firstLine="0"/>
              <w:jc w:val="center"/>
              <w:rPr>
                <w:rFonts w:asciiTheme="majorBidi" w:hAnsiTheme="majorBidi" w:cstheme="majorBidi"/>
              </w:rPr>
            </w:pPr>
            <w:r w:rsidRPr="00811990">
              <w:rPr>
                <w:rFonts w:asciiTheme="majorBidi" w:hAnsiTheme="majorBidi" w:cstheme="majorBidi"/>
              </w:rPr>
              <w:t>Yes</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Yes</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Stray-light correction</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No</w:t>
            </w:r>
          </w:p>
        </w:tc>
        <w:tc>
          <w:tcPr>
            <w:tcW w:w="1701" w:type="dxa"/>
            <w:gridSpan w:val="3"/>
          </w:tcPr>
          <w:p w:rsidR="00D816C7" w:rsidRPr="00811990" w:rsidRDefault="00D816C7" w:rsidP="005F7BB2">
            <w:pPr>
              <w:pStyle w:val="MDPI31text"/>
              <w:spacing w:before="80"/>
              <w:ind w:left="113" w:firstLine="0"/>
              <w:jc w:val="center"/>
              <w:rPr>
                <w:rFonts w:asciiTheme="majorBidi" w:hAnsiTheme="majorBidi" w:cstheme="majorBidi"/>
              </w:rPr>
            </w:pPr>
            <w:r w:rsidRPr="00811990">
              <w:rPr>
                <w:rFonts w:asciiTheme="majorBidi" w:hAnsiTheme="majorBidi" w:cstheme="majorBidi"/>
              </w:rPr>
              <w:t>Yes, from 2014</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Yes</w:t>
            </w:r>
          </w:p>
        </w:tc>
      </w:tr>
      <w:tr w:rsidR="00D816C7" w:rsidRPr="00811990" w:rsidTr="005F7BB2">
        <w:tc>
          <w:tcPr>
            <w:tcW w:w="3912" w:type="dxa"/>
          </w:tcPr>
          <w:p w:rsidR="00D816C7" w:rsidRPr="00811990" w:rsidRDefault="00D816C7" w:rsidP="005F7BB2">
            <w:pPr>
              <w:pStyle w:val="MDPI31text"/>
              <w:spacing w:before="80"/>
              <w:ind w:left="0" w:firstLine="0"/>
              <w:rPr>
                <w:rFonts w:asciiTheme="majorBidi" w:hAnsiTheme="majorBidi" w:cstheme="majorBidi"/>
              </w:rPr>
            </w:pPr>
            <w:r w:rsidRPr="00811990">
              <w:rPr>
                <w:rFonts w:asciiTheme="majorBidi" w:hAnsiTheme="majorBidi" w:cstheme="majorBidi"/>
              </w:rPr>
              <w:t>User control over angle of detection</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No</w:t>
            </w:r>
          </w:p>
        </w:tc>
        <w:tc>
          <w:tcPr>
            <w:tcW w:w="1701" w:type="dxa"/>
            <w:gridSpan w:val="3"/>
          </w:tcPr>
          <w:p w:rsidR="00D816C7" w:rsidRPr="00811990" w:rsidRDefault="00D816C7" w:rsidP="005F7BB2">
            <w:pPr>
              <w:pStyle w:val="MDPI31text"/>
              <w:spacing w:before="80"/>
              <w:ind w:left="113" w:firstLine="0"/>
              <w:jc w:val="center"/>
              <w:rPr>
                <w:rFonts w:asciiTheme="majorBidi" w:hAnsiTheme="majorBidi" w:cstheme="majorBidi"/>
              </w:rPr>
            </w:pPr>
            <w:r w:rsidRPr="00811990">
              <w:rPr>
                <w:rFonts w:asciiTheme="majorBidi" w:hAnsiTheme="majorBidi" w:cstheme="majorBidi"/>
              </w:rPr>
              <w:t>No</w:t>
            </w:r>
          </w:p>
        </w:tc>
        <w:tc>
          <w:tcPr>
            <w:tcW w:w="1701" w:type="dxa"/>
            <w:gridSpan w:val="2"/>
          </w:tcPr>
          <w:p w:rsidR="00D816C7" w:rsidRPr="00811990" w:rsidRDefault="00D816C7" w:rsidP="005F7BB2">
            <w:pPr>
              <w:pStyle w:val="MDPI31text"/>
              <w:spacing w:before="80"/>
              <w:ind w:left="0" w:firstLine="0"/>
              <w:jc w:val="center"/>
              <w:rPr>
                <w:rFonts w:asciiTheme="majorBidi" w:hAnsiTheme="majorBidi" w:cstheme="majorBidi"/>
              </w:rPr>
            </w:pPr>
            <w:r w:rsidRPr="00811990">
              <w:rPr>
                <w:rFonts w:asciiTheme="majorBidi" w:hAnsiTheme="majorBidi" w:cstheme="majorBidi"/>
              </w:rPr>
              <w:t>Yes</w:t>
            </w:r>
          </w:p>
        </w:tc>
      </w:tr>
      <w:tr w:rsidR="00D816C7" w:rsidRPr="00811990" w:rsidTr="005F7BB2">
        <w:tc>
          <w:tcPr>
            <w:tcW w:w="9014" w:type="dxa"/>
            <w:gridSpan w:val="8"/>
            <w:tcBorders>
              <w:top w:val="single" w:sz="4" w:space="0" w:color="auto"/>
            </w:tcBorders>
          </w:tcPr>
          <w:p w:rsidR="00D816C7" w:rsidRPr="00811990" w:rsidRDefault="00D816C7" w:rsidP="005F7BB2">
            <w:pPr>
              <w:pStyle w:val="MDPI31text"/>
              <w:spacing w:before="20"/>
              <w:ind w:left="0" w:firstLine="0"/>
              <w:rPr>
                <w:rFonts w:asciiTheme="majorBidi" w:hAnsiTheme="majorBidi" w:cstheme="majorBidi"/>
                <w:sz w:val="18"/>
                <w:szCs w:val="21"/>
              </w:rPr>
            </w:pPr>
            <w:r w:rsidRPr="00811990">
              <w:rPr>
                <w:rFonts w:asciiTheme="majorBidi" w:hAnsiTheme="majorBidi" w:cstheme="majorBidi"/>
                <w:sz w:val="18"/>
                <w:szCs w:val="21"/>
              </w:rPr>
              <w:t>Note: DoD is Department of Defense, EOG is Earth Observation Group</w:t>
            </w:r>
          </w:p>
        </w:tc>
      </w:tr>
    </w:tbl>
    <w:p w:rsidR="00D816C7" w:rsidRPr="00D816C7" w:rsidRDefault="00D816C7" w:rsidP="00D816C7">
      <w:pPr>
        <w:widowControl w:val="0"/>
        <w:spacing w:after="60" w:line="288" w:lineRule="auto"/>
        <w:jc w:val="center"/>
        <w:rPr>
          <w:rFonts w:asciiTheme="majorBidi" w:hAnsiTheme="majorBidi" w:cstheme="majorBidi"/>
          <w:bCs/>
        </w:rPr>
      </w:pPr>
      <w:r>
        <w:rPr>
          <w:rFonts w:asciiTheme="majorBidi" w:hAnsiTheme="majorBidi" w:cstheme="majorBidi"/>
          <w:bCs/>
        </w:rPr>
        <w:t>Table 1: Attributes of DMSP and other night-time lights data sources</w:t>
      </w:r>
    </w:p>
    <w:p w:rsidR="00D816C7" w:rsidRPr="00D816C7" w:rsidRDefault="00D816C7" w:rsidP="00D816C7">
      <w:pPr>
        <w:widowControl w:val="0"/>
        <w:spacing w:after="60" w:line="288" w:lineRule="auto"/>
        <w:jc w:val="both"/>
        <w:rPr>
          <w:rFonts w:asciiTheme="majorBidi" w:hAnsiTheme="majorBidi" w:cstheme="majorBidi"/>
          <w:bCs/>
          <w:sz w:val="12"/>
          <w:szCs w:val="12"/>
        </w:rPr>
      </w:pPr>
    </w:p>
    <w:p w:rsidR="009F6B87" w:rsidRPr="009F6B87" w:rsidRDefault="009F6B87" w:rsidP="00600A73">
      <w:pPr>
        <w:widowControl w:val="0"/>
        <w:spacing w:after="60" w:line="288" w:lineRule="auto"/>
        <w:ind w:firstLine="720"/>
        <w:jc w:val="both"/>
        <w:rPr>
          <w:rFonts w:asciiTheme="majorBidi" w:hAnsiTheme="majorBidi" w:cstheme="majorBidi"/>
          <w:bCs/>
          <w:lang w:val="en-US"/>
        </w:rPr>
      </w:pPr>
      <w:r w:rsidRPr="009F6B87">
        <w:rPr>
          <w:rFonts w:asciiTheme="majorBidi" w:hAnsiTheme="majorBidi" w:cstheme="majorBidi"/>
          <w:bCs/>
          <w:lang w:val="en-US"/>
        </w:rPr>
        <w:t>The second source of mean-reverting error in DMSP data is top-coding, due to two factors. First, DMSP was developed to measure clouds rather than to measure lights on earth, and unrecorded sensor amplification occurs during the dark part of the lunar cycle when the cloud-tops are no longer visible in raw moonlight (Hsu et al, 2015). Given that the sensor has only a low dynamic range, when amplification is increased the images for brightly lit parts of the earth, such as central business districts, are saturated with light. Second, pixel aggregation to save memory sees the original 8-bit values divided by four and top-censored at 63, to give the widely used 6-bit DN (digital number). Top-coding shows up in anomalous patterns, such as key infrastructure like Heathrow airport (the most brightly lit feature in England) seeming to be no brighter than the surrounding area (Gibson, 2021) and city centers seeming to be no brighter than lower density suburbs (Bluhm and Krause, 2022).</w:t>
      </w:r>
    </w:p>
    <w:p w:rsidR="009F6B87" w:rsidRPr="009F6B87" w:rsidRDefault="009F6B87" w:rsidP="00D816C7">
      <w:pPr>
        <w:spacing w:after="60" w:line="288" w:lineRule="auto"/>
        <w:ind w:firstLine="720"/>
        <w:jc w:val="both"/>
        <w:rPr>
          <w:rFonts w:asciiTheme="majorBidi" w:hAnsiTheme="majorBidi" w:cstheme="majorBidi"/>
          <w:bCs/>
          <w:lang w:val="en-US"/>
        </w:rPr>
      </w:pPr>
      <w:r w:rsidRPr="009F6B87">
        <w:rPr>
          <w:rFonts w:asciiTheme="majorBidi" w:hAnsiTheme="majorBidi" w:cstheme="majorBidi"/>
          <w:bCs/>
          <w:lang w:val="en-US"/>
        </w:rPr>
        <w:lastRenderedPageBreak/>
        <w:t xml:space="preserve">In contrast to DMSP, nightly images used by the VNL and BM data are not subject to saturation so there is no top-coding problem with these data. The sensors for these newer data sources have far wider dynamic range, covering seven orders of magnitude of radiance (while DMSP only covers two orders of magnitude) so they can simultaneously observe dimly and bright lit areas. Moreover, when the signal is quantized it is with 14-bit resolution (VNL) or 16-bit resolution (BM), providing up to 65,536 different values as opposed to the </w:t>
      </w:r>
      <w:proofErr w:type="gramStart"/>
      <w:r w:rsidRPr="009F6B87">
        <w:rPr>
          <w:rFonts w:asciiTheme="majorBidi" w:hAnsiTheme="majorBidi" w:cstheme="majorBidi"/>
          <w:bCs/>
          <w:lang w:val="en-US"/>
        </w:rPr>
        <w:t>coarse</w:t>
      </w:r>
      <w:proofErr w:type="gramEnd"/>
      <w:r w:rsidRPr="009F6B87">
        <w:rPr>
          <w:rFonts w:asciiTheme="majorBidi" w:hAnsiTheme="majorBidi" w:cstheme="majorBidi"/>
          <w:bCs/>
          <w:lang w:val="en-US"/>
        </w:rPr>
        <w:t xml:space="preserve"> 6-bit resolution of DMSP data with only 64 possible values (Table 1). The VNL and BM data also have inbuilt masking of ephemeral light sources and correction for stray lights (such as from solar glare in long summer evenings) and users have some control over the angle of detection by restricting attention to either near-nadir or off-nadir pixels (BM only).</w:t>
      </w:r>
    </w:p>
    <w:p w:rsidR="009F6B87" w:rsidRPr="009F6B87" w:rsidRDefault="009F6B87" w:rsidP="00600A73">
      <w:pPr>
        <w:widowControl w:val="0"/>
        <w:spacing w:after="60" w:line="288" w:lineRule="auto"/>
        <w:ind w:firstLine="720"/>
        <w:jc w:val="both"/>
        <w:rPr>
          <w:rFonts w:asciiTheme="majorBidi" w:hAnsiTheme="majorBidi" w:cstheme="majorBidi"/>
          <w:bCs/>
        </w:rPr>
      </w:pPr>
      <w:r w:rsidRPr="009F6B87">
        <w:rPr>
          <w:rFonts w:asciiTheme="majorBidi" w:hAnsiTheme="majorBidi" w:cstheme="majorBidi"/>
          <w:bCs/>
          <w:lang w:val="en-US"/>
        </w:rPr>
        <w:t>The improved quality of VNL and BM data, versus the relatively crude DMSP data, shows up when formal tests for mean-reverting error are conducted. The econometric basis for these tests (Black et al, 2000; Gibson and Kim, 2010) relates observed values of a variable of interest,</w:t>
      </w:r>
      <w:r w:rsidRPr="009F6B87">
        <w:rPr>
          <w:rFonts w:asciiTheme="majorBidi" w:hAnsiTheme="majorBidi" w:cstheme="majorBidi"/>
          <w:bCs/>
        </w:rPr>
        <w:t xml:space="preserve"> </w:t>
      </w:r>
      <m:oMath>
        <m:sSup>
          <m:sSupPr>
            <m:ctrlPr>
              <w:rPr>
                <w:rFonts w:ascii="Cambria Math" w:hAnsi="Cambria Math" w:cstheme="majorBidi"/>
                <w:bCs/>
                <w:i/>
              </w:rPr>
            </m:ctrlPr>
          </m:sSupPr>
          <m:e>
            <m:r>
              <w:rPr>
                <w:rFonts w:ascii="Cambria Math" w:hAnsi="Cambria Math" w:cstheme="majorBidi"/>
              </w:rPr>
              <m:t>y</m:t>
            </m:r>
          </m:e>
          <m:sup>
            <m:r>
              <w:rPr>
                <w:rFonts w:ascii="Cambria Math" w:hAnsi="Cambria Math" w:cstheme="majorBidi"/>
              </w:rPr>
              <m:t>*</m:t>
            </m:r>
          </m:sup>
        </m:sSup>
      </m:oMath>
      <w:r w:rsidRPr="009F6B87">
        <w:rPr>
          <w:rFonts w:asciiTheme="majorBidi" w:hAnsiTheme="majorBidi" w:cstheme="majorBidi"/>
          <w:bCs/>
        </w:rPr>
        <w:t xml:space="preserve"> to the presumed true values, </w:t>
      </w:r>
      <m:oMath>
        <m:r>
          <w:rPr>
            <w:rFonts w:ascii="Cambria Math" w:hAnsi="Cambria Math" w:cstheme="majorBidi"/>
          </w:rPr>
          <m:t>y</m:t>
        </m:r>
      </m:oMath>
      <w:r w:rsidRPr="009F6B87">
        <w:rPr>
          <w:rFonts w:asciiTheme="majorBidi" w:hAnsiTheme="majorBidi" w:cstheme="majorBidi"/>
          <w:bCs/>
        </w:rPr>
        <w:t xml:space="preserve"> by: </w:t>
      </w:r>
    </w:p>
    <w:p w:rsidR="009F6B87" w:rsidRPr="009F6B87" w:rsidRDefault="00DA69C8" w:rsidP="00600A73">
      <w:pPr>
        <w:widowControl w:val="0"/>
        <w:spacing w:after="60" w:line="288" w:lineRule="auto"/>
        <w:jc w:val="right"/>
        <w:rPr>
          <w:rFonts w:asciiTheme="majorBidi" w:hAnsiTheme="majorBidi" w:cstheme="majorBidi"/>
          <w:bCs/>
        </w:rPr>
      </w:pPr>
      <m:oMath>
        <m:sSup>
          <m:sSupPr>
            <m:ctrlPr>
              <w:rPr>
                <w:rFonts w:ascii="Cambria Math" w:hAnsi="Cambria Math" w:cstheme="majorBidi"/>
                <w:bCs/>
              </w:rPr>
            </m:ctrlPr>
          </m:sSupPr>
          <m:e>
            <m:r>
              <w:rPr>
                <w:rFonts w:ascii="Cambria Math" w:hAnsi="Cambria Math" w:cstheme="majorBidi"/>
              </w:rPr>
              <m:t>y</m:t>
            </m:r>
          </m:e>
          <m:sup>
            <m:r>
              <w:rPr>
                <w:rFonts w:ascii="Cambria Math" w:hAnsi="Cambria Math" w:cstheme="majorBidi"/>
              </w:rPr>
              <m:t>*</m:t>
            </m:r>
          </m:sup>
        </m:sSup>
        <m:r>
          <w:rPr>
            <w:rFonts w:ascii="Cambria Math" w:hAnsi="Cambria Math" w:cstheme="majorBidi"/>
          </w:rPr>
          <m:t>=θ+</m:t>
        </m:r>
        <m:r>
          <m:rPr>
            <m:sty m:val="p"/>
          </m:rPr>
          <w:rPr>
            <w:rFonts w:ascii="Cambria Math" w:hAnsi="Cambria Math" w:cstheme="majorBidi"/>
          </w:rPr>
          <m:t>λy</m:t>
        </m:r>
        <m:r>
          <w:rPr>
            <w:rFonts w:ascii="Cambria Math" w:hAnsi="Cambria Math" w:cstheme="majorBidi"/>
          </w:rPr>
          <m:t>+v</m:t>
        </m:r>
      </m:oMath>
      <w:r w:rsidR="009F6B87" w:rsidRPr="009F6B87">
        <w:rPr>
          <w:rFonts w:asciiTheme="majorBidi" w:hAnsiTheme="majorBidi" w:cstheme="majorBidi"/>
          <w:bCs/>
        </w:rPr>
        <w:t xml:space="preserve">     </w:t>
      </w:r>
      <w:r w:rsidR="009F6B87" w:rsidRPr="009F6B87">
        <w:rPr>
          <w:rFonts w:asciiTheme="majorBidi" w:hAnsiTheme="majorBidi" w:cstheme="majorBidi"/>
          <w:bCs/>
        </w:rPr>
        <w:tab/>
      </w:r>
      <w:r w:rsidR="009F6B87" w:rsidRPr="009F6B87">
        <w:rPr>
          <w:rFonts w:asciiTheme="majorBidi" w:hAnsiTheme="majorBidi" w:cstheme="majorBidi"/>
          <w:bCs/>
        </w:rPr>
        <w:tab/>
      </w:r>
      <w:r w:rsidR="009F6B87" w:rsidRPr="009F6B87">
        <w:rPr>
          <w:rFonts w:asciiTheme="majorBidi" w:hAnsiTheme="majorBidi" w:cstheme="majorBidi"/>
          <w:bCs/>
        </w:rPr>
        <w:tab/>
      </w:r>
      <w:r w:rsidR="009F6B87" w:rsidRPr="009F6B87">
        <w:rPr>
          <w:rFonts w:asciiTheme="majorBidi" w:hAnsiTheme="majorBidi" w:cstheme="majorBidi"/>
          <w:bCs/>
        </w:rPr>
        <w:tab/>
        <w:t xml:space="preserve">             (1)</w:t>
      </w:r>
    </w:p>
    <w:p w:rsidR="009F6B87" w:rsidRPr="009F6B87" w:rsidRDefault="009F6B87" w:rsidP="00600A73">
      <w:pPr>
        <w:widowControl w:val="0"/>
        <w:spacing w:after="60" w:line="288" w:lineRule="auto"/>
        <w:jc w:val="both"/>
        <w:rPr>
          <w:rFonts w:asciiTheme="majorBidi" w:hAnsiTheme="majorBidi" w:cstheme="majorBidi"/>
          <w:bCs/>
        </w:rPr>
      </w:pPr>
      <w:r w:rsidRPr="009F6B87">
        <w:rPr>
          <w:rFonts w:asciiTheme="majorBidi" w:hAnsiTheme="majorBidi" w:cstheme="majorBidi"/>
          <w:bCs/>
        </w:rPr>
        <w:t xml:space="preserve">Textbook classical measurement error assumes </w:t>
      </w:r>
      <m:oMath>
        <m:r>
          <w:rPr>
            <w:rFonts w:ascii="Cambria Math" w:hAnsi="Cambria Math" w:cstheme="majorBidi"/>
          </w:rPr>
          <m:t xml:space="preserve">θ=0, </m:t>
        </m:r>
        <m:r>
          <m:rPr>
            <m:sty m:val="p"/>
          </m:rPr>
          <w:rPr>
            <w:rFonts w:ascii="Cambria Math" w:hAnsi="Cambria Math" w:cstheme="majorBidi"/>
          </w:rPr>
          <m:t>λ=1</m:t>
        </m:r>
      </m:oMath>
      <w:r w:rsidRPr="009F6B87">
        <w:rPr>
          <w:rFonts w:asciiTheme="majorBidi" w:hAnsiTheme="majorBidi" w:cstheme="majorBidi"/>
          <w:bCs/>
        </w:rPr>
        <w:t xml:space="preserve"> and </w:t>
      </w:r>
      <m:oMath>
        <m:r>
          <w:rPr>
            <w:rFonts w:ascii="Cambria Math" w:hAnsi="Cambria Math" w:cstheme="majorBidi"/>
          </w:rPr>
          <m:t>E</m:t>
        </m:r>
        <m:d>
          <m:dPr>
            <m:ctrlPr>
              <w:rPr>
                <w:rFonts w:ascii="Cambria Math" w:hAnsi="Cambria Math" w:cstheme="majorBidi"/>
                <w:bCs/>
                <w:i/>
              </w:rPr>
            </m:ctrlPr>
          </m:dPr>
          <m:e>
            <m:r>
              <w:rPr>
                <w:rFonts w:ascii="Cambria Math" w:hAnsi="Cambria Math" w:cstheme="majorBidi"/>
              </w:rPr>
              <m:t>v</m:t>
            </m:r>
          </m:e>
        </m:d>
        <m:r>
          <w:rPr>
            <w:rFonts w:ascii="Cambria Math" w:hAnsi="Cambria Math" w:cstheme="majorBidi"/>
          </w:rPr>
          <m:t>=cov</m:t>
        </m:r>
        <m:d>
          <m:dPr>
            <m:ctrlPr>
              <w:rPr>
                <w:rFonts w:ascii="Cambria Math" w:hAnsi="Cambria Math" w:cstheme="majorBidi"/>
                <w:bCs/>
                <w:i/>
              </w:rPr>
            </m:ctrlPr>
          </m:dPr>
          <m:e>
            <m:r>
              <w:rPr>
                <w:rFonts w:ascii="Cambria Math" w:hAnsi="Cambria Math" w:cstheme="majorBidi"/>
              </w:rPr>
              <m:t>y,v</m:t>
            </m:r>
          </m:e>
        </m:d>
        <m:r>
          <w:rPr>
            <w:rFonts w:ascii="Cambria Math" w:hAnsi="Cambria Math" w:cstheme="majorBidi"/>
          </w:rPr>
          <m:t>=0,</m:t>
        </m:r>
      </m:oMath>
      <w:r w:rsidRPr="009F6B87">
        <w:rPr>
          <w:rFonts w:asciiTheme="majorBidi" w:hAnsiTheme="majorBidi" w:cstheme="majorBidi"/>
          <w:bCs/>
        </w:rPr>
        <w:t xml:space="preserve"> so that just white noise is added to the true value. In contrast, if the measurement errors are mean-reverting, </w:t>
      </w:r>
      <m:oMath>
        <m:r>
          <w:rPr>
            <w:rFonts w:ascii="Cambria Math" w:hAnsi="Cambria Math" w:cstheme="majorBidi"/>
          </w:rPr>
          <m:t>0&lt;</m:t>
        </m:r>
        <m:r>
          <m:rPr>
            <m:sty m:val="p"/>
          </m:rPr>
          <w:rPr>
            <w:rFonts w:ascii="Cambria Math" w:hAnsi="Cambria Math" w:cstheme="majorBidi"/>
          </w:rPr>
          <m:t>λ&lt;1.</m:t>
        </m:r>
      </m:oMath>
      <w:r w:rsidRPr="009F6B87">
        <w:rPr>
          <w:rFonts w:asciiTheme="majorBidi" w:hAnsiTheme="majorBidi" w:cstheme="majorBidi"/>
          <w:bCs/>
        </w:rPr>
        <w:t xml:space="preserve"> </w:t>
      </w:r>
    </w:p>
    <w:p w:rsidR="009F6B87" w:rsidRPr="009F6B87" w:rsidRDefault="009F6B87" w:rsidP="00600A73">
      <w:pPr>
        <w:widowControl w:val="0"/>
        <w:spacing w:after="60" w:line="288" w:lineRule="auto"/>
        <w:ind w:firstLine="720"/>
        <w:jc w:val="both"/>
        <w:rPr>
          <w:rFonts w:asciiTheme="majorBidi" w:hAnsiTheme="majorBidi" w:cstheme="majorBidi"/>
          <w:bCs/>
        </w:rPr>
      </w:pPr>
      <w:r w:rsidRPr="009F6B87">
        <w:rPr>
          <w:rFonts w:asciiTheme="majorBidi" w:hAnsiTheme="majorBidi" w:cstheme="majorBidi"/>
          <w:bCs/>
        </w:rPr>
        <w:t>At least three studies estimate equation (1) with DMSP data as the noisy measure and the more accurate VNL or BM data as the truer values.</w:t>
      </w:r>
      <w:r w:rsidRPr="009F6B87">
        <w:rPr>
          <w:rFonts w:asciiTheme="majorBidi" w:hAnsiTheme="majorBidi" w:cstheme="majorBidi"/>
          <w:bCs/>
          <w:vertAlign w:val="superscript"/>
        </w:rPr>
        <w:footnoteReference w:id="4"/>
      </w:r>
      <w:r w:rsidRPr="009F6B87">
        <w:rPr>
          <w:rFonts w:asciiTheme="majorBidi" w:hAnsiTheme="majorBidi" w:cstheme="majorBidi"/>
          <w:bCs/>
        </w:rPr>
        <w:t xml:space="preserve"> With pixel-level data for urban areas (mostly in developing countries), </w:t>
      </w:r>
      <w:proofErr w:type="spellStart"/>
      <w:r w:rsidRPr="009F6B87">
        <w:rPr>
          <w:rFonts w:asciiTheme="majorBidi" w:hAnsiTheme="majorBidi" w:cstheme="majorBidi"/>
          <w:bCs/>
        </w:rPr>
        <w:t>Alimi</w:t>
      </w:r>
      <w:proofErr w:type="spellEnd"/>
      <w:r w:rsidRPr="009F6B87">
        <w:rPr>
          <w:rFonts w:asciiTheme="majorBidi" w:hAnsiTheme="majorBidi" w:cstheme="majorBidi"/>
          <w:bCs/>
        </w:rPr>
        <w:t xml:space="preserve"> et al (2022) estimate </w:t>
      </w:r>
      <m:oMath>
        <m:acc>
          <m:accPr>
            <m:ctrlPr>
              <w:rPr>
                <w:rFonts w:ascii="Cambria Math" w:hAnsi="Cambria Math" w:cstheme="majorBidi"/>
                <w:bCs/>
                <w:i/>
              </w:rPr>
            </m:ctrlPr>
          </m:accPr>
          <m:e>
            <m:r>
              <m:rPr>
                <m:sty m:val="p"/>
              </m:rPr>
              <w:rPr>
                <w:rFonts w:ascii="Cambria Math" w:hAnsi="Cambria Math" w:cstheme="majorBidi"/>
              </w:rPr>
              <m:t>λ</m:t>
            </m:r>
          </m:e>
        </m:acc>
        <m:r>
          <w:rPr>
            <w:rFonts w:ascii="Cambria Math" w:hAnsi="Cambria Math" w:cstheme="majorBidi"/>
          </w:rPr>
          <m:t>=0.3.</m:t>
        </m:r>
      </m:oMath>
      <w:r w:rsidRPr="009F6B87">
        <w:rPr>
          <w:rFonts w:asciiTheme="majorBidi" w:hAnsiTheme="majorBidi" w:cstheme="majorBidi"/>
          <w:bCs/>
        </w:rPr>
        <w:t xml:space="preserve"> A higher estimate, of </w:t>
      </w:r>
      <m:oMath>
        <m:acc>
          <m:accPr>
            <m:ctrlPr>
              <w:rPr>
                <w:rFonts w:ascii="Cambria Math" w:hAnsi="Cambria Math" w:cstheme="majorBidi"/>
                <w:bCs/>
                <w:i/>
              </w:rPr>
            </m:ctrlPr>
          </m:accPr>
          <m:e>
            <m:r>
              <m:rPr>
                <m:sty m:val="p"/>
              </m:rPr>
              <w:rPr>
                <w:rFonts w:ascii="Cambria Math" w:hAnsi="Cambria Math" w:cstheme="majorBidi"/>
              </w:rPr>
              <m:t>λ</m:t>
            </m:r>
          </m:e>
        </m:acc>
        <m:r>
          <w:rPr>
            <w:rFonts w:ascii="Cambria Math" w:hAnsi="Cambria Math" w:cstheme="majorBidi"/>
          </w:rPr>
          <m:t>=0.7,</m:t>
        </m:r>
      </m:oMath>
      <w:r w:rsidRPr="009F6B87">
        <w:rPr>
          <w:rFonts w:asciiTheme="majorBidi" w:hAnsiTheme="majorBidi" w:cstheme="majorBidi"/>
          <w:bCs/>
        </w:rPr>
        <w:t xml:space="preserve"> comes from regional data for Europe at the NUTS2 level (Gibson, 2021) which is typically the provincial level (or groups of counties in some countries). Kim et al (2022) use the second sub-national level for North Korea (which is counties in rural areas and districts in urban areas) and get </w:t>
      </w:r>
      <m:oMath>
        <m:acc>
          <m:accPr>
            <m:ctrlPr>
              <w:rPr>
                <w:rFonts w:ascii="Cambria Math" w:hAnsi="Cambria Math" w:cstheme="majorBidi"/>
                <w:bCs/>
                <w:i/>
              </w:rPr>
            </m:ctrlPr>
          </m:accPr>
          <m:e>
            <m:r>
              <m:rPr>
                <m:sty m:val="p"/>
              </m:rPr>
              <w:rPr>
                <w:rFonts w:ascii="Cambria Math" w:hAnsi="Cambria Math" w:cstheme="majorBidi"/>
              </w:rPr>
              <m:t>λ</m:t>
            </m:r>
          </m:e>
        </m:acc>
        <m:r>
          <w:rPr>
            <w:rFonts w:ascii="Cambria Math" w:hAnsi="Cambria Math" w:cstheme="majorBidi"/>
          </w:rPr>
          <m:t>=0.4.</m:t>
        </m:r>
      </m:oMath>
      <w:r w:rsidRPr="009F6B87">
        <w:rPr>
          <w:rFonts w:asciiTheme="majorBidi" w:hAnsiTheme="majorBidi" w:cstheme="majorBidi"/>
          <w:bCs/>
        </w:rPr>
        <w:t xml:space="preserve"> Although three studies </w:t>
      </w:r>
      <w:proofErr w:type="gramStart"/>
      <w:r w:rsidRPr="009F6B87">
        <w:rPr>
          <w:rFonts w:asciiTheme="majorBidi" w:hAnsiTheme="majorBidi" w:cstheme="majorBidi"/>
          <w:bCs/>
        </w:rPr>
        <w:t>is</w:t>
      </w:r>
      <w:proofErr w:type="gramEnd"/>
      <w:r w:rsidRPr="009F6B87">
        <w:rPr>
          <w:rFonts w:asciiTheme="majorBidi" w:hAnsiTheme="majorBidi" w:cstheme="majorBidi"/>
          <w:bCs/>
        </w:rPr>
        <w:t xml:space="preserve"> not much basis for extrapolation, one explanation for variation in </w:t>
      </w:r>
      <m:oMath>
        <m:acc>
          <m:accPr>
            <m:ctrlPr>
              <w:rPr>
                <w:rFonts w:ascii="Cambria Math" w:hAnsi="Cambria Math" w:cstheme="majorBidi"/>
                <w:bCs/>
                <w:i/>
              </w:rPr>
            </m:ctrlPr>
          </m:accPr>
          <m:e>
            <m:r>
              <m:rPr>
                <m:sty m:val="p"/>
              </m:rPr>
              <w:rPr>
                <w:rFonts w:ascii="Cambria Math" w:hAnsi="Cambria Math" w:cstheme="majorBidi"/>
              </w:rPr>
              <m:t>λ</m:t>
            </m:r>
          </m:e>
        </m:acc>
      </m:oMath>
      <w:r w:rsidRPr="009F6B87">
        <w:rPr>
          <w:rFonts w:asciiTheme="majorBidi" w:hAnsiTheme="majorBidi" w:cstheme="majorBidi"/>
          <w:bCs/>
        </w:rPr>
        <w:t xml:space="preserve"> is that mean reversion shows up more (as a lower </w:t>
      </w:r>
      <m:oMath>
        <m:acc>
          <m:accPr>
            <m:ctrlPr>
              <w:rPr>
                <w:rFonts w:ascii="Cambria Math" w:hAnsi="Cambria Math" w:cstheme="majorBidi"/>
                <w:bCs/>
                <w:i/>
              </w:rPr>
            </m:ctrlPr>
          </m:accPr>
          <m:e>
            <m:r>
              <m:rPr>
                <m:sty m:val="p"/>
              </m:rPr>
              <w:rPr>
                <w:rFonts w:ascii="Cambria Math" w:hAnsi="Cambria Math" w:cstheme="majorBidi"/>
              </w:rPr>
              <m:t>λ</m:t>
            </m:r>
          </m:e>
        </m:acc>
      </m:oMath>
      <w:r w:rsidRPr="009F6B87">
        <w:rPr>
          <w:rFonts w:asciiTheme="majorBidi" w:hAnsiTheme="majorBidi" w:cstheme="majorBidi"/>
          <w:bCs/>
        </w:rPr>
        <w:t>) for smaller spatial units because the blurring has a proportionally larger effect on small spatial units.</w:t>
      </w:r>
    </w:p>
    <w:p w:rsidR="002A6915" w:rsidRPr="008A622D" w:rsidRDefault="00C933A5" w:rsidP="000A3B13">
      <w:pPr>
        <w:keepNext/>
        <w:spacing w:before="160" w:after="120" w:line="360" w:lineRule="auto"/>
        <w:rPr>
          <w:rFonts w:asciiTheme="majorBidi" w:hAnsiTheme="majorBidi" w:cstheme="majorBidi"/>
          <w:b/>
          <w:lang w:val="en-US"/>
        </w:rPr>
      </w:pPr>
      <w:r w:rsidRPr="008A622D">
        <w:rPr>
          <w:rFonts w:asciiTheme="majorBidi" w:hAnsiTheme="majorBidi" w:cstheme="majorBidi"/>
          <w:b/>
          <w:lang w:val="en-US"/>
        </w:rPr>
        <w:t>III.</w:t>
      </w:r>
      <w:r w:rsidR="0090187B" w:rsidRPr="008A622D">
        <w:rPr>
          <w:rFonts w:asciiTheme="majorBidi" w:hAnsiTheme="majorBidi" w:cstheme="majorBidi"/>
          <w:b/>
          <w:lang w:val="en-US"/>
        </w:rPr>
        <w:tab/>
      </w:r>
      <w:r w:rsidR="009F6B87">
        <w:rPr>
          <w:rFonts w:asciiTheme="majorBidi" w:hAnsiTheme="majorBidi" w:cstheme="majorBidi"/>
          <w:b/>
          <w:lang w:val="en-US"/>
        </w:rPr>
        <w:t>Visual Evidence from Wisconsin</w:t>
      </w:r>
    </w:p>
    <w:p w:rsidR="009F6B87" w:rsidRPr="009F6B87" w:rsidRDefault="00271BB7" w:rsidP="00600A73">
      <w:pPr>
        <w:widowControl w:val="0"/>
        <w:spacing w:after="60" w:line="288" w:lineRule="auto"/>
        <w:jc w:val="both"/>
        <w:rPr>
          <w:rFonts w:asciiTheme="majorBidi" w:hAnsiTheme="majorBidi" w:cstheme="majorBidi"/>
          <w:bCs/>
          <w:lang w:val="en-US"/>
        </w:rPr>
      </w:pPr>
      <w:r w:rsidRPr="008A622D">
        <w:rPr>
          <w:rFonts w:asciiTheme="majorBidi" w:hAnsiTheme="majorBidi" w:cstheme="majorBidi"/>
          <w:bCs/>
          <w:lang w:val="en-US"/>
        </w:rPr>
        <w:t xml:space="preserve">The </w:t>
      </w:r>
      <w:r w:rsidR="00600A73">
        <w:rPr>
          <w:rFonts w:asciiTheme="majorBidi" w:hAnsiTheme="majorBidi" w:cstheme="majorBidi"/>
          <w:bCs/>
          <w:lang w:val="en-US"/>
        </w:rPr>
        <w:t>m</w:t>
      </w:r>
      <w:r w:rsidR="009F6B87" w:rsidRPr="009F6B87">
        <w:rPr>
          <w:rFonts w:asciiTheme="majorBidi" w:hAnsiTheme="majorBidi" w:cstheme="majorBidi"/>
          <w:bCs/>
          <w:lang w:val="en-US"/>
        </w:rPr>
        <w:t>ean-reverting errors in the DMSP data are illustrated in Figure 1, by comparing with VNL images for Wisconsin in the United States. Wisconsin has a medium level of spatial inequality, ranking 21st of the 50 states for the Gini index of county GDP. It is useful for this illustration because it is surrounded on two sides by water and by the sparsely populated upper peninsula of Michigan, minimizing visual distraction due to light from elsewhere (the other lights shown are mainly from Chicago and Minneapolis/St Paul).</w:t>
      </w:r>
    </w:p>
    <w:p w:rsidR="00D816C7" w:rsidRDefault="00D816C7">
      <w:pPr>
        <w:rPr>
          <w:rFonts w:asciiTheme="majorBidi" w:hAnsiTheme="majorBidi" w:cstheme="majorBidi"/>
          <w:bCs/>
          <w:lang w:val="en-US"/>
        </w:rPr>
      </w:pPr>
      <w:r>
        <w:rPr>
          <w:rFonts w:asciiTheme="majorBidi" w:hAnsiTheme="majorBidi" w:cstheme="majorBidi"/>
          <w:bCs/>
          <w:lang w:val="en-US"/>
        </w:rPr>
        <w:br w:type="page"/>
      </w:r>
    </w:p>
    <w:p w:rsidR="00D816C7" w:rsidRPr="00CE53C7" w:rsidRDefault="00D816C7" w:rsidP="00D816C7">
      <w:pPr>
        <w:spacing w:after="0" w:line="240" w:lineRule="auto"/>
        <w:jc w:val="center"/>
        <w:rPr>
          <w:rFonts w:eastAsia="Times New Roman" w:cs="Arial"/>
          <w:lang w:bidi="he-IL"/>
        </w:rPr>
      </w:pPr>
      <w:r>
        <w:rPr>
          <w:rFonts w:eastAsia="Times New Roman" w:cs="Arial"/>
          <w:lang w:bidi="he-IL"/>
        </w:rPr>
        <w:lastRenderedPageBreak/>
        <w:t>Figure 1: Wisconsin at Night (Annual Composites for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816C7" w:rsidTr="005F7BB2">
        <w:tc>
          <w:tcPr>
            <w:tcW w:w="9016" w:type="dxa"/>
          </w:tcPr>
          <w:p w:rsidR="00D816C7" w:rsidRPr="00CE53C7" w:rsidRDefault="00D816C7" w:rsidP="005F7BB2">
            <w:pPr>
              <w:jc w:val="center"/>
            </w:pPr>
            <w:r>
              <w:t>A: VIIRS Night Lights</w:t>
            </w:r>
          </w:p>
        </w:tc>
      </w:tr>
      <w:tr w:rsidR="00D816C7" w:rsidTr="005F7BB2">
        <w:tc>
          <w:tcPr>
            <w:tcW w:w="9016" w:type="dxa"/>
          </w:tcPr>
          <w:p w:rsidR="00D816C7" w:rsidRDefault="00D816C7" w:rsidP="005F7BB2">
            <w:pPr>
              <w:rPr>
                <w:sz w:val="4"/>
                <w:szCs w:val="4"/>
              </w:rPr>
            </w:pPr>
            <w:r>
              <w:rPr>
                <w:noProof/>
                <w:sz w:val="4"/>
                <w:szCs w:val="4"/>
                <w:lang w:eastAsia="zh-CN"/>
              </w:rPr>
              <w:drawing>
                <wp:inline distT="0" distB="0" distL="0" distR="0" wp14:anchorId="14418014" wp14:editId="2FDB3271">
                  <wp:extent cx="5731510" cy="40557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sconsin_2014VIIRSv2Lights.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tc>
      </w:tr>
      <w:tr w:rsidR="00D816C7" w:rsidTr="005F7BB2">
        <w:tc>
          <w:tcPr>
            <w:tcW w:w="9016" w:type="dxa"/>
          </w:tcPr>
          <w:p w:rsidR="00D816C7" w:rsidRPr="00CE53C7" w:rsidRDefault="00D816C7" w:rsidP="005F7BB2">
            <w:pPr>
              <w:spacing w:before="120"/>
              <w:jc w:val="center"/>
            </w:pPr>
            <w:r>
              <w:t>B. DMSP</w:t>
            </w:r>
          </w:p>
        </w:tc>
      </w:tr>
      <w:tr w:rsidR="00D816C7" w:rsidTr="005F7BB2">
        <w:tc>
          <w:tcPr>
            <w:tcW w:w="9016" w:type="dxa"/>
          </w:tcPr>
          <w:p w:rsidR="00D816C7" w:rsidRDefault="00D816C7" w:rsidP="005F7BB2">
            <w:pPr>
              <w:rPr>
                <w:sz w:val="4"/>
                <w:szCs w:val="4"/>
              </w:rPr>
            </w:pPr>
            <w:r>
              <w:rPr>
                <w:noProof/>
                <w:sz w:val="4"/>
                <w:szCs w:val="4"/>
                <w:lang w:eastAsia="zh-CN"/>
              </w:rPr>
              <w:drawing>
                <wp:inline distT="0" distB="0" distL="0" distR="0" wp14:anchorId="072AF537" wp14:editId="160E027E">
                  <wp:extent cx="5731510" cy="40557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sconsin_2013DMSPLights.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tc>
      </w:tr>
    </w:tbl>
    <w:p w:rsidR="00D816C7" w:rsidRDefault="00D816C7" w:rsidP="00D816C7">
      <w:pPr>
        <w:spacing w:after="0" w:line="240" w:lineRule="auto"/>
        <w:rPr>
          <w:rFonts w:eastAsia="Times New Roman" w:cs="Arial"/>
          <w:sz w:val="4"/>
          <w:szCs w:val="4"/>
          <w:lang w:bidi="he-IL"/>
        </w:rPr>
      </w:pPr>
    </w:p>
    <w:p w:rsidR="00D816C7" w:rsidRPr="009F6B87" w:rsidRDefault="00D816C7" w:rsidP="00D816C7">
      <w:pPr>
        <w:widowControl w:val="0"/>
        <w:spacing w:after="0" w:line="288" w:lineRule="auto"/>
        <w:jc w:val="both"/>
        <w:rPr>
          <w:rFonts w:asciiTheme="majorBidi" w:hAnsiTheme="majorBidi" w:cstheme="majorBidi"/>
          <w:bCs/>
          <w:sz w:val="4"/>
          <w:szCs w:val="4"/>
          <w:lang w:val="en-US"/>
        </w:rPr>
      </w:pPr>
    </w:p>
    <w:p w:rsidR="009F6B87" w:rsidRPr="009F6B87" w:rsidRDefault="009F6B87" w:rsidP="0008292B">
      <w:pPr>
        <w:widowControl w:val="0"/>
        <w:spacing w:after="100" w:line="288" w:lineRule="auto"/>
        <w:ind w:firstLine="720"/>
        <w:jc w:val="both"/>
        <w:rPr>
          <w:rFonts w:asciiTheme="majorBidi" w:hAnsiTheme="majorBidi" w:cstheme="majorBidi"/>
          <w:bCs/>
          <w:lang w:val="en-US"/>
        </w:rPr>
      </w:pPr>
      <w:r w:rsidRPr="009F6B87">
        <w:rPr>
          <w:rFonts w:asciiTheme="majorBidi" w:hAnsiTheme="majorBidi" w:cstheme="majorBidi"/>
          <w:bCs/>
          <w:lang w:val="en-US"/>
        </w:rPr>
        <w:lastRenderedPageBreak/>
        <w:t xml:space="preserve">Much of the population and economic activity in Wisconsin is concentrated in the lower southeast corner of the state. Specifically, if one draws a straight line from Green Bay through Oshkosh and Madison down to the state border with Illinois, there are 22 counties (of 72 in the whole state) that are either intersected by that line or are southeast of it. While those 22 counties only cover 22% of the state area, they contributed 74% of state GDP (as of 2013), and were home to 69% of state population (as of the 2010 census). When VNL data shown in panel A of Figure 1 are used, the share of total state luminosity contributed by the counties in the southeast corner is similar to the GDP and population shares, with 66% of the state total of VNL radiance coming from these 22 counties. </w:t>
      </w:r>
    </w:p>
    <w:p w:rsidR="009F6B87" w:rsidRDefault="009F6B87" w:rsidP="0008292B">
      <w:pPr>
        <w:widowControl w:val="0"/>
        <w:spacing w:after="100" w:line="288" w:lineRule="auto"/>
        <w:ind w:firstLine="720"/>
        <w:jc w:val="both"/>
        <w:rPr>
          <w:rFonts w:asciiTheme="majorBidi" w:hAnsiTheme="majorBidi" w:cstheme="majorBidi"/>
          <w:bCs/>
          <w:lang w:val="en-US"/>
        </w:rPr>
      </w:pPr>
      <w:r w:rsidRPr="009F6B87">
        <w:rPr>
          <w:rFonts w:asciiTheme="majorBidi" w:hAnsiTheme="majorBidi" w:cstheme="majorBidi"/>
          <w:bCs/>
          <w:lang w:val="en-US"/>
        </w:rPr>
        <w:t xml:space="preserve">Unlike the clear definition of urban areas shown by VNL data in panel A of Figure 1, the image using DMSP data in panel B is very blurred, with large areas that are unlit in the VNL image appearing illuminated according to DMSP. By attributing lights to unlit places, DMSP data revert towards the mean because unlit and poorly lit areas have their luminosity overstated. The other feature of DMSP that causes mean-reversion is attenuated differences at the top of the lighting distribution, so that more brightly lit big cities seem no brighter than far smaller towns. For example, the brightness of Oshkosh (population 67,000) seems hardly less than that of Milwaukee, whose population is ten times larger, when the DMSP data are used (the maximum available DMSP digital number of 63 is recorded for both cities). Yet VNL data that are not subject to top-coding show the most luminous parts of Milwaukee have radiance at least twice that of Oshkosh (at 240 </w:t>
      </w:r>
      <w:proofErr w:type="spellStart"/>
      <w:r w:rsidRPr="009F6B87">
        <w:rPr>
          <w:rFonts w:asciiTheme="majorBidi" w:hAnsiTheme="majorBidi" w:cstheme="majorBidi"/>
          <w:bCs/>
          <w:lang w:val="en-US"/>
        </w:rPr>
        <w:t>nano</w:t>
      </w:r>
      <w:proofErr w:type="spellEnd"/>
      <w:r w:rsidRPr="009F6B87">
        <w:rPr>
          <w:rFonts w:asciiTheme="majorBidi" w:hAnsiTheme="majorBidi" w:cstheme="majorBidi"/>
          <w:bCs/>
          <w:lang w:val="en-US"/>
        </w:rPr>
        <w:t xml:space="preserve"> Watts per square </w:t>
      </w:r>
      <w:proofErr w:type="spellStart"/>
      <w:r w:rsidRPr="009F6B87">
        <w:rPr>
          <w:rFonts w:asciiTheme="majorBidi" w:hAnsiTheme="majorBidi" w:cstheme="majorBidi"/>
          <w:bCs/>
          <w:lang w:val="en-US"/>
        </w:rPr>
        <w:t>centimetre</w:t>
      </w:r>
      <w:proofErr w:type="spellEnd"/>
      <w:r w:rsidRPr="009F6B87">
        <w:rPr>
          <w:rFonts w:asciiTheme="majorBidi" w:hAnsiTheme="majorBidi" w:cstheme="majorBidi"/>
          <w:bCs/>
          <w:lang w:val="en-US"/>
        </w:rPr>
        <w:t xml:space="preserve"> per steradian (</w:t>
      </w:r>
      <w:proofErr w:type="spellStart"/>
      <w:r w:rsidRPr="009F6B87">
        <w:rPr>
          <w:rFonts w:asciiTheme="majorBidi" w:hAnsiTheme="majorBidi" w:cstheme="majorBidi"/>
          <w:bCs/>
          <w:lang w:val="en-US"/>
        </w:rPr>
        <w:t>nW</w:t>
      </w:r>
      <w:proofErr w:type="spellEnd"/>
      <w:r w:rsidRPr="009F6B87">
        <w:rPr>
          <w:rFonts w:asciiTheme="majorBidi" w:hAnsiTheme="majorBidi" w:cstheme="majorBidi"/>
          <w:bCs/>
          <w:lang w:val="en-US"/>
        </w:rPr>
        <w:t>/cm2/</w:t>
      </w:r>
      <w:proofErr w:type="spellStart"/>
      <w:r w:rsidRPr="009F6B87">
        <w:rPr>
          <w:rFonts w:asciiTheme="majorBidi" w:hAnsiTheme="majorBidi" w:cstheme="majorBidi"/>
          <w:bCs/>
          <w:lang w:val="en-US"/>
        </w:rPr>
        <w:t>sr</w:t>
      </w:r>
      <w:proofErr w:type="spellEnd"/>
      <w:r w:rsidRPr="009F6B87">
        <w:rPr>
          <w:rFonts w:asciiTheme="majorBidi" w:hAnsiTheme="majorBidi" w:cstheme="majorBidi"/>
          <w:bCs/>
          <w:lang w:val="en-US"/>
        </w:rPr>
        <w:t xml:space="preserve">) in Milwaukee versus 110 </w:t>
      </w:r>
      <w:proofErr w:type="spellStart"/>
      <w:r w:rsidRPr="009F6B87">
        <w:rPr>
          <w:rFonts w:asciiTheme="majorBidi" w:hAnsiTheme="majorBidi" w:cstheme="majorBidi"/>
          <w:bCs/>
          <w:lang w:val="en-US"/>
        </w:rPr>
        <w:t>nW</w:t>
      </w:r>
      <w:proofErr w:type="spellEnd"/>
      <w:r w:rsidRPr="009F6B87">
        <w:rPr>
          <w:rFonts w:asciiTheme="majorBidi" w:hAnsiTheme="majorBidi" w:cstheme="majorBidi"/>
          <w:bCs/>
          <w:lang w:val="en-US"/>
        </w:rPr>
        <w:t>/cm2/</w:t>
      </w:r>
      <w:proofErr w:type="spellStart"/>
      <w:r w:rsidRPr="009F6B87">
        <w:rPr>
          <w:rFonts w:asciiTheme="majorBidi" w:hAnsiTheme="majorBidi" w:cstheme="majorBidi"/>
          <w:bCs/>
          <w:lang w:val="en-US"/>
        </w:rPr>
        <w:t>sr</w:t>
      </w:r>
      <w:proofErr w:type="spellEnd"/>
      <w:r w:rsidRPr="009F6B87">
        <w:rPr>
          <w:rFonts w:asciiTheme="majorBidi" w:hAnsiTheme="majorBidi" w:cstheme="majorBidi"/>
          <w:bCs/>
          <w:lang w:val="en-US"/>
        </w:rPr>
        <w:t xml:space="preserve"> for Oshkosh).</w:t>
      </w:r>
    </w:p>
    <w:p w:rsidR="00A0065E" w:rsidRPr="00D816C7" w:rsidRDefault="009F6B87" w:rsidP="0008292B">
      <w:pPr>
        <w:widowControl w:val="0"/>
        <w:spacing w:after="100" w:line="288" w:lineRule="auto"/>
        <w:ind w:firstLine="720"/>
        <w:jc w:val="both"/>
        <w:rPr>
          <w:rFonts w:asciiTheme="majorBidi" w:hAnsiTheme="majorBidi" w:cstheme="majorBidi"/>
          <w:bCs/>
          <w:lang w:val="en-US"/>
        </w:rPr>
      </w:pPr>
      <w:r w:rsidRPr="009F6B87">
        <w:rPr>
          <w:rFonts w:asciiTheme="majorBidi" w:hAnsiTheme="majorBidi" w:cstheme="majorBidi"/>
          <w:bCs/>
          <w:lang w:val="en-US"/>
        </w:rPr>
        <w:t>As a consequence of these mean-reverting errors in the DMSP data, spatial inequality is greatly understated. Whereas GDP, population, and VNL data all show that at least two thirds of Wisconsin totals come from the 22 counties in the southeast corner of the state, the DMSP data suggest these counties contribute a minority of total luminosity, with 47% from the southeast corner and 53% from the rest of the state. By raising the share of lights that seem to come from the less econ</w:t>
      </w:r>
      <w:r w:rsidR="00D931F6">
        <w:rPr>
          <w:rFonts w:asciiTheme="majorBidi" w:hAnsiTheme="majorBidi" w:cstheme="majorBidi"/>
          <w:bCs/>
          <w:lang w:val="en-US"/>
        </w:rPr>
        <w:t>omically active part of the sta</w:t>
      </w:r>
      <w:r w:rsidRPr="009F6B87">
        <w:rPr>
          <w:rFonts w:asciiTheme="majorBidi" w:hAnsiTheme="majorBidi" w:cstheme="majorBidi"/>
          <w:bCs/>
          <w:lang w:val="en-US"/>
        </w:rPr>
        <w:t>t</w:t>
      </w:r>
      <w:r w:rsidR="00D931F6">
        <w:rPr>
          <w:rFonts w:asciiTheme="majorBidi" w:hAnsiTheme="majorBidi" w:cstheme="majorBidi"/>
          <w:bCs/>
          <w:lang w:val="en-US"/>
        </w:rPr>
        <w:t>e</w:t>
      </w:r>
      <w:r w:rsidRPr="009F6B87">
        <w:rPr>
          <w:rFonts w:asciiTheme="majorBidi" w:hAnsiTheme="majorBidi" w:cstheme="majorBidi"/>
          <w:bCs/>
          <w:lang w:val="en-US"/>
        </w:rPr>
        <w:t>, and lowering the share that seem to come from the part with concentrated economic activity, the DMSP data create a systematic understatement of spatial inequality. Consequently, the Gini index for Wisconsin based on county-level data is only 0.27 according to DMSP while it is 0.51 if the VNL data are used (and slightly higher, at 0.57 when using GDP data).</w:t>
      </w:r>
    </w:p>
    <w:p w:rsidR="00D816C7" w:rsidRPr="008A622D" w:rsidRDefault="00D816C7" w:rsidP="009E3B1D">
      <w:pPr>
        <w:keepNext/>
        <w:spacing w:before="160" w:after="100" w:line="288" w:lineRule="auto"/>
        <w:jc w:val="both"/>
        <w:rPr>
          <w:rFonts w:asciiTheme="majorBidi" w:hAnsiTheme="majorBidi" w:cstheme="majorBidi"/>
          <w:b/>
          <w:lang w:val="en-US"/>
        </w:rPr>
      </w:pPr>
      <w:r w:rsidRPr="008A622D">
        <w:rPr>
          <w:rFonts w:asciiTheme="majorBidi" w:hAnsiTheme="majorBidi" w:cstheme="majorBidi"/>
          <w:b/>
          <w:lang w:val="en-US"/>
        </w:rPr>
        <w:t>IV.</w:t>
      </w:r>
      <w:r w:rsidRPr="008A622D">
        <w:rPr>
          <w:rFonts w:asciiTheme="majorBidi" w:hAnsiTheme="majorBidi" w:cstheme="majorBidi"/>
          <w:b/>
          <w:lang w:val="en-US"/>
        </w:rPr>
        <w:tab/>
      </w:r>
      <w:r>
        <w:rPr>
          <w:rFonts w:asciiTheme="majorBidi" w:hAnsiTheme="majorBidi" w:cstheme="majorBidi"/>
          <w:b/>
          <w:lang w:val="en-US"/>
        </w:rPr>
        <w:t>Inattention to Spatially Mean-Reverting Errors in the Literature</w:t>
      </w:r>
    </w:p>
    <w:p w:rsidR="001749D7" w:rsidRPr="001749D7" w:rsidRDefault="001749D7" w:rsidP="0008292B">
      <w:pPr>
        <w:widowControl w:val="0"/>
        <w:spacing w:after="100" w:line="288" w:lineRule="auto"/>
        <w:jc w:val="both"/>
        <w:rPr>
          <w:rFonts w:asciiTheme="majorBidi" w:hAnsiTheme="majorBidi" w:cstheme="majorBidi"/>
          <w:bCs/>
        </w:rPr>
      </w:pPr>
      <w:r w:rsidRPr="001749D7">
        <w:rPr>
          <w:rFonts w:asciiTheme="majorBidi" w:hAnsiTheme="majorBidi" w:cstheme="majorBidi"/>
          <w:bCs/>
        </w:rPr>
        <w:t>Despite the clear distortion seen in Figure 1, which also holds elsewhere (e.g. Gibson et al, 2020; Gibson, 2021) the inequality literature using DMSP data ignores the implications of spatially mean-reverting errors for inequality estimates. We reviewed 26 studies (15 of which had published since 2018) that use night-time lights data to measure spatial inequality. Amongst these studies, 22 used DMSP data. There is no decline over time in the popularity of this data source, as 12 of the 15 most recent studies used DMSP data. The full details on the studies reviewed, including the data source(s), time scale and spatial units, and research objective, are provided in Appendix A, with summary tabulation of the review in Table 2.</w:t>
      </w:r>
    </w:p>
    <w:tbl>
      <w:tblPr>
        <w:tblStyle w:val="TableGrid"/>
        <w:tblW w:w="0" w:type="auto"/>
        <w:tblLook w:val="04A0" w:firstRow="1" w:lastRow="0" w:firstColumn="1" w:lastColumn="0" w:noHBand="0" w:noVBand="1"/>
      </w:tblPr>
      <w:tblGrid>
        <w:gridCol w:w="3256"/>
        <w:gridCol w:w="1920"/>
        <w:gridCol w:w="1920"/>
        <w:gridCol w:w="1920"/>
      </w:tblGrid>
      <w:tr w:rsidR="001749D7" w:rsidTr="005F7BB2">
        <w:tc>
          <w:tcPr>
            <w:tcW w:w="9016" w:type="dxa"/>
            <w:gridSpan w:val="4"/>
            <w:tcBorders>
              <w:top w:val="nil"/>
              <w:left w:val="nil"/>
              <w:bottom w:val="single" w:sz="4" w:space="0" w:color="auto"/>
              <w:right w:val="nil"/>
            </w:tcBorders>
          </w:tcPr>
          <w:p w:rsidR="001749D7" w:rsidRDefault="001749D7" w:rsidP="005F7BB2">
            <w:pPr>
              <w:spacing w:after="20"/>
              <w:jc w:val="center"/>
              <w:rPr>
                <w:rFonts w:asciiTheme="majorBidi" w:hAnsiTheme="majorBidi" w:cstheme="majorBidi"/>
              </w:rPr>
            </w:pPr>
            <w:r w:rsidRPr="001749D7">
              <w:rPr>
                <w:rFonts w:asciiTheme="majorBidi" w:hAnsiTheme="majorBidi" w:cstheme="majorBidi"/>
                <w:bCs/>
              </w:rPr>
              <w:lastRenderedPageBreak/>
              <w:tab/>
            </w:r>
            <w:r>
              <w:rPr>
                <w:rFonts w:asciiTheme="majorBidi" w:hAnsiTheme="majorBidi" w:cstheme="majorBidi"/>
              </w:rPr>
              <w:t>Table 2: Summary of the Studies Reviewed</w:t>
            </w:r>
          </w:p>
        </w:tc>
      </w:tr>
      <w:tr w:rsidR="001749D7" w:rsidTr="005F7BB2">
        <w:tc>
          <w:tcPr>
            <w:tcW w:w="3256" w:type="dxa"/>
            <w:tcBorders>
              <w:top w:val="single" w:sz="4" w:space="0" w:color="auto"/>
              <w:left w:val="nil"/>
              <w:bottom w:val="single" w:sz="4" w:space="0" w:color="auto"/>
              <w:right w:val="nil"/>
            </w:tcBorders>
          </w:tcPr>
          <w:p w:rsidR="001749D7" w:rsidRDefault="001749D7" w:rsidP="005F7BB2">
            <w:pPr>
              <w:rPr>
                <w:rFonts w:asciiTheme="majorBidi" w:hAnsiTheme="majorBidi" w:cstheme="majorBidi"/>
              </w:rPr>
            </w:pPr>
          </w:p>
        </w:tc>
        <w:tc>
          <w:tcPr>
            <w:tcW w:w="1920" w:type="dxa"/>
            <w:tcBorders>
              <w:top w:val="single" w:sz="4" w:space="0" w:color="auto"/>
              <w:left w:val="nil"/>
              <w:bottom w:val="single" w:sz="4" w:space="0" w:color="auto"/>
              <w:right w:val="nil"/>
            </w:tcBorders>
            <w:vAlign w:val="bottom"/>
          </w:tcPr>
          <w:p w:rsidR="001749D7" w:rsidRDefault="001749D7" w:rsidP="005F7BB2">
            <w:pPr>
              <w:spacing w:after="20"/>
              <w:jc w:val="center"/>
              <w:rPr>
                <w:rFonts w:asciiTheme="majorBidi" w:hAnsiTheme="majorBidi" w:cstheme="majorBidi"/>
              </w:rPr>
            </w:pPr>
            <w:r>
              <w:rPr>
                <w:rFonts w:asciiTheme="majorBidi" w:hAnsiTheme="majorBidi" w:cstheme="majorBidi"/>
              </w:rPr>
              <w:t>All studies</w:t>
            </w:r>
          </w:p>
        </w:tc>
        <w:tc>
          <w:tcPr>
            <w:tcW w:w="1920" w:type="dxa"/>
            <w:tcBorders>
              <w:top w:val="single" w:sz="4" w:space="0" w:color="auto"/>
              <w:left w:val="nil"/>
              <w:bottom w:val="single" w:sz="4" w:space="0" w:color="auto"/>
              <w:right w:val="nil"/>
            </w:tcBorders>
            <w:vAlign w:val="bottom"/>
          </w:tcPr>
          <w:p w:rsidR="001749D7" w:rsidRDefault="001749D7" w:rsidP="005F7BB2">
            <w:pPr>
              <w:spacing w:after="20"/>
              <w:jc w:val="center"/>
              <w:rPr>
                <w:rFonts w:asciiTheme="majorBidi" w:hAnsiTheme="majorBidi" w:cstheme="majorBidi"/>
              </w:rPr>
            </w:pPr>
            <w:r>
              <w:rPr>
                <w:rFonts w:asciiTheme="majorBidi" w:hAnsiTheme="majorBidi" w:cstheme="majorBidi"/>
              </w:rPr>
              <w:t>Recent studies (2018 onwards)</w:t>
            </w:r>
          </w:p>
        </w:tc>
        <w:tc>
          <w:tcPr>
            <w:tcW w:w="1920" w:type="dxa"/>
            <w:tcBorders>
              <w:top w:val="single" w:sz="4" w:space="0" w:color="auto"/>
              <w:left w:val="nil"/>
              <w:bottom w:val="single" w:sz="4" w:space="0" w:color="auto"/>
              <w:right w:val="nil"/>
            </w:tcBorders>
            <w:vAlign w:val="bottom"/>
          </w:tcPr>
          <w:p w:rsidR="001749D7" w:rsidRDefault="001749D7" w:rsidP="005F7BB2">
            <w:pPr>
              <w:spacing w:after="20"/>
              <w:jc w:val="center"/>
              <w:rPr>
                <w:rFonts w:asciiTheme="majorBidi" w:hAnsiTheme="majorBidi" w:cstheme="majorBidi"/>
              </w:rPr>
            </w:pPr>
            <w:r>
              <w:rPr>
                <w:rFonts w:asciiTheme="majorBidi" w:hAnsiTheme="majorBidi" w:cstheme="majorBidi"/>
              </w:rPr>
              <w:t>Earlier studies (prior to 2018)</w:t>
            </w:r>
          </w:p>
        </w:tc>
      </w:tr>
      <w:tr w:rsidR="001749D7" w:rsidTr="005F7BB2">
        <w:tc>
          <w:tcPr>
            <w:tcW w:w="3256" w:type="dxa"/>
            <w:tcBorders>
              <w:top w:val="single" w:sz="4" w:space="0" w:color="auto"/>
              <w:left w:val="nil"/>
              <w:bottom w:val="nil"/>
              <w:right w:val="nil"/>
            </w:tcBorders>
          </w:tcPr>
          <w:p w:rsidR="001749D7" w:rsidRDefault="001749D7" w:rsidP="005F7BB2">
            <w:pPr>
              <w:spacing w:after="80"/>
              <w:rPr>
                <w:rFonts w:asciiTheme="majorBidi" w:hAnsiTheme="majorBidi" w:cstheme="majorBidi"/>
              </w:rPr>
            </w:pPr>
            <w:r>
              <w:rPr>
                <w:rFonts w:asciiTheme="majorBidi" w:hAnsiTheme="majorBidi" w:cstheme="majorBidi"/>
              </w:rPr>
              <w:t>Number of studies</w:t>
            </w:r>
          </w:p>
        </w:tc>
        <w:tc>
          <w:tcPr>
            <w:tcW w:w="1920" w:type="dxa"/>
            <w:tcBorders>
              <w:top w:val="single" w:sz="4" w:space="0" w:color="auto"/>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26</w:t>
            </w:r>
          </w:p>
        </w:tc>
        <w:tc>
          <w:tcPr>
            <w:tcW w:w="1920" w:type="dxa"/>
            <w:tcBorders>
              <w:top w:val="single" w:sz="4" w:space="0" w:color="auto"/>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15</w:t>
            </w:r>
          </w:p>
        </w:tc>
        <w:tc>
          <w:tcPr>
            <w:tcW w:w="1920" w:type="dxa"/>
            <w:tcBorders>
              <w:top w:val="single" w:sz="4" w:space="0" w:color="auto"/>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11</w:t>
            </w:r>
          </w:p>
        </w:tc>
      </w:tr>
      <w:tr w:rsidR="001749D7" w:rsidTr="005F7BB2">
        <w:tc>
          <w:tcPr>
            <w:tcW w:w="3256" w:type="dxa"/>
            <w:tcBorders>
              <w:top w:val="nil"/>
              <w:left w:val="nil"/>
              <w:bottom w:val="nil"/>
              <w:right w:val="nil"/>
            </w:tcBorders>
          </w:tcPr>
          <w:p w:rsidR="001749D7" w:rsidRDefault="001749D7" w:rsidP="005F7BB2">
            <w:pPr>
              <w:spacing w:after="80"/>
              <w:rPr>
                <w:rFonts w:asciiTheme="majorBidi" w:hAnsiTheme="majorBidi" w:cstheme="majorBidi"/>
              </w:rPr>
            </w:pPr>
            <w:r>
              <w:rPr>
                <w:rFonts w:asciiTheme="majorBidi" w:hAnsiTheme="majorBidi" w:cstheme="majorBidi"/>
              </w:rPr>
              <w:t>Number that use DMSP data</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22</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12</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10</w:t>
            </w:r>
          </w:p>
        </w:tc>
      </w:tr>
      <w:tr w:rsidR="001749D7" w:rsidTr="005F7BB2">
        <w:tc>
          <w:tcPr>
            <w:tcW w:w="3256" w:type="dxa"/>
            <w:tcBorders>
              <w:top w:val="nil"/>
              <w:left w:val="nil"/>
              <w:bottom w:val="nil"/>
              <w:right w:val="nil"/>
            </w:tcBorders>
          </w:tcPr>
          <w:p w:rsidR="001749D7" w:rsidRDefault="001749D7" w:rsidP="005F7BB2">
            <w:pPr>
              <w:spacing w:after="80"/>
              <w:rPr>
                <w:rFonts w:asciiTheme="majorBidi" w:hAnsiTheme="majorBidi" w:cstheme="majorBidi"/>
              </w:rPr>
            </w:pPr>
            <w:r>
              <w:rPr>
                <w:rFonts w:asciiTheme="majorBidi" w:hAnsiTheme="majorBidi" w:cstheme="majorBidi"/>
              </w:rPr>
              <w:t>Number that mention mean-reverting errors in DMSP data</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0</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0</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0</w:t>
            </w:r>
          </w:p>
        </w:tc>
      </w:tr>
      <w:tr w:rsidR="001749D7" w:rsidTr="005F7BB2">
        <w:tc>
          <w:tcPr>
            <w:tcW w:w="3256" w:type="dxa"/>
            <w:tcBorders>
              <w:top w:val="nil"/>
              <w:left w:val="nil"/>
              <w:bottom w:val="nil"/>
              <w:right w:val="nil"/>
            </w:tcBorders>
          </w:tcPr>
          <w:p w:rsidR="001749D7" w:rsidRDefault="001749D7" w:rsidP="005F7BB2">
            <w:pPr>
              <w:spacing w:after="80"/>
              <w:rPr>
                <w:rFonts w:asciiTheme="majorBidi" w:hAnsiTheme="majorBidi" w:cstheme="majorBidi"/>
              </w:rPr>
            </w:pPr>
            <w:r>
              <w:rPr>
                <w:rFonts w:asciiTheme="majorBidi" w:hAnsiTheme="majorBidi" w:cstheme="majorBidi"/>
              </w:rPr>
              <w:t>Number that de-blur DMSP data</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0</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0</w:t>
            </w:r>
          </w:p>
        </w:tc>
        <w:tc>
          <w:tcPr>
            <w:tcW w:w="1920" w:type="dxa"/>
            <w:tcBorders>
              <w:top w:val="nil"/>
              <w:left w:val="nil"/>
              <w:bottom w:val="nil"/>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0</w:t>
            </w:r>
          </w:p>
        </w:tc>
      </w:tr>
      <w:tr w:rsidR="001749D7" w:rsidTr="005F7BB2">
        <w:tc>
          <w:tcPr>
            <w:tcW w:w="3256" w:type="dxa"/>
            <w:tcBorders>
              <w:top w:val="nil"/>
              <w:left w:val="nil"/>
              <w:bottom w:val="single" w:sz="4" w:space="0" w:color="auto"/>
              <w:right w:val="nil"/>
            </w:tcBorders>
          </w:tcPr>
          <w:p w:rsidR="001749D7" w:rsidRDefault="001749D7" w:rsidP="005F7BB2">
            <w:pPr>
              <w:spacing w:after="80"/>
              <w:rPr>
                <w:rFonts w:asciiTheme="majorBidi" w:hAnsiTheme="majorBidi" w:cstheme="majorBidi"/>
              </w:rPr>
            </w:pPr>
            <w:r>
              <w:rPr>
                <w:rFonts w:asciiTheme="majorBidi" w:hAnsiTheme="majorBidi" w:cstheme="majorBidi"/>
              </w:rPr>
              <w:t>Number that adjust for top-coding in DMSP data</w:t>
            </w:r>
          </w:p>
        </w:tc>
        <w:tc>
          <w:tcPr>
            <w:tcW w:w="1920" w:type="dxa"/>
            <w:tcBorders>
              <w:top w:val="nil"/>
              <w:left w:val="nil"/>
              <w:bottom w:val="single" w:sz="4" w:space="0" w:color="auto"/>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1</w:t>
            </w:r>
          </w:p>
        </w:tc>
        <w:tc>
          <w:tcPr>
            <w:tcW w:w="1920" w:type="dxa"/>
            <w:tcBorders>
              <w:top w:val="nil"/>
              <w:left w:val="nil"/>
              <w:bottom w:val="single" w:sz="4" w:space="0" w:color="auto"/>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1</w:t>
            </w:r>
          </w:p>
        </w:tc>
        <w:tc>
          <w:tcPr>
            <w:tcW w:w="1920" w:type="dxa"/>
            <w:tcBorders>
              <w:top w:val="nil"/>
              <w:left w:val="nil"/>
              <w:bottom w:val="single" w:sz="4" w:space="0" w:color="auto"/>
              <w:right w:val="nil"/>
            </w:tcBorders>
            <w:vAlign w:val="bottom"/>
          </w:tcPr>
          <w:p w:rsidR="001749D7" w:rsidRDefault="001749D7" w:rsidP="005F7BB2">
            <w:pPr>
              <w:spacing w:after="80"/>
              <w:jc w:val="center"/>
              <w:rPr>
                <w:rFonts w:asciiTheme="majorBidi" w:hAnsiTheme="majorBidi" w:cstheme="majorBidi"/>
              </w:rPr>
            </w:pPr>
            <w:r>
              <w:rPr>
                <w:rFonts w:asciiTheme="majorBidi" w:hAnsiTheme="majorBidi" w:cstheme="majorBidi"/>
              </w:rPr>
              <w:t>0</w:t>
            </w:r>
          </w:p>
        </w:tc>
      </w:tr>
      <w:tr w:rsidR="001749D7" w:rsidRPr="00EA7224" w:rsidTr="005F7BB2">
        <w:tc>
          <w:tcPr>
            <w:tcW w:w="9016" w:type="dxa"/>
            <w:gridSpan w:val="4"/>
            <w:tcBorders>
              <w:top w:val="single" w:sz="4" w:space="0" w:color="auto"/>
              <w:left w:val="nil"/>
              <w:bottom w:val="nil"/>
              <w:right w:val="nil"/>
            </w:tcBorders>
          </w:tcPr>
          <w:p w:rsidR="001749D7" w:rsidRPr="00EA7224" w:rsidRDefault="001749D7" w:rsidP="005F7BB2">
            <w:pPr>
              <w:spacing w:before="20"/>
              <w:rPr>
                <w:rFonts w:asciiTheme="majorBidi" w:hAnsiTheme="majorBidi" w:cstheme="majorBidi"/>
                <w:sz w:val="20"/>
                <w:szCs w:val="20"/>
              </w:rPr>
            </w:pPr>
            <w:r>
              <w:rPr>
                <w:rFonts w:asciiTheme="majorBidi" w:hAnsiTheme="majorBidi" w:cstheme="majorBidi"/>
                <w:i/>
                <w:iCs/>
                <w:sz w:val="20"/>
                <w:szCs w:val="20"/>
              </w:rPr>
              <w:t>Note:</w:t>
            </w:r>
            <w:r>
              <w:rPr>
                <w:rFonts w:asciiTheme="majorBidi" w:hAnsiTheme="majorBidi" w:cstheme="majorBidi"/>
                <w:sz w:val="20"/>
                <w:szCs w:val="20"/>
              </w:rPr>
              <w:t xml:space="preserve"> Details on the studies summarized in this table can be found in Appendix A.</w:t>
            </w:r>
          </w:p>
        </w:tc>
      </w:tr>
    </w:tbl>
    <w:p w:rsidR="001749D7" w:rsidRPr="001749D7" w:rsidRDefault="001749D7" w:rsidP="001749D7">
      <w:pPr>
        <w:widowControl w:val="0"/>
        <w:spacing w:after="60" w:line="288" w:lineRule="auto"/>
        <w:jc w:val="both"/>
        <w:rPr>
          <w:rFonts w:asciiTheme="majorBidi" w:hAnsiTheme="majorBidi" w:cstheme="majorBidi"/>
          <w:bCs/>
          <w:sz w:val="12"/>
          <w:szCs w:val="12"/>
        </w:rPr>
      </w:pPr>
    </w:p>
    <w:p w:rsidR="001749D7" w:rsidRPr="001749D7" w:rsidRDefault="001749D7" w:rsidP="0008292B">
      <w:pPr>
        <w:widowControl w:val="0"/>
        <w:spacing w:after="80" w:line="288" w:lineRule="auto"/>
        <w:ind w:firstLine="720"/>
        <w:jc w:val="both"/>
        <w:rPr>
          <w:rFonts w:asciiTheme="majorBidi" w:hAnsiTheme="majorBidi" w:cstheme="majorBidi"/>
          <w:bCs/>
        </w:rPr>
      </w:pPr>
      <w:r w:rsidRPr="001749D7">
        <w:rPr>
          <w:rFonts w:asciiTheme="majorBidi" w:hAnsiTheme="majorBidi" w:cstheme="majorBidi"/>
          <w:bCs/>
        </w:rPr>
        <w:t>We carefully reviewed each study to see if authors mention spatially mean-reverting errors in the DMSP data. We also checked if any method was used to de-blur DMSP data, such as the procedures outlined in Abrahams et al (2018). Similarly, we checked if anything was done to correct the data for top-coding problems.</w:t>
      </w:r>
      <w:r w:rsidRPr="001749D7">
        <w:rPr>
          <w:rFonts w:asciiTheme="majorBidi" w:hAnsiTheme="majorBidi" w:cstheme="majorBidi"/>
          <w:bCs/>
          <w:vertAlign w:val="superscript"/>
        </w:rPr>
        <w:footnoteReference w:id="5"/>
      </w:r>
      <w:r w:rsidRPr="001749D7">
        <w:rPr>
          <w:rFonts w:asciiTheme="majorBidi" w:hAnsiTheme="majorBidi" w:cstheme="majorBidi"/>
          <w:bCs/>
        </w:rPr>
        <w:t xml:space="preserve"> </w:t>
      </w:r>
    </w:p>
    <w:p w:rsidR="001749D7" w:rsidRPr="001749D7" w:rsidRDefault="001749D7" w:rsidP="0008292B">
      <w:pPr>
        <w:widowControl w:val="0"/>
        <w:spacing w:after="80" w:line="288" w:lineRule="auto"/>
        <w:ind w:firstLine="720"/>
        <w:jc w:val="both"/>
        <w:rPr>
          <w:rFonts w:asciiTheme="majorBidi" w:hAnsiTheme="majorBidi" w:cstheme="majorBidi"/>
          <w:bCs/>
        </w:rPr>
      </w:pPr>
      <w:r w:rsidRPr="001749D7">
        <w:rPr>
          <w:rFonts w:asciiTheme="majorBidi" w:hAnsiTheme="majorBidi" w:cstheme="majorBidi"/>
          <w:bCs/>
        </w:rPr>
        <w:t xml:space="preserve">There were no mentions of spatially mean-reverting errors in the studies we reviewed. Likewise, none used procedures to de-blur the DMSP data (Table 2). In terms of top-coding, one study (Montalvo et al, 2021) adjusted top-coded observations relative to the distribution of observations in the locality that were not top-coded. Two other studies excluded from their sample certain places that the authors assumed might be affected by top-coding; Chakravarty and </w:t>
      </w:r>
      <w:proofErr w:type="spellStart"/>
      <w:r w:rsidRPr="001749D7">
        <w:rPr>
          <w:rFonts w:asciiTheme="majorBidi" w:hAnsiTheme="majorBidi" w:cstheme="majorBidi"/>
          <w:bCs/>
        </w:rPr>
        <w:t>Dehejia</w:t>
      </w:r>
      <w:proofErr w:type="spellEnd"/>
      <w:r w:rsidRPr="001749D7">
        <w:rPr>
          <w:rFonts w:asciiTheme="majorBidi" w:hAnsiTheme="majorBidi" w:cstheme="majorBidi"/>
          <w:bCs/>
        </w:rPr>
        <w:t xml:space="preserve"> (2017) exclude five major metro areas (Mumbai, Kolkata, Chennai, Bangalore and Hyderabad) as likely having top-coded data, and the same reason is used by</w:t>
      </w:r>
      <w:r w:rsidR="00D931F6">
        <w:rPr>
          <w:rFonts w:asciiTheme="majorBidi" w:hAnsiTheme="majorBidi" w:cstheme="majorBidi"/>
          <w:bCs/>
        </w:rPr>
        <w:t xml:space="preserve"> Mendez and Santos-Marquez (2020</w:t>
      </w:r>
      <w:r w:rsidRPr="001749D7">
        <w:rPr>
          <w:rFonts w:asciiTheme="majorBidi" w:hAnsiTheme="majorBidi" w:cstheme="majorBidi"/>
          <w:bCs/>
        </w:rPr>
        <w:t>) for excluding Singapore. Such exclusions are likely to create biases due to sample selectivity and it is also the case that a study of regional inequality that excludes very densely populated metro areas may not be very informative for policy-makers. Moreover, the top-coding issues extend far further down the distribution of DMSP digital numbers, due to the fact that various pixels may be top-coded on some nights of the year but not on others (given the variation in sensor amplification over the lunar cycle) and so annual composites may have pixels that are partially top-coded even for annual average DN values as low as DN=55 (Bluhm and Krause, 2022).</w:t>
      </w:r>
    </w:p>
    <w:p w:rsidR="00D816C7" w:rsidRDefault="001749D7" w:rsidP="0008292B">
      <w:pPr>
        <w:widowControl w:val="0"/>
        <w:spacing w:after="80" w:line="288" w:lineRule="auto"/>
        <w:ind w:firstLine="720"/>
        <w:jc w:val="both"/>
        <w:rPr>
          <w:rFonts w:asciiTheme="majorBidi" w:hAnsiTheme="majorBidi" w:cstheme="majorBidi"/>
          <w:bCs/>
          <w:lang w:val="en-US"/>
        </w:rPr>
      </w:pPr>
      <w:r w:rsidRPr="001749D7">
        <w:rPr>
          <w:rFonts w:asciiTheme="majorBidi" w:hAnsiTheme="majorBidi" w:cstheme="majorBidi"/>
          <w:bCs/>
        </w:rPr>
        <w:t>Another symptom of the inequality literature ignoring mean-reverting errors in DMSP data is that some of the studies reviewed used a time-series that spliced together DMSP and VNL data (Chen and Zhang, 2022; Ivan et al, 2020). This splicing of the two data sources was to extend the length of their time-series past the 2013 ending data of the most popular DMSP annual composites.</w:t>
      </w:r>
      <w:r w:rsidRPr="001749D7">
        <w:rPr>
          <w:rFonts w:asciiTheme="majorBidi" w:hAnsiTheme="majorBidi" w:cstheme="majorBidi"/>
          <w:bCs/>
          <w:vertAlign w:val="superscript"/>
        </w:rPr>
        <w:footnoteReference w:id="6"/>
      </w:r>
      <w:r w:rsidRPr="001749D7">
        <w:rPr>
          <w:rFonts w:asciiTheme="majorBidi" w:hAnsiTheme="majorBidi" w:cstheme="majorBidi"/>
          <w:bCs/>
        </w:rPr>
        <w:t xml:space="preserve"> However, with the DMSP data having a mean-reverting error there is no </w:t>
      </w:r>
      <w:r w:rsidRPr="001749D7">
        <w:rPr>
          <w:rFonts w:asciiTheme="majorBidi" w:hAnsiTheme="majorBidi" w:cstheme="majorBidi"/>
          <w:bCs/>
        </w:rPr>
        <w:lastRenderedPageBreak/>
        <w:t xml:space="preserve">simple adjustment factor to ‘line up’ the two data sources (notwithstanding that some studies in the remote sensing literature attempt to create just such a concordance). The reason is that a mean-reverting measurement error is not constant and instead will vary with the true, but unknown, level of luminosity (as seen from equation (1), noting that the error, </w:t>
      </w:r>
      <m:oMath>
        <m:r>
          <w:rPr>
            <w:rFonts w:ascii="Cambria Math" w:hAnsi="Cambria Math" w:cstheme="majorBidi"/>
          </w:rPr>
          <m:t>v</m:t>
        </m:r>
      </m:oMath>
      <w:r w:rsidRPr="001749D7">
        <w:rPr>
          <w:rFonts w:asciiTheme="majorBidi" w:hAnsiTheme="majorBidi" w:cstheme="majorBidi"/>
          <w:bCs/>
        </w:rPr>
        <w:t xml:space="preserve"> varies with the true value). A lack of discussion of this issue by these inequality studies using spliced datasets is more evidence that implications of mean-reverting measurement errors in DMSP data seem to have been ignored.</w:t>
      </w:r>
    </w:p>
    <w:p w:rsidR="001749D7" w:rsidRPr="008A622D" w:rsidRDefault="001749D7" w:rsidP="0008292B">
      <w:pPr>
        <w:keepNext/>
        <w:spacing w:before="120" w:after="100" w:line="288" w:lineRule="auto"/>
        <w:jc w:val="both"/>
        <w:rPr>
          <w:rFonts w:asciiTheme="majorBidi" w:hAnsiTheme="majorBidi" w:cstheme="majorBidi"/>
          <w:b/>
          <w:lang w:val="en-US"/>
        </w:rPr>
      </w:pPr>
      <w:r w:rsidRPr="008A622D">
        <w:rPr>
          <w:rFonts w:asciiTheme="majorBidi" w:hAnsiTheme="majorBidi" w:cstheme="majorBidi"/>
          <w:b/>
          <w:lang w:val="en-US"/>
        </w:rPr>
        <w:t>V.</w:t>
      </w:r>
      <w:r w:rsidRPr="008A622D">
        <w:rPr>
          <w:rFonts w:asciiTheme="majorBidi" w:hAnsiTheme="majorBidi" w:cstheme="majorBidi"/>
          <w:b/>
          <w:lang w:val="en-US"/>
        </w:rPr>
        <w:tab/>
      </w:r>
      <w:r>
        <w:rPr>
          <w:rFonts w:asciiTheme="majorBidi" w:hAnsiTheme="majorBidi" w:cstheme="majorBidi"/>
          <w:b/>
          <w:lang w:val="en-US"/>
        </w:rPr>
        <w:t>County-level Evidence from the United States and China</w:t>
      </w:r>
    </w:p>
    <w:p w:rsidR="001749D7" w:rsidRPr="001749D7" w:rsidRDefault="001749D7" w:rsidP="0008292B">
      <w:pPr>
        <w:widowControl w:val="0"/>
        <w:spacing w:after="100" w:line="288" w:lineRule="auto"/>
        <w:jc w:val="both"/>
        <w:rPr>
          <w:rFonts w:asciiTheme="majorBidi" w:hAnsiTheme="majorBidi" w:cstheme="majorBidi"/>
          <w:bCs/>
        </w:rPr>
      </w:pPr>
      <w:r w:rsidRPr="001749D7">
        <w:rPr>
          <w:rFonts w:asciiTheme="majorBidi" w:hAnsiTheme="majorBidi" w:cstheme="majorBidi"/>
          <w:bCs/>
        </w:rPr>
        <w:t xml:space="preserve">The example given in Section III suggests that inequality estimates from DMSP data may be subject to a considerable downward bias. The discussion in Section II </w:t>
      </w:r>
      <w:r w:rsidR="00D931F6">
        <w:rPr>
          <w:rFonts w:asciiTheme="majorBidi" w:hAnsiTheme="majorBidi" w:cstheme="majorBidi"/>
          <w:bCs/>
        </w:rPr>
        <w:t xml:space="preserve">shows </w:t>
      </w:r>
      <w:r w:rsidRPr="001749D7">
        <w:rPr>
          <w:rFonts w:asciiTheme="majorBidi" w:hAnsiTheme="majorBidi" w:cstheme="majorBidi"/>
          <w:bCs/>
        </w:rPr>
        <w:t>that the mean-reverting measurement errors that cause this downward bias in inequality estimates are due to inherent features of the DMSP sensors and data management, and so there is no reason to expect that the bias would not occur more widely beyond the particular example of Wisconsin used in Section III. Therefore, in this section we demonstrate that the bias is more generalized, using data from all parts of the United States and also from China, which are two of the few countries that report GDP at the county-level. The advantage of working with data from countries that have county-level GDP data is that it gives a benchmark for the inequality estimates derived from night-time lights data; if these county-level GDP data were available more widely they would surely be used for spatial inequality studies. The details on the GDP data sources we use for the two countries, and on the sources of the night-time lights data that we use, are provided in Appendix B.</w:t>
      </w:r>
    </w:p>
    <w:p w:rsidR="001749D7" w:rsidRPr="001749D7" w:rsidRDefault="001749D7" w:rsidP="0008292B">
      <w:pPr>
        <w:widowControl w:val="0"/>
        <w:spacing w:after="100" w:line="288" w:lineRule="auto"/>
        <w:ind w:firstLine="720"/>
        <w:jc w:val="both"/>
        <w:rPr>
          <w:rFonts w:asciiTheme="majorBidi" w:hAnsiTheme="majorBidi" w:cstheme="majorBidi"/>
          <w:bCs/>
        </w:rPr>
      </w:pPr>
      <w:r w:rsidRPr="001749D7">
        <w:rPr>
          <w:rFonts w:asciiTheme="majorBidi" w:hAnsiTheme="majorBidi" w:cstheme="majorBidi"/>
          <w:bCs/>
        </w:rPr>
        <w:t>Spatial inequality in the United States is shown in Figure 2 to have been quite stable over the last two decades according to either the Gini coefficient (panel A) or the Theil index (panel B). Specifically, the county-level GDP data provide Gini coefficients that hardly vary, ranging from a low of 0.71 in 2009 to a high of 0.72 in 2017 (with a mean of 0.713 across the 19 years with GDP data and a standard deviation across the annual estimates of 0.003). Along the same lines, annual values of the Theil index hardly varied, ranging from 0.98 to 1.01 (and the years with the minimum and maximum values are the same as for the Gini coefficient). The bootstrapped standard errors surrounding the inequality estimates for each year average 0.03 for the Gini coefficient and 0.12 for the Theil index.</w:t>
      </w:r>
    </w:p>
    <w:p w:rsidR="001749D7" w:rsidRPr="001749D7" w:rsidRDefault="001749D7" w:rsidP="0008292B">
      <w:pPr>
        <w:widowControl w:val="0"/>
        <w:spacing w:after="100" w:line="288" w:lineRule="auto"/>
        <w:ind w:firstLine="720"/>
        <w:jc w:val="both"/>
        <w:rPr>
          <w:rFonts w:asciiTheme="majorBidi" w:hAnsiTheme="majorBidi" w:cstheme="majorBidi"/>
          <w:bCs/>
        </w:rPr>
      </w:pPr>
      <w:r w:rsidRPr="001749D7">
        <w:rPr>
          <w:rFonts w:asciiTheme="majorBidi" w:hAnsiTheme="majorBidi" w:cstheme="majorBidi"/>
          <w:bCs/>
        </w:rPr>
        <w:t xml:space="preserve">In contrast to what is shown with the GDP data, the DMSP data on night-time lights suggest a significantly lower level of spatial inequality. The Gini coefficients vary from a high of 0.52 in 2006 to a low of 0.48 in 2010 (the mean is 0.50 and the standard deviation of the annual estimates is 0.011). There is no overlap between 95% confidence intervals of the DMSP-derived Gini coefficients and the GDP-based Gini coefficients. The gap between the lights-based and GDP-based estimates is even more apparent for the Theil index; the mean of this index is 0.44 when DMSP is used, which is almost 60% below what the GDP data show. Moreover, the average gap between the GDP-based Theil index and the DMSP-based index is </w:t>
      </w:r>
      <w:r w:rsidRPr="001749D7">
        <w:rPr>
          <w:rFonts w:asciiTheme="majorBidi" w:hAnsiTheme="majorBidi" w:cstheme="majorBidi"/>
          <w:bCs/>
        </w:rPr>
        <w:lastRenderedPageBreak/>
        <w:t>over five times larger than the bootstrapped standard errors (for the Gini the average gap is six times larger than the standard errors). In other words, based on the patterns of economic activity that prevail across all counties in the United States, inequality measures derived from DMSP data are statistically significantly lower than the estimates derived from GDP data.</w:t>
      </w:r>
    </w:p>
    <w:p w:rsidR="001749D7" w:rsidRPr="001749D7" w:rsidRDefault="001749D7" w:rsidP="0008292B">
      <w:pPr>
        <w:widowControl w:val="0"/>
        <w:spacing w:after="100" w:line="288" w:lineRule="auto"/>
        <w:ind w:firstLine="720"/>
        <w:jc w:val="both"/>
        <w:rPr>
          <w:rFonts w:asciiTheme="majorBidi" w:hAnsiTheme="majorBidi" w:cstheme="majorBidi"/>
          <w:bCs/>
        </w:rPr>
      </w:pPr>
      <w:r w:rsidRPr="001749D7">
        <w:rPr>
          <w:rFonts w:asciiTheme="majorBidi" w:hAnsiTheme="majorBidi" w:cstheme="majorBidi"/>
          <w:bCs/>
        </w:rPr>
        <w:t>This gap in inequality estimates can be most correctly described as understatement when using DMSP data. The first reason for this claim is that GDP data would likely be the first choice of researchers wanting an economic activity measure, if such data were reliably available at a spatially disaggregated level elsewhere. In other words, the estimates derived from the GDP data can be sensibly thought of as a benchmark. Second, inequality estimates based on the VNL data show no significant differences from those based on GDP data.</w:t>
      </w:r>
      <w:r w:rsidRPr="001749D7">
        <w:rPr>
          <w:rFonts w:asciiTheme="majorBidi" w:hAnsiTheme="majorBidi" w:cstheme="majorBidi"/>
          <w:bCs/>
          <w:vertAlign w:val="superscript"/>
        </w:rPr>
        <w:footnoteReference w:id="7"/>
      </w:r>
      <w:r w:rsidRPr="001749D7">
        <w:rPr>
          <w:rFonts w:asciiTheme="majorBidi" w:hAnsiTheme="majorBidi" w:cstheme="majorBidi"/>
          <w:bCs/>
        </w:rPr>
        <w:t xml:space="preserve"> The discussion in Section II on DMSP sensors and data management gave good reasons to expect that the DMSP data will be less accurate than VNL and BM data and so close correspondence between the GDP-based and VNL-based estimates lends credence to the GDP-based results.</w:t>
      </w:r>
    </w:p>
    <w:p w:rsidR="001749D7" w:rsidRPr="001749D7" w:rsidRDefault="001749D7" w:rsidP="0008292B">
      <w:pPr>
        <w:widowControl w:val="0"/>
        <w:spacing w:after="100" w:line="288" w:lineRule="auto"/>
        <w:ind w:firstLine="720"/>
        <w:jc w:val="both"/>
        <w:rPr>
          <w:rFonts w:asciiTheme="majorBidi" w:hAnsiTheme="majorBidi" w:cstheme="majorBidi"/>
          <w:bCs/>
        </w:rPr>
      </w:pPr>
      <w:r w:rsidRPr="001749D7">
        <w:rPr>
          <w:rFonts w:asciiTheme="majorBidi" w:hAnsiTheme="majorBidi" w:cstheme="majorBidi"/>
          <w:bCs/>
        </w:rPr>
        <w:t xml:space="preserve">Two other features of Figure 2 warrant comment. First, the time-series of inequality estimates based on DMSP data has discontinuities in the years when DMSP transitions from one satellite to another. For example, when the source satellite switched from F16 in 2009 to F18 in 2010 there was a </w:t>
      </w:r>
      <w:proofErr w:type="gramStart"/>
      <w:r w:rsidRPr="001749D7">
        <w:rPr>
          <w:rFonts w:asciiTheme="majorBidi" w:hAnsiTheme="majorBidi" w:cstheme="majorBidi"/>
          <w:bCs/>
        </w:rPr>
        <w:t>four</w:t>
      </w:r>
      <w:r w:rsidR="007D0C05">
        <w:rPr>
          <w:rFonts w:asciiTheme="majorBidi" w:hAnsiTheme="majorBidi" w:cstheme="majorBidi"/>
          <w:bCs/>
        </w:rPr>
        <w:t xml:space="preserve"> </w:t>
      </w:r>
      <w:r w:rsidRPr="001749D7">
        <w:rPr>
          <w:rFonts w:asciiTheme="majorBidi" w:hAnsiTheme="majorBidi" w:cstheme="majorBidi"/>
          <w:bCs/>
        </w:rPr>
        <w:t>point</w:t>
      </w:r>
      <w:proofErr w:type="gramEnd"/>
      <w:r w:rsidRPr="001749D7">
        <w:rPr>
          <w:rFonts w:asciiTheme="majorBidi" w:hAnsiTheme="majorBidi" w:cstheme="majorBidi"/>
          <w:bCs/>
        </w:rPr>
        <w:t xml:space="preserve"> drop in the Theil index—equivalent to a ten percent decline in the apparent level of inequality—even though GDP-derived inequality estimates showed no similar change in those years. These discontinuities are likely to stem from a lack of calibration of the DMSP satellites which interferes with the consistency of the DMSP time-series (Gibson et al, 2020).</w:t>
      </w:r>
      <w:r w:rsidR="00D931F6">
        <w:rPr>
          <w:rStyle w:val="FootnoteReference"/>
          <w:rFonts w:asciiTheme="majorBidi" w:hAnsiTheme="majorBidi" w:cstheme="majorBidi"/>
          <w:bCs/>
        </w:rPr>
        <w:footnoteReference w:id="8"/>
      </w:r>
      <w:r w:rsidRPr="001749D7">
        <w:rPr>
          <w:rFonts w:asciiTheme="majorBidi" w:hAnsiTheme="majorBidi" w:cstheme="majorBidi"/>
          <w:bCs/>
        </w:rPr>
        <w:t xml:space="preserve"> This flaw also shows up as discrepancies when two satellites provide the data in the same year (e.g. spatial inequality in 2007 was seven percent lower with the data from satellite F16 than with what satellite F15 indicated for the same year). </w:t>
      </w:r>
    </w:p>
    <w:p w:rsidR="001749D7" w:rsidRPr="001749D7" w:rsidRDefault="001749D7" w:rsidP="0008292B">
      <w:pPr>
        <w:widowControl w:val="0"/>
        <w:spacing w:after="100" w:line="288" w:lineRule="auto"/>
        <w:ind w:firstLine="720"/>
        <w:jc w:val="both"/>
        <w:rPr>
          <w:rFonts w:asciiTheme="majorBidi" w:hAnsiTheme="majorBidi" w:cstheme="majorBidi"/>
          <w:bCs/>
        </w:rPr>
      </w:pPr>
      <w:r w:rsidRPr="001749D7">
        <w:rPr>
          <w:rFonts w:asciiTheme="majorBidi" w:hAnsiTheme="majorBidi" w:cstheme="majorBidi"/>
          <w:bCs/>
        </w:rPr>
        <w:t>The other feature of the Figure 2 results is that the understatement of inequality is far more apparent for the Theil index than for the Gini coefficient; probably because the Theil index is more sensitive to differences at the top of the distribution than is the Gini coefficient. There are at least two possible reasons why spatial variation at the top of the distribution is especially understated with the DMSP data; non-linearity in the GDP-luminosity relationship whereby DMSP night-time lights respond less to GDP in places where GDP is higher (Bluhm and McCord, 2022) and top-coding bias whereby DMSP data cannot distinguish brightly lit economic features, such as central business districts, from their less brightly lit surrounds (Bluhm and Krause, 2022; Gibson et al, 2021). A lack of uniform understatement of spatial inequality may distort the understanding of what drives some spatial inequality, given that it is not simply a parallel shift down in all inequality measures when the DMSP data are used.</w:t>
      </w:r>
    </w:p>
    <w:p w:rsidR="001749D7" w:rsidRDefault="001749D7">
      <w:pPr>
        <w:rPr>
          <w:rFonts w:asciiTheme="majorBidi" w:hAnsiTheme="majorBidi" w:cstheme="majorBidi"/>
          <w:bCs/>
        </w:rPr>
      </w:pPr>
      <w:r>
        <w:rPr>
          <w:rFonts w:asciiTheme="majorBidi" w:hAnsiTheme="majorBidi" w:cstheme="majorBidi"/>
          <w:bCs/>
        </w:rPr>
        <w:br w:type="page"/>
      </w:r>
    </w:p>
    <w:p w:rsidR="001749D7" w:rsidRPr="00842627" w:rsidRDefault="001749D7" w:rsidP="001749D7">
      <w:pPr>
        <w:spacing w:after="0" w:line="240" w:lineRule="auto"/>
        <w:jc w:val="center"/>
        <w:rPr>
          <w:rFonts w:eastAsia="Times New Roman" w:cs="Arial"/>
          <w:lang w:bidi="he-IL"/>
        </w:rPr>
      </w:pPr>
      <w:r w:rsidRPr="00842627">
        <w:rPr>
          <w:rFonts w:eastAsia="Times New Roman" w:cs="Arial"/>
          <w:lang w:bidi="he-IL"/>
        </w:rPr>
        <w:lastRenderedPageBreak/>
        <w:t>Figure 2</w:t>
      </w:r>
      <w:r>
        <w:rPr>
          <w:rFonts w:eastAsia="Times New Roman" w:cs="Arial"/>
          <w:lang w:bidi="he-IL"/>
        </w:rPr>
        <w:t>: County-level Spatial Inequality in the United States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9D7" w:rsidTr="005F7BB2">
        <w:tc>
          <w:tcPr>
            <w:tcW w:w="9016" w:type="dxa"/>
          </w:tcPr>
          <w:p w:rsidR="001749D7" w:rsidRPr="00CE53C7" w:rsidRDefault="001749D7" w:rsidP="005F7BB2">
            <w:pPr>
              <w:jc w:val="center"/>
            </w:pPr>
          </w:p>
        </w:tc>
      </w:tr>
      <w:tr w:rsidR="001749D7" w:rsidTr="005F7BB2">
        <w:tc>
          <w:tcPr>
            <w:tcW w:w="9016" w:type="dxa"/>
          </w:tcPr>
          <w:p w:rsidR="001749D7" w:rsidRDefault="001749D7" w:rsidP="005F7BB2">
            <w:pPr>
              <w:rPr>
                <w:sz w:val="4"/>
                <w:szCs w:val="4"/>
              </w:rPr>
            </w:pPr>
            <w:r w:rsidRPr="00BA2401">
              <w:rPr>
                <w:noProof/>
                <w:sz w:val="4"/>
                <w:szCs w:val="4"/>
                <w:lang w:eastAsia="zh-CN"/>
              </w:rPr>
              <w:drawing>
                <wp:inline distT="0" distB="0" distL="0" distR="0" wp14:anchorId="06AF230E" wp14:editId="07E080CB">
                  <wp:extent cx="5729605" cy="36766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605" cy="3676650"/>
                          </a:xfrm>
                          <a:prstGeom prst="rect">
                            <a:avLst/>
                          </a:prstGeom>
                          <a:noFill/>
                          <a:ln>
                            <a:noFill/>
                          </a:ln>
                        </pic:spPr>
                      </pic:pic>
                    </a:graphicData>
                  </a:graphic>
                </wp:inline>
              </w:drawing>
            </w:r>
          </w:p>
        </w:tc>
      </w:tr>
      <w:tr w:rsidR="001749D7" w:rsidTr="005F7BB2">
        <w:tc>
          <w:tcPr>
            <w:tcW w:w="9016" w:type="dxa"/>
          </w:tcPr>
          <w:p w:rsidR="001749D7" w:rsidRPr="00CE53C7" w:rsidRDefault="001749D7" w:rsidP="005F7BB2">
            <w:pPr>
              <w:spacing w:before="120"/>
              <w:jc w:val="center"/>
            </w:pPr>
          </w:p>
        </w:tc>
      </w:tr>
      <w:tr w:rsidR="001749D7" w:rsidTr="005F7BB2">
        <w:tc>
          <w:tcPr>
            <w:tcW w:w="9016" w:type="dxa"/>
          </w:tcPr>
          <w:p w:rsidR="001749D7" w:rsidRDefault="001749D7" w:rsidP="005F7BB2">
            <w:pPr>
              <w:rPr>
                <w:sz w:val="4"/>
                <w:szCs w:val="4"/>
              </w:rPr>
            </w:pPr>
            <w:r w:rsidRPr="00BA2401">
              <w:rPr>
                <w:noProof/>
                <w:sz w:val="4"/>
                <w:szCs w:val="4"/>
                <w:lang w:eastAsia="zh-CN"/>
              </w:rPr>
              <w:drawing>
                <wp:inline distT="0" distB="0" distL="0" distR="0" wp14:anchorId="4AB9A1C5" wp14:editId="4E7FDAFB">
                  <wp:extent cx="5729605" cy="36766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3676650"/>
                          </a:xfrm>
                          <a:prstGeom prst="rect">
                            <a:avLst/>
                          </a:prstGeom>
                          <a:noFill/>
                          <a:ln>
                            <a:noFill/>
                          </a:ln>
                        </pic:spPr>
                      </pic:pic>
                    </a:graphicData>
                  </a:graphic>
                </wp:inline>
              </w:drawing>
            </w:r>
          </w:p>
        </w:tc>
      </w:tr>
      <w:tr w:rsidR="001749D7" w:rsidTr="005F7BB2">
        <w:tc>
          <w:tcPr>
            <w:tcW w:w="9016" w:type="dxa"/>
          </w:tcPr>
          <w:p w:rsidR="001749D7" w:rsidRPr="00BA2401" w:rsidRDefault="001749D7" w:rsidP="005F7BB2">
            <w:pPr>
              <w:spacing w:before="240"/>
              <w:rPr>
                <w:noProof/>
                <w:lang w:eastAsia="zh-CN"/>
              </w:rPr>
            </w:pPr>
            <w:r w:rsidRPr="00BA2401">
              <w:rPr>
                <w:i/>
                <w:iCs/>
                <w:noProof/>
                <w:sz w:val="20"/>
                <w:szCs w:val="20"/>
                <w:lang w:eastAsia="zh-CN"/>
              </w:rPr>
              <w:t>Note:</w:t>
            </w:r>
            <w:r>
              <w:rPr>
                <w:noProof/>
                <w:sz w:val="20"/>
                <w:szCs w:val="20"/>
                <w:lang w:eastAsia="zh-CN"/>
              </w:rPr>
              <w:t xml:space="preserve"> 95% confidence intervals from bootstrapped standard errors shown with dashed lines.</w:t>
            </w:r>
          </w:p>
        </w:tc>
      </w:tr>
    </w:tbl>
    <w:p w:rsidR="001749D7" w:rsidRPr="00CE53C7" w:rsidRDefault="001749D7" w:rsidP="001749D7">
      <w:pPr>
        <w:spacing w:after="0" w:line="240" w:lineRule="auto"/>
        <w:rPr>
          <w:rFonts w:eastAsia="Times New Roman" w:cs="Arial"/>
          <w:sz w:val="4"/>
          <w:szCs w:val="4"/>
          <w:lang w:bidi="he-IL"/>
        </w:rPr>
      </w:pPr>
      <w:r w:rsidRPr="00CE53C7">
        <w:rPr>
          <w:rFonts w:eastAsia="Times New Roman" w:cs="Arial"/>
          <w:sz w:val="4"/>
          <w:szCs w:val="4"/>
          <w:lang w:bidi="he-IL"/>
        </w:rPr>
        <w:br w:type="page"/>
      </w:r>
    </w:p>
    <w:p w:rsidR="001749D7" w:rsidRPr="00842627" w:rsidRDefault="001749D7" w:rsidP="001749D7">
      <w:pPr>
        <w:spacing w:after="0" w:line="240" w:lineRule="auto"/>
        <w:jc w:val="center"/>
        <w:rPr>
          <w:rFonts w:eastAsia="Times New Roman" w:cs="Arial"/>
          <w:lang w:bidi="he-IL"/>
        </w:rPr>
      </w:pPr>
      <w:r>
        <w:rPr>
          <w:rFonts w:eastAsia="Times New Roman" w:cs="Arial"/>
          <w:lang w:bidi="he-IL"/>
        </w:rPr>
        <w:lastRenderedPageBreak/>
        <w:t>Figure 3: County-level Spatial Inequality in China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9D7" w:rsidTr="005F7BB2">
        <w:tc>
          <w:tcPr>
            <w:tcW w:w="9016" w:type="dxa"/>
          </w:tcPr>
          <w:p w:rsidR="001749D7" w:rsidRPr="00CE53C7" w:rsidRDefault="001749D7" w:rsidP="005F7BB2">
            <w:pPr>
              <w:jc w:val="center"/>
            </w:pPr>
          </w:p>
        </w:tc>
      </w:tr>
      <w:tr w:rsidR="001749D7" w:rsidTr="005F7BB2">
        <w:tc>
          <w:tcPr>
            <w:tcW w:w="9016" w:type="dxa"/>
          </w:tcPr>
          <w:p w:rsidR="001749D7" w:rsidRDefault="001749D7" w:rsidP="005F7BB2">
            <w:pPr>
              <w:rPr>
                <w:sz w:val="4"/>
                <w:szCs w:val="4"/>
              </w:rPr>
            </w:pPr>
            <w:r w:rsidRPr="00A14D97">
              <w:rPr>
                <w:noProof/>
                <w:sz w:val="4"/>
                <w:szCs w:val="4"/>
                <w:lang w:eastAsia="zh-CN"/>
              </w:rPr>
              <w:drawing>
                <wp:inline distT="0" distB="0" distL="0" distR="0" wp14:anchorId="1A00B5EA" wp14:editId="284F869C">
                  <wp:extent cx="5729605" cy="36766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3676650"/>
                          </a:xfrm>
                          <a:prstGeom prst="rect">
                            <a:avLst/>
                          </a:prstGeom>
                          <a:noFill/>
                          <a:ln>
                            <a:noFill/>
                          </a:ln>
                        </pic:spPr>
                      </pic:pic>
                    </a:graphicData>
                  </a:graphic>
                </wp:inline>
              </w:drawing>
            </w:r>
          </w:p>
        </w:tc>
      </w:tr>
      <w:tr w:rsidR="001749D7" w:rsidTr="005F7BB2">
        <w:tc>
          <w:tcPr>
            <w:tcW w:w="9016" w:type="dxa"/>
          </w:tcPr>
          <w:p w:rsidR="001749D7" w:rsidRPr="00CE53C7" w:rsidRDefault="001749D7" w:rsidP="005F7BB2">
            <w:pPr>
              <w:spacing w:before="120"/>
              <w:jc w:val="center"/>
            </w:pPr>
          </w:p>
        </w:tc>
      </w:tr>
      <w:tr w:rsidR="001749D7" w:rsidTr="005F7BB2">
        <w:tc>
          <w:tcPr>
            <w:tcW w:w="9016" w:type="dxa"/>
          </w:tcPr>
          <w:p w:rsidR="001749D7" w:rsidRDefault="001749D7" w:rsidP="005F7BB2">
            <w:pPr>
              <w:rPr>
                <w:sz w:val="4"/>
                <w:szCs w:val="4"/>
              </w:rPr>
            </w:pPr>
            <w:r w:rsidRPr="00A14D97">
              <w:rPr>
                <w:noProof/>
                <w:sz w:val="4"/>
                <w:szCs w:val="4"/>
                <w:lang w:eastAsia="zh-CN"/>
              </w:rPr>
              <w:drawing>
                <wp:inline distT="0" distB="0" distL="0" distR="0" wp14:anchorId="0DEBD5C8" wp14:editId="2B751B98">
                  <wp:extent cx="5729605" cy="36766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3676650"/>
                          </a:xfrm>
                          <a:prstGeom prst="rect">
                            <a:avLst/>
                          </a:prstGeom>
                          <a:noFill/>
                          <a:ln>
                            <a:noFill/>
                          </a:ln>
                        </pic:spPr>
                      </pic:pic>
                    </a:graphicData>
                  </a:graphic>
                </wp:inline>
              </w:drawing>
            </w:r>
          </w:p>
        </w:tc>
      </w:tr>
      <w:tr w:rsidR="001749D7" w:rsidTr="005F7BB2">
        <w:tc>
          <w:tcPr>
            <w:tcW w:w="9016" w:type="dxa"/>
          </w:tcPr>
          <w:p w:rsidR="001749D7" w:rsidRPr="00BA2401" w:rsidRDefault="001749D7" w:rsidP="005F7BB2">
            <w:pPr>
              <w:spacing w:before="240"/>
              <w:rPr>
                <w:noProof/>
                <w:lang w:eastAsia="zh-CN"/>
              </w:rPr>
            </w:pPr>
            <w:r w:rsidRPr="00BA2401">
              <w:rPr>
                <w:i/>
                <w:iCs/>
                <w:noProof/>
                <w:sz w:val="20"/>
                <w:szCs w:val="20"/>
                <w:lang w:eastAsia="zh-CN"/>
              </w:rPr>
              <w:t>Note:</w:t>
            </w:r>
            <w:r>
              <w:rPr>
                <w:noProof/>
                <w:sz w:val="20"/>
                <w:szCs w:val="20"/>
                <w:lang w:eastAsia="zh-CN"/>
              </w:rPr>
              <w:t xml:space="preserve"> 95% confidence intervals from bootstrapped standard errors shown with dashed lines.</w:t>
            </w:r>
          </w:p>
        </w:tc>
      </w:tr>
    </w:tbl>
    <w:p w:rsidR="001749D7" w:rsidRDefault="001749D7">
      <w:pPr>
        <w:rPr>
          <w:rFonts w:asciiTheme="majorBidi" w:hAnsiTheme="majorBidi" w:cstheme="majorBidi"/>
          <w:bCs/>
        </w:rPr>
      </w:pPr>
      <w:r>
        <w:rPr>
          <w:rFonts w:asciiTheme="majorBidi" w:hAnsiTheme="majorBidi" w:cstheme="majorBidi"/>
          <w:bCs/>
        </w:rPr>
        <w:br w:type="page"/>
      </w:r>
    </w:p>
    <w:p w:rsidR="001749D7" w:rsidRPr="001749D7" w:rsidRDefault="001749D7" w:rsidP="00460381">
      <w:pPr>
        <w:widowControl w:val="0"/>
        <w:spacing w:after="120" w:line="288" w:lineRule="auto"/>
        <w:ind w:firstLine="720"/>
        <w:jc w:val="both"/>
        <w:rPr>
          <w:rFonts w:asciiTheme="majorBidi" w:hAnsiTheme="majorBidi" w:cstheme="majorBidi"/>
          <w:bCs/>
        </w:rPr>
      </w:pPr>
      <w:r w:rsidRPr="001749D7">
        <w:rPr>
          <w:rFonts w:asciiTheme="majorBidi" w:hAnsiTheme="majorBidi" w:cstheme="majorBidi"/>
          <w:bCs/>
        </w:rPr>
        <w:lastRenderedPageBreak/>
        <w:t>The county-level inequality results for China are shown in Figure 3, and the patterns seen in the data for the United States are also exhibited for China. The VNL-based inequality estimates are not statistically significantly different to the GDP-based estimates; confidence intervals for the Gini coefficients with these two series almost completely overlap from 2012 to 2015, and overall the VNL-based Gini coefficients are just 4% (3 Gini points) below the GDP-based ones. In contrast, the DMSP-based inequality measures are 16% (37%) below the benchmark GDP-based estimates for the Gini coefficient (Theil index) over the 2000-2013 period that has both sets of data. The greater proportionate understatement of the Theil index (compared with the understatement of the Gini coefficient) if the DMSP data are used is in line with the pattern seen in Figure 2 for the United States.</w:t>
      </w:r>
    </w:p>
    <w:p w:rsidR="001749D7" w:rsidRPr="001749D7" w:rsidRDefault="001749D7" w:rsidP="00460381">
      <w:pPr>
        <w:widowControl w:val="0"/>
        <w:spacing w:after="120" w:line="288" w:lineRule="auto"/>
        <w:ind w:firstLine="720"/>
        <w:jc w:val="both"/>
        <w:rPr>
          <w:rFonts w:asciiTheme="majorBidi" w:hAnsiTheme="majorBidi" w:cstheme="majorBidi"/>
          <w:bCs/>
        </w:rPr>
      </w:pPr>
      <w:r w:rsidRPr="001749D7">
        <w:rPr>
          <w:rFonts w:asciiTheme="majorBidi" w:hAnsiTheme="majorBidi" w:cstheme="majorBidi"/>
          <w:bCs/>
        </w:rPr>
        <w:t>In addition to the DMSP data indicating that the level of China’s spatial inequality is lower than what either the GDP data or the more accurate VIIRS night-time lights data show, analyses of temporal trends in inequality could also be skewed by using the DMSP data. Over the 2000-2013 period there was a slight fall in inequality according to GDP data—the Gini coefficient went from 0.80 to 0.79 and the Theil index from 1.45 to 1.36—but far larger falls in inequality for that period are implied by the DMSP data. The DMSP-derived Theil index went from 1.02 in 2000 to 0.74 in 2013, which was a 28% fall (compared to a fall of just 6% in the GDP-based measure for the same period) Likewise the DMSP-derived Gini coefficient went from 0.71 to 0.62, and the trend annual rate of decline in the Gini coefficient based on DMSP data for the 2000-2013 period was -1% (with standard error of -0.1%). This annual trend rate of decline with the DMSP data is statistically significantly (</w:t>
      </w:r>
      <w:r w:rsidRPr="001749D7">
        <w:rPr>
          <w:rFonts w:asciiTheme="majorBidi" w:hAnsiTheme="majorBidi" w:cstheme="majorBidi"/>
          <w:bCs/>
          <w:i/>
          <w:iCs/>
        </w:rPr>
        <w:t>p</w:t>
      </w:r>
      <w:r w:rsidRPr="001749D7">
        <w:rPr>
          <w:rFonts w:asciiTheme="majorBidi" w:hAnsiTheme="majorBidi" w:cstheme="majorBidi"/>
          <w:bCs/>
        </w:rPr>
        <w:t>&lt;0.01) greater (i.e., it implies an apparently faster decline) than is the annual trend in the inequality estimates that are derived from the GDP data for China.</w:t>
      </w:r>
      <w:r w:rsidRPr="001749D7">
        <w:rPr>
          <w:rFonts w:asciiTheme="majorBidi" w:hAnsiTheme="majorBidi" w:cstheme="majorBidi"/>
          <w:bCs/>
          <w:vertAlign w:val="superscript"/>
        </w:rPr>
        <w:footnoteReference w:id="9"/>
      </w:r>
      <w:r w:rsidRPr="001749D7">
        <w:rPr>
          <w:rFonts w:asciiTheme="majorBidi" w:hAnsiTheme="majorBidi" w:cstheme="majorBidi"/>
          <w:bCs/>
        </w:rPr>
        <w:t xml:space="preserve"> In other words, the impact that the errors in the DMSP data have on inequality estimates cannot just be treated as an intercept shift that affects all years (and all inequality measures) equally. Instead, these measurement errors in DMSP data also seem to affect evidence on the temporal trends in spatial inequality.</w:t>
      </w:r>
    </w:p>
    <w:p w:rsidR="000679C1" w:rsidRPr="008A622D" w:rsidRDefault="002A6915" w:rsidP="00460381">
      <w:pPr>
        <w:keepNext/>
        <w:spacing w:before="120" w:after="120" w:line="288" w:lineRule="auto"/>
        <w:jc w:val="both"/>
        <w:rPr>
          <w:rFonts w:asciiTheme="majorBidi" w:hAnsiTheme="majorBidi" w:cstheme="majorBidi"/>
          <w:b/>
          <w:lang w:val="en-US"/>
        </w:rPr>
      </w:pPr>
      <w:r w:rsidRPr="008A622D">
        <w:rPr>
          <w:rFonts w:asciiTheme="majorBidi" w:hAnsiTheme="majorBidi" w:cstheme="majorBidi"/>
          <w:b/>
          <w:lang w:val="en-US"/>
        </w:rPr>
        <w:t>V</w:t>
      </w:r>
      <w:r w:rsidR="001749D7">
        <w:rPr>
          <w:rFonts w:asciiTheme="majorBidi" w:hAnsiTheme="majorBidi" w:cstheme="majorBidi"/>
          <w:b/>
          <w:lang w:val="en-US"/>
        </w:rPr>
        <w:t>I</w:t>
      </w:r>
      <w:r w:rsidRPr="008A622D">
        <w:rPr>
          <w:rFonts w:asciiTheme="majorBidi" w:hAnsiTheme="majorBidi" w:cstheme="majorBidi"/>
          <w:b/>
          <w:lang w:val="en-US"/>
        </w:rPr>
        <w:t>.</w:t>
      </w:r>
      <w:r w:rsidRPr="008A622D">
        <w:rPr>
          <w:rFonts w:asciiTheme="majorBidi" w:hAnsiTheme="majorBidi" w:cstheme="majorBidi"/>
          <w:b/>
          <w:lang w:val="en-US"/>
        </w:rPr>
        <w:tab/>
      </w:r>
      <w:r w:rsidR="007A722F" w:rsidRPr="008A622D">
        <w:rPr>
          <w:rFonts w:asciiTheme="majorBidi" w:hAnsiTheme="majorBidi" w:cstheme="majorBidi"/>
          <w:b/>
          <w:lang w:val="en-US"/>
        </w:rPr>
        <w:t>Conclusions</w:t>
      </w:r>
    </w:p>
    <w:p w:rsidR="001749D7" w:rsidRPr="001749D7" w:rsidRDefault="001749D7" w:rsidP="00460381">
      <w:pPr>
        <w:widowControl w:val="0"/>
        <w:spacing w:after="120" w:line="288" w:lineRule="auto"/>
        <w:jc w:val="both"/>
        <w:rPr>
          <w:rFonts w:asciiTheme="majorBidi" w:hAnsiTheme="majorBidi" w:cstheme="majorBidi"/>
          <w:bCs/>
          <w:lang w:val="en-AU"/>
        </w:rPr>
      </w:pPr>
      <w:r w:rsidRPr="001749D7">
        <w:rPr>
          <w:rFonts w:asciiTheme="majorBidi" w:hAnsiTheme="majorBidi" w:cstheme="majorBidi"/>
          <w:bCs/>
          <w:lang w:val="en-AU"/>
        </w:rPr>
        <w:t xml:space="preserve">Researchers in economics and regional science increasingly use satellite-detected night-time lights data; mostly from the </w:t>
      </w:r>
      <w:r w:rsidRPr="001749D7">
        <w:rPr>
          <w:rFonts w:asciiTheme="majorBidi" w:hAnsiTheme="majorBidi" w:cstheme="majorBidi"/>
          <w:bCs/>
          <w:lang w:val="en-US"/>
        </w:rPr>
        <w:t xml:space="preserve">Defense Meteorological Satellite Program whose original purpose was cloud observation for short-term weather forecasting. Studies using these data are part of a growing ‘big data’ movement in social science research. Yet despite the popularity of these DMSP data they have inherent measurement error features whose implications are largely ignored. In terms of measuring on-the-ground economic </w:t>
      </w:r>
      <w:r w:rsidRPr="001749D7">
        <w:rPr>
          <w:rFonts w:asciiTheme="majorBidi" w:hAnsiTheme="majorBidi" w:cstheme="majorBidi"/>
          <w:bCs/>
          <w:lang w:val="en-AU"/>
        </w:rPr>
        <w:t xml:space="preserve">activity the DMSP data are flawed by blurring and top-coding, due to intrinsic limitations of the sensors and data management. While prior authors have noted that even though DMSP data may be a noisy proxy they can nevertheless still be useful (e.g. Henderson et al, 2012), the fact that the measurement errors </w:t>
      </w:r>
      <w:r w:rsidRPr="001749D7">
        <w:rPr>
          <w:rFonts w:asciiTheme="majorBidi" w:hAnsiTheme="majorBidi" w:cstheme="majorBidi"/>
          <w:bCs/>
          <w:lang w:val="en-AU"/>
        </w:rPr>
        <w:lastRenderedPageBreak/>
        <w:t xml:space="preserve">are spatially mean-reverting, and the implications of this error pattern for particular uses of these data, are not emphasized. In particular, spatially mean-reverting errors make the DMSP data singularly ill-suited for estimating spatial inequality, even if they may adequately proxy for the average levels of (or growth in) economic activity at the national or aggregated regional level in other research contexts. </w:t>
      </w:r>
    </w:p>
    <w:p w:rsidR="001749D7" w:rsidRPr="001749D7" w:rsidRDefault="001749D7" w:rsidP="00460381">
      <w:pPr>
        <w:widowControl w:val="0"/>
        <w:spacing w:after="120" w:line="288" w:lineRule="auto"/>
        <w:ind w:firstLine="720"/>
        <w:jc w:val="both"/>
        <w:rPr>
          <w:rFonts w:asciiTheme="majorBidi" w:hAnsiTheme="majorBidi" w:cstheme="majorBidi"/>
          <w:bCs/>
          <w:lang w:val="en-AU"/>
        </w:rPr>
      </w:pPr>
      <w:r w:rsidRPr="001749D7">
        <w:rPr>
          <w:rFonts w:asciiTheme="majorBidi" w:hAnsiTheme="majorBidi" w:cstheme="majorBidi"/>
          <w:bCs/>
          <w:lang w:val="en-AU"/>
        </w:rPr>
        <w:t>In this paper we explain the sources of these mean-reverting errors and give examples of their impacts on spatial inequality estimates for two countries that have county-level GDP data available to use as a benchmark. For the United States we find that the Theil index of inequality is understated by almost 60% if the DMSP data are used, compared to what GDP data show. The understatement of the Gini coefficient is somewhat less but still statistically significant. For China, the Theil index appears to have fallen by 28% over the 2000 to 2013 period if the DMSP data are used—where this fall implies some levelling of China’s spatial distribution of economic activity at a time when various government initiatives aimed to promote lagging regions. However, the GDP data do not show a similarly rapid reduction in spatial inequality and so the possibility that policy makers could be inadvertently misled by studies that use DMSP data is quite strong.</w:t>
      </w:r>
    </w:p>
    <w:p w:rsidR="001749D7" w:rsidRDefault="001749D7" w:rsidP="00460381">
      <w:pPr>
        <w:widowControl w:val="0"/>
        <w:spacing w:after="120" w:line="288" w:lineRule="auto"/>
        <w:ind w:firstLine="720"/>
        <w:jc w:val="both"/>
        <w:rPr>
          <w:rFonts w:asciiTheme="majorBidi" w:hAnsiTheme="majorBidi" w:cstheme="majorBidi"/>
          <w:bCs/>
          <w:lang w:val="en-AU"/>
        </w:rPr>
      </w:pPr>
      <w:r w:rsidRPr="001749D7">
        <w:rPr>
          <w:rFonts w:asciiTheme="majorBidi" w:hAnsiTheme="majorBidi" w:cstheme="majorBidi"/>
          <w:bCs/>
          <w:lang w:val="en-AU"/>
        </w:rPr>
        <w:t>In addition to these examples, which provide some grounds for pausing use of DMSP data for estimating spatial inequality statistics, we reviewed existing studies to see whether these measurement error issues have been considered by inequality researchers. Our review showed that the literature to date appears to have ignored these issues, with no discussion of the implications of spatially mean-reverting errors in DMSP data for inequality estimates. In addition, deblurring approaches for DMSP data available since 2015 (Abrahams et al, 2018) and data adjusted for top-coding (for all DMSP pixels from 1992 to 2013) that are available since 2018 (Bluhm and Krause, 2022) have not been used, despite many of the studies that we reviewed post-dating the availability of these correction methods. The fact that inequality studies have continued to use DMSP data when the far more accurate VIIRS Night Lights and Black Marble data are available also suggests that the measurement error problems with DMSP data have not been given sufficient attention. Thus, even though the availability of satellite-detected night-time lights data has the potential to overcome some data constraints that historically have limited the range of spatial inequality studies that can be carried out, the uncritical use of DMSP data may introduce some new misunderstandings about the levels of, and trends in, spatial inequality. It is especially in settings where conventional indicators of economic activity, such as GDP and household survey data, are unavailable or untrustworthy that the measurement errors in the DMSP data may contribute to distorted regional policies because the paucity of data in such places limits the opportunity to re-examine findings that rely on DMSP data.</w:t>
      </w:r>
    </w:p>
    <w:p w:rsidR="001749D7" w:rsidRDefault="001749D7" w:rsidP="001749D7">
      <w:pPr>
        <w:widowControl w:val="0"/>
        <w:spacing w:after="0" w:line="288" w:lineRule="auto"/>
        <w:ind w:firstLine="720"/>
        <w:jc w:val="both"/>
        <w:rPr>
          <w:rFonts w:asciiTheme="majorBidi" w:hAnsiTheme="majorBidi" w:cstheme="majorBidi"/>
          <w:bCs/>
          <w:lang w:val="en-US"/>
        </w:rPr>
      </w:pPr>
    </w:p>
    <w:p w:rsidR="001749D7" w:rsidRDefault="001749D7">
      <w:pPr>
        <w:rPr>
          <w:rFonts w:asciiTheme="majorBidi" w:hAnsiTheme="majorBidi" w:cstheme="majorBidi"/>
          <w:b/>
        </w:rPr>
      </w:pPr>
      <w:r>
        <w:rPr>
          <w:rFonts w:asciiTheme="majorBidi" w:hAnsiTheme="majorBidi" w:cstheme="majorBidi"/>
          <w:b/>
        </w:rPr>
        <w:br w:type="page"/>
      </w:r>
    </w:p>
    <w:p w:rsidR="006D28EA" w:rsidRPr="008A622D" w:rsidRDefault="006D28EA" w:rsidP="00A60D4A">
      <w:pPr>
        <w:spacing w:after="80" w:line="360" w:lineRule="auto"/>
        <w:rPr>
          <w:rFonts w:asciiTheme="majorBidi" w:hAnsiTheme="majorBidi" w:cstheme="majorBidi"/>
          <w:b/>
        </w:rPr>
      </w:pPr>
      <w:r w:rsidRPr="008A622D">
        <w:rPr>
          <w:rFonts w:asciiTheme="majorBidi" w:hAnsiTheme="majorBidi" w:cstheme="majorBidi"/>
          <w:b/>
        </w:rPr>
        <w:lastRenderedPageBreak/>
        <w:t>References</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 xml:space="preserve">Abrahams, Alexei, Christopher </w:t>
      </w:r>
      <w:proofErr w:type="spellStart"/>
      <w:r w:rsidRPr="001749D7">
        <w:rPr>
          <w:rFonts w:eastAsia="Times New Roman" w:cs="Arial"/>
          <w:sz w:val="22"/>
          <w:szCs w:val="22"/>
          <w:lang w:bidi="he-IL"/>
        </w:rPr>
        <w:t>Oram</w:t>
      </w:r>
      <w:proofErr w:type="spellEnd"/>
      <w:r w:rsidRPr="001749D7">
        <w:rPr>
          <w:rFonts w:eastAsia="Times New Roman" w:cs="Arial"/>
          <w:sz w:val="22"/>
          <w:szCs w:val="22"/>
          <w:lang w:bidi="he-IL"/>
        </w:rPr>
        <w:t xml:space="preserve"> and Nancy Lozano-</w:t>
      </w:r>
      <w:proofErr w:type="spellStart"/>
      <w:r w:rsidRPr="001749D7">
        <w:rPr>
          <w:rFonts w:eastAsia="Times New Roman" w:cs="Arial"/>
          <w:sz w:val="22"/>
          <w:szCs w:val="22"/>
          <w:lang w:bidi="he-IL"/>
        </w:rPr>
        <w:t>Gracia</w:t>
      </w:r>
      <w:proofErr w:type="spellEnd"/>
      <w:r w:rsidRPr="001749D7">
        <w:rPr>
          <w:rFonts w:eastAsia="Times New Roman" w:cs="Arial"/>
          <w:sz w:val="22"/>
          <w:szCs w:val="22"/>
          <w:lang w:bidi="he-IL"/>
        </w:rPr>
        <w:t xml:space="preserve"> (2018) Deblurring DMSP night-time lights: A new method using Gaussian filters and frequencies of illumination. </w:t>
      </w:r>
      <w:r w:rsidRPr="001749D7">
        <w:rPr>
          <w:rFonts w:eastAsia="Times New Roman" w:cs="Arial"/>
          <w:i/>
          <w:iCs/>
          <w:sz w:val="22"/>
          <w:szCs w:val="22"/>
          <w:lang w:bidi="he-IL"/>
        </w:rPr>
        <w:t>Remote Sensing of Environment</w:t>
      </w:r>
      <w:r w:rsidRPr="001749D7">
        <w:rPr>
          <w:rFonts w:eastAsia="Times New Roman" w:cs="Arial"/>
          <w:sz w:val="22"/>
          <w:szCs w:val="22"/>
          <w:lang w:bidi="he-IL"/>
        </w:rPr>
        <w:t xml:space="preserve"> 210(1): 242-258.</w:t>
      </w:r>
    </w:p>
    <w:p w:rsidR="001749D7" w:rsidRPr="001749D7" w:rsidRDefault="001749D7" w:rsidP="001749D7">
      <w:pPr>
        <w:spacing w:after="80" w:line="276" w:lineRule="auto"/>
        <w:ind w:left="720" w:hanging="720"/>
        <w:rPr>
          <w:rFonts w:eastAsia="Times New Roman" w:cs="Arial"/>
          <w:sz w:val="22"/>
          <w:szCs w:val="22"/>
          <w:lang w:bidi="he-IL"/>
        </w:rPr>
      </w:pPr>
      <w:proofErr w:type="spellStart"/>
      <w:r w:rsidRPr="001749D7">
        <w:rPr>
          <w:rFonts w:eastAsia="Times New Roman" w:cs="Arial"/>
          <w:sz w:val="22"/>
          <w:szCs w:val="22"/>
          <w:lang w:bidi="he-IL"/>
        </w:rPr>
        <w:t>Alimi</w:t>
      </w:r>
      <w:proofErr w:type="spellEnd"/>
      <w:r w:rsidRPr="001749D7">
        <w:rPr>
          <w:rFonts w:eastAsia="Times New Roman" w:cs="Arial"/>
          <w:sz w:val="22"/>
          <w:szCs w:val="22"/>
          <w:lang w:bidi="he-IL"/>
        </w:rPr>
        <w:t xml:space="preserve">, </w:t>
      </w:r>
      <w:proofErr w:type="spellStart"/>
      <w:r w:rsidRPr="001749D7">
        <w:rPr>
          <w:rFonts w:eastAsia="Times New Roman" w:cs="Arial"/>
          <w:sz w:val="22"/>
          <w:szCs w:val="22"/>
          <w:lang w:bidi="he-IL"/>
        </w:rPr>
        <w:t>Omoniyi</w:t>
      </w:r>
      <w:proofErr w:type="spellEnd"/>
      <w:r w:rsidRPr="001749D7">
        <w:rPr>
          <w:rFonts w:eastAsia="Times New Roman" w:cs="Arial"/>
          <w:sz w:val="22"/>
          <w:szCs w:val="22"/>
          <w:lang w:bidi="he-IL"/>
        </w:rPr>
        <w:t xml:space="preserve">, Geua Boe-Gibson, and John Gibson (2022) Noisy night lights data: Effects on research findings for developing countries. </w:t>
      </w:r>
      <w:r w:rsidRPr="001749D7">
        <w:rPr>
          <w:rFonts w:eastAsia="Times New Roman" w:cs="Arial"/>
          <w:i/>
          <w:iCs/>
          <w:sz w:val="22"/>
          <w:szCs w:val="22"/>
          <w:lang w:bidi="he-IL"/>
        </w:rPr>
        <w:t>Working Paper</w:t>
      </w:r>
      <w:r w:rsidRPr="001749D7">
        <w:rPr>
          <w:rFonts w:eastAsia="Times New Roman" w:cs="Arial"/>
          <w:sz w:val="22"/>
          <w:szCs w:val="22"/>
          <w:lang w:bidi="he-IL"/>
        </w:rPr>
        <w:t xml:space="preserve"> 12/22, Department of Economics, University of Waikato.</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Black, Dan, Mark Berger, and Frank Scott (2000) Bounding parameter estimates with nonclassical measurement error. </w:t>
      </w:r>
      <w:r w:rsidRPr="001749D7">
        <w:rPr>
          <w:rFonts w:eastAsia="Times New Roman" w:cs="Arial"/>
          <w:i/>
          <w:iCs/>
          <w:sz w:val="22"/>
          <w:szCs w:val="22"/>
          <w:lang w:bidi="he-IL"/>
        </w:rPr>
        <w:t>Journal of the American Statistical Association</w:t>
      </w:r>
      <w:r w:rsidRPr="001749D7">
        <w:rPr>
          <w:rFonts w:eastAsia="Times New Roman" w:cs="Arial"/>
          <w:sz w:val="22"/>
          <w:szCs w:val="22"/>
          <w:lang w:bidi="he-IL"/>
        </w:rPr>
        <w:t xml:space="preserve"> 95(451): 739-748.</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 xml:space="preserve">Bluhm, Richard, and Gordon McCord (2022) What can we learn from </w:t>
      </w:r>
      <w:proofErr w:type="spellStart"/>
      <w:r w:rsidRPr="001749D7">
        <w:rPr>
          <w:rFonts w:eastAsia="Times New Roman" w:cs="Arial"/>
          <w:sz w:val="22"/>
          <w:szCs w:val="22"/>
          <w:lang w:bidi="he-IL"/>
        </w:rPr>
        <w:t>nighttime</w:t>
      </w:r>
      <w:proofErr w:type="spellEnd"/>
      <w:r w:rsidRPr="001749D7">
        <w:rPr>
          <w:rFonts w:eastAsia="Times New Roman" w:cs="Arial"/>
          <w:sz w:val="22"/>
          <w:szCs w:val="22"/>
          <w:lang w:bidi="he-IL"/>
        </w:rPr>
        <w:t xml:space="preserve"> lights for small geographies? Measurement errors and heterogeneous elasticities. </w:t>
      </w:r>
      <w:r w:rsidRPr="001749D7">
        <w:rPr>
          <w:rFonts w:eastAsia="Times New Roman" w:cs="Arial"/>
          <w:i/>
          <w:iCs/>
          <w:sz w:val="22"/>
          <w:szCs w:val="22"/>
          <w:lang w:bidi="he-IL"/>
        </w:rPr>
        <w:t>Remote Sensing</w:t>
      </w:r>
      <w:r w:rsidRPr="001749D7">
        <w:rPr>
          <w:rFonts w:eastAsia="Times New Roman" w:cs="Arial"/>
          <w:sz w:val="22"/>
          <w:szCs w:val="22"/>
          <w:lang w:bidi="he-IL"/>
        </w:rPr>
        <w:t> 14(5): 1190.</w:t>
      </w:r>
    </w:p>
    <w:p w:rsidR="00B9738D" w:rsidRDefault="001749D7" w:rsidP="00B9738D">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 xml:space="preserve">Bluhm, Richard, and Melanie Krause (2022) Top lights: Bright cities and their contribution to economic development. </w:t>
      </w:r>
      <w:r w:rsidRPr="001749D7">
        <w:rPr>
          <w:rFonts w:eastAsia="Times New Roman" w:cs="Arial"/>
          <w:i/>
          <w:iCs/>
          <w:sz w:val="22"/>
          <w:szCs w:val="22"/>
          <w:lang w:bidi="he-IL"/>
        </w:rPr>
        <w:t xml:space="preserve">Journal of Development Economics </w:t>
      </w:r>
      <w:r w:rsidRPr="001749D7">
        <w:rPr>
          <w:rFonts w:eastAsia="Times New Roman" w:cs="Arial"/>
          <w:sz w:val="22"/>
          <w:szCs w:val="22"/>
          <w:lang w:bidi="he-IL"/>
        </w:rPr>
        <w:t>157(1): 102880.</w:t>
      </w:r>
    </w:p>
    <w:p w:rsidR="00B9738D" w:rsidRPr="009052AF" w:rsidRDefault="00B9738D" w:rsidP="00B9738D">
      <w:pPr>
        <w:spacing w:after="80" w:line="276" w:lineRule="auto"/>
        <w:ind w:left="720" w:hanging="720"/>
        <w:rPr>
          <w:rFonts w:eastAsia="Times New Roman" w:cs="Arial"/>
          <w:lang w:bidi="he-IL"/>
        </w:rPr>
      </w:pPr>
      <w:r w:rsidRPr="009052AF">
        <w:rPr>
          <w:rFonts w:eastAsia="SimSun" w:cs="Arial"/>
          <w:color w:val="000000"/>
          <w:kern w:val="2"/>
          <w:sz w:val="22"/>
          <w:lang w:val="en-US" w:eastAsia="zh-CN"/>
        </w:rPr>
        <w:t xml:space="preserve">Chakravarty, Praveen, and Vivek </w:t>
      </w:r>
      <w:proofErr w:type="spellStart"/>
      <w:r w:rsidRPr="009052AF">
        <w:rPr>
          <w:rFonts w:eastAsia="SimSun" w:cs="Arial"/>
          <w:color w:val="000000"/>
          <w:kern w:val="2"/>
          <w:sz w:val="22"/>
          <w:lang w:val="en-US" w:eastAsia="zh-CN"/>
        </w:rPr>
        <w:t>Dehejia</w:t>
      </w:r>
      <w:proofErr w:type="spellEnd"/>
      <w:r w:rsidRPr="009052AF">
        <w:rPr>
          <w:rFonts w:eastAsia="SimSun" w:cs="Arial"/>
          <w:color w:val="000000"/>
          <w:kern w:val="2"/>
          <w:sz w:val="22"/>
          <w:lang w:val="en-US" w:eastAsia="zh-CN"/>
        </w:rPr>
        <w:t xml:space="preserve"> (2017) India’s income divergence: Governance or development model? </w:t>
      </w:r>
      <w:r w:rsidRPr="009052AF">
        <w:rPr>
          <w:rFonts w:eastAsia="SimSun" w:cs="Arial"/>
          <w:i/>
          <w:iCs/>
          <w:color w:val="000000"/>
          <w:kern w:val="2"/>
          <w:sz w:val="22"/>
          <w:lang w:val="en-US" w:eastAsia="zh-CN"/>
        </w:rPr>
        <w:t>Briefing Paper Series</w:t>
      </w:r>
      <w:r w:rsidRPr="009052AF">
        <w:rPr>
          <w:rFonts w:eastAsia="SimSun" w:cs="Arial"/>
          <w:color w:val="000000"/>
          <w:kern w:val="2"/>
          <w:sz w:val="22"/>
          <w:lang w:val="en-US" w:eastAsia="zh-CN"/>
        </w:rPr>
        <w:t>, IDFC Institute.</w:t>
      </w:r>
    </w:p>
    <w:p w:rsidR="00B9738D" w:rsidRPr="009052AF" w:rsidRDefault="00B9738D" w:rsidP="00B9738D">
      <w:pPr>
        <w:spacing w:after="80" w:line="276" w:lineRule="auto"/>
        <w:ind w:left="720" w:hanging="720"/>
        <w:rPr>
          <w:rFonts w:eastAsia="Times New Roman" w:cs="Arial"/>
          <w:sz w:val="22"/>
          <w:szCs w:val="22"/>
          <w:lang w:bidi="he-IL"/>
        </w:rPr>
      </w:pPr>
      <w:r w:rsidRPr="009052AF">
        <w:rPr>
          <w:rFonts w:eastAsia="SimSun" w:cs="Arial"/>
          <w:color w:val="000000"/>
          <w:kern w:val="2"/>
          <w:sz w:val="22"/>
          <w:szCs w:val="22"/>
          <w:lang w:val="en-US" w:eastAsia="zh-CN"/>
        </w:rPr>
        <w:t xml:space="preserve">Chen, </w:t>
      </w:r>
      <w:proofErr w:type="spellStart"/>
      <w:r w:rsidRPr="009052AF">
        <w:rPr>
          <w:rFonts w:eastAsia="SimSun" w:cs="Arial"/>
          <w:color w:val="000000"/>
          <w:kern w:val="2"/>
          <w:sz w:val="22"/>
          <w:szCs w:val="22"/>
          <w:lang w:val="en-US" w:eastAsia="zh-CN"/>
        </w:rPr>
        <w:t>Guohui</w:t>
      </w:r>
      <w:proofErr w:type="spellEnd"/>
      <w:r w:rsidRPr="009052AF">
        <w:rPr>
          <w:rFonts w:eastAsia="SimSun" w:cs="Arial"/>
          <w:color w:val="000000"/>
          <w:kern w:val="2"/>
          <w:sz w:val="22"/>
          <w:szCs w:val="22"/>
          <w:lang w:val="en-US" w:eastAsia="zh-CN"/>
        </w:rPr>
        <w:t xml:space="preserve">, and </w:t>
      </w:r>
      <w:proofErr w:type="spellStart"/>
      <w:r w:rsidRPr="009052AF">
        <w:rPr>
          <w:rFonts w:eastAsia="SimSun" w:cs="Arial"/>
          <w:color w:val="000000"/>
          <w:kern w:val="2"/>
          <w:sz w:val="22"/>
          <w:szCs w:val="22"/>
          <w:lang w:val="en-US" w:eastAsia="zh-CN"/>
        </w:rPr>
        <w:t>Jie</w:t>
      </w:r>
      <w:proofErr w:type="spellEnd"/>
      <w:r w:rsidRPr="009052AF">
        <w:rPr>
          <w:rFonts w:eastAsia="SimSun" w:cs="Arial"/>
          <w:color w:val="000000"/>
          <w:kern w:val="2"/>
          <w:sz w:val="22"/>
          <w:szCs w:val="22"/>
          <w:lang w:val="en-US" w:eastAsia="zh-CN"/>
        </w:rPr>
        <w:t xml:space="preserve"> Zhang (2022) Regional inequality in ASEAN countries:</w:t>
      </w:r>
      <w:r w:rsidRPr="009052AF">
        <w:rPr>
          <w:rFonts w:eastAsia="SimSun" w:cs="Arial" w:hint="eastAsia"/>
          <w:color w:val="000000"/>
          <w:kern w:val="2"/>
          <w:sz w:val="22"/>
          <w:szCs w:val="22"/>
          <w:lang w:val="en-US" w:eastAsia="zh-CN"/>
        </w:rPr>
        <w:t xml:space="preserve"> </w:t>
      </w:r>
      <w:r w:rsidRPr="009052AF">
        <w:rPr>
          <w:rFonts w:eastAsia="SimSun" w:cs="Arial"/>
          <w:color w:val="000000"/>
          <w:kern w:val="2"/>
          <w:sz w:val="22"/>
          <w:szCs w:val="22"/>
          <w:lang w:val="en-US" w:eastAsia="zh-CN"/>
        </w:rPr>
        <w:t xml:space="preserve">Evidence from an outer space perspective. </w:t>
      </w:r>
      <w:r w:rsidRPr="009052AF">
        <w:rPr>
          <w:rFonts w:eastAsia="SimSun" w:cs="Arial"/>
          <w:i/>
          <w:iCs/>
          <w:color w:val="000000"/>
          <w:kern w:val="2"/>
          <w:sz w:val="22"/>
          <w:szCs w:val="22"/>
          <w:lang w:val="en-US" w:eastAsia="zh-CN"/>
        </w:rPr>
        <w:t xml:space="preserve">Emerging Markets Finance and Trade </w:t>
      </w:r>
      <w:r w:rsidRPr="009052AF">
        <w:rPr>
          <w:rFonts w:eastAsia="SimSun" w:cs="Arial"/>
          <w:color w:val="000000"/>
          <w:kern w:val="2"/>
          <w:sz w:val="22"/>
          <w:szCs w:val="22"/>
          <w:lang w:val="en-US" w:eastAsia="zh-CN"/>
        </w:rPr>
        <w:t xml:space="preserve">(online early available at: </w:t>
      </w:r>
      <w:hyperlink r:id="rId14" w:history="1">
        <w:r w:rsidRPr="00B9738D">
          <w:rPr>
            <w:rFonts w:eastAsia="SimSun" w:cs="Arial"/>
            <w:color w:val="0563C1"/>
            <w:kern w:val="2"/>
            <w:sz w:val="22"/>
            <w:szCs w:val="22"/>
            <w:u w:val="single"/>
            <w:lang w:eastAsia="zh-CN"/>
          </w:rPr>
          <w:t>https://doi.org/10.1080/1540496X.2022.2119810</w:t>
        </w:r>
      </w:hyperlink>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 xml:space="preserve">Deininger, Klaus, and Lyn Squire (1996) A new data set measuring income inequality. </w:t>
      </w:r>
      <w:r w:rsidRPr="001749D7">
        <w:rPr>
          <w:rFonts w:eastAsia="Times New Roman" w:cs="Arial"/>
          <w:i/>
          <w:iCs/>
          <w:sz w:val="22"/>
          <w:szCs w:val="22"/>
          <w:lang w:bidi="he-IL"/>
        </w:rPr>
        <w:t>The World Bank Economic Review</w:t>
      </w:r>
      <w:r w:rsidRPr="001749D7">
        <w:rPr>
          <w:rFonts w:eastAsia="Times New Roman" w:cs="Arial"/>
          <w:sz w:val="22"/>
          <w:szCs w:val="22"/>
          <w:lang w:bidi="he-IL"/>
        </w:rPr>
        <w:t> 10(3): 565-591.</w:t>
      </w:r>
    </w:p>
    <w:p w:rsidR="001749D7" w:rsidRPr="001749D7" w:rsidRDefault="001749D7" w:rsidP="001749D7">
      <w:pPr>
        <w:spacing w:after="120" w:line="276" w:lineRule="auto"/>
        <w:ind w:left="720" w:hanging="720"/>
        <w:rPr>
          <w:rFonts w:eastAsia="Times New Roman" w:cs="Arial"/>
          <w:sz w:val="22"/>
          <w:szCs w:val="22"/>
          <w:lang w:bidi="he-IL"/>
        </w:rPr>
      </w:pPr>
      <w:r w:rsidRPr="001749D7">
        <w:rPr>
          <w:rFonts w:eastAsia="Times New Roman" w:cs="Arial"/>
          <w:sz w:val="22"/>
          <w:szCs w:val="22"/>
          <w:lang w:bidi="he-IL"/>
        </w:rPr>
        <w:t xml:space="preserve">Doll, Christopher (2008) </w:t>
      </w:r>
      <w:r w:rsidRPr="001749D7">
        <w:rPr>
          <w:rFonts w:eastAsia="Times New Roman" w:cs="Arial"/>
          <w:i/>
          <w:iCs/>
          <w:sz w:val="22"/>
          <w:szCs w:val="22"/>
          <w:lang w:bidi="he-IL"/>
        </w:rPr>
        <w:t>CIESIN Thematic Guide to Night-time Light Remote Sensing and its Applications</w:t>
      </w:r>
      <w:r w:rsidRPr="001749D7">
        <w:rPr>
          <w:rFonts w:eastAsia="Times New Roman" w:cs="Arial"/>
          <w:sz w:val="22"/>
          <w:szCs w:val="22"/>
          <w:lang w:bidi="he-IL"/>
        </w:rPr>
        <w:t>. </w:t>
      </w:r>
      <w:proofErr w:type="spellStart"/>
      <w:r w:rsidRPr="001749D7">
        <w:rPr>
          <w:rFonts w:eastAsia="Times New Roman" w:cs="Arial"/>
          <w:sz w:val="22"/>
          <w:szCs w:val="22"/>
          <w:lang w:bidi="he-IL"/>
        </w:rPr>
        <w:t>Center</w:t>
      </w:r>
      <w:proofErr w:type="spellEnd"/>
      <w:r w:rsidRPr="001749D7">
        <w:rPr>
          <w:rFonts w:eastAsia="Times New Roman" w:cs="Arial"/>
          <w:sz w:val="22"/>
          <w:szCs w:val="22"/>
          <w:lang w:bidi="he-IL"/>
        </w:rPr>
        <w:t xml:space="preserve"> for International Earth Science Information Network, Columbia University, New York.</w:t>
      </w:r>
    </w:p>
    <w:p w:rsidR="001749D7" w:rsidRPr="001749D7" w:rsidRDefault="001749D7" w:rsidP="001749D7">
      <w:pPr>
        <w:spacing w:after="120" w:line="276" w:lineRule="auto"/>
        <w:ind w:left="720" w:hanging="720"/>
        <w:rPr>
          <w:rFonts w:eastAsia="Times New Roman" w:cs="Arial"/>
          <w:sz w:val="22"/>
          <w:szCs w:val="22"/>
          <w:lang w:bidi="he-IL"/>
        </w:rPr>
      </w:pPr>
      <w:proofErr w:type="spellStart"/>
      <w:r w:rsidRPr="001749D7">
        <w:rPr>
          <w:rFonts w:eastAsia="Times New Roman" w:cs="Arial"/>
          <w:sz w:val="22"/>
          <w:szCs w:val="22"/>
          <w:lang w:bidi="he-IL"/>
        </w:rPr>
        <w:t>Elbers</w:t>
      </w:r>
      <w:proofErr w:type="spellEnd"/>
      <w:r w:rsidRPr="001749D7">
        <w:rPr>
          <w:rFonts w:eastAsia="Times New Roman" w:cs="Arial"/>
          <w:sz w:val="22"/>
          <w:szCs w:val="22"/>
          <w:lang w:bidi="he-IL"/>
        </w:rPr>
        <w:t xml:space="preserve">, Chris, Jean O. </w:t>
      </w:r>
      <w:proofErr w:type="spellStart"/>
      <w:r w:rsidRPr="001749D7">
        <w:rPr>
          <w:rFonts w:eastAsia="Times New Roman" w:cs="Arial"/>
          <w:sz w:val="22"/>
          <w:szCs w:val="22"/>
          <w:lang w:bidi="he-IL"/>
        </w:rPr>
        <w:t>Lanjouw</w:t>
      </w:r>
      <w:proofErr w:type="spellEnd"/>
      <w:r w:rsidRPr="001749D7">
        <w:rPr>
          <w:rFonts w:eastAsia="Times New Roman" w:cs="Arial"/>
          <w:sz w:val="22"/>
          <w:szCs w:val="22"/>
          <w:lang w:bidi="he-IL"/>
        </w:rPr>
        <w:t xml:space="preserve">, and Peter </w:t>
      </w:r>
      <w:proofErr w:type="spellStart"/>
      <w:r w:rsidRPr="001749D7">
        <w:rPr>
          <w:rFonts w:eastAsia="Times New Roman" w:cs="Arial"/>
          <w:sz w:val="22"/>
          <w:szCs w:val="22"/>
          <w:lang w:bidi="he-IL"/>
        </w:rPr>
        <w:t>Lanjouw</w:t>
      </w:r>
      <w:proofErr w:type="spellEnd"/>
      <w:r w:rsidRPr="001749D7">
        <w:rPr>
          <w:rFonts w:eastAsia="Times New Roman" w:cs="Arial"/>
          <w:sz w:val="22"/>
          <w:szCs w:val="22"/>
          <w:lang w:bidi="he-IL"/>
        </w:rPr>
        <w:t xml:space="preserve"> (2003) Micro-level estimation of poverty and inequality. </w:t>
      </w:r>
      <w:proofErr w:type="spellStart"/>
      <w:r w:rsidRPr="001749D7">
        <w:rPr>
          <w:rFonts w:eastAsia="Times New Roman" w:cs="Arial"/>
          <w:i/>
          <w:iCs/>
          <w:sz w:val="22"/>
          <w:szCs w:val="22"/>
          <w:lang w:bidi="he-IL"/>
        </w:rPr>
        <w:t>Econometrica</w:t>
      </w:r>
      <w:proofErr w:type="spellEnd"/>
      <w:r w:rsidRPr="001749D7">
        <w:rPr>
          <w:rFonts w:eastAsia="Times New Roman" w:cs="Arial"/>
          <w:sz w:val="22"/>
          <w:szCs w:val="22"/>
          <w:lang w:bidi="he-IL"/>
        </w:rPr>
        <w:t> 71(1): 355-364.</w:t>
      </w:r>
    </w:p>
    <w:p w:rsidR="001749D7" w:rsidRPr="001749D7" w:rsidRDefault="001749D7" w:rsidP="001749D7">
      <w:pPr>
        <w:spacing w:after="80" w:line="276" w:lineRule="auto"/>
        <w:ind w:left="720" w:hanging="720"/>
        <w:rPr>
          <w:rFonts w:eastAsia="Times New Roman" w:cs="Arial"/>
          <w:sz w:val="22"/>
          <w:szCs w:val="22"/>
          <w:lang w:bidi="he-IL"/>
        </w:rPr>
      </w:pPr>
      <w:proofErr w:type="spellStart"/>
      <w:r w:rsidRPr="001749D7">
        <w:rPr>
          <w:rFonts w:eastAsia="Times New Roman" w:cs="Arial"/>
          <w:sz w:val="22"/>
          <w:szCs w:val="22"/>
          <w:lang w:bidi="he-IL"/>
        </w:rPr>
        <w:t>Elvidge</w:t>
      </w:r>
      <w:proofErr w:type="spellEnd"/>
      <w:r w:rsidRPr="001749D7">
        <w:rPr>
          <w:rFonts w:eastAsia="Times New Roman" w:cs="Arial"/>
          <w:sz w:val="22"/>
          <w:szCs w:val="22"/>
          <w:lang w:bidi="he-IL"/>
        </w:rPr>
        <w:t xml:space="preserve">, Christopher, Kimberly Baugh, Mikhail </w:t>
      </w:r>
      <w:proofErr w:type="spellStart"/>
      <w:r w:rsidRPr="001749D7">
        <w:rPr>
          <w:rFonts w:eastAsia="Times New Roman" w:cs="Arial"/>
          <w:sz w:val="22"/>
          <w:szCs w:val="22"/>
          <w:lang w:bidi="he-IL"/>
        </w:rPr>
        <w:t>Zhizhin</w:t>
      </w:r>
      <w:proofErr w:type="spellEnd"/>
      <w:r w:rsidRPr="001749D7">
        <w:rPr>
          <w:rFonts w:eastAsia="Times New Roman" w:cs="Arial"/>
          <w:sz w:val="22"/>
          <w:szCs w:val="22"/>
          <w:lang w:bidi="he-IL"/>
        </w:rPr>
        <w:t xml:space="preserve">, and Feng-Chi Hsu (2013) Why VIIRS data are superior to DMSP for mapping night time lights. </w:t>
      </w:r>
      <w:r w:rsidRPr="001749D7">
        <w:rPr>
          <w:rFonts w:eastAsia="Times New Roman" w:cs="Arial"/>
          <w:i/>
          <w:iCs/>
          <w:sz w:val="22"/>
          <w:szCs w:val="22"/>
          <w:lang w:bidi="he-IL"/>
        </w:rPr>
        <w:t>Proceedings of the Asia-Pacific Advanced Network</w:t>
      </w:r>
      <w:r w:rsidRPr="001749D7">
        <w:rPr>
          <w:rFonts w:eastAsia="Times New Roman" w:cs="Arial"/>
          <w:sz w:val="22"/>
          <w:szCs w:val="22"/>
          <w:lang w:bidi="he-IL"/>
        </w:rPr>
        <w:t> 35(1): 62-69.</w:t>
      </w:r>
    </w:p>
    <w:p w:rsidR="001749D7" w:rsidRPr="001749D7" w:rsidRDefault="001749D7" w:rsidP="001749D7">
      <w:pPr>
        <w:spacing w:after="80" w:line="276" w:lineRule="auto"/>
        <w:ind w:left="720" w:hanging="720"/>
        <w:rPr>
          <w:rFonts w:eastAsia="Times New Roman" w:cs="Arial"/>
          <w:sz w:val="22"/>
          <w:szCs w:val="22"/>
          <w:lang w:bidi="he-IL"/>
        </w:rPr>
      </w:pPr>
      <w:proofErr w:type="spellStart"/>
      <w:r w:rsidRPr="001749D7">
        <w:rPr>
          <w:rFonts w:eastAsia="Times New Roman" w:cs="Arial"/>
          <w:sz w:val="22"/>
          <w:szCs w:val="22"/>
          <w:lang w:bidi="he-IL"/>
        </w:rPr>
        <w:t>Elvidge</w:t>
      </w:r>
      <w:proofErr w:type="spellEnd"/>
      <w:r w:rsidRPr="001749D7">
        <w:rPr>
          <w:rFonts w:eastAsia="Times New Roman" w:cs="Arial"/>
          <w:sz w:val="22"/>
          <w:szCs w:val="22"/>
          <w:lang w:bidi="he-IL"/>
        </w:rPr>
        <w:t xml:space="preserve">, Christopher, Mikhail </w:t>
      </w:r>
      <w:proofErr w:type="spellStart"/>
      <w:r w:rsidRPr="001749D7">
        <w:rPr>
          <w:rFonts w:eastAsia="Times New Roman" w:cs="Arial"/>
          <w:sz w:val="22"/>
          <w:szCs w:val="22"/>
          <w:lang w:bidi="he-IL"/>
        </w:rPr>
        <w:t>Zhizhin</w:t>
      </w:r>
      <w:proofErr w:type="spellEnd"/>
      <w:r w:rsidRPr="001749D7">
        <w:rPr>
          <w:rFonts w:eastAsia="Times New Roman" w:cs="Arial"/>
          <w:sz w:val="22"/>
          <w:szCs w:val="22"/>
          <w:lang w:bidi="he-IL"/>
        </w:rPr>
        <w:t xml:space="preserve">, </w:t>
      </w:r>
      <w:proofErr w:type="spellStart"/>
      <w:r w:rsidRPr="001749D7">
        <w:rPr>
          <w:rFonts w:eastAsia="Times New Roman" w:cs="Arial"/>
          <w:sz w:val="22"/>
          <w:szCs w:val="22"/>
          <w:lang w:bidi="he-IL"/>
        </w:rPr>
        <w:t>Tilottama</w:t>
      </w:r>
      <w:proofErr w:type="spellEnd"/>
      <w:r w:rsidRPr="001749D7">
        <w:rPr>
          <w:rFonts w:eastAsia="Times New Roman" w:cs="Arial"/>
          <w:sz w:val="22"/>
          <w:szCs w:val="22"/>
          <w:lang w:bidi="he-IL"/>
        </w:rPr>
        <w:t xml:space="preserve"> Ghosh, Feng-Chi Hsu, and Jay Taneja (2021) Annual time series of global VIIRS </w:t>
      </w:r>
      <w:proofErr w:type="spellStart"/>
      <w:r w:rsidRPr="001749D7">
        <w:rPr>
          <w:rFonts w:eastAsia="Times New Roman" w:cs="Arial"/>
          <w:sz w:val="22"/>
          <w:szCs w:val="22"/>
          <w:lang w:bidi="he-IL"/>
        </w:rPr>
        <w:t>nighttime</w:t>
      </w:r>
      <w:proofErr w:type="spellEnd"/>
      <w:r w:rsidRPr="001749D7">
        <w:rPr>
          <w:rFonts w:eastAsia="Times New Roman" w:cs="Arial"/>
          <w:sz w:val="22"/>
          <w:szCs w:val="22"/>
          <w:lang w:bidi="he-IL"/>
        </w:rPr>
        <w:t xml:space="preserve"> lights derived from monthly averages: 2012 to 2019. </w:t>
      </w:r>
      <w:r w:rsidRPr="001749D7">
        <w:rPr>
          <w:rFonts w:eastAsia="Times New Roman" w:cs="Arial"/>
          <w:i/>
          <w:iCs/>
          <w:sz w:val="22"/>
          <w:szCs w:val="22"/>
          <w:lang w:bidi="he-IL"/>
        </w:rPr>
        <w:t>Remote Sensing</w:t>
      </w:r>
      <w:r w:rsidRPr="001749D7">
        <w:rPr>
          <w:rFonts w:eastAsia="Times New Roman" w:cs="Arial"/>
          <w:sz w:val="22"/>
          <w:szCs w:val="22"/>
          <w:lang w:bidi="he-IL"/>
        </w:rPr>
        <w:t> 13(5): 922.</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 xml:space="preserve">Ghosh, </w:t>
      </w:r>
      <w:proofErr w:type="spellStart"/>
      <w:r w:rsidRPr="001749D7">
        <w:rPr>
          <w:rFonts w:eastAsia="Times New Roman" w:cs="Arial"/>
          <w:sz w:val="22"/>
          <w:szCs w:val="22"/>
          <w:lang w:bidi="he-IL"/>
        </w:rPr>
        <w:t>Tilottama</w:t>
      </w:r>
      <w:proofErr w:type="spellEnd"/>
      <w:r w:rsidRPr="001749D7">
        <w:rPr>
          <w:rFonts w:eastAsia="Times New Roman" w:cs="Arial"/>
          <w:sz w:val="22"/>
          <w:szCs w:val="22"/>
          <w:lang w:bidi="he-IL"/>
        </w:rPr>
        <w:t xml:space="preserve">, Kimberly Baugh, Christopher </w:t>
      </w:r>
      <w:proofErr w:type="spellStart"/>
      <w:r w:rsidRPr="001749D7">
        <w:rPr>
          <w:rFonts w:eastAsia="Times New Roman" w:cs="Arial"/>
          <w:sz w:val="22"/>
          <w:szCs w:val="22"/>
          <w:lang w:bidi="he-IL"/>
        </w:rPr>
        <w:t>Elvidge</w:t>
      </w:r>
      <w:proofErr w:type="spellEnd"/>
      <w:r w:rsidRPr="001749D7">
        <w:rPr>
          <w:rFonts w:eastAsia="Times New Roman" w:cs="Arial"/>
          <w:sz w:val="22"/>
          <w:szCs w:val="22"/>
          <w:lang w:bidi="he-IL"/>
        </w:rPr>
        <w:t xml:space="preserve">, Mikhail </w:t>
      </w:r>
      <w:proofErr w:type="spellStart"/>
      <w:r w:rsidRPr="001749D7">
        <w:rPr>
          <w:rFonts w:eastAsia="Times New Roman" w:cs="Arial"/>
          <w:sz w:val="22"/>
          <w:szCs w:val="22"/>
          <w:lang w:bidi="he-IL"/>
        </w:rPr>
        <w:t>Zhizhin</w:t>
      </w:r>
      <w:proofErr w:type="spellEnd"/>
      <w:r w:rsidRPr="001749D7">
        <w:rPr>
          <w:rFonts w:eastAsia="Times New Roman" w:cs="Arial"/>
          <w:sz w:val="22"/>
          <w:szCs w:val="22"/>
          <w:lang w:bidi="he-IL"/>
        </w:rPr>
        <w:t xml:space="preserve">, Alexey </w:t>
      </w:r>
      <w:proofErr w:type="spellStart"/>
      <w:r w:rsidRPr="001749D7">
        <w:rPr>
          <w:rFonts w:eastAsia="Times New Roman" w:cs="Arial"/>
          <w:sz w:val="22"/>
          <w:szCs w:val="22"/>
          <w:lang w:bidi="he-IL"/>
        </w:rPr>
        <w:t>Poyda</w:t>
      </w:r>
      <w:proofErr w:type="spellEnd"/>
      <w:r w:rsidRPr="001749D7">
        <w:rPr>
          <w:rFonts w:eastAsia="Times New Roman" w:cs="Arial"/>
          <w:sz w:val="22"/>
          <w:szCs w:val="22"/>
          <w:lang w:bidi="he-IL"/>
        </w:rPr>
        <w:t xml:space="preserve">, and Feng-Chi Hsu (2021) Extending the DMSP </w:t>
      </w:r>
      <w:proofErr w:type="spellStart"/>
      <w:r w:rsidRPr="001749D7">
        <w:rPr>
          <w:rFonts w:eastAsia="Times New Roman" w:cs="Arial"/>
          <w:sz w:val="22"/>
          <w:szCs w:val="22"/>
          <w:lang w:bidi="he-IL"/>
        </w:rPr>
        <w:t>nighttime</w:t>
      </w:r>
      <w:proofErr w:type="spellEnd"/>
      <w:r w:rsidRPr="001749D7">
        <w:rPr>
          <w:rFonts w:eastAsia="Times New Roman" w:cs="Arial"/>
          <w:sz w:val="22"/>
          <w:szCs w:val="22"/>
          <w:lang w:bidi="he-IL"/>
        </w:rPr>
        <w:t xml:space="preserve"> lights time series beyond 2013. </w:t>
      </w:r>
      <w:r w:rsidRPr="001749D7">
        <w:rPr>
          <w:rFonts w:eastAsia="Times New Roman" w:cs="Arial"/>
          <w:i/>
          <w:iCs/>
          <w:sz w:val="22"/>
          <w:szCs w:val="22"/>
          <w:lang w:bidi="he-IL"/>
        </w:rPr>
        <w:t>Remote Sensing</w:t>
      </w:r>
      <w:r w:rsidRPr="001749D7">
        <w:rPr>
          <w:rFonts w:eastAsia="Times New Roman" w:cs="Arial"/>
          <w:sz w:val="22"/>
          <w:szCs w:val="22"/>
          <w:lang w:bidi="he-IL"/>
        </w:rPr>
        <w:t> 13(24): 5004.</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Gibson, John (2021) Better night lights data, for longer. </w:t>
      </w:r>
      <w:r w:rsidRPr="001749D7">
        <w:rPr>
          <w:rFonts w:eastAsia="Times New Roman" w:cs="Arial"/>
          <w:i/>
          <w:iCs/>
          <w:sz w:val="22"/>
          <w:szCs w:val="22"/>
          <w:lang w:bidi="he-IL"/>
        </w:rPr>
        <w:t>Oxford Bulletin of Economics and Statistics</w:t>
      </w:r>
      <w:r w:rsidRPr="001749D7">
        <w:rPr>
          <w:rFonts w:eastAsia="Times New Roman" w:cs="Arial"/>
          <w:sz w:val="22"/>
          <w:szCs w:val="22"/>
          <w:lang w:bidi="he-IL"/>
        </w:rPr>
        <w:t> 83(3): 770-791.</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 xml:space="preserve">Gibson, John, </w:t>
      </w:r>
      <w:proofErr w:type="spellStart"/>
      <w:r w:rsidRPr="001749D7">
        <w:rPr>
          <w:rFonts w:eastAsia="Times New Roman" w:cs="Arial"/>
          <w:sz w:val="22"/>
          <w:szCs w:val="22"/>
          <w:lang w:bidi="he-IL"/>
        </w:rPr>
        <w:t>Jikun</w:t>
      </w:r>
      <w:proofErr w:type="spellEnd"/>
      <w:r w:rsidRPr="001749D7">
        <w:rPr>
          <w:rFonts w:eastAsia="Times New Roman" w:cs="Arial"/>
          <w:sz w:val="22"/>
          <w:szCs w:val="22"/>
          <w:lang w:bidi="he-IL"/>
        </w:rPr>
        <w:t xml:space="preserve"> Huang, and Scott </w:t>
      </w:r>
      <w:proofErr w:type="spellStart"/>
      <w:r w:rsidRPr="001749D7">
        <w:rPr>
          <w:rFonts w:eastAsia="Times New Roman" w:cs="Arial"/>
          <w:sz w:val="22"/>
          <w:szCs w:val="22"/>
          <w:lang w:bidi="he-IL"/>
        </w:rPr>
        <w:t>Rozelle</w:t>
      </w:r>
      <w:proofErr w:type="spellEnd"/>
      <w:r w:rsidRPr="001749D7">
        <w:rPr>
          <w:rFonts w:eastAsia="Times New Roman" w:cs="Arial"/>
          <w:sz w:val="22"/>
          <w:szCs w:val="22"/>
          <w:lang w:bidi="he-IL"/>
        </w:rPr>
        <w:t xml:space="preserve"> (2001) Why is income inequality so low in China compared to other countries? The effect of household survey methods. </w:t>
      </w:r>
      <w:r w:rsidRPr="001749D7">
        <w:rPr>
          <w:rFonts w:eastAsia="Times New Roman" w:cs="Arial"/>
          <w:i/>
          <w:iCs/>
          <w:sz w:val="22"/>
          <w:szCs w:val="22"/>
          <w:lang w:bidi="he-IL"/>
        </w:rPr>
        <w:t>Economics Letters</w:t>
      </w:r>
      <w:r w:rsidRPr="001749D7">
        <w:rPr>
          <w:rFonts w:eastAsia="Times New Roman" w:cs="Arial"/>
          <w:sz w:val="22"/>
          <w:szCs w:val="22"/>
          <w:lang w:bidi="he-IL"/>
        </w:rPr>
        <w:t xml:space="preserve"> 71(3): 329-333.</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t xml:space="preserve">Gibson, John and </w:t>
      </w:r>
      <w:proofErr w:type="spellStart"/>
      <w:r w:rsidRPr="001749D7">
        <w:rPr>
          <w:rFonts w:eastAsia="Times New Roman" w:cs="Arial"/>
          <w:sz w:val="22"/>
          <w:szCs w:val="22"/>
          <w:lang w:bidi="he-IL"/>
        </w:rPr>
        <w:t>Bonggeun</w:t>
      </w:r>
      <w:proofErr w:type="spellEnd"/>
      <w:r w:rsidRPr="001749D7">
        <w:rPr>
          <w:rFonts w:eastAsia="Times New Roman" w:cs="Arial"/>
          <w:sz w:val="22"/>
          <w:szCs w:val="22"/>
          <w:lang w:bidi="he-IL"/>
        </w:rPr>
        <w:t xml:space="preserve"> Kim (2010) Non‐classical measurement error in long‐term retrospective recall surveys. </w:t>
      </w:r>
      <w:r w:rsidRPr="001749D7">
        <w:rPr>
          <w:rFonts w:eastAsia="Times New Roman" w:cs="Arial"/>
          <w:i/>
          <w:iCs/>
          <w:sz w:val="22"/>
          <w:szCs w:val="22"/>
          <w:lang w:bidi="he-IL"/>
        </w:rPr>
        <w:t>Oxford Bulletin of Economics and Statistics</w:t>
      </w:r>
      <w:r w:rsidRPr="001749D7">
        <w:rPr>
          <w:rFonts w:eastAsia="Times New Roman" w:cs="Arial"/>
          <w:sz w:val="22"/>
          <w:szCs w:val="22"/>
          <w:lang w:bidi="he-IL"/>
        </w:rPr>
        <w:t> 72(5): 687</w:t>
      </w:r>
      <w:r w:rsidRPr="001749D7">
        <w:rPr>
          <w:rFonts w:eastAsia="Times New Roman" w:cs="Arial"/>
          <w:sz w:val="22"/>
          <w:szCs w:val="22"/>
          <w:lang w:bidi="he-IL"/>
        </w:rPr>
        <w:noBreakHyphen/>
        <w:t>695.</w:t>
      </w:r>
    </w:p>
    <w:p w:rsidR="001749D7" w:rsidRPr="001749D7" w:rsidRDefault="001749D7" w:rsidP="001749D7">
      <w:pPr>
        <w:spacing w:after="80" w:line="276" w:lineRule="auto"/>
        <w:ind w:left="720" w:hanging="720"/>
        <w:rPr>
          <w:rFonts w:eastAsia="Times New Roman" w:cs="Arial"/>
          <w:sz w:val="22"/>
          <w:szCs w:val="22"/>
          <w:lang w:bidi="he-IL"/>
        </w:rPr>
      </w:pPr>
      <w:r w:rsidRPr="001749D7">
        <w:rPr>
          <w:rFonts w:eastAsia="Times New Roman" w:cs="Arial"/>
          <w:sz w:val="22"/>
          <w:szCs w:val="22"/>
          <w:lang w:bidi="he-IL"/>
        </w:rPr>
        <w:lastRenderedPageBreak/>
        <w:t>Gibson, John, Susan Olivia, and Geua Boe‐Gibson (2020) Night lights in economics: Sources and uses. </w:t>
      </w:r>
      <w:r w:rsidRPr="001749D7">
        <w:rPr>
          <w:rFonts w:eastAsia="Times New Roman" w:cs="Arial"/>
          <w:i/>
          <w:iCs/>
          <w:sz w:val="22"/>
          <w:szCs w:val="22"/>
          <w:lang w:bidi="he-IL"/>
        </w:rPr>
        <w:t>Journal of Economic Surveys</w:t>
      </w:r>
      <w:r w:rsidRPr="001749D7">
        <w:rPr>
          <w:rFonts w:eastAsia="Times New Roman" w:cs="Arial"/>
          <w:sz w:val="22"/>
          <w:szCs w:val="22"/>
          <w:lang w:bidi="he-IL"/>
        </w:rPr>
        <w:t> 34(5): 955-980.</w:t>
      </w:r>
    </w:p>
    <w:p w:rsidR="001749D7" w:rsidRPr="001749D7" w:rsidRDefault="001749D7" w:rsidP="001749D7">
      <w:pPr>
        <w:spacing w:after="80" w:line="276" w:lineRule="auto"/>
        <w:ind w:left="720" w:hanging="720"/>
        <w:rPr>
          <w:rFonts w:asciiTheme="majorBidi" w:hAnsiTheme="majorBidi" w:cstheme="majorBidi"/>
          <w:sz w:val="22"/>
          <w:szCs w:val="22"/>
        </w:rPr>
      </w:pPr>
      <w:r w:rsidRPr="001749D7">
        <w:rPr>
          <w:rFonts w:eastAsia="Times New Roman" w:cs="Arial"/>
          <w:sz w:val="22"/>
          <w:szCs w:val="22"/>
          <w:lang w:bidi="he-IL"/>
        </w:rPr>
        <w:t xml:space="preserve">Gibson, John, Susan Olivia, Geua Boe-Gibson and Chao Li (2021) Which night lights data should we use in economics, and where? </w:t>
      </w:r>
      <w:r w:rsidRPr="001749D7">
        <w:rPr>
          <w:rFonts w:eastAsia="Times New Roman" w:cs="Arial"/>
          <w:i/>
          <w:iCs/>
          <w:sz w:val="22"/>
          <w:szCs w:val="22"/>
          <w:lang w:bidi="he-IL"/>
        </w:rPr>
        <w:t>Journal of De</w:t>
      </w:r>
      <w:r w:rsidRPr="001749D7">
        <w:rPr>
          <w:rFonts w:asciiTheme="majorBidi" w:eastAsia="Times New Roman" w:hAnsiTheme="majorBidi" w:cstheme="majorBidi"/>
          <w:i/>
          <w:iCs/>
          <w:sz w:val="22"/>
          <w:szCs w:val="22"/>
          <w:lang w:bidi="he-IL"/>
        </w:rPr>
        <w:t xml:space="preserve">velopment Economics </w:t>
      </w:r>
      <w:r w:rsidRPr="001749D7">
        <w:rPr>
          <w:rFonts w:asciiTheme="majorBidi" w:eastAsia="Times New Roman" w:hAnsiTheme="majorBidi" w:cstheme="majorBidi"/>
          <w:sz w:val="22"/>
          <w:szCs w:val="22"/>
          <w:lang w:bidi="he-IL"/>
        </w:rPr>
        <w:t xml:space="preserve">149(1): </w:t>
      </w:r>
      <w:r w:rsidRPr="001749D7">
        <w:rPr>
          <w:rFonts w:asciiTheme="majorBidi" w:hAnsiTheme="majorBidi" w:cstheme="majorBidi"/>
          <w:sz w:val="22"/>
          <w:szCs w:val="22"/>
        </w:rPr>
        <w:t>102602.</w:t>
      </w:r>
    </w:p>
    <w:p w:rsidR="001749D7" w:rsidRPr="001749D7" w:rsidRDefault="001749D7" w:rsidP="001749D7">
      <w:pPr>
        <w:tabs>
          <w:tab w:val="left" w:pos="-1440"/>
          <w:tab w:val="left" w:pos="-720"/>
          <w:tab w:val="left" w:pos="0"/>
          <w:tab w:val="left" w:pos="720"/>
          <w:tab w:val="left" w:pos="1440"/>
          <w:tab w:val="left" w:pos="2160"/>
          <w:tab w:val="left" w:pos="2995"/>
          <w:tab w:val="left" w:pos="3600"/>
        </w:tabs>
        <w:suppressAutoHyphens/>
        <w:spacing w:after="80" w:line="276" w:lineRule="auto"/>
        <w:ind w:left="720" w:hanging="720"/>
        <w:rPr>
          <w:rFonts w:eastAsia="Batang"/>
          <w:sz w:val="22"/>
          <w:szCs w:val="22"/>
        </w:rPr>
      </w:pPr>
      <w:r w:rsidRPr="001749D7">
        <w:rPr>
          <w:rFonts w:eastAsia="Batang"/>
          <w:sz w:val="22"/>
          <w:szCs w:val="22"/>
        </w:rPr>
        <w:t xml:space="preserve">Henderson, Vernon, Adam </w:t>
      </w:r>
      <w:proofErr w:type="spellStart"/>
      <w:r w:rsidRPr="001749D7">
        <w:rPr>
          <w:rFonts w:eastAsia="Batang"/>
          <w:sz w:val="22"/>
          <w:szCs w:val="22"/>
        </w:rPr>
        <w:t>Storeygard</w:t>
      </w:r>
      <w:proofErr w:type="spellEnd"/>
      <w:r w:rsidRPr="001749D7">
        <w:rPr>
          <w:rFonts w:eastAsia="Batang"/>
          <w:sz w:val="22"/>
          <w:szCs w:val="22"/>
        </w:rPr>
        <w:t>, and David Weil (2012</w:t>
      </w:r>
      <w:proofErr w:type="gramStart"/>
      <w:r w:rsidRPr="001749D7">
        <w:rPr>
          <w:rFonts w:eastAsia="Batang"/>
          <w:sz w:val="22"/>
          <w:szCs w:val="22"/>
        </w:rPr>
        <w:t>)  Measuring</w:t>
      </w:r>
      <w:proofErr w:type="gramEnd"/>
      <w:r w:rsidRPr="001749D7">
        <w:rPr>
          <w:rFonts w:eastAsia="Batang"/>
          <w:sz w:val="22"/>
          <w:szCs w:val="22"/>
        </w:rPr>
        <w:t xml:space="preserve"> economic growth from outer space. </w:t>
      </w:r>
      <w:r w:rsidRPr="001749D7">
        <w:rPr>
          <w:rFonts w:eastAsia="Batang"/>
          <w:i/>
          <w:iCs/>
          <w:sz w:val="22"/>
          <w:szCs w:val="22"/>
        </w:rPr>
        <w:t>American Economic Review</w:t>
      </w:r>
      <w:r w:rsidRPr="001749D7">
        <w:rPr>
          <w:rFonts w:eastAsia="Batang"/>
          <w:sz w:val="22"/>
          <w:szCs w:val="22"/>
        </w:rPr>
        <w:t> 102(2): 994-1028.</w:t>
      </w:r>
    </w:p>
    <w:p w:rsidR="00B9738D" w:rsidRDefault="001749D7" w:rsidP="00B9738D">
      <w:pPr>
        <w:tabs>
          <w:tab w:val="left" w:pos="-1440"/>
          <w:tab w:val="left" w:pos="-720"/>
          <w:tab w:val="left" w:pos="0"/>
          <w:tab w:val="left" w:pos="720"/>
          <w:tab w:val="left" w:pos="1440"/>
          <w:tab w:val="left" w:pos="2160"/>
          <w:tab w:val="left" w:pos="2995"/>
          <w:tab w:val="left" w:pos="3600"/>
        </w:tabs>
        <w:suppressAutoHyphens/>
        <w:spacing w:after="80" w:line="276" w:lineRule="auto"/>
        <w:ind w:left="720" w:hanging="720"/>
        <w:rPr>
          <w:rFonts w:eastAsia="Batang"/>
          <w:sz w:val="22"/>
          <w:szCs w:val="22"/>
        </w:rPr>
      </w:pPr>
      <w:r w:rsidRPr="001749D7">
        <w:rPr>
          <w:rFonts w:eastAsia="Batang"/>
          <w:sz w:val="22"/>
          <w:szCs w:val="22"/>
        </w:rPr>
        <w:t xml:space="preserve">Hsu, Feng-Chi, Kimberly Baugh, </w:t>
      </w:r>
      <w:proofErr w:type="spellStart"/>
      <w:r w:rsidRPr="001749D7">
        <w:rPr>
          <w:rFonts w:eastAsia="Batang"/>
          <w:sz w:val="22"/>
          <w:szCs w:val="22"/>
        </w:rPr>
        <w:t>Tilottama</w:t>
      </w:r>
      <w:proofErr w:type="spellEnd"/>
      <w:r w:rsidRPr="001749D7">
        <w:rPr>
          <w:rFonts w:eastAsia="Batang"/>
          <w:sz w:val="22"/>
          <w:szCs w:val="22"/>
        </w:rPr>
        <w:t xml:space="preserve"> Ghosh, Mikhail </w:t>
      </w:r>
      <w:proofErr w:type="spellStart"/>
      <w:r w:rsidRPr="001749D7">
        <w:rPr>
          <w:rFonts w:eastAsia="Batang"/>
          <w:sz w:val="22"/>
          <w:szCs w:val="22"/>
        </w:rPr>
        <w:t>Zhizhin</w:t>
      </w:r>
      <w:proofErr w:type="spellEnd"/>
      <w:r w:rsidRPr="001749D7">
        <w:rPr>
          <w:rFonts w:eastAsia="Batang"/>
          <w:sz w:val="22"/>
          <w:szCs w:val="22"/>
        </w:rPr>
        <w:t xml:space="preserve">, and Christopher </w:t>
      </w:r>
      <w:proofErr w:type="spellStart"/>
      <w:r w:rsidRPr="001749D7">
        <w:rPr>
          <w:rFonts w:eastAsia="Batang"/>
          <w:sz w:val="22"/>
          <w:szCs w:val="22"/>
        </w:rPr>
        <w:t>Elvidge</w:t>
      </w:r>
      <w:proofErr w:type="spellEnd"/>
      <w:r w:rsidRPr="001749D7">
        <w:rPr>
          <w:rFonts w:eastAsia="Batang"/>
          <w:sz w:val="22"/>
          <w:szCs w:val="22"/>
        </w:rPr>
        <w:t xml:space="preserve"> (2015) DMSP-OLS radiance calibrated night-time lights time series with inter-calibration. </w:t>
      </w:r>
      <w:r w:rsidRPr="001749D7">
        <w:rPr>
          <w:rFonts w:eastAsia="Batang"/>
          <w:i/>
          <w:iCs/>
          <w:sz w:val="22"/>
          <w:szCs w:val="22"/>
        </w:rPr>
        <w:t>Remote Sensing</w:t>
      </w:r>
      <w:r w:rsidRPr="001749D7">
        <w:rPr>
          <w:rFonts w:eastAsia="Batang"/>
          <w:sz w:val="22"/>
          <w:szCs w:val="22"/>
        </w:rPr>
        <w:t> 7(2): 1855-1876.</w:t>
      </w:r>
    </w:p>
    <w:p w:rsidR="00B9738D" w:rsidRPr="009052AF" w:rsidRDefault="00B9738D" w:rsidP="00B9738D">
      <w:pPr>
        <w:tabs>
          <w:tab w:val="left" w:pos="-1440"/>
          <w:tab w:val="left" w:pos="-720"/>
          <w:tab w:val="left" w:pos="0"/>
          <w:tab w:val="left" w:pos="720"/>
          <w:tab w:val="left" w:pos="1440"/>
          <w:tab w:val="left" w:pos="2160"/>
          <w:tab w:val="left" w:pos="2995"/>
          <w:tab w:val="left" w:pos="3600"/>
        </w:tabs>
        <w:suppressAutoHyphens/>
        <w:spacing w:after="80" w:line="276" w:lineRule="auto"/>
        <w:ind w:left="720" w:hanging="720"/>
        <w:rPr>
          <w:rFonts w:eastAsia="Batang"/>
        </w:rPr>
      </w:pPr>
      <w:r w:rsidRPr="009052AF">
        <w:rPr>
          <w:rFonts w:eastAsia="SimSun" w:cs="Arial"/>
          <w:color w:val="000000"/>
          <w:kern w:val="2"/>
          <w:sz w:val="22"/>
          <w:lang w:val="en-US" w:eastAsia="zh-CN"/>
        </w:rPr>
        <w:t>Ivan, Kinga, Iulian-</w:t>
      </w:r>
      <w:proofErr w:type="spellStart"/>
      <w:r w:rsidRPr="009052AF">
        <w:rPr>
          <w:rFonts w:eastAsia="SimSun" w:cs="Arial"/>
          <w:color w:val="000000"/>
          <w:kern w:val="2"/>
          <w:sz w:val="22"/>
          <w:lang w:val="en-US" w:eastAsia="zh-CN"/>
        </w:rPr>
        <w:t>Horia</w:t>
      </w:r>
      <w:proofErr w:type="spellEnd"/>
      <w:r w:rsidRPr="009052AF">
        <w:rPr>
          <w:rFonts w:eastAsia="SimSun" w:cs="Arial"/>
          <w:color w:val="000000"/>
          <w:kern w:val="2"/>
          <w:sz w:val="22"/>
          <w:lang w:val="en-US" w:eastAsia="zh-CN"/>
        </w:rPr>
        <w:t xml:space="preserve"> </w:t>
      </w:r>
      <w:proofErr w:type="spellStart"/>
      <w:r w:rsidRPr="009052AF">
        <w:rPr>
          <w:rFonts w:eastAsia="SimSun" w:cs="Arial"/>
          <w:color w:val="000000"/>
          <w:kern w:val="2"/>
          <w:sz w:val="22"/>
          <w:lang w:val="en-US" w:eastAsia="zh-CN"/>
        </w:rPr>
        <w:t>Holobâcă</w:t>
      </w:r>
      <w:proofErr w:type="spellEnd"/>
      <w:r w:rsidRPr="009052AF">
        <w:rPr>
          <w:rFonts w:eastAsia="SimSun" w:cs="Arial"/>
          <w:color w:val="000000"/>
          <w:kern w:val="2"/>
          <w:sz w:val="22"/>
          <w:lang w:val="en-US" w:eastAsia="zh-CN"/>
        </w:rPr>
        <w:t xml:space="preserve">, </w:t>
      </w:r>
      <w:proofErr w:type="spellStart"/>
      <w:r w:rsidRPr="009052AF">
        <w:rPr>
          <w:rFonts w:eastAsia="SimSun" w:cs="Arial"/>
          <w:color w:val="000000"/>
          <w:kern w:val="2"/>
          <w:sz w:val="22"/>
          <w:lang w:val="en-US" w:eastAsia="zh-CN"/>
        </w:rPr>
        <w:t>József</w:t>
      </w:r>
      <w:proofErr w:type="spellEnd"/>
      <w:r w:rsidRPr="009052AF">
        <w:rPr>
          <w:rFonts w:eastAsia="SimSun" w:cs="Arial"/>
          <w:color w:val="000000"/>
          <w:kern w:val="2"/>
          <w:sz w:val="22"/>
          <w:lang w:val="en-US" w:eastAsia="zh-CN"/>
        </w:rPr>
        <w:t xml:space="preserve"> </w:t>
      </w:r>
      <w:proofErr w:type="spellStart"/>
      <w:r w:rsidRPr="009052AF">
        <w:rPr>
          <w:rFonts w:eastAsia="SimSun" w:cs="Arial"/>
          <w:color w:val="000000"/>
          <w:kern w:val="2"/>
          <w:sz w:val="22"/>
          <w:lang w:val="en-US" w:eastAsia="zh-CN"/>
        </w:rPr>
        <w:t>Benedek</w:t>
      </w:r>
      <w:proofErr w:type="spellEnd"/>
      <w:r w:rsidRPr="009052AF">
        <w:rPr>
          <w:rFonts w:eastAsia="SimSun" w:cs="Arial"/>
          <w:color w:val="000000"/>
          <w:kern w:val="2"/>
          <w:sz w:val="22"/>
          <w:lang w:val="en-US" w:eastAsia="zh-CN"/>
        </w:rPr>
        <w:t xml:space="preserve">, and </w:t>
      </w:r>
      <w:proofErr w:type="spellStart"/>
      <w:r w:rsidRPr="009052AF">
        <w:rPr>
          <w:rFonts w:eastAsia="SimSun" w:cs="Arial"/>
          <w:color w:val="000000"/>
          <w:kern w:val="2"/>
          <w:sz w:val="22"/>
          <w:lang w:val="en-US" w:eastAsia="zh-CN"/>
        </w:rPr>
        <w:t>Ibolya</w:t>
      </w:r>
      <w:proofErr w:type="spellEnd"/>
      <w:r w:rsidRPr="009052AF">
        <w:rPr>
          <w:rFonts w:eastAsia="SimSun" w:cs="Arial"/>
          <w:color w:val="000000"/>
          <w:kern w:val="2"/>
          <w:sz w:val="22"/>
          <w:lang w:val="en-US" w:eastAsia="zh-CN"/>
        </w:rPr>
        <w:t xml:space="preserve"> </w:t>
      </w:r>
      <w:proofErr w:type="spellStart"/>
      <w:r w:rsidRPr="009052AF">
        <w:rPr>
          <w:rFonts w:eastAsia="SimSun" w:cs="Arial"/>
          <w:color w:val="000000"/>
          <w:kern w:val="2"/>
          <w:sz w:val="22"/>
          <w:lang w:val="en-US" w:eastAsia="zh-CN"/>
        </w:rPr>
        <w:t>Török</w:t>
      </w:r>
      <w:proofErr w:type="spellEnd"/>
      <w:r w:rsidRPr="009052AF">
        <w:rPr>
          <w:rFonts w:eastAsia="SimSun" w:cs="Arial"/>
          <w:color w:val="000000"/>
          <w:kern w:val="2"/>
          <w:sz w:val="22"/>
          <w:lang w:val="en-US" w:eastAsia="zh-CN"/>
        </w:rPr>
        <w:t xml:space="preserve"> (2020) Potential of night-time lights to measure regional inequality. </w:t>
      </w:r>
      <w:r w:rsidRPr="009052AF">
        <w:rPr>
          <w:rFonts w:eastAsia="SimSun" w:cs="Arial"/>
          <w:i/>
          <w:iCs/>
          <w:color w:val="000000"/>
          <w:kern w:val="2"/>
          <w:sz w:val="22"/>
          <w:lang w:val="en-US" w:eastAsia="zh-CN"/>
        </w:rPr>
        <w:t>Remote Sensing</w:t>
      </w:r>
      <w:r w:rsidRPr="009052AF">
        <w:rPr>
          <w:rFonts w:eastAsia="SimSun" w:cs="Arial"/>
          <w:color w:val="000000"/>
          <w:kern w:val="2"/>
          <w:sz w:val="22"/>
          <w:lang w:val="en-US" w:eastAsia="zh-CN"/>
        </w:rPr>
        <w:t xml:space="preserve"> 12(1): 33.</w:t>
      </w:r>
    </w:p>
    <w:p w:rsidR="00B9738D" w:rsidRDefault="001749D7" w:rsidP="00B9738D">
      <w:pPr>
        <w:spacing w:after="80" w:line="276" w:lineRule="auto"/>
        <w:ind w:left="720" w:hanging="720"/>
        <w:rPr>
          <w:rFonts w:eastAsia="Batang"/>
          <w:sz w:val="22"/>
          <w:szCs w:val="22"/>
        </w:rPr>
      </w:pPr>
      <w:r w:rsidRPr="001749D7">
        <w:rPr>
          <w:rFonts w:eastAsia="Batang"/>
          <w:sz w:val="22"/>
          <w:szCs w:val="22"/>
          <w:lang w:val="en-AU"/>
        </w:rPr>
        <w:t xml:space="preserve">Kim, </w:t>
      </w:r>
      <w:proofErr w:type="spellStart"/>
      <w:r w:rsidRPr="001749D7">
        <w:rPr>
          <w:rFonts w:eastAsia="Batang"/>
          <w:sz w:val="22"/>
          <w:szCs w:val="22"/>
          <w:lang w:val="en-AU"/>
        </w:rPr>
        <w:t>Bonggeun</w:t>
      </w:r>
      <w:proofErr w:type="spellEnd"/>
      <w:r w:rsidRPr="001749D7">
        <w:rPr>
          <w:rFonts w:eastAsia="Batang"/>
          <w:sz w:val="22"/>
          <w:szCs w:val="22"/>
          <w:lang w:val="en-AU"/>
        </w:rPr>
        <w:t xml:space="preserve">, John Gibson and Geua Boe-Gibson (2022) How effective are sanctions on North Korea? </w:t>
      </w:r>
      <w:r w:rsidRPr="001749D7">
        <w:rPr>
          <w:rFonts w:eastAsia="Batang"/>
          <w:sz w:val="22"/>
          <w:szCs w:val="22"/>
        </w:rPr>
        <w:t xml:space="preserve">Popular DMSP night-lights data may bias evaluations due to blurring and poor low-light detection. </w:t>
      </w:r>
      <w:r w:rsidRPr="001749D7">
        <w:rPr>
          <w:rFonts w:eastAsia="Batang"/>
          <w:i/>
          <w:iCs/>
          <w:sz w:val="22"/>
          <w:szCs w:val="22"/>
        </w:rPr>
        <w:t>Working Paper</w:t>
      </w:r>
      <w:r w:rsidRPr="001749D7">
        <w:rPr>
          <w:rFonts w:eastAsia="Times New Roman" w:cs="Arial"/>
          <w:i/>
          <w:iCs/>
          <w:sz w:val="22"/>
          <w:szCs w:val="22"/>
          <w:lang w:bidi="he-IL"/>
        </w:rPr>
        <w:t xml:space="preserve"> Working Paper</w:t>
      </w:r>
      <w:r w:rsidRPr="001749D7">
        <w:rPr>
          <w:rFonts w:eastAsia="Times New Roman" w:cs="Arial"/>
          <w:sz w:val="22"/>
          <w:szCs w:val="22"/>
          <w:lang w:bidi="he-IL"/>
        </w:rPr>
        <w:t xml:space="preserve"> 06/22, Department of Economics, University of Waikato.</w:t>
      </w:r>
    </w:p>
    <w:p w:rsidR="00B9738D" w:rsidRPr="009052AF" w:rsidRDefault="00B9738D" w:rsidP="00B9738D">
      <w:pPr>
        <w:spacing w:after="80" w:line="276" w:lineRule="auto"/>
        <w:ind w:left="720" w:hanging="720"/>
        <w:rPr>
          <w:rFonts w:eastAsia="Batang"/>
        </w:rPr>
      </w:pPr>
      <w:r w:rsidRPr="009052AF">
        <w:rPr>
          <w:rFonts w:eastAsia="SimSun" w:cs="Arial"/>
          <w:color w:val="000000"/>
          <w:kern w:val="2"/>
          <w:sz w:val="22"/>
          <w:lang w:val="en-US" w:eastAsia="zh-CN"/>
        </w:rPr>
        <w:t xml:space="preserve">Mendez, Carlos, and Felipe Santos‐Marquez (2020) Regional convergence and spatial dependence across subnational regions of ASEAN: Evidence from satellite nighttime light data. </w:t>
      </w:r>
      <w:r w:rsidRPr="009052AF">
        <w:rPr>
          <w:rFonts w:eastAsia="SimSun" w:cs="Arial"/>
          <w:i/>
          <w:iCs/>
          <w:color w:val="000000"/>
          <w:kern w:val="2"/>
          <w:sz w:val="22"/>
          <w:lang w:val="en-US" w:eastAsia="zh-CN"/>
        </w:rPr>
        <w:t>Regional Science Policy &amp; Practice</w:t>
      </w:r>
      <w:r w:rsidRPr="009052AF">
        <w:rPr>
          <w:rFonts w:eastAsia="SimSun" w:cs="Arial"/>
          <w:color w:val="000000"/>
          <w:kern w:val="2"/>
          <w:sz w:val="22"/>
          <w:lang w:val="en-US" w:eastAsia="zh-CN"/>
        </w:rPr>
        <w:t>, 13(6): 1750-1777.</w:t>
      </w:r>
    </w:p>
    <w:p w:rsidR="00B9738D" w:rsidRDefault="001749D7" w:rsidP="00B9738D">
      <w:pPr>
        <w:tabs>
          <w:tab w:val="left" w:pos="-1440"/>
          <w:tab w:val="left" w:pos="-720"/>
          <w:tab w:val="left" w:pos="0"/>
          <w:tab w:val="left" w:pos="720"/>
          <w:tab w:val="left" w:pos="1440"/>
          <w:tab w:val="left" w:pos="2160"/>
          <w:tab w:val="left" w:pos="2995"/>
          <w:tab w:val="left" w:pos="3600"/>
        </w:tabs>
        <w:suppressAutoHyphens/>
        <w:spacing w:after="80" w:line="276" w:lineRule="auto"/>
        <w:ind w:left="720" w:hanging="720"/>
        <w:rPr>
          <w:rFonts w:eastAsia="Batang"/>
          <w:sz w:val="22"/>
          <w:szCs w:val="22"/>
        </w:rPr>
      </w:pPr>
      <w:proofErr w:type="spellStart"/>
      <w:r w:rsidRPr="001749D7">
        <w:rPr>
          <w:rFonts w:eastAsia="Times New Roman" w:cs="Arial"/>
          <w:sz w:val="22"/>
          <w:szCs w:val="22"/>
          <w:lang w:bidi="he-IL"/>
        </w:rPr>
        <w:t>Michalopoulos</w:t>
      </w:r>
      <w:proofErr w:type="spellEnd"/>
      <w:r w:rsidRPr="001749D7">
        <w:rPr>
          <w:rFonts w:eastAsia="Times New Roman" w:cs="Arial"/>
          <w:sz w:val="22"/>
          <w:szCs w:val="22"/>
          <w:lang w:bidi="he-IL"/>
        </w:rPr>
        <w:t xml:space="preserve"> Stelios, and Elias </w:t>
      </w:r>
      <w:proofErr w:type="spellStart"/>
      <w:r w:rsidRPr="001749D7">
        <w:rPr>
          <w:rFonts w:eastAsia="Times New Roman" w:cs="Arial"/>
          <w:sz w:val="22"/>
          <w:szCs w:val="22"/>
          <w:lang w:bidi="he-IL"/>
        </w:rPr>
        <w:t>Papaioannou</w:t>
      </w:r>
      <w:proofErr w:type="spellEnd"/>
      <w:r w:rsidRPr="001749D7">
        <w:rPr>
          <w:rFonts w:eastAsia="Times New Roman" w:cs="Arial"/>
          <w:sz w:val="22"/>
          <w:szCs w:val="22"/>
          <w:lang w:bidi="he-IL"/>
        </w:rPr>
        <w:t xml:space="preserve"> (2014) National institutions and sub-national development in Africa. </w:t>
      </w:r>
      <w:r w:rsidRPr="001749D7">
        <w:rPr>
          <w:rFonts w:eastAsia="Times New Roman" w:cs="Arial"/>
          <w:i/>
          <w:iCs/>
          <w:sz w:val="22"/>
          <w:szCs w:val="22"/>
          <w:lang w:bidi="he-IL"/>
        </w:rPr>
        <w:t>Quarterly Journal of Economics</w:t>
      </w:r>
      <w:r w:rsidRPr="001749D7">
        <w:rPr>
          <w:rFonts w:eastAsia="Times New Roman" w:cs="Arial"/>
          <w:sz w:val="22"/>
          <w:szCs w:val="22"/>
          <w:lang w:bidi="he-IL"/>
        </w:rPr>
        <w:t xml:space="preserve"> 129(1): 151-213.</w:t>
      </w:r>
    </w:p>
    <w:p w:rsidR="00B9738D" w:rsidRPr="009052AF" w:rsidRDefault="00B9738D" w:rsidP="00B9738D">
      <w:pPr>
        <w:tabs>
          <w:tab w:val="left" w:pos="-1440"/>
          <w:tab w:val="left" w:pos="-720"/>
          <w:tab w:val="left" w:pos="0"/>
          <w:tab w:val="left" w:pos="720"/>
          <w:tab w:val="left" w:pos="1440"/>
          <w:tab w:val="left" w:pos="2160"/>
          <w:tab w:val="left" w:pos="2995"/>
          <w:tab w:val="left" w:pos="3600"/>
        </w:tabs>
        <w:suppressAutoHyphens/>
        <w:spacing w:after="80" w:line="276" w:lineRule="auto"/>
        <w:ind w:left="720" w:hanging="720"/>
        <w:rPr>
          <w:rFonts w:eastAsia="Batang"/>
        </w:rPr>
      </w:pPr>
      <w:r w:rsidRPr="009052AF">
        <w:rPr>
          <w:rFonts w:eastAsia="SimSun" w:cs="Arial"/>
          <w:color w:val="000000"/>
          <w:kern w:val="2"/>
          <w:sz w:val="22"/>
          <w:lang w:val="en-US" w:eastAsia="zh-CN"/>
        </w:rPr>
        <w:t xml:space="preserve">Montalvo, José, Marta </w:t>
      </w:r>
      <w:proofErr w:type="spellStart"/>
      <w:r w:rsidRPr="009052AF">
        <w:rPr>
          <w:rFonts w:eastAsia="SimSun" w:cs="Arial"/>
          <w:color w:val="000000"/>
          <w:kern w:val="2"/>
          <w:sz w:val="22"/>
          <w:lang w:val="en-US" w:eastAsia="zh-CN"/>
        </w:rPr>
        <w:t>Reynal-Querol</w:t>
      </w:r>
      <w:proofErr w:type="spellEnd"/>
      <w:r w:rsidRPr="009052AF">
        <w:rPr>
          <w:rFonts w:eastAsia="SimSun" w:cs="Arial"/>
          <w:color w:val="000000"/>
          <w:kern w:val="2"/>
          <w:sz w:val="22"/>
          <w:lang w:val="en-US" w:eastAsia="zh-CN"/>
        </w:rPr>
        <w:t xml:space="preserve">, and Juan Carlos Muñoz Mora (2021) Measuring inequality from above. </w:t>
      </w:r>
      <w:r w:rsidRPr="009052AF">
        <w:rPr>
          <w:rFonts w:eastAsia="SimSun" w:cs="Arial"/>
          <w:i/>
          <w:iCs/>
          <w:color w:val="000000"/>
          <w:kern w:val="2"/>
          <w:sz w:val="22"/>
          <w:lang w:val="en-US" w:eastAsia="zh-CN"/>
        </w:rPr>
        <w:t>Working Papers</w:t>
      </w:r>
      <w:r w:rsidRPr="009052AF">
        <w:rPr>
          <w:rFonts w:eastAsia="SimSun" w:cs="Arial"/>
          <w:color w:val="000000"/>
          <w:kern w:val="2"/>
          <w:sz w:val="22"/>
          <w:lang w:val="en-US" w:eastAsia="zh-CN"/>
        </w:rPr>
        <w:t xml:space="preserve"> 1252, Barcelona School of Economics.</w:t>
      </w:r>
    </w:p>
    <w:p w:rsidR="001749D7" w:rsidRPr="001749D7" w:rsidRDefault="001749D7" w:rsidP="001749D7">
      <w:pPr>
        <w:spacing w:after="120" w:line="276" w:lineRule="auto"/>
        <w:ind w:left="720" w:hanging="720"/>
        <w:rPr>
          <w:rFonts w:asciiTheme="majorBidi" w:hAnsiTheme="majorBidi" w:cstheme="majorBidi"/>
          <w:sz w:val="22"/>
          <w:szCs w:val="22"/>
          <w:shd w:val="clear" w:color="auto" w:fill="FFFFFF"/>
        </w:rPr>
      </w:pPr>
      <w:r w:rsidRPr="001749D7">
        <w:rPr>
          <w:rFonts w:asciiTheme="majorBidi" w:hAnsiTheme="majorBidi" w:cstheme="majorBidi"/>
          <w:sz w:val="22"/>
          <w:szCs w:val="22"/>
          <w:shd w:val="clear" w:color="auto" w:fill="FFFFFF"/>
        </w:rPr>
        <w:t xml:space="preserve">Román, Miguel, </w:t>
      </w:r>
      <w:proofErr w:type="spellStart"/>
      <w:r w:rsidRPr="001749D7">
        <w:rPr>
          <w:rFonts w:asciiTheme="majorBidi" w:hAnsiTheme="majorBidi" w:cstheme="majorBidi"/>
          <w:sz w:val="22"/>
          <w:szCs w:val="22"/>
          <w:shd w:val="clear" w:color="auto" w:fill="FFFFFF"/>
        </w:rPr>
        <w:t>Zhuosen</w:t>
      </w:r>
      <w:proofErr w:type="spellEnd"/>
      <w:r w:rsidRPr="001749D7">
        <w:rPr>
          <w:rFonts w:asciiTheme="majorBidi" w:hAnsiTheme="majorBidi" w:cstheme="majorBidi"/>
          <w:sz w:val="22"/>
          <w:szCs w:val="22"/>
          <w:shd w:val="clear" w:color="auto" w:fill="FFFFFF"/>
        </w:rPr>
        <w:t xml:space="preserve"> Wang, </w:t>
      </w:r>
      <w:proofErr w:type="spellStart"/>
      <w:r w:rsidRPr="001749D7">
        <w:rPr>
          <w:rFonts w:asciiTheme="majorBidi" w:hAnsiTheme="majorBidi" w:cstheme="majorBidi"/>
          <w:sz w:val="22"/>
          <w:szCs w:val="22"/>
          <w:shd w:val="clear" w:color="auto" w:fill="FFFFFF"/>
        </w:rPr>
        <w:t>Qingsong</w:t>
      </w:r>
      <w:proofErr w:type="spellEnd"/>
      <w:r w:rsidRPr="001749D7">
        <w:rPr>
          <w:rFonts w:asciiTheme="majorBidi" w:hAnsiTheme="majorBidi" w:cstheme="majorBidi"/>
          <w:sz w:val="22"/>
          <w:szCs w:val="22"/>
          <w:shd w:val="clear" w:color="auto" w:fill="FFFFFF"/>
        </w:rPr>
        <w:t xml:space="preserve"> Sun, Virginia </w:t>
      </w:r>
      <w:proofErr w:type="spellStart"/>
      <w:r w:rsidRPr="001749D7">
        <w:rPr>
          <w:rFonts w:asciiTheme="majorBidi" w:hAnsiTheme="majorBidi" w:cstheme="majorBidi"/>
          <w:sz w:val="22"/>
          <w:szCs w:val="22"/>
          <w:shd w:val="clear" w:color="auto" w:fill="FFFFFF"/>
        </w:rPr>
        <w:t>Kalb</w:t>
      </w:r>
      <w:proofErr w:type="spellEnd"/>
      <w:r w:rsidRPr="001749D7">
        <w:rPr>
          <w:rFonts w:asciiTheme="majorBidi" w:hAnsiTheme="majorBidi" w:cstheme="majorBidi"/>
          <w:sz w:val="22"/>
          <w:szCs w:val="22"/>
          <w:shd w:val="clear" w:color="auto" w:fill="FFFFFF"/>
        </w:rPr>
        <w:t xml:space="preserve">, Steven Miller, Andrew </w:t>
      </w:r>
      <w:proofErr w:type="spellStart"/>
      <w:r w:rsidRPr="001749D7">
        <w:rPr>
          <w:rFonts w:asciiTheme="majorBidi" w:hAnsiTheme="majorBidi" w:cstheme="majorBidi"/>
          <w:sz w:val="22"/>
          <w:szCs w:val="22"/>
          <w:shd w:val="clear" w:color="auto" w:fill="FFFFFF"/>
        </w:rPr>
        <w:t>Molthan</w:t>
      </w:r>
      <w:proofErr w:type="spellEnd"/>
      <w:r w:rsidRPr="001749D7">
        <w:rPr>
          <w:rFonts w:asciiTheme="majorBidi" w:hAnsiTheme="majorBidi" w:cstheme="majorBidi"/>
          <w:sz w:val="22"/>
          <w:szCs w:val="22"/>
          <w:shd w:val="clear" w:color="auto" w:fill="FFFFFF"/>
        </w:rPr>
        <w:t xml:space="preserve">, …, and Edward </w:t>
      </w:r>
      <w:proofErr w:type="spellStart"/>
      <w:r w:rsidRPr="001749D7">
        <w:rPr>
          <w:rFonts w:asciiTheme="majorBidi" w:hAnsiTheme="majorBidi" w:cstheme="majorBidi"/>
          <w:sz w:val="22"/>
          <w:szCs w:val="22"/>
          <w:shd w:val="clear" w:color="auto" w:fill="FFFFFF"/>
        </w:rPr>
        <w:t>Masuoka</w:t>
      </w:r>
      <w:proofErr w:type="spellEnd"/>
      <w:r w:rsidRPr="001749D7">
        <w:rPr>
          <w:rFonts w:asciiTheme="majorBidi" w:hAnsiTheme="majorBidi" w:cstheme="majorBidi"/>
          <w:sz w:val="22"/>
          <w:szCs w:val="22"/>
          <w:shd w:val="clear" w:color="auto" w:fill="FFFFFF"/>
        </w:rPr>
        <w:t xml:space="preserve"> (2018). NASA's Black Marble </w:t>
      </w:r>
      <w:proofErr w:type="spellStart"/>
      <w:r w:rsidRPr="001749D7">
        <w:rPr>
          <w:rFonts w:asciiTheme="majorBidi" w:hAnsiTheme="majorBidi" w:cstheme="majorBidi"/>
          <w:sz w:val="22"/>
          <w:szCs w:val="22"/>
          <w:shd w:val="clear" w:color="auto" w:fill="FFFFFF"/>
        </w:rPr>
        <w:t>nighttime</w:t>
      </w:r>
      <w:proofErr w:type="spellEnd"/>
      <w:r w:rsidRPr="001749D7">
        <w:rPr>
          <w:rFonts w:asciiTheme="majorBidi" w:hAnsiTheme="majorBidi" w:cstheme="majorBidi"/>
          <w:sz w:val="22"/>
          <w:szCs w:val="22"/>
          <w:shd w:val="clear" w:color="auto" w:fill="FFFFFF"/>
        </w:rPr>
        <w:t xml:space="preserve"> lights product suite. </w:t>
      </w:r>
      <w:r w:rsidRPr="001749D7">
        <w:rPr>
          <w:rFonts w:asciiTheme="majorBidi" w:hAnsiTheme="majorBidi" w:cstheme="majorBidi"/>
          <w:i/>
          <w:iCs/>
          <w:sz w:val="22"/>
          <w:szCs w:val="22"/>
          <w:shd w:val="clear" w:color="auto" w:fill="FFFFFF"/>
        </w:rPr>
        <w:t>Remote Sensing of Environment</w:t>
      </w:r>
      <w:r w:rsidRPr="001749D7">
        <w:rPr>
          <w:rFonts w:asciiTheme="majorBidi" w:hAnsiTheme="majorBidi" w:cstheme="majorBidi"/>
          <w:sz w:val="22"/>
          <w:szCs w:val="22"/>
          <w:shd w:val="clear" w:color="auto" w:fill="FFFFFF"/>
        </w:rPr>
        <w:t> 210 (1): 113-143.</w:t>
      </w:r>
    </w:p>
    <w:p w:rsidR="001749D7" w:rsidRPr="001749D7" w:rsidRDefault="001749D7" w:rsidP="001749D7">
      <w:pPr>
        <w:spacing w:after="120" w:line="276" w:lineRule="auto"/>
        <w:ind w:left="720" w:hanging="720"/>
        <w:rPr>
          <w:rFonts w:asciiTheme="majorBidi" w:hAnsiTheme="majorBidi" w:cstheme="majorBidi"/>
          <w:sz w:val="22"/>
          <w:szCs w:val="22"/>
          <w:shd w:val="clear" w:color="auto" w:fill="FFFFFF"/>
        </w:rPr>
      </w:pPr>
      <w:proofErr w:type="spellStart"/>
      <w:r w:rsidRPr="001749D7">
        <w:rPr>
          <w:rFonts w:asciiTheme="majorBidi" w:hAnsiTheme="majorBidi" w:cstheme="majorBidi"/>
          <w:sz w:val="22"/>
          <w:szCs w:val="22"/>
          <w:shd w:val="clear" w:color="auto" w:fill="FFFFFF"/>
        </w:rPr>
        <w:t>Sangkasem</w:t>
      </w:r>
      <w:proofErr w:type="spellEnd"/>
      <w:r w:rsidRPr="001749D7">
        <w:rPr>
          <w:rFonts w:asciiTheme="majorBidi" w:hAnsiTheme="majorBidi" w:cstheme="majorBidi"/>
          <w:sz w:val="22"/>
          <w:szCs w:val="22"/>
          <w:shd w:val="clear" w:color="auto" w:fill="FFFFFF"/>
        </w:rPr>
        <w:t xml:space="preserve">, </w:t>
      </w:r>
      <w:proofErr w:type="spellStart"/>
      <w:r w:rsidRPr="001749D7">
        <w:rPr>
          <w:rFonts w:asciiTheme="majorBidi" w:hAnsiTheme="majorBidi" w:cstheme="majorBidi"/>
          <w:sz w:val="22"/>
          <w:szCs w:val="22"/>
          <w:shd w:val="clear" w:color="auto" w:fill="FFFFFF"/>
        </w:rPr>
        <w:t>Krittaya</w:t>
      </w:r>
      <w:proofErr w:type="spellEnd"/>
      <w:r w:rsidRPr="001749D7">
        <w:rPr>
          <w:rFonts w:asciiTheme="majorBidi" w:hAnsiTheme="majorBidi" w:cstheme="majorBidi"/>
          <w:sz w:val="22"/>
          <w:szCs w:val="22"/>
          <w:shd w:val="clear" w:color="auto" w:fill="FFFFFF"/>
        </w:rPr>
        <w:t xml:space="preserve">, and </w:t>
      </w:r>
      <w:proofErr w:type="spellStart"/>
      <w:r w:rsidRPr="001749D7">
        <w:rPr>
          <w:rFonts w:asciiTheme="majorBidi" w:hAnsiTheme="majorBidi" w:cstheme="majorBidi"/>
          <w:sz w:val="22"/>
          <w:szCs w:val="22"/>
          <w:shd w:val="clear" w:color="auto" w:fill="FFFFFF"/>
        </w:rPr>
        <w:t>Nattapong</w:t>
      </w:r>
      <w:proofErr w:type="spellEnd"/>
      <w:r w:rsidRPr="001749D7">
        <w:rPr>
          <w:rFonts w:asciiTheme="majorBidi" w:hAnsiTheme="majorBidi" w:cstheme="majorBidi"/>
          <w:sz w:val="22"/>
          <w:szCs w:val="22"/>
          <w:shd w:val="clear" w:color="auto" w:fill="FFFFFF"/>
        </w:rPr>
        <w:t xml:space="preserve"> </w:t>
      </w:r>
      <w:proofErr w:type="spellStart"/>
      <w:r w:rsidRPr="001749D7">
        <w:rPr>
          <w:rFonts w:asciiTheme="majorBidi" w:hAnsiTheme="majorBidi" w:cstheme="majorBidi"/>
          <w:sz w:val="22"/>
          <w:szCs w:val="22"/>
          <w:shd w:val="clear" w:color="auto" w:fill="FFFFFF"/>
        </w:rPr>
        <w:t>Puttanapong</w:t>
      </w:r>
      <w:proofErr w:type="spellEnd"/>
      <w:r w:rsidRPr="001749D7">
        <w:rPr>
          <w:rFonts w:asciiTheme="majorBidi" w:hAnsiTheme="majorBidi" w:cstheme="majorBidi"/>
          <w:sz w:val="22"/>
          <w:szCs w:val="22"/>
          <w:shd w:val="clear" w:color="auto" w:fill="FFFFFF"/>
        </w:rPr>
        <w:t xml:space="preserve"> (2022). Analysis of spatial inequality using DMSP‐OLS </w:t>
      </w:r>
      <w:proofErr w:type="spellStart"/>
      <w:r w:rsidRPr="001749D7">
        <w:rPr>
          <w:rFonts w:asciiTheme="majorBidi" w:hAnsiTheme="majorBidi" w:cstheme="majorBidi"/>
          <w:sz w:val="22"/>
          <w:szCs w:val="22"/>
          <w:shd w:val="clear" w:color="auto" w:fill="FFFFFF"/>
        </w:rPr>
        <w:t>nighttime</w:t>
      </w:r>
      <w:proofErr w:type="spellEnd"/>
      <w:r w:rsidRPr="001749D7">
        <w:rPr>
          <w:rFonts w:asciiTheme="majorBidi" w:hAnsiTheme="majorBidi" w:cstheme="majorBidi"/>
          <w:sz w:val="22"/>
          <w:szCs w:val="22"/>
          <w:shd w:val="clear" w:color="auto" w:fill="FFFFFF"/>
        </w:rPr>
        <w:t>‐light satellite imageries: A case study of Thailand. </w:t>
      </w:r>
      <w:r w:rsidRPr="001749D7">
        <w:rPr>
          <w:rFonts w:asciiTheme="majorBidi" w:hAnsiTheme="majorBidi" w:cstheme="majorBidi"/>
          <w:i/>
          <w:iCs/>
          <w:sz w:val="22"/>
          <w:szCs w:val="22"/>
          <w:shd w:val="clear" w:color="auto" w:fill="FFFFFF"/>
        </w:rPr>
        <w:t>Regional Science Policy &amp; Practice</w:t>
      </w:r>
      <w:r w:rsidRPr="001749D7">
        <w:rPr>
          <w:rFonts w:asciiTheme="majorBidi" w:hAnsiTheme="majorBidi" w:cstheme="majorBidi"/>
          <w:sz w:val="22"/>
          <w:szCs w:val="22"/>
          <w:shd w:val="clear" w:color="auto" w:fill="FFFFFF"/>
        </w:rPr>
        <w:t> 14(4): 828-849.</w:t>
      </w:r>
    </w:p>
    <w:p w:rsidR="001749D7" w:rsidRPr="001749D7" w:rsidRDefault="001749D7" w:rsidP="001749D7">
      <w:pPr>
        <w:spacing w:after="120" w:line="276" w:lineRule="auto"/>
        <w:ind w:left="720" w:hanging="720"/>
        <w:rPr>
          <w:rFonts w:asciiTheme="majorBidi" w:hAnsiTheme="majorBidi" w:cstheme="majorBidi"/>
          <w:sz w:val="22"/>
          <w:szCs w:val="22"/>
          <w:shd w:val="clear" w:color="auto" w:fill="FFFFFF"/>
        </w:rPr>
      </w:pPr>
      <w:r w:rsidRPr="001749D7">
        <w:rPr>
          <w:rFonts w:asciiTheme="majorBidi" w:hAnsiTheme="majorBidi" w:cstheme="majorBidi"/>
          <w:sz w:val="22"/>
          <w:szCs w:val="22"/>
          <w:shd w:val="clear" w:color="auto" w:fill="FFFFFF"/>
        </w:rPr>
        <w:t xml:space="preserve">Sharp, Michael, Bertrand </w:t>
      </w:r>
      <w:proofErr w:type="spellStart"/>
      <w:r w:rsidRPr="001749D7">
        <w:rPr>
          <w:rFonts w:asciiTheme="majorBidi" w:hAnsiTheme="majorBidi" w:cstheme="majorBidi"/>
          <w:sz w:val="22"/>
          <w:szCs w:val="22"/>
          <w:shd w:val="clear" w:color="auto" w:fill="FFFFFF"/>
        </w:rPr>
        <w:t>Buffière</w:t>
      </w:r>
      <w:proofErr w:type="spellEnd"/>
      <w:r w:rsidRPr="001749D7">
        <w:rPr>
          <w:rFonts w:asciiTheme="majorBidi" w:hAnsiTheme="majorBidi" w:cstheme="majorBidi"/>
          <w:sz w:val="22"/>
          <w:szCs w:val="22"/>
          <w:shd w:val="clear" w:color="auto" w:fill="FFFFFF"/>
        </w:rPr>
        <w:t xml:space="preserve">, Kristen </w:t>
      </w:r>
      <w:proofErr w:type="spellStart"/>
      <w:r w:rsidRPr="001749D7">
        <w:rPr>
          <w:rFonts w:asciiTheme="majorBidi" w:hAnsiTheme="majorBidi" w:cstheme="majorBidi"/>
          <w:sz w:val="22"/>
          <w:szCs w:val="22"/>
          <w:shd w:val="clear" w:color="auto" w:fill="FFFFFF"/>
        </w:rPr>
        <w:t>Himelein</w:t>
      </w:r>
      <w:proofErr w:type="spellEnd"/>
      <w:r w:rsidRPr="001749D7">
        <w:rPr>
          <w:rFonts w:asciiTheme="majorBidi" w:hAnsiTheme="majorBidi" w:cstheme="majorBidi"/>
          <w:sz w:val="22"/>
          <w:szCs w:val="22"/>
          <w:shd w:val="clear" w:color="auto" w:fill="FFFFFF"/>
        </w:rPr>
        <w:t xml:space="preserve">, Nathalie </w:t>
      </w:r>
      <w:proofErr w:type="spellStart"/>
      <w:r w:rsidRPr="001749D7">
        <w:rPr>
          <w:rFonts w:asciiTheme="majorBidi" w:hAnsiTheme="majorBidi" w:cstheme="majorBidi"/>
          <w:sz w:val="22"/>
          <w:szCs w:val="22"/>
          <w:shd w:val="clear" w:color="auto" w:fill="FFFFFF"/>
        </w:rPr>
        <w:t>Troubat</w:t>
      </w:r>
      <w:proofErr w:type="spellEnd"/>
      <w:r w:rsidRPr="001749D7">
        <w:rPr>
          <w:rFonts w:asciiTheme="majorBidi" w:hAnsiTheme="majorBidi" w:cstheme="majorBidi"/>
          <w:sz w:val="22"/>
          <w:szCs w:val="22"/>
          <w:shd w:val="clear" w:color="auto" w:fill="FFFFFF"/>
        </w:rPr>
        <w:t xml:space="preserve">, and John Gibson (2022) Effects of data collection methods on estimated household consumption and survey costs. </w:t>
      </w:r>
      <w:r w:rsidRPr="001749D7">
        <w:rPr>
          <w:rFonts w:asciiTheme="majorBidi" w:hAnsiTheme="majorBidi" w:cstheme="majorBidi"/>
          <w:i/>
          <w:iCs/>
          <w:sz w:val="22"/>
          <w:szCs w:val="22"/>
          <w:shd w:val="clear" w:color="auto" w:fill="FFFFFF"/>
        </w:rPr>
        <w:t>Policy Research Working Paper</w:t>
      </w:r>
      <w:r w:rsidRPr="001749D7">
        <w:rPr>
          <w:rFonts w:asciiTheme="majorBidi" w:hAnsiTheme="majorBidi" w:cstheme="majorBidi"/>
          <w:sz w:val="22"/>
          <w:szCs w:val="22"/>
          <w:shd w:val="clear" w:color="auto" w:fill="FFFFFF"/>
        </w:rPr>
        <w:t xml:space="preserve"> No. 10029 (World Bank, Washington).</w:t>
      </w:r>
    </w:p>
    <w:p w:rsidR="001749D7" w:rsidRPr="001749D7" w:rsidRDefault="001749D7" w:rsidP="001749D7">
      <w:pPr>
        <w:spacing w:after="120" w:line="276" w:lineRule="auto"/>
        <w:ind w:left="720" w:hanging="720"/>
        <w:rPr>
          <w:rFonts w:asciiTheme="majorBidi" w:eastAsia="Times New Roman" w:hAnsiTheme="majorBidi" w:cstheme="majorBidi"/>
          <w:sz w:val="22"/>
          <w:szCs w:val="22"/>
          <w:lang w:val="en-US" w:bidi="he-IL"/>
        </w:rPr>
      </w:pPr>
      <w:r w:rsidRPr="001749D7">
        <w:rPr>
          <w:rFonts w:asciiTheme="majorBidi" w:hAnsiTheme="majorBidi" w:cstheme="majorBidi"/>
          <w:sz w:val="22"/>
          <w:szCs w:val="22"/>
          <w:shd w:val="clear" w:color="auto" w:fill="FFFFFF"/>
        </w:rPr>
        <w:t xml:space="preserve">Small, Christopher, Francesca </w:t>
      </w:r>
      <w:proofErr w:type="spellStart"/>
      <w:r w:rsidRPr="001749D7">
        <w:rPr>
          <w:rFonts w:asciiTheme="majorBidi" w:hAnsiTheme="majorBidi" w:cstheme="majorBidi"/>
          <w:sz w:val="22"/>
          <w:szCs w:val="22"/>
          <w:shd w:val="clear" w:color="auto" w:fill="FFFFFF"/>
        </w:rPr>
        <w:t>Pozzi</w:t>
      </w:r>
      <w:proofErr w:type="spellEnd"/>
      <w:r w:rsidRPr="001749D7">
        <w:rPr>
          <w:rFonts w:asciiTheme="majorBidi" w:hAnsiTheme="majorBidi" w:cstheme="majorBidi"/>
          <w:sz w:val="22"/>
          <w:szCs w:val="22"/>
          <w:shd w:val="clear" w:color="auto" w:fill="FFFFFF"/>
        </w:rPr>
        <w:t xml:space="preserve">, and Christopher D. </w:t>
      </w:r>
      <w:proofErr w:type="spellStart"/>
      <w:r w:rsidRPr="001749D7">
        <w:rPr>
          <w:rFonts w:asciiTheme="majorBidi" w:hAnsiTheme="majorBidi" w:cstheme="majorBidi"/>
          <w:sz w:val="22"/>
          <w:szCs w:val="22"/>
          <w:shd w:val="clear" w:color="auto" w:fill="FFFFFF"/>
        </w:rPr>
        <w:t>Elvidge</w:t>
      </w:r>
      <w:proofErr w:type="spellEnd"/>
      <w:r w:rsidRPr="001749D7">
        <w:rPr>
          <w:rFonts w:asciiTheme="majorBidi" w:hAnsiTheme="majorBidi" w:cstheme="majorBidi"/>
          <w:sz w:val="22"/>
          <w:szCs w:val="22"/>
          <w:shd w:val="clear" w:color="auto" w:fill="FFFFFF"/>
        </w:rPr>
        <w:t xml:space="preserve"> (2005) Spatial analysis of global urban extent from DMSP-OLS night lights. </w:t>
      </w:r>
      <w:r w:rsidRPr="001749D7">
        <w:rPr>
          <w:rFonts w:asciiTheme="majorBidi" w:hAnsiTheme="majorBidi" w:cstheme="majorBidi"/>
          <w:i/>
          <w:iCs/>
          <w:sz w:val="22"/>
          <w:szCs w:val="22"/>
          <w:shd w:val="clear" w:color="auto" w:fill="FFFFFF"/>
        </w:rPr>
        <w:t>Remote Sensing of Environment</w:t>
      </w:r>
      <w:r w:rsidRPr="001749D7">
        <w:rPr>
          <w:rFonts w:asciiTheme="majorBidi" w:hAnsiTheme="majorBidi" w:cstheme="majorBidi"/>
          <w:sz w:val="22"/>
          <w:szCs w:val="22"/>
          <w:shd w:val="clear" w:color="auto" w:fill="FFFFFF"/>
        </w:rPr>
        <w:t xml:space="preserve"> 96(3-4): 277-291.</w:t>
      </w:r>
      <w:r w:rsidRPr="001749D7">
        <w:rPr>
          <w:rFonts w:asciiTheme="majorBidi" w:eastAsia="Times New Roman" w:hAnsiTheme="majorBidi" w:cstheme="majorBidi"/>
          <w:sz w:val="22"/>
          <w:szCs w:val="22"/>
          <w:lang w:val="en-US" w:bidi="he-IL"/>
        </w:rPr>
        <w:t xml:space="preserve"> </w:t>
      </w:r>
    </w:p>
    <w:p w:rsidR="001749D7" w:rsidRPr="001749D7" w:rsidRDefault="001749D7" w:rsidP="001749D7">
      <w:pPr>
        <w:widowControl w:val="0"/>
        <w:spacing w:after="120" w:line="276" w:lineRule="auto"/>
        <w:ind w:left="720" w:hanging="720"/>
        <w:rPr>
          <w:rFonts w:asciiTheme="majorBidi" w:eastAsia="Times New Roman" w:hAnsiTheme="majorBidi" w:cstheme="majorBidi"/>
          <w:sz w:val="22"/>
          <w:szCs w:val="22"/>
          <w:lang w:bidi="he-IL"/>
        </w:rPr>
      </w:pPr>
      <w:r w:rsidRPr="001749D7">
        <w:rPr>
          <w:rFonts w:asciiTheme="majorBidi" w:hAnsiTheme="majorBidi" w:cstheme="majorBidi"/>
          <w:sz w:val="22"/>
          <w:szCs w:val="22"/>
          <w:shd w:val="clear" w:color="auto" w:fill="FFFFFF"/>
        </w:rPr>
        <w:t xml:space="preserve">Tuttle, Benjamin, Sharolyn Anderson, Paul Sutton, Christopher </w:t>
      </w:r>
      <w:proofErr w:type="spellStart"/>
      <w:r w:rsidRPr="001749D7">
        <w:rPr>
          <w:rFonts w:asciiTheme="majorBidi" w:hAnsiTheme="majorBidi" w:cstheme="majorBidi"/>
          <w:sz w:val="22"/>
          <w:szCs w:val="22"/>
          <w:shd w:val="clear" w:color="auto" w:fill="FFFFFF"/>
        </w:rPr>
        <w:t>Elvidge</w:t>
      </w:r>
      <w:proofErr w:type="spellEnd"/>
      <w:r w:rsidRPr="001749D7">
        <w:rPr>
          <w:rFonts w:asciiTheme="majorBidi" w:hAnsiTheme="majorBidi" w:cstheme="majorBidi"/>
          <w:sz w:val="22"/>
          <w:szCs w:val="22"/>
          <w:shd w:val="clear" w:color="auto" w:fill="FFFFFF"/>
        </w:rPr>
        <w:t>, and Kim Baugh (2013) It used to be dark here. </w:t>
      </w:r>
      <w:r w:rsidRPr="001749D7">
        <w:rPr>
          <w:rFonts w:asciiTheme="majorBidi" w:hAnsiTheme="majorBidi" w:cstheme="majorBidi"/>
          <w:i/>
          <w:iCs/>
          <w:sz w:val="22"/>
          <w:szCs w:val="22"/>
          <w:shd w:val="clear" w:color="auto" w:fill="FFFFFF"/>
        </w:rPr>
        <w:t xml:space="preserve">Photogrammetric Engineering &amp; Remote Sensing </w:t>
      </w:r>
      <w:r w:rsidRPr="001749D7">
        <w:rPr>
          <w:rFonts w:asciiTheme="majorBidi" w:hAnsiTheme="majorBidi" w:cstheme="majorBidi"/>
          <w:sz w:val="22"/>
          <w:szCs w:val="22"/>
          <w:shd w:val="clear" w:color="auto" w:fill="FFFFFF"/>
        </w:rPr>
        <w:t>79(3): 287-297.</w:t>
      </w:r>
      <w:r w:rsidRPr="001749D7">
        <w:rPr>
          <w:rFonts w:asciiTheme="majorBidi" w:eastAsia="Times New Roman" w:hAnsiTheme="majorBidi" w:cstheme="majorBidi"/>
          <w:sz w:val="22"/>
          <w:szCs w:val="22"/>
          <w:lang w:bidi="he-IL"/>
        </w:rPr>
        <w:t xml:space="preserve"> </w:t>
      </w:r>
    </w:p>
    <w:p w:rsidR="001749D7" w:rsidRPr="001749D7" w:rsidRDefault="001749D7" w:rsidP="001749D7">
      <w:pPr>
        <w:widowControl w:val="0"/>
        <w:spacing w:after="120" w:line="276" w:lineRule="auto"/>
        <w:ind w:left="720" w:hanging="720"/>
        <w:rPr>
          <w:rFonts w:asciiTheme="majorBidi" w:eastAsia="Times New Roman" w:hAnsiTheme="majorBidi" w:cstheme="majorBidi"/>
          <w:sz w:val="22"/>
          <w:szCs w:val="22"/>
          <w:lang w:bidi="he-IL"/>
        </w:rPr>
      </w:pPr>
      <w:proofErr w:type="spellStart"/>
      <w:r w:rsidRPr="001749D7">
        <w:rPr>
          <w:rFonts w:asciiTheme="majorBidi" w:eastAsia="Times New Roman" w:hAnsiTheme="majorBidi" w:cstheme="majorBidi"/>
          <w:sz w:val="22"/>
          <w:szCs w:val="22"/>
          <w:lang w:bidi="he-IL"/>
        </w:rPr>
        <w:t>Vuong</w:t>
      </w:r>
      <w:proofErr w:type="spellEnd"/>
      <w:r w:rsidRPr="001749D7">
        <w:rPr>
          <w:rFonts w:asciiTheme="majorBidi" w:eastAsia="Times New Roman" w:hAnsiTheme="majorBidi" w:cstheme="majorBidi"/>
          <w:sz w:val="22"/>
          <w:szCs w:val="22"/>
          <w:lang w:bidi="he-IL"/>
        </w:rPr>
        <w:t xml:space="preserve">, Quang (1989). Likelihood ratio tests for model selection and non-nested hypotheses. </w:t>
      </w:r>
      <w:proofErr w:type="spellStart"/>
      <w:proofErr w:type="gramStart"/>
      <w:r w:rsidRPr="001749D7">
        <w:rPr>
          <w:rFonts w:asciiTheme="majorBidi" w:eastAsia="Times New Roman" w:hAnsiTheme="majorBidi" w:cstheme="majorBidi"/>
          <w:i/>
          <w:iCs/>
          <w:sz w:val="22"/>
          <w:szCs w:val="22"/>
          <w:lang w:bidi="he-IL"/>
        </w:rPr>
        <w:t>Econometrica</w:t>
      </w:r>
      <w:proofErr w:type="spellEnd"/>
      <w:r w:rsidRPr="001749D7">
        <w:rPr>
          <w:rFonts w:asciiTheme="majorBidi" w:eastAsia="Times New Roman" w:hAnsiTheme="majorBidi" w:cstheme="majorBidi"/>
          <w:i/>
          <w:iCs/>
          <w:sz w:val="22"/>
          <w:szCs w:val="22"/>
          <w:lang w:bidi="he-IL"/>
        </w:rPr>
        <w:t xml:space="preserve"> </w:t>
      </w:r>
      <w:r w:rsidRPr="001749D7">
        <w:rPr>
          <w:rFonts w:asciiTheme="majorBidi" w:eastAsia="Times New Roman" w:hAnsiTheme="majorBidi" w:cstheme="majorBidi"/>
          <w:sz w:val="22"/>
          <w:szCs w:val="22"/>
          <w:lang w:bidi="he-IL"/>
        </w:rPr>
        <w:t xml:space="preserve"> 57</w:t>
      </w:r>
      <w:proofErr w:type="gramEnd"/>
      <w:r w:rsidRPr="001749D7">
        <w:rPr>
          <w:rFonts w:asciiTheme="majorBidi" w:eastAsia="Times New Roman" w:hAnsiTheme="majorBidi" w:cstheme="majorBidi"/>
          <w:sz w:val="22"/>
          <w:szCs w:val="22"/>
          <w:lang w:bidi="he-IL"/>
        </w:rPr>
        <w:t>(2): 307-333.</w:t>
      </w:r>
    </w:p>
    <w:p w:rsidR="001749D7" w:rsidRPr="001749D7" w:rsidRDefault="001749D7" w:rsidP="001749D7">
      <w:pPr>
        <w:widowControl w:val="0"/>
        <w:spacing w:after="120" w:line="276" w:lineRule="auto"/>
        <w:ind w:left="720" w:hanging="720"/>
        <w:rPr>
          <w:rFonts w:asciiTheme="majorBidi" w:eastAsia="Times New Roman" w:hAnsiTheme="majorBidi" w:cstheme="majorBidi"/>
          <w:sz w:val="22"/>
          <w:szCs w:val="22"/>
          <w:lang w:bidi="he-IL"/>
        </w:rPr>
      </w:pPr>
      <w:r w:rsidRPr="001749D7">
        <w:rPr>
          <w:rFonts w:asciiTheme="majorBidi" w:eastAsia="Times New Roman" w:hAnsiTheme="majorBidi" w:cstheme="majorBidi"/>
          <w:sz w:val="22"/>
          <w:szCs w:val="22"/>
          <w:lang w:bidi="he-IL"/>
        </w:rPr>
        <w:t xml:space="preserve">Zhang, </w:t>
      </w:r>
      <w:proofErr w:type="spellStart"/>
      <w:r w:rsidRPr="001749D7">
        <w:rPr>
          <w:rFonts w:asciiTheme="majorBidi" w:eastAsia="Times New Roman" w:hAnsiTheme="majorBidi" w:cstheme="majorBidi"/>
          <w:sz w:val="22"/>
          <w:szCs w:val="22"/>
          <w:lang w:bidi="he-IL"/>
        </w:rPr>
        <w:t>Xiaoxuan</w:t>
      </w:r>
      <w:proofErr w:type="spellEnd"/>
      <w:r w:rsidRPr="001749D7">
        <w:rPr>
          <w:rFonts w:asciiTheme="majorBidi" w:eastAsia="Times New Roman" w:hAnsiTheme="majorBidi" w:cstheme="majorBidi"/>
          <w:sz w:val="22"/>
          <w:szCs w:val="22"/>
          <w:lang w:bidi="he-IL"/>
        </w:rPr>
        <w:t xml:space="preserve">, and John Gibson (2022) Using multi-source </w:t>
      </w:r>
      <w:proofErr w:type="spellStart"/>
      <w:r w:rsidRPr="001749D7">
        <w:rPr>
          <w:rFonts w:asciiTheme="majorBidi" w:eastAsia="Times New Roman" w:hAnsiTheme="majorBidi" w:cstheme="majorBidi"/>
          <w:sz w:val="22"/>
          <w:szCs w:val="22"/>
          <w:lang w:bidi="he-IL"/>
        </w:rPr>
        <w:t>nighttime</w:t>
      </w:r>
      <w:proofErr w:type="spellEnd"/>
      <w:r w:rsidRPr="001749D7">
        <w:rPr>
          <w:rFonts w:asciiTheme="majorBidi" w:eastAsia="Times New Roman" w:hAnsiTheme="majorBidi" w:cstheme="majorBidi"/>
          <w:sz w:val="22"/>
          <w:szCs w:val="22"/>
          <w:lang w:bidi="he-IL"/>
        </w:rPr>
        <w:t xml:space="preserve"> lights data to proxy for county-level economic activity in China from 2012 to 2019. </w:t>
      </w:r>
      <w:r w:rsidRPr="001749D7">
        <w:rPr>
          <w:rFonts w:asciiTheme="majorBidi" w:eastAsia="Times New Roman" w:hAnsiTheme="majorBidi" w:cstheme="majorBidi"/>
          <w:i/>
          <w:iCs/>
          <w:sz w:val="22"/>
          <w:szCs w:val="22"/>
          <w:lang w:bidi="he-IL"/>
        </w:rPr>
        <w:t xml:space="preserve">Remote Sensing </w:t>
      </w:r>
      <w:r w:rsidRPr="001749D7">
        <w:rPr>
          <w:rFonts w:asciiTheme="majorBidi" w:eastAsia="Times New Roman" w:hAnsiTheme="majorBidi" w:cstheme="majorBidi"/>
          <w:sz w:val="22"/>
          <w:szCs w:val="22"/>
          <w:lang w:bidi="he-IL"/>
        </w:rPr>
        <w:t>14(5): 1282.</w:t>
      </w:r>
    </w:p>
    <w:p w:rsidR="00640C1E" w:rsidRPr="006E1A33" w:rsidRDefault="00640C1E" w:rsidP="00133C61">
      <w:pPr>
        <w:widowControl w:val="0"/>
        <w:spacing w:after="120" w:line="276" w:lineRule="auto"/>
        <w:ind w:left="720" w:hanging="720"/>
        <w:rPr>
          <w:rFonts w:asciiTheme="majorBidi" w:eastAsia="Times New Roman" w:hAnsiTheme="majorBidi" w:cstheme="majorBidi"/>
          <w:lang w:bidi="he-IL"/>
        </w:rPr>
      </w:pPr>
    </w:p>
    <w:p w:rsidR="009052AF" w:rsidRDefault="009052AF">
      <w:pPr>
        <w:rPr>
          <w:rFonts w:asciiTheme="majorBidi" w:eastAsia="Times New Roman" w:hAnsiTheme="majorBidi" w:cstheme="majorBidi"/>
          <w:lang w:bidi="he-IL"/>
        </w:rPr>
      </w:pPr>
      <w:r>
        <w:rPr>
          <w:rFonts w:asciiTheme="majorBidi" w:eastAsia="Times New Roman" w:hAnsiTheme="majorBidi" w:cstheme="majorBidi"/>
          <w:lang w:bidi="he-IL"/>
        </w:rPr>
        <w:br w:type="page"/>
      </w:r>
    </w:p>
    <w:p w:rsidR="009052AF" w:rsidRPr="009052AF" w:rsidRDefault="009052AF" w:rsidP="009052AF">
      <w:pPr>
        <w:widowControl w:val="0"/>
        <w:spacing w:after="0" w:line="240" w:lineRule="auto"/>
        <w:ind w:left="720" w:hanging="720"/>
        <w:rPr>
          <w:rFonts w:asciiTheme="majorBidi" w:eastAsia="Times New Roman" w:hAnsiTheme="majorBidi" w:cstheme="majorBidi"/>
          <w:sz w:val="4"/>
          <w:szCs w:val="4"/>
          <w:lang w:bidi="he-IL"/>
        </w:rPr>
      </w:pPr>
      <w:r w:rsidRPr="009052AF">
        <w:rPr>
          <w:rFonts w:asciiTheme="majorBidi" w:eastAsia="Times New Roman" w:hAnsiTheme="majorBidi" w:cstheme="majorBidi"/>
          <w:noProof/>
          <w:sz w:val="4"/>
          <w:szCs w:val="4"/>
          <w:lang w:eastAsia="zh-CN"/>
        </w:rPr>
        <w:lastRenderedPageBreak/>
        <w:drawing>
          <wp:inline distT="0" distB="0" distL="0" distR="0">
            <wp:extent cx="5731510" cy="853656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536562"/>
                    </a:xfrm>
                    <a:prstGeom prst="rect">
                      <a:avLst/>
                    </a:prstGeom>
                    <a:noFill/>
                    <a:ln>
                      <a:noFill/>
                    </a:ln>
                  </pic:spPr>
                </pic:pic>
              </a:graphicData>
            </a:graphic>
          </wp:inline>
        </w:drawing>
      </w:r>
    </w:p>
    <w:p w:rsidR="00602334" w:rsidRDefault="00602334" w:rsidP="00602334">
      <w:pPr>
        <w:widowControl w:val="0"/>
        <w:spacing w:after="0" w:line="240" w:lineRule="auto"/>
        <w:rPr>
          <w:rFonts w:eastAsia="Times New Roman" w:cs="Arial"/>
          <w:lang w:bidi="he-IL"/>
        </w:rPr>
      </w:pPr>
    </w:p>
    <w:p w:rsidR="007D0C05" w:rsidRPr="009052AF" w:rsidRDefault="007D0C05" w:rsidP="009052AF">
      <w:pPr>
        <w:widowControl w:val="0"/>
        <w:spacing w:after="0" w:line="240" w:lineRule="auto"/>
        <w:ind w:left="400" w:hangingChars="200" w:hanging="400"/>
        <w:jc w:val="both"/>
        <w:rPr>
          <w:rFonts w:eastAsia="SimSun" w:cs="Arial"/>
          <w:color w:val="000000"/>
          <w:kern w:val="2"/>
          <w:sz w:val="20"/>
          <w:szCs w:val="21"/>
          <w:lang w:val="en-US" w:eastAsia="zh-CN"/>
        </w:rPr>
      </w:pPr>
    </w:p>
    <w:p w:rsidR="00602334" w:rsidRPr="00602334" w:rsidRDefault="00602334" w:rsidP="00C5537E">
      <w:pPr>
        <w:widowControl w:val="0"/>
        <w:spacing w:line="276" w:lineRule="auto"/>
        <w:ind w:left="720" w:hanging="720"/>
        <w:rPr>
          <w:rFonts w:eastAsia="SimSun" w:cs="Arial"/>
          <w:b/>
          <w:color w:val="000000"/>
          <w:kern w:val="2"/>
          <w:sz w:val="22"/>
          <w:szCs w:val="22"/>
          <w:lang w:val="en-US" w:eastAsia="zh-CN"/>
        </w:rPr>
      </w:pPr>
      <w:r w:rsidRPr="00602334">
        <w:rPr>
          <w:rFonts w:eastAsia="SimSun" w:cs="Arial"/>
          <w:b/>
          <w:color w:val="000000"/>
          <w:kern w:val="2"/>
          <w:sz w:val="22"/>
          <w:szCs w:val="22"/>
          <w:lang w:val="en-US" w:eastAsia="zh-CN"/>
        </w:rPr>
        <w:lastRenderedPageBreak/>
        <w:t>References for Appendix A (most recent first)</w:t>
      </w:r>
    </w:p>
    <w:p w:rsidR="009052AF" w:rsidRPr="007D0C05" w:rsidRDefault="009052AF" w:rsidP="00C5537E">
      <w:pPr>
        <w:widowControl w:val="0"/>
        <w:ind w:left="720" w:hanging="720"/>
        <w:rPr>
          <w:rFonts w:eastAsia="SimSun" w:cs="Arial"/>
          <w:color w:val="000000"/>
          <w:kern w:val="2"/>
          <w:sz w:val="22"/>
          <w:szCs w:val="22"/>
          <w:lang w:eastAsia="zh-CN"/>
        </w:rPr>
      </w:pPr>
      <w:r w:rsidRPr="007D0C05">
        <w:rPr>
          <w:rFonts w:eastAsia="SimSun" w:cs="Arial"/>
          <w:color w:val="000000"/>
          <w:kern w:val="2"/>
          <w:sz w:val="22"/>
          <w:szCs w:val="22"/>
          <w:lang w:val="en-US" w:eastAsia="zh-CN"/>
        </w:rPr>
        <w:t xml:space="preserve">Chen, </w:t>
      </w:r>
      <w:proofErr w:type="spellStart"/>
      <w:r w:rsidRPr="007D0C05">
        <w:rPr>
          <w:rFonts w:eastAsia="SimSun" w:cs="Arial"/>
          <w:color w:val="000000"/>
          <w:kern w:val="2"/>
          <w:sz w:val="22"/>
          <w:szCs w:val="22"/>
          <w:lang w:val="en-US" w:eastAsia="zh-CN"/>
        </w:rPr>
        <w:t>Guohui</w:t>
      </w:r>
      <w:proofErr w:type="spellEnd"/>
      <w:r w:rsidRPr="007D0C05">
        <w:rPr>
          <w:rFonts w:eastAsia="SimSun" w:cs="Arial"/>
          <w:color w:val="000000"/>
          <w:kern w:val="2"/>
          <w:sz w:val="22"/>
          <w:szCs w:val="22"/>
          <w:lang w:val="en-US" w:eastAsia="zh-CN"/>
        </w:rPr>
        <w:t xml:space="preserve">, and </w:t>
      </w:r>
      <w:proofErr w:type="spellStart"/>
      <w:r w:rsidRPr="007D0C05">
        <w:rPr>
          <w:rFonts w:eastAsia="SimSun" w:cs="Arial"/>
          <w:color w:val="000000"/>
          <w:kern w:val="2"/>
          <w:sz w:val="22"/>
          <w:szCs w:val="22"/>
          <w:lang w:val="en-US" w:eastAsia="zh-CN"/>
        </w:rPr>
        <w:t>Jie</w:t>
      </w:r>
      <w:proofErr w:type="spellEnd"/>
      <w:r w:rsidRPr="007D0C05">
        <w:rPr>
          <w:rFonts w:eastAsia="SimSun" w:cs="Arial"/>
          <w:color w:val="000000"/>
          <w:kern w:val="2"/>
          <w:sz w:val="22"/>
          <w:szCs w:val="22"/>
          <w:lang w:val="en-US" w:eastAsia="zh-CN"/>
        </w:rPr>
        <w:t xml:space="preserve"> Zhang (2022) Regional inequality in ASEAN countries:</w:t>
      </w:r>
      <w:r w:rsidRPr="007D0C05">
        <w:rPr>
          <w:rFonts w:eastAsia="SimSun" w:cs="Arial" w:hint="eastAsia"/>
          <w:color w:val="000000"/>
          <w:kern w:val="2"/>
          <w:sz w:val="22"/>
          <w:szCs w:val="22"/>
          <w:lang w:val="en-US" w:eastAsia="zh-CN"/>
        </w:rPr>
        <w:t xml:space="preserve"> </w:t>
      </w:r>
      <w:r w:rsidRPr="007D0C05">
        <w:rPr>
          <w:rFonts w:eastAsia="SimSun" w:cs="Arial"/>
          <w:color w:val="000000"/>
          <w:kern w:val="2"/>
          <w:sz w:val="22"/>
          <w:szCs w:val="22"/>
          <w:lang w:val="en-US" w:eastAsia="zh-CN"/>
        </w:rPr>
        <w:t xml:space="preserve">Evidence from an outer space perspective. </w:t>
      </w:r>
      <w:r w:rsidRPr="007D0C05">
        <w:rPr>
          <w:rFonts w:eastAsia="SimSun" w:cs="Arial"/>
          <w:i/>
          <w:iCs/>
          <w:color w:val="000000"/>
          <w:kern w:val="2"/>
          <w:sz w:val="22"/>
          <w:szCs w:val="22"/>
          <w:lang w:val="en-US" w:eastAsia="zh-CN"/>
        </w:rPr>
        <w:t xml:space="preserve">Emerging Markets Finance and Trade </w:t>
      </w:r>
      <w:r w:rsidRPr="007D0C05">
        <w:rPr>
          <w:rFonts w:eastAsia="SimSun" w:cs="Arial"/>
          <w:color w:val="000000"/>
          <w:kern w:val="2"/>
          <w:sz w:val="22"/>
          <w:szCs w:val="22"/>
          <w:lang w:val="en-US" w:eastAsia="zh-CN"/>
        </w:rPr>
        <w:t xml:space="preserve">(online early available at: </w:t>
      </w:r>
      <w:hyperlink r:id="rId16" w:history="1">
        <w:r w:rsidRPr="007D0C05">
          <w:rPr>
            <w:rFonts w:eastAsia="SimSun" w:cs="Arial"/>
            <w:color w:val="0563C1"/>
            <w:kern w:val="2"/>
            <w:sz w:val="22"/>
            <w:szCs w:val="22"/>
            <w:u w:val="single"/>
            <w:lang w:eastAsia="zh-CN"/>
          </w:rPr>
          <w:t>https://doi.org/10.1080/1540496X.2022.2119810</w:t>
        </w:r>
      </w:hyperlink>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Sangkasem</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Krittaya</w:t>
      </w:r>
      <w:proofErr w:type="spellEnd"/>
      <w:r w:rsidRPr="007D0C05">
        <w:rPr>
          <w:rFonts w:eastAsia="SimSun" w:cs="Arial"/>
          <w:color w:val="000000"/>
          <w:kern w:val="2"/>
          <w:sz w:val="22"/>
          <w:szCs w:val="22"/>
          <w:lang w:val="en-US" w:eastAsia="zh-CN"/>
        </w:rPr>
        <w:t xml:space="preserve">, and </w:t>
      </w:r>
      <w:proofErr w:type="spellStart"/>
      <w:r w:rsidRPr="007D0C05">
        <w:rPr>
          <w:rFonts w:eastAsia="SimSun" w:cs="Arial"/>
          <w:color w:val="000000"/>
          <w:kern w:val="2"/>
          <w:sz w:val="22"/>
          <w:szCs w:val="22"/>
          <w:lang w:val="en-US" w:eastAsia="zh-CN"/>
        </w:rPr>
        <w:t>Nattapong</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Puttanapong</w:t>
      </w:r>
      <w:proofErr w:type="spellEnd"/>
      <w:r w:rsidRPr="007D0C05">
        <w:rPr>
          <w:rFonts w:eastAsia="SimSun" w:cs="Arial"/>
          <w:color w:val="000000"/>
          <w:kern w:val="2"/>
          <w:sz w:val="22"/>
          <w:szCs w:val="22"/>
          <w:lang w:val="en-US" w:eastAsia="zh-CN"/>
        </w:rPr>
        <w:t xml:space="preserve"> (2022) Analysis of spatial inequality using DMSP‐OLS nighttime‐light satellite imageries: A case study of Thailand. </w:t>
      </w:r>
      <w:r w:rsidRPr="007D0C05">
        <w:rPr>
          <w:rFonts w:eastAsia="SimSun" w:cs="Arial"/>
          <w:i/>
          <w:iCs/>
          <w:color w:val="000000"/>
          <w:kern w:val="2"/>
          <w:sz w:val="22"/>
          <w:szCs w:val="22"/>
          <w:lang w:val="en-US" w:eastAsia="zh-CN"/>
        </w:rPr>
        <w:t>Regional Science Policy &amp; Practice</w:t>
      </w:r>
      <w:r w:rsidRPr="007D0C05">
        <w:rPr>
          <w:rFonts w:eastAsia="SimSun" w:cs="Arial"/>
          <w:color w:val="000000"/>
          <w:kern w:val="2"/>
          <w:sz w:val="22"/>
          <w:szCs w:val="22"/>
          <w:lang w:val="en-US" w:eastAsia="zh-CN"/>
        </w:rPr>
        <w:t xml:space="preserve"> 14(4): 828-849.</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Galimberti</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Jaqueson</w:t>
      </w:r>
      <w:proofErr w:type="spellEnd"/>
      <w:r w:rsidRPr="007D0C05">
        <w:rPr>
          <w:rFonts w:eastAsia="SimSun" w:cs="Arial"/>
          <w:color w:val="000000"/>
          <w:kern w:val="2"/>
          <w:sz w:val="22"/>
          <w:szCs w:val="22"/>
          <w:lang w:val="en-US" w:eastAsia="zh-CN"/>
        </w:rPr>
        <w:t xml:space="preserve">, Stefan Pichler, and Regina </w:t>
      </w:r>
      <w:proofErr w:type="spellStart"/>
      <w:r w:rsidRPr="007D0C05">
        <w:rPr>
          <w:rFonts w:eastAsia="SimSun" w:cs="Arial"/>
          <w:color w:val="000000"/>
          <w:kern w:val="2"/>
          <w:sz w:val="22"/>
          <w:szCs w:val="22"/>
          <w:lang w:val="en-US" w:eastAsia="zh-CN"/>
        </w:rPr>
        <w:t>Pleninger</w:t>
      </w:r>
      <w:proofErr w:type="spellEnd"/>
      <w:r w:rsidRPr="007D0C05">
        <w:rPr>
          <w:rFonts w:eastAsia="SimSun" w:cs="Arial" w:hint="eastAsia"/>
          <w:color w:val="000000"/>
          <w:kern w:val="2"/>
          <w:sz w:val="22"/>
          <w:szCs w:val="22"/>
          <w:lang w:val="en-US" w:eastAsia="zh-CN"/>
        </w:rPr>
        <w:t xml:space="preserve"> </w:t>
      </w:r>
      <w:r w:rsidRPr="007D0C05">
        <w:rPr>
          <w:rFonts w:eastAsia="SimSun" w:cs="Arial"/>
          <w:color w:val="000000"/>
          <w:kern w:val="2"/>
          <w:sz w:val="22"/>
          <w:szCs w:val="22"/>
          <w:lang w:val="en-US" w:eastAsia="zh-CN"/>
        </w:rPr>
        <w:t>(2021) Measuring inequality using geospatial data.</w:t>
      </w:r>
      <w:r w:rsidRPr="007D0C05">
        <w:rPr>
          <w:rFonts w:eastAsia="SimSun" w:cs="Arial"/>
          <w:i/>
          <w:iCs/>
          <w:color w:val="000000"/>
          <w:kern w:val="2"/>
          <w:sz w:val="22"/>
          <w:szCs w:val="22"/>
          <w:lang w:val="en-US" w:eastAsia="zh-CN"/>
        </w:rPr>
        <w:t xml:space="preserve"> KOF Working Papers 493</w:t>
      </w:r>
      <w:r w:rsidRPr="007D0C05">
        <w:rPr>
          <w:rFonts w:eastAsia="SimSun" w:cs="Arial"/>
          <w:color w:val="000000"/>
          <w:kern w:val="2"/>
          <w:sz w:val="22"/>
          <w:szCs w:val="22"/>
          <w:lang w:val="en-US" w:eastAsia="zh-CN"/>
        </w:rPr>
        <w:t>. KOF Swiss Economic Institute, ETH Zurich.</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Mirza, M. Usman, Chi Xu, Bas van </w:t>
      </w:r>
      <w:proofErr w:type="spellStart"/>
      <w:r w:rsidRPr="007D0C05">
        <w:rPr>
          <w:rFonts w:eastAsia="SimSun" w:cs="Arial"/>
          <w:color w:val="000000"/>
          <w:kern w:val="2"/>
          <w:sz w:val="22"/>
          <w:szCs w:val="22"/>
          <w:lang w:val="en-US" w:eastAsia="zh-CN"/>
        </w:rPr>
        <w:t>Bavel</w:t>
      </w:r>
      <w:proofErr w:type="spellEnd"/>
      <w:r w:rsidRPr="007D0C05">
        <w:rPr>
          <w:rFonts w:eastAsia="SimSun" w:cs="Arial"/>
          <w:color w:val="000000"/>
          <w:kern w:val="2"/>
          <w:sz w:val="22"/>
          <w:szCs w:val="22"/>
          <w:lang w:val="en-US" w:eastAsia="zh-CN"/>
        </w:rPr>
        <w:t xml:space="preserve">, and Marten </w:t>
      </w:r>
      <w:proofErr w:type="spellStart"/>
      <w:r w:rsidRPr="007D0C05">
        <w:rPr>
          <w:rFonts w:eastAsia="SimSun" w:cs="Arial"/>
          <w:color w:val="000000"/>
          <w:kern w:val="2"/>
          <w:sz w:val="22"/>
          <w:szCs w:val="22"/>
          <w:lang w:val="en-US" w:eastAsia="zh-CN"/>
        </w:rPr>
        <w:t>Scheffer</w:t>
      </w:r>
      <w:proofErr w:type="spellEnd"/>
      <w:r w:rsidRPr="007D0C05">
        <w:rPr>
          <w:rFonts w:eastAsia="SimSun" w:cs="Arial"/>
          <w:color w:val="000000"/>
          <w:kern w:val="2"/>
          <w:sz w:val="22"/>
          <w:szCs w:val="22"/>
          <w:lang w:val="en-US" w:eastAsia="zh-CN"/>
        </w:rPr>
        <w:t xml:space="preserve"> (2021) Global inequality remotely sensed. </w:t>
      </w:r>
      <w:r w:rsidRPr="007D0C05">
        <w:rPr>
          <w:rFonts w:eastAsia="SimSun" w:cs="Arial"/>
          <w:i/>
          <w:iCs/>
          <w:color w:val="000000"/>
          <w:kern w:val="2"/>
          <w:sz w:val="22"/>
          <w:szCs w:val="22"/>
          <w:lang w:val="en-US" w:eastAsia="zh-CN"/>
        </w:rPr>
        <w:t xml:space="preserve">Proceedings of the National Academy of Sciences </w:t>
      </w:r>
      <w:r w:rsidRPr="007D0C05">
        <w:rPr>
          <w:rFonts w:eastAsia="SimSun" w:cs="Arial"/>
          <w:color w:val="000000"/>
          <w:kern w:val="2"/>
          <w:sz w:val="22"/>
          <w:szCs w:val="22"/>
          <w:lang w:val="en-US" w:eastAsia="zh-CN"/>
        </w:rPr>
        <w:t>118(18): e1919913118.</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Montalvo, José, Marta </w:t>
      </w:r>
      <w:proofErr w:type="spellStart"/>
      <w:r w:rsidRPr="007D0C05">
        <w:rPr>
          <w:rFonts w:eastAsia="SimSun" w:cs="Arial"/>
          <w:color w:val="000000"/>
          <w:kern w:val="2"/>
          <w:sz w:val="22"/>
          <w:szCs w:val="22"/>
          <w:lang w:val="en-US" w:eastAsia="zh-CN"/>
        </w:rPr>
        <w:t>Reynal-Querol</w:t>
      </w:r>
      <w:proofErr w:type="spellEnd"/>
      <w:r w:rsidRPr="007D0C05">
        <w:rPr>
          <w:rFonts w:eastAsia="SimSun" w:cs="Arial"/>
          <w:color w:val="000000"/>
          <w:kern w:val="2"/>
          <w:sz w:val="22"/>
          <w:szCs w:val="22"/>
          <w:lang w:val="en-US" w:eastAsia="zh-CN"/>
        </w:rPr>
        <w:t xml:space="preserve">, and Juan Carlos Muñoz Mora (2021) Measuring inequality from above. </w:t>
      </w:r>
      <w:r w:rsidRPr="007D0C05">
        <w:rPr>
          <w:rFonts w:eastAsia="SimSun" w:cs="Arial"/>
          <w:i/>
          <w:iCs/>
          <w:color w:val="000000"/>
          <w:kern w:val="2"/>
          <w:sz w:val="22"/>
          <w:szCs w:val="22"/>
          <w:lang w:val="en-US" w:eastAsia="zh-CN"/>
        </w:rPr>
        <w:t>Working Papers</w:t>
      </w:r>
      <w:r w:rsidRPr="007D0C05">
        <w:rPr>
          <w:rFonts w:eastAsia="SimSun" w:cs="Arial"/>
          <w:color w:val="000000"/>
          <w:kern w:val="2"/>
          <w:sz w:val="22"/>
          <w:szCs w:val="22"/>
          <w:lang w:val="en-US" w:eastAsia="zh-CN"/>
        </w:rPr>
        <w:t xml:space="preserve"> 1252, Barcelona School of Economics.</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Weidmann</w:t>
      </w:r>
      <w:proofErr w:type="spellEnd"/>
      <w:r w:rsidRPr="007D0C05">
        <w:rPr>
          <w:rFonts w:eastAsia="SimSun" w:cs="Arial" w:hint="eastAsia"/>
          <w:color w:val="000000"/>
          <w:kern w:val="2"/>
          <w:sz w:val="22"/>
          <w:szCs w:val="22"/>
          <w:lang w:val="en-US" w:eastAsia="zh-CN"/>
        </w:rPr>
        <w:t>,</w:t>
      </w:r>
      <w:r w:rsidRPr="007D0C05">
        <w:rPr>
          <w:rFonts w:eastAsia="SimSun" w:cs="Arial"/>
          <w:color w:val="000000"/>
          <w:kern w:val="2"/>
          <w:sz w:val="22"/>
          <w:szCs w:val="22"/>
          <w:lang w:val="en-US" w:eastAsia="zh-CN"/>
        </w:rPr>
        <w:t xml:space="preserve"> Nils, and </w:t>
      </w:r>
      <w:proofErr w:type="spellStart"/>
      <w:r w:rsidRPr="007D0C05">
        <w:rPr>
          <w:rFonts w:eastAsia="SimSun" w:cs="Arial"/>
          <w:color w:val="000000"/>
          <w:kern w:val="2"/>
          <w:sz w:val="22"/>
          <w:szCs w:val="22"/>
          <w:lang w:val="en-US" w:eastAsia="zh-CN"/>
        </w:rPr>
        <w:t>Gerlinde</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Theunissen</w:t>
      </w:r>
      <w:proofErr w:type="spellEnd"/>
      <w:r w:rsidRPr="007D0C05">
        <w:rPr>
          <w:rFonts w:eastAsia="SimSun" w:cs="Arial"/>
          <w:color w:val="000000"/>
          <w:kern w:val="2"/>
          <w:sz w:val="22"/>
          <w:szCs w:val="22"/>
          <w:lang w:val="en-US" w:eastAsia="zh-CN"/>
        </w:rPr>
        <w:t xml:space="preserve"> (2021) Estimating local inequality from nighttime lights. </w:t>
      </w:r>
      <w:r w:rsidRPr="007D0C05">
        <w:rPr>
          <w:rFonts w:eastAsia="SimSun" w:cs="Arial"/>
          <w:i/>
          <w:iCs/>
          <w:color w:val="000000"/>
          <w:kern w:val="2"/>
          <w:sz w:val="22"/>
          <w:szCs w:val="22"/>
          <w:lang w:val="en-US" w:eastAsia="zh-CN"/>
        </w:rPr>
        <w:t>Remote Sensing</w:t>
      </w:r>
      <w:r w:rsidRPr="007D0C05">
        <w:rPr>
          <w:rFonts w:eastAsia="SimSun" w:cs="Arial"/>
          <w:color w:val="000000"/>
          <w:kern w:val="2"/>
          <w:sz w:val="22"/>
          <w:szCs w:val="22"/>
          <w:lang w:val="en-US" w:eastAsia="zh-CN"/>
        </w:rPr>
        <w:t xml:space="preserve"> 13(22): 4624.</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Ivan, Kinga, Iulian-</w:t>
      </w:r>
      <w:proofErr w:type="spellStart"/>
      <w:r w:rsidRPr="007D0C05">
        <w:rPr>
          <w:rFonts w:eastAsia="SimSun" w:cs="Arial"/>
          <w:color w:val="000000"/>
          <w:kern w:val="2"/>
          <w:sz w:val="22"/>
          <w:szCs w:val="22"/>
          <w:lang w:val="en-US" w:eastAsia="zh-CN"/>
        </w:rPr>
        <w:t>Horia</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Holobâcă</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József</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Benedek</w:t>
      </w:r>
      <w:proofErr w:type="spellEnd"/>
      <w:r w:rsidRPr="007D0C05">
        <w:rPr>
          <w:rFonts w:eastAsia="SimSun" w:cs="Arial"/>
          <w:color w:val="000000"/>
          <w:kern w:val="2"/>
          <w:sz w:val="22"/>
          <w:szCs w:val="22"/>
          <w:lang w:val="en-US" w:eastAsia="zh-CN"/>
        </w:rPr>
        <w:t xml:space="preserve">, and </w:t>
      </w:r>
      <w:proofErr w:type="spellStart"/>
      <w:r w:rsidRPr="007D0C05">
        <w:rPr>
          <w:rFonts w:eastAsia="SimSun" w:cs="Arial"/>
          <w:color w:val="000000"/>
          <w:kern w:val="2"/>
          <w:sz w:val="22"/>
          <w:szCs w:val="22"/>
          <w:lang w:val="en-US" w:eastAsia="zh-CN"/>
        </w:rPr>
        <w:t>Ibolya</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Török</w:t>
      </w:r>
      <w:proofErr w:type="spellEnd"/>
      <w:r w:rsidRPr="007D0C05">
        <w:rPr>
          <w:rFonts w:eastAsia="SimSun" w:cs="Arial"/>
          <w:color w:val="000000"/>
          <w:kern w:val="2"/>
          <w:sz w:val="22"/>
          <w:szCs w:val="22"/>
          <w:lang w:val="en-US" w:eastAsia="zh-CN"/>
        </w:rPr>
        <w:t xml:space="preserve"> (2020) Potential of night-time lights to measure regional inequality. </w:t>
      </w:r>
      <w:r w:rsidRPr="007D0C05">
        <w:rPr>
          <w:rFonts w:eastAsia="SimSun" w:cs="Arial"/>
          <w:i/>
          <w:iCs/>
          <w:color w:val="000000"/>
          <w:kern w:val="2"/>
          <w:sz w:val="22"/>
          <w:szCs w:val="22"/>
          <w:lang w:val="en-US" w:eastAsia="zh-CN"/>
        </w:rPr>
        <w:t>Remote Sensing</w:t>
      </w:r>
      <w:r w:rsidRPr="007D0C05">
        <w:rPr>
          <w:rFonts w:eastAsia="SimSun" w:cs="Arial"/>
          <w:color w:val="000000"/>
          <w:kern w:val="2"/>
          <w:sz w:val="22"/>
          <w:szCs w:val="22"/>
          <w:lang w:val="en-US" w:eastAsia="zh-CN"/>
        </w:rPr>
        <w:t xml:space="preserve"> 12(1): 33.</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Mendez, Carlos, and Felipe Santos‐Marquez (2020) Regional convergence and spatial dependence across subnational regions of ASEAN: Evidence from satellite nighttime light data. </w:t>
      </w:r>
      <w:r w:rsidRPr="007D0C05">
        <w:rPr>
          <w:rFonts w:eastAsia="SimSun" w:cs="Arial"/>
          <w:i/>
          <w:iCs/>
          <w:color w:val="000000"/>
          <w:kern w:val="2"/>
          <w:sz w:val="22"/>
          <w:szCs w:val="22"/>
          <w:lang w:val="en-US" w:eastAsia="zh-CN"/>
        </w:rPr>
        <w:t>Regional Science Policy &amp; Practice</w:t>
      </w:r>
      <w:r w:rsidRPr="007D0C05">
        <w:rPr>
          <w:rFonts w:eastAsia="SimSun" w:cs="Arial"/>
          <w:color w:val="000000"/>
          <w:kern w:val="2"/>
          <w:sz w:val="22"/>
          <w:szCs w:val="22"/>
          <w:lang w:val="en-US" w:eastAsia="zh-CN"/>
        </w:rPr>
        <w:t>, 13(6): 1750-1777.</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Singhal, Abhishek, </w:t>
      </w:r>
      <w:proofErr w:type="spellStart"/>
      <w:r w:rsidRPr="007D0C05">
        <w:rPr>
          <w:rFonts w:eastAsia="SimSun" w:cs="Arial"/>
          <w:color w:val="000000"/>
          <w:kern w:val="2"/>
          <w:sz w:val="22"/>
          <w:szCs w:val="22"/>
          <w:lang w:val="en-US" w:eastAsia="zh-CN"/>
        </w:rPr>
        <w:t>Sohini</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Sahu</w:t>
      </w:r>
      <w:proofErr w:type="spellEnd"/>
      <w:r w:rsidRPr="007D0C05">
        <w:rPr>
          <w:rFonts w:eastAsia="SimSun" w:cs="Arial"/>
          <w:color w:val="000000"/>
          <w:kern w:val="2"/>
          <w:sz w:val="22"/>
          <w:szCs w:val="22"/>
          <w:lang w:val="en-US" w:eastAsia="zh-CN"/>
        </w:rPr>
        <w:t xml:space="preserve">, Siddhartha Chattopadhyay, Abhijit Mukherjee, </w:t>
      </w:r>
      <w:proofErr w:type="spellStart"/>
      <w:r w:rsidRPr="007D0C05">
        <w:rPr>
          <w:rFonts w:eastAsia="SimSun" w:cs="Arial"/>
          <w:color w:val="000000"/>
          <w:kern w:val="2"/>
          <w:sz w:val="22"/>
          <w:szCs w:val="22"/>
          <w:lang w:val="en-US" w:eastAsia="zh-CN"/>
        </w:rPr>
        <w:t>Soumendra</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Bhanja</w:t>
      </w:r>
      <w:proofErr w:type="spellEnd"/>
      <w:r w:rsidRPr="007D0C05">
        <w:rPr>
          <w:rFonts w:eastAsia="SimSun" w:cs="Arial"/>
          <w:color w:val="000000"/>
          <w:kern w:val="2"/>
          <w:sz w:val="22"/>
          <w:szCs w:val="22"/>
          <w:lang w:val="en-US" w:eastAsia="zh-CN"/>
        </w:rPr>
        <w:t xml:space="preserve"> (2020) Using night time lights to find regional inequality in India and its relationship with economic development. </w:t>
      </w:r>
      <w:r w:rsidRPr="007D0C05">
        <w:rPr>
          <w:rFonts w:eastAsia="SimSun" w:cs="Arial"/>
          <w:i/>
          <w:iCs/>
          <w:color w:val="000000"/>
          <w:kern w:val="2"/>
          <w:sz w:val="22"/>
          <w:szCs w:val="22"/>
          <w:lang w:val="en-US" w:eastAsia="zh-CN"/>
        </w:rPr>
        <w:t>PLOS ONE</w:t>
      </w:r>
      <w:r w:rsidRPr="007D0C05">
        <w:rPr>
          <w:rFonts w:eastAsia="SimSun" w:cs="Arial"/>
          <w:color w:val="000000"/>
          <w:kern w:val="2"/>
          <w:sz w:val="22"/>
          <w:szCs w:val="22"/>
          <w:lang w:val="en-US" w:eastAsia="zh-CN"/>
        </w:rPr>
        <w:t>, 15(11): 1-18.</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hint="eastAsia"/>
          <w:color w:val="000000"/>
          <w:kern w:val="2"/>
          <w:sz w:val="22"/>
          <w:szCs w:val="22"/>
          <w:lang w:val="en-US" w:eastAsia="zh-CN"/>
        </w:rPr>
        <w:t>E</w:t>
      </w:r>
      <w:r w:rsidRPr="007D0C05">
        <w:rPr>
          <w:rFonts w:eastAsia="SimSun" w:cs="Arial"/>
          <w:color w:val="000000"/>
          <w:kern w:val="2"/>
          <w:sz w:val="22"/>
          <w:szCs w:val="22"/>
          <w:lang w:val="en-US" w:eastAsia="zh-CN"/>
        </w:rPr>
        <w:t>lvekj</w:t>
      </w:r>
      <w:r w:rsidRPr="007D0C05">
        <w:rPr>
          <w:rFonts w:eastAsia="SimSun" w:cs="Arial" w:hint="eastAsia"/>
          <w:color w:val="000000"/>
          <w:kern w:val="2"/>
          <w:sz w:val="22"/>
          <w:szCs w:val="22"/>
          <w:lang w:val="en-US" w:eastAsia="zh-CN"/>
        </w:rPr>
        <w:t>a</w:t>
      </w:r>
      <w:r w:rsidRPr="007D0C05">
        <w:rPr>
          <w:rFonts w:eastAsia="SimSun" w:cs="Arial"/>
          <w:color w:val="000000"/>
          <w:kern w:val="2"/>
          <w:sz w:val="22"/>
          <w:szCs w:val="22"/>
          <w:lang w:val="en-US" w:eastAsia="zh-CN"/>
        </w:rPr>
        <w:t>er</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Nejia</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Maegaard</w:t>
      </w:r>
      <w:proofErr w:type="spellEnd"/>
      <w:r w:rsidRPr="007D0C05">
        <w:rPr>
          <w:rFonts w:eastAsia="SimSun" w:cs="Arial"/>
          <w:color w:val="000000"/>
          <w:kern w:val="2"/>
          <w:sz w:val="22"/>
          <w:szCs w:val="22"/>
          <w:lang w:val="en-US" w:eastAsia="zh-CN"/>
        </w:rPr>
        <w:t xml:space="preserve"> (2019) Disaggregating economic inequality from space. </w:t>
      </w:r>
      <w:r w:rsidRPr="007D0C05">
        <w:rPr>
          <w:rFonts w:eastAsia="SimSun" w:cs="Arial"/>
          <w:i/>
          <w:iCs/>
          <w:color w:val="000000"/>
          <w:kern w:val="2"/>
          <w:sz w:val="22"/>
          <w:szCs w:val="22"/>
          <w:lang w:val="en-US" w:eastAsia="zh-CN"/>
        </w:rPr>
        <w:t>Thesis</w:t>
      </w:r>
      <w:r w:rsidRPr="007D0C05">
        <w:rPr>
          <w:rFonts w:eastAsia="SimSun" w:cs="Arial"/>
          <w:color w:val="000000"/>
          <w:kern w:val="2"/>
          <w:sz w:val="22"/>
          <w:szCs w:val="22"/>
          <w:lang w:val="en-US" w:eastAsia="zh-CN"/>
        </w:rPr>
        <w:t>, Department of</w:t>
      </w:r>
      <w:r w:rsidRPr="007D0C05">
        <w:rPr>
          <w:rFonts w:eastAsia="SimSun" w:cs="Arial" w:hint="eastAsia"/>
          <w:color w:val="000000"/>
          <w:kern w:val="2"/>
          <w:sz w:val="22"/>
          <w:szCs w:val="22"/>
          <w:lang w:val="en-US" w:eastAsia="zh-CN"/>
        </w:rPr>
        <w:t xml:space="preserve"> </w:t>
      </w:r>
      <w:r w:rsidRPr="007D0C05">
        <w:rPr>
          <w:rFonts w:eastAsia="SimSun" w:cs="Arial"/>
          <w:color w:val="000000"/>
          <w:kern w:val="2"/>
          <w:sz w:val="22"/>
          <w:szCs w:val="22"/>
          <w:lang w:val="en-US" w:eastAsia="zh-CN"/>
        </w:rPr>
        <w:t>Physical Geography and Ecosystem Science</w:t>
      </w:r>
      <w:r w:rsidRPr="007D0C05">
        <w:rPr>
          <w:rFonts w:eastAsia="SimSun" w:cs="Arial" w:hint="eastAsia"/>
          <w:color w:val="000000"/>
          <w:kern w:val="2"/>
          <w:sz w:val="22"/>
          <w:szCs w:val="22"/>
          <w:lang w:val="en-US" w:eastAsia="zh-CN"/>
        </w:rPr>
        <w:t>,</w:t>
      </w:r>
      <w:r w:rsidRPr="007D0C05">
        <w:rPr>
          <w:rFonts w:eastAsia="SimSun" w:cs="Arial"/>
          <w:color w:val="000000"/>
          <w:kern w:val="2"/>
          <w:sz w:val="22"/>
          <w:szCs w:val="22"/>
          <w:lang w:val="en-US" w:eastAsia="zh-CN"/>
        </w:rPr>
        <w:t xml:space="preserve"> Lund University.</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Mukhopadhyay, </w:t>
      </w:r>
      <w:proofErr w:type="spellStart"/>
      <w:r w:rsidRPr="007D0C05">
        <w:rPr>
          <w:rFonts w:eastAsia="SimSun" w:cs="Arial"/>
          <w:color w:val="000000"/>
          <w:kern w:val="2"/>
          <w:sz w:val="22"/>
          <w:szCs w:val="22"/>
          <w:lang w:val="en-US" w:eastAsia="zh-CN"/>
        </w:rPr>
        <w:t>Abhiroop</w:t>
      </w:r>
      <w:proofErr w:type="spellEnd"/>
      <w:r w:rsidRPr="007D0C05">
        <w:rPr>
          <w:rFonts w:eastAsia="SimSun" w:cs="Arial"/>
          <w:color w:val="000000"/>
          <w:kern w:val="2"/>
          <w:sz w:val="22"/>
          <w:szCs w:val="22"/>
          <w:lang w:val="en-US" w:eastAsia="zh-CN"/>
        </w:rPr>
        <w:t xml:space="preserve">, and </w:t>
      </w:r>
      <w:proofErr w:type="spellStart"/>
      <w:r w:rsidRPr="007D0C05">
        <w:rPr>
          <w:rFonts w:eastAsia="SimSun" w:cs="Arial"/>
          <w:color w:val="000000"/>
          <w:kern w:val="2"/>
          <w:sz w:val="22"/>
          <w:szCs w:val="22"/>
          <w:lang w:val="en-US" w:eastAsia="zh-CN"/>
        </w:rPr>
        <w:t>Garcés</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Urzainqui</w:t>
      </w:r>
      <w:proofErr w:type="spellEnd"/>
      <w:r w:rsidRPr="007D0C05">
        <w:rPr>
          <w:rFonts w:eastAsia="SimSun" w:cs="Arial"/>
          <w:color w:val="000000"/>
          <w:kern w:val="2"/>
          <w:sz w:val="22"/>
          <w:szCs w:val="22"/>
          <w:lang w:val="en-US" w:eastAsia="zh-CN"/>
        </w:rPr>
        <w:t xml:space="preserve"> David (2018) The dynamics of spatial and local inequalities in India. </w:t>
      </w:r>
      <w:r w:rsidRPr="007D0C05">
        <w:rPr>
          <w:rFonts w:eastAsia="SimSun" w:cs="Arial"/>
          <w:i/>
          <w:iCs/>
          <w:color w:val="000000"/>
          <w:kern w:val="2"/>
          <w:sz w:val="22"/>
          <w:szCs w:val="22"/>
          <w:lang w:val="en-US" w:eastAsia="zh-CN"/>
        </w:rPr>
        <w:t>WIDER Working Paper</w:t>
      </w:r>
      <w:r w:rsidRPr="007D0C05">
        <w:rPr>
          <w:rFonts w:eastAsia="SimSun" w:cs="Arial"/>
          <w:color w:val="000000"/>
          <w:kern w:val="2"/>
          <w:sz w:val="22"/>
          <w:szCs w:val="22"/>
          <w:lang w:val="en-US" w:eastAsia="zh-CN"/>
        </w:rPr>
        <w:t>, United Nations University (UNU), World Institute for Development Economics Research</w:t>
      </w:r>
      <w:r w:rsidRPr="007D0C05">
        <w:rPr>
          <w:rFonts w:eastAsia="SimSun" w:cs="Arial" w:hint="eastAsia"/>
          <w:color w:val="000000"/>
          <w:kern w:val="2"/>
          <w:sz w:val="22"/>
          <w:szCs w:val="22"/>
          <w:lang w:val="en-US" w:eastAsia="zh-CN"/>
        </w:rPr>
        <w:t xml:space="preserve"> </w:t>
      </w:r>
      <w:r w:rsidRPr="007D0C05">
        <w:rPr>
          <w:rFonts w:eastAsia="SimSun" w:cs="Arial"/>
          <w:color w:val="000000"/>
          <w:kern w:val="2"/>
          <w:sz w:val="22"/>
          <w:szCs w:val="22"/>
          <w:lang w:val="en-US" w:eastAsia="zh-CN"/>
        </w:rPr>
        <w:t>(WIDER).</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Mveyange</w:t>
      </w:r>
      <w:proofErr w:type="spellEnd"/>
      <w:r w:rsidRPr="007D0C05">
        <w:rPr>
          <w:rFonts w:eastAsia="SimSun" w:cs="Arial"/>
          <w:color w:val="000000"/>
          <w:kern w:val="2"/>
          <w:sz w:val="22"/>
          <w:szCs w:val="22"/>
          <w:lang w:val="en-US" w:eastAsia="zh-CN"/>
        </w:rPr>
        <w:t xml:space="preserve">, Anthony (2018) Measuring and explaining patterns of spatial income inequality from outer space: Evidence from Africa. </w:t>
      </w:r>
      <w:r w:rsidRPr="007D0C05">
        <w:rPr>
          <w:rFonts w:eastAsia="SimSun" w:cs="Arial"/>
          <w:i/>
          <w:iCs/>
          <w:color w:val="000000"/>
          <w:kern w:val="2"/>
          <w:sz w:val="22"/>
          <w:szCs w:val="22"/>
          <w:lang w:val="en-US" w:eastAsia="zh-CN"/>
        </w:rPr>
        <w:t xml:space="preserve">World Bank Policy Research Working Paper </w:t>
      </w:r>
      <w:r w:rsidRPr="007D0C05">
        <w:rPr>
          <w:rFonts w:eastAsia="SimSun" w:cs="Arial"/>
          <w:color w:val="000000"/>
          <w:kern w:val="2"/>
          <w:sz w:val="22"/>
          <w:szCs w:val="22"/>
          <w:lang w:val="en-US" w:eastAsia="zh-CN"/>
        </w:rPr>
        <w:t>No. 8484, Development Economics Research Group, The World Bank.</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Puttanapong</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Nattapong</w:t>
      </w:r>
      <w:proofErr w:type="spellEnd"/>
      <w:r w:rsidRPr="007D0C05">
        <w:rPr>
          <w:rFonts w:eastAsia="SimSun" w:cs="Arial"/>
          <w:color w:val="000000"/>
          <w:kern w:val="2"/>
          <w:sz w:val="22"/>
          <w:szCs w:val="22"/>
          <w:lang w:val="en-US" w:eastAsia="zh-CN"/>
        </w:rPr>
        <w:t xml:space="preserve">, and </w:t>
      </w:r>
      <w:proofErr w:type="spellStart"/>
      <w:r w:rsidRPr="007D0C05">
        <w:rPr>
          <w:rFonts w:eastAsia="SimSun" w:cs="Arial"/>
          <w:color w:val="000000"/>
          <w:kern w:val="2"/>
          <w:sz w:val="22"/>
          <w:szCs w:val="22"/>
          <w:lang w:val="en-US" w:eastAsia="zh-CN"/>
        </w:rPr>
        <w:t>Shwe</w:t>
      </w:r>
      <w:proofErr w:type="spellEnd"/>
      <w:r w:rsidRPr="007D0C05">
        <w:rPr>
          <w:rFonts w:eastAsia="SimSun" w:cs="Arial"/>
          <w:color w:val="000000"/>
          <w:kern w:val="2"/>
          <w:sz w:val="22"/>
          <w:szCs w:val="22"/>
          <w:lang w:val="en-US" w:eastAsia="zh-CN"/>
        </w:rPr>
        <w:t xml:space="preserve"> Zin </w:t>
      </w:r>
      <w:proofErr w:type="spellStart"/>
      <w:r w:rsidRPr="007D0C05">
        <w:rPr>
          <w:rFonts w:eastAsia="SimSun" w:cs="Arial"/>
          <w:color w:val="000000"/>
          <w:kern w:val="2"/>
          <w:sz w:val="22"/>
          <w:szCs w:val="22"/>
          <w:lang w:val="en-US" w:eastAsia="zh-CN"/>
        </w:rPr>
        <w:t>Zin</w:t>
      </w:r>
      <w:proofErr w:type="spellEnd"/>
      <w:r w:rsidRPr="007D0C05">
        <w:rPr>
          <w:rFonts w:eastAsia="SimSun" w:cs="Arial"/>
          <w:color w:val="000000"/>
          <w:kern w:val="2"/>
          <w:sz w:val="22"/>
          <w:szCs w:val="22"/>
          <w:lang w:val="en-US" w:eastAsia="zh-CN"/>
        </w:rPr>
        <w:t xml:space="preserve"> (2018) Spatial inequality in Myanmar during 1992-2016: An application of spatial statistics and satellite data. </w:t>
      </w:r>
      <w:r w:rsidRPr="007D0C05">
        <w:rPr>
          <w:rFonts w:eastAsia="SimSun" w:cs="Arial"/>
          <w:i/>
          <w:iCs/>
          <w:color w:val="000000"/>
          <w:kern w:val="2"/>
          <w:sz w:val="22"/>
          <w:szCs w:val="22"/>
          <w:lang w:val="en-US" w:eastAsia="zh-CN"/>
        </w:rPr>
        <w:t>The Social Science Review: Special Issue on Mekong Economy</w:t>
      </w:r>
      <w:r w:rsidRPr="007D0C05">
        <w:rPr>
          <w:rFonts w:eastAsia="SimSun" w:cs="Arial"/>
          <w:color w:val="000000"/>
          <w:kern w:val="2"/>
          <w:sz w:val="22"/>
          <w:szCs w:val="22"/>
          <w:lang w:val="en-US" w:eastAsia="zh-CN"/>
        </w:rPr>
        <w:t>, 156: 161-182.</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Sangkasem</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Krittaya</w:t>
      </w:r>
      <w:proofErr w:type="spellEnd"/>
      <w:r w:rsidRPr="007D0C05">
        <w:rPr>
          <w:rFonts w:eastAsia="SimSun" w:cs="Arial"/>
          <w:color w:val="000000"/>
          <w:kern w:val="2"/>
          <w:sz w:val="22"/>
          <w:szCs w:val="22"/>
          <w:lang w:val="en-US" w:eastAsia="zh-CN"/>
        </w:rPr>
        <w:t xml:space="preserve"> (2018) Poverty and inequality assessment using DMSP/OLS nighttime light satellite imageries at provincial level in Thailand. </w:t>
      </w:r>
      <w:r w:rsidRPr="007D0C05">
        <w:rPr>
          <w:rFonts w:eastAsia="SimSun" w:cs="Arial"/>
          <w:i/>
          <w:iCs/>
          <w:color w:val="000000"/>
          <w:kern w:val="2"/>
          <w:sz w:val="22"/>
          <w:szCs w:val="22"/>
          <w:lang w:val="en-US" w:eastAsia="zh-CN"/>
        </w:rPr>
        <w:t>Thesis</w:t>
      </w:r>
      <w:r w:rsidRPr="007D0C05">
        <w:rPr>
          <w:rFonts w:eastAsia="SimSun" w:cs="Arial"/>
          <w:color w:val="000000"/>
          <w:kern w:val="2"/>
          <w:sz w:val="22"/>
          <w:szCs w:val="22"/>
          <w:lang w:val="en-US" w:eastAsia="zh-CN"/>
        </w:rPr>
        <w:t>, Thammasat University.</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Wu, </w:t>
      </w:r>
      <w:proofErr w:type="spellStart"/>
      <w:r w:rsidRPr="007D0C05">
        <w:rPr>
          <w:rFonts w:eastAsia="SimSun" w:cs="Arial"/>
          <w:color w:val="000000"/>
          <w:kern w:val="2"/>
          <w:sz w:val="22"/>
          <w:szCs w:val="22"/>
          <w:lang w:val="en-US" w:eastAsia="zh-CN"/>
        </w:rPr>
        <w:t>RongWei</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Degang</w:t>
      </w:r>
      <w:proofErr w:type="spellEnd"/>
      <w:r w:rsidRPr="007D0C05">
        <w:rPr>
          <w:rFonts w:eastAsia="SimSun" w:cs="Arial"/>
          <w:color w:val="000000"/>
          <w:kern w:val="2"/>
          <w:sz w:val="22"/>
          <w:szCs w:val="22"/>
          <w:lang w:val="en-US" w:eastAsia="zh-CN"/>
        </w:rPr>
        <w:t xml:space="preserve"> Yang, </w:t>
      </w:r>
      <w:proofErr w:type="spellStart"/>
      <w:r w:rsidRPr="007D0C05">
        <w:rPr>
          <w:rFonts w:eastAsia="SimSun" w:cs="Arial"/>
          <w:color w:val="000000"/>
          <w:kern w:val="2"/>
          <w:sz w:val="22"/>
          <w:szCs w:val="22"/>
          <w:lang w:val="en-US" w:eastAsia="zh-CN"/>
        </w:rPr>
        <w:t>Jiefang</w:t>
      </w:r>
      <w:proofErr w:type="spellEnd"/>
      <w:r w:rsidRPr="007D0C05">
        <w:rPr>
          <w:rFonts w:eastAsia="SimSun" w:cs="Arial"/>
          <w:color w:val="000000"/>
          <w:kern w:val="2"/>
          <w:sz w:val="22"/>
          <w:szCs w:val="22"/>
          <w:lang w:val="en-US" w:eastAsia="zh-CN"/>
        </w:rPr>
        <w:t xml:space="preserve"> Dong, Lu Zhang, and </w:t>
      </w:r>
      <w:proofErr w:type="spellStart"/>
      <w:r w:rsidRPr="007D0C05">
        <w:rPr>
          <w:rFonts w:eastAsia="SimSun" w:cs="Arial"/>
          <w:color w:val="000000"/>
          <w:kern w:val="2"/>
          <w:sz w:val="22"/>
          <w:szCs w:val="22"/>
          <w:lang w:val="en-US" w:eastAsia="zh-CN"/>
        </w:rPr>
        <w:t>Fuqiang</w:t>
      </w:r>
      <w:proofErr w:type="spellEnd"/>
      <w:r w:rsidRPr="007D0C05">
        <w:rPr>
          <w:rFonts w:eastAsia="SimSun" w:cs="Arial"/>
          <w:color w:val="000000"/>
          <w:kern w:val="2"/>
          <w:sz w:val="22"/>
          <w:szCs w:val="22"/>
          <w:lang w:val="en-US" w:eastAsia="zh-CN"/>
        </w:rPr>
        <w:t xml:space="preserve"> Xia (2018) Regional inequality in China based on NPP-VIIRS night-time light imagery. </w:t>
      </w:r>
      <w:r w:rsidRPr="007D0C05">
        <w:rPr>
          <w:rFonts w:eastAsia="SimSun" w:cs="Arial"/>
          <w:i/>
          <w:iCs/>
          <w:color w:val="000000"/>
          <w:kern w:val="2"/>
          <w:sz w:val="22"/>
          <w:szCs w:val="22"/>
          <w:lang w:val="en-US" w:eastAsia="zh-CN"/>
        </w:rPr>
        <w:t>Remote Sensing</w:t>
      </w:r>
      <w:r w:rsidRPr="007D0C05">
        <w:rPr>
          <w:rFonts w:eastAsia="SimSun" w:cs="Arial"/>
          <w:color w:val="000000"/>
          <w:kern w:val="2"/>
          <w:sz w:val="22"/>
          <w:szCs w:val="22"/>
          <w:lang w:val="en-US" w:eastAsia="zh-CN"/>
        </w:rPr>
        <w:t>, 10(2): 240.</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Chakravarty, Praveen, and Vivek </w:t>
      </w:r>
      <w:proofErr w:type="spellStart"/>
      <w:r w:rsidRPr="007D0C05">
        <w:rPr>
          <w:rFonts w:eastAsia="SimSun" w:cs="Arial"/>
          <w:color w:val="000000"/>
          <w:kern w:val="2"/>
          <w:sz w:val="22"/>
          <w:szCs w:val="22"/>
          <w:lang w:val="en-US" w:eastAsia="zh-CN"/>
        </w:rPr>
        <w:t>Dehejia</w:t>
      </w:r>
      <w:proofErr w:type="spellEnd"/>
      <w:r w:rsidRPr="007D0C05">
        <w:rPr>
          <w:rFonts w:eastAsia="SimSun" w:cs="Arial"/>
          <w:color w:val="000000"/>
          <w:kern w:val="2"/>
          <w:sz w:val="22"/>
          <w:szCs w:val="22"/>
          <w:lang w:val="en-US" w:eastAsia="zh-CN"/>
        </w:rPr>
        <w:t xml:space="preserve"> (2017) India’s income divergence: Governance or development model? </w:t>
      </w:r>
      <w:r w:rsidRPr="007D0C05">
        <w:rPr>
          <w:rFonts w:eastAsia="SimSun" w:cs="Arial"/>
          <w:i/>
          <w:iCs/>
          <w:color w:val="000000"/>
          <w:kern w:val="2"/>
          <w:sz w:val="22"/>
          <w:szCs w:val="22"/>
          <w:lang w:val="en-US" w:eastAsia="zh-CN"/>
        </w:rPr>
        <w:t>Briefing Paper Series</w:t>
      </w:r>
      <w:r w:rsidRPr="007D0C05">
        <w:rPr>
          <w:rFonts w:eastAsia="SimSun" w:cs="Arial"/>
          <w:color w:val="000000"/>
          <w:kern w:val="2"/>
          <w:sz w:val="22"/>
          <w:szCs w:val="22"/>
          <w:lang w:val="en-US" w:eastAsia="zh-CN"/>
        </w:rPr>
        <w:t>, IDFC Institute.</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Hu, </w:t>
      </w:r>
      <w:proofErr w:type="spellStart"/>
      <w:r w:rsidRPr="007D0C05">
        <w:rPr>
          <w:rFonts w:eastAsia="SimSun" w:cs="Arial"/>
          <w:color w:val="000000"/>
          <w:kern w:val="2"/>
          <w:sz w:val="22"/>
          <w:szCs w:val="22"/>
          <w:lang w:val="en-US" w:eastAsia="zh-CN"/>
        </w:rPr>
        <w:t>Yi’na</w:t>
      </w:r>
      <w:proofErr w:type="spellEnd"/>
      <w:r w:rsidRPr="007D0C05">
        <w:rPr>
          <w:rFonts w:eastAsia="SimSun" w:cs="Arial"/>
          <w:color w:val="000000"/>
          <w:kern w:val="2"/>
          <w:sz w:val="22"/>
          <w:szCs w:val="22"/>
          <w:lang w:val="en-US" w:eastAsia="zh-CN"/>
        </w:rPr>
        <w:t xml:space="preserve">, Jian Peng, </w:t>
      </w:r>
      <w:proofErr w:type="spellStart"/>
      <w:r w:rsidRPr="007D0C05">
        <w:rPr>
          <w:rFonts w:eastAsia="SimSun" w:cs="Arial"/>
          <w:color w:val="000000"/>
          <w:kern w:val="2"/>
          <w:sz w:val="22"/>
          <w:szCs w:val="22"/>
          <w:lang w:val="en-US" w:eastAsia="zh-CN"/>
        </w:rPr>
        <w:t>Yanxu</w:t>
      </w:r>
      <w:proofErr w:type="spellEnd"/>
      <w:r w:rsidRPr="007D0C05">
        <w:rPr>
          <w:rFonts w:eastAsia="SimSun" w:cs="Arial"/>
          <w:color w:val="000000"/>
          <w:kern w:val="2"/>
          <w:sz w:val="22"/>
          <w:szCs w:val="22"/>
          <w:lang w:val="en-US" w:eastAsia="zh-CN"/>
        </w:rPr>
        <w:t xml:space="preserve"> Liu, </w:t>
      </w:r>
      <w:proofErr w:type="spellStart"/>
      <w:r w:rsidRPr="007D0C05">
        <w:rPr>
          <w:rFonts w:eastAsia="SimSun" w:cs="Arial"/>
          <w:color w:val="000000"/>
          <w:kern w:val="2"/>
          <w:sz w:val="22"/>
          <w:szCs w:val="22"/>
          <w:lang w:val="en-US" w:eastAsia="zh-CN"/>
        </w:rPr>
        <w:t>Yueyue</w:t>
      </w:r>
      <w:proofErr w:type="spellEnd"/>
      <w:r w:rsidRPr="007D0C05">
        <w:rPr>
          <w:rFonts w:eastAsia="SimSun" w:cs="Arial"/>
          <w:color w:val="000000"/>
          <w:kern w:val="2"/>
          <w:sz w:val="22"/>
          <w:szCs w:val="22"/>
          <w:lang w:val="en-US" w:eastAsia="zh-CN"/>
        </w:rPr>
        <w:t xml:space="preserve"> Du, </w:t>
      </w:r>
      <w:proofErr w:type="spellStart"/>
      <w:r w:rsidRPr="007D0C05">
        <w:rPr>
          <w:rFonts w:eastAsia="SimSun" w:cs="Arial"/>
          <w:color w:val="000000"/>
          <w:kern w:val="2"/>
          <w:sz w:val="22"/>
          <w:szCs w:val="22"/>
          <w:lang w:val="en-US" w:eastAsia="zh-CN"/>
        </w:rPr>
        <w:t>Huilei</w:t>
      </w:r>
      <w:proofErr w:type="spellEnd"/>
      <w:r w:rsidRPr="007D0C05">
        <w:rPr>
          <w:rFonts w:eastAsia="SimSun" w:cs="Arial"/>
          <w:color w:val="000000"/>
          <w:kern w:val="2"/>
          <w:sz w:val="22"/>
          <w:szCs w:val="22"/>
          <w:lang w:val="en-US" w:eastAsia="zh-CN"/>
        </w:rPr>
        <w:t xml:space="preserve"> Li, and </w:t>
      </w:r>
      <w:proofErr w:type="spellStart"/>
      <w:r w:rsidRPr="007D0C05">
        <w:rPr>
          <w:rFonts w:eastAsia="SimSun" w:cs="Arial"/>
          <w:color w:val="000000"/>
          <w:kern w:val="2"/>
          <w:sz w:val="22"/>
          <w:szCs w:val="22"/>
          <w:lang w:val="en-US" w:eastAsia="zh-CN"/>
        </w:rPr>
        <w:t>Jiansheng</w:t>
      </w:r>
      <w:proofErr w:type="spellEnd"/>
      <w:r w:rsidRPr="007D0C05">
        <w:rPr>
          <w:rFonts w:eastAsia="SimSun" w:cs="Arial"/>
          <w:color w:val="000000"/>
          <w:kern w:val="2"/>
          <w:sz w:val="22"/>
          <w:szCs w:val="22"/>
          <w:lang w:val="en-US" w:eastAsia="zh-CN"/>
        </w:rPr>
        <w:t xml:space="preserve"> Wu (2017) Mapping </w:t>
      </w:r>
      <w:r w:rsidRPr="007D0C05">
        <w:rPr>
          <w:rFonts w:eastAsia="SimSun" w:cs="Arial"/>
          <w:color w:val="000000"/>
          <w:kern w:val="2"/>
          <w:sz w:val="22"/>
          <w:szCs w:val="22"/>
          <w:lang w:val="en-US" w:eastAsia="zh-CN"/>
        </w:rPr>
        <w:lastRenderedPageBreak/>
        <w:t xml:space="preserve">development pattern in Beijing-Tianjin-Hebei urban agglomeration using DMSP/OLS nighttime light data. </w:t>
      </w:r>
      <w:r w:rsidRPr="007D0C05">
        <w:rPr>
          <w:rFonts w:eastAsia="SimSun" w:cs="Arial"/>
          <w:i/>
          <w:iCs/>
          <w:color w:val="000000"/>
          <w:kern w:val="2"/>
          <w:sz w:val="22"/>
          <w:szCs w:val="22"/>
          <w:lang w:val="en-US" w:eastAsia="zh-CN"/>
        </w:rPr>
        <w:t>Remote Sensing</w:t>
      </w:r>
      <w:r w:rsidRPr="007D0C05">
        <w:rPr>
          <w:rFonts w:eastAsia="SimSun" w:cs="Arial"/>
          <w:color w:val="000000"/>
          <w:kern w:val="2"/>
          <w:sz w:val="22"/>
          <w:szCs w:val="22"/>
          <w:lang w:val="en-US" w:eastAsia="zh-CN"/>
        </w:rPr>
        <w:t>, 9(7): 760.</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Lessmann</w:t>
      </w:r>
      <w:proofErr w:type="spellEnd"/>
      <w:r w:rsidRPr="007D0C05">
        <w:rPr>
          <w:rFonts w:eastAsia="SimSun" w:cs="Arial"/>
          <w:color w:val="000000"/>
          <w:kern w:val="2"/>
          <w:sz w:val="22"/>
          <w:szCs w:val="22"/>
          <w:lang w:val="en-US" w:eastAsia="zh-CN"/>
        </w:rPr>
        <w:t xml:space="preserve">, Christian, and Seidel André (2017) Regional inequality, convergence, and its determinants–A view from outer space. </w:t>
      </w:r>
      <w:r w:rsidRPr="007D0C05">
        <w:rPr>
          <w:rFonts w:eastAsia="SimSun" w:cs="Arial"/>
          <w:i/>
          <w:iCs/>
          <w:color w:val="000000"/>
          <w:kern w:val="2"/>
          <w:sz w:val="22"/>
          <w:szCs w:val="22"/>
          <w:lang w:val="en-US" w:eastAsia="zh-CN"/>
        </w:rPr>
        <w:t>European Economic Review</w:t>
      </w:r>
      <w:r w:rsidRPr="007D0C05">
        <w:rPr>
          <w:rFonts w:eastAsia="SimSun" w:cs="Arial"/>
          <w:color w:val="000000"/>
          <w:kern w:val="2"/>
          <w:sz w:val="22"/>
          <w:szCs w:val="22"/>
          <w:lang w:val="en-US" w:eastAsia="zh-CN"/>
        </w:rPr>
        <w:t>, 92: 110-132.</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Li, Shuang, </w:t>
      </w:r>
      <w:proofErr w:type="spellStart"/>
      <w:r w:rsidRPr="007D0C05">
        <w:rPr>
          <w:rFonts w:eastAsia="SimSun" w:cs="Arial"/>
          <w:color w:val="000000"/>
          <w:kern w:val="2"/>
          <w:sz w:val="22"/>
          <w:szCs w:val="22"/>
          <w:lang w:val="en-US" w:eastAsia="zh-CN"/>
        </w:rPr>
        <w:t>Tongyao</w:t>
      </w:r>
      <w:proofErr w:type="spellEnd"/>
      <w:r w:rsidRPr="007D0C05">
        <w:rPr>
          <w:rFonts w:eastAsia="SimSun" w:cs="Arial"/>
          <w:color w:val="000000"/>
          <w:kern w:val="2"/>
          <w:sz w:val="22"/>
          <w:szCs w:val="22"/>
          <w:lang w:val="en-US" w:eastAsia="zh-CN"/>
        </w:rPr>
        <w:t xml:space="preserve"> Zhang, </w:t>
      </w:r>
      <w:proofErr w:type="spellStart"/>
      <w:r w:rsidRPr="007D0C05">
        <w:rPr>
          <w:rFonts w:eastAsia="SimSun" w:cs="Arial"/>
          <w:color w:val="000000"/>
          <w:kern w:val="2"/>
          <w:sz w:val="22"/>
          <w:szCs w:val="22"/>
          <w:lang w:val="en-US" w:eastAsia="zh-CN"/>
        </w:rPr>
        <w:t>Zhiyu</w:t>
      </w:r>
      <w:proofErr w:type="spellEnd"/>
      <w:r w:rsidRPr="007D0C05">
        <w:rPr>
          <w:rFonts w:eastAsia="SimSun" w:cs="Arial"/>
          <w:color w:val="000000"/>
          <w:kern w:val="2"/>
          <w:sz w:val="22"/>
          <w:szCs w:val="22"/>
          <w:lang w:val="en-US" w:eastAsia="zh-CN"/>
        </w:rPr>
        <w:t xml:space="preserve"> Yang, Xi Li, and </w:t>
      </w:r>
      <w:proofErr w:type="spellStart"/>
      <w:r w:rsidRPr="007D0C05">
        <w:rPr>
          <w:rFonts w:eastAsia="SimSun" w:cs="Arial"/>
          <w:color w:val="000000"/>
          <w:kern w:val="2"/>
          <w:sz w:val="22"/>
          <w:szCs w:val="22"/>
          <w:lang w:val="en-US" w:eastAsia="zh-CN"/>
        </w:rPr>
        <w:t>Huimin</w:t>
      </w:r>
      <w:proofErr w:type="spellEnd"/>
      <w:r w:rsidRPr="007D0C05">
        <w:rPr>
          <w:rFonts w:eastAsia="SimSun" w:cs="Arial"/>
          <w:color w:val="000000"/>
          <w:kern w:val="2"/>
          <w:sz w:val="22"/>
          <w:szCs w:val="22"/>
          <w:lang w:val="en-US" w:eastAsia="zh-CN"/>
        </w:rPr>
        <w:t xml:space="preserve"> Xu (2017) Night time light satellite data for evaluating the socioeconomics in Central Asia. </w:t>
      </w:r>
      <w:r w:rsidRPr="007D0C05">
        <w:rPr>
          <w:rFonts w:eastAsia="SimSun" w:cs="Arial"/>
          <w:i/>
          <w:iCs/>
          <w:color w:val="000000"/>
          <w:kern w:val="2"/>
          <w:sz w:val="22"/>
          <w:szCs w:val="22"/>
          <w:lang w:val="en-US" w:eastAsia="zh-CN"/>
        </w:rPr>
        <w:t>International Archives of the Photogrammetry, Remote Sensing and Spatial Information Sciences</w:t>
      </w:r>
      <w:r w:rsidRPr="007D0C05">
        <w:rPr>
          <w:rFonts w:eastAsia="SimSun" w:cs="Arial"/>
          <w:color w:val="000000"/>
          <w:kern w:val="2"/>
          <w:sz w:val="22"/>
          <w:szCs w:val="22"/>
          <w:lang w:val="en-US" w:eastAsia="zh-CN"/>
        </w:rPr>
        <w:t>, 42: 1237-1243.</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Weidmann</w:t>
      </w:r>
      <w:proofErr w:type="spellEnd"/>
      <w:r w:rsidRPr="007D0C05">
        <w:rPr>
          <w:rFonts w:eastAsia="SimSun" w:cs="Arial"/>
          <w:color w:val="000000"/>
          <w:kern w:val="2"/>
          <w:sz w:val="22"/>
          <w:szCs w:val="22"/>
          <w:lang w:val="en-US" w:eastAsia="zh-CN"/>
        </w:rPr>
        <w:t xml:space="preserve">, Nils B, Sebastian Schutte (2017) Using night light emissions for the prediction of local wealth. </w:t>
      </w:r>
      <w:r w:rsidRPr="007D0C05">
        <w:rPr>
          <w:rFonts w:eastAsia="SimSun" w:cs="Arial"/>
          <w:i/>
          <w:iCs/>
          <w:color w:val="000000"/>
          <w:kern w:val="2"/>
          <w:sz w:val="22"/>
          <w:szCs w:val="22"/>
          <w:lang w:val="en-US" w:eastAsia="zh-CN"/>
        </w:rPr>
        <w:t>Journal of Peace Research</w:t>
      </w:r>
      <w:r w:rsidRPr="007D0C05">
        <w:rPr>
          <w:rFonts w:eastAsia="SimSun" w:cs="Arial"/>
          <w:color w:val="000000"/>
          <w:kern w:val="2"/>
          <w:sz w:val="22"/>
          <w:szCs w:val="22"/>
          <w:lang w:val="en-US" w:eastAsia="zh-CN"/>
        </w:rPr>
        <w:t xml:space="preserve">, 54(2): 125-140. </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Alesina</w:t>
      </w:r>
      <w:proofErr w:type="spellEnd"/>
      <w:r w:rsidRPr="007D0C05">
        <w:rPr>
          <w:rFonts w:eastAsia="SimSun" w:cs="Arial"/>
          <w:color w:val="000000"/>
          <w:kern w:val="2"/>
          <w:sz w:val="22"/>
          <w:szCs w:val="22"/>
          <w:lang w:val="en-US" w:eastAsia="zh-CN"/>
        </w:rPr>
        <w:t xml:space="preserve">, Alberto, Stelios </w:t>
      </w:r>
      <w:proofErr w:type="spellStart"/>
      <w:r w:rsidRPr="007D0C05">
        <w:rPr>
          <w:rFonts w:eastAsia="SimSun" w:cs="Arial"/>
          <w:color w:val="000000"/>
          <w:kern w:val="2"/>
          <w:sz w:val="22"/>
          <w:szCs w:val="22"/>
          <w:lang w:val="en-US" w:eastAsia="zh-CN"/>
        </w:rPr>
        <w:t>Michalopoulos</w:t>
      </w:r>
      <w:proofErr w:type="spellEnd"/>
      <w:r w:rsidRPr="007D0C05">
        <w:rPr>
          <w:rFonts w:eastAsia="SimSun" w:cs="Arial"/>
          <w:color w:val="000000"/>
          <w:kern w:val="2"/>
          <w:sz w:val="22"/>
          <w:szCs w:val="22"/>
          <w:lang w:val="en-US" w:eastAsia="zh-CN"/>
        </w:rPr>
        <w:t xml:space="preserve">, and Elias </w:t>
      </w:r>
      <w:proofErr w:type="spellStart"/>
      <w:r w:rsidRPr="007D0C05">
        <w:rPr>
          <w:rFonts w:eastAsia="SimSun" w:cs="Arial"/>
          <w:color w:val="000000"/>
          <w:kern w:val="2"/>
          <w:sz w:val="22"/>
          <w:szCs w:val="22"/>
          <w:lang w:val="en-US" w:eastAsia="zh-CN"/>
        </w:rPr>
        <w:t>Papaioannou</w:t>
      </w:r>
      <w:proofErr w:type="spellEnd"/>
      <w:r w:rsidRPr="007D0C05">
        <w:rPr>
          <w:rFonts w:eastAsia="SimSun" w:cs="Arial"/>
          <w:color w:val="000000"/>
          <w:kern w:val="2"/>
          <w:sz w:val="22"/>
          <w:szCs w:val="22"/>
          <w:lang w:val="en-US" w:eastAsia="zh-CN"/>
        </w:rPr>
        <w:t xml:space="preserve"> (2016) Ethnic inequality. </w:t>
      </w:r>
      <w:r w:rsidRPr="007D0C05">
        <w:rPr>
          <w:rFonts w:eastAsia="SimSun" w:cs="Arial"/>
          <w:i/>
          <w:iCs/>
          <w:color w:val="000000"/>
          <w:kern w:val="2"/>
          <w:sz w:val="22"/>
          <w:szCs w:val="22"/>
          <w:lang w:val="en-US" w:eastAsia="zh-CN"/>
        </w:rPr>
        <w:t>Journal of Political Economy</w:t>
      </w:r>
      <w:r w:rsidRPr="007D0C05">
        <w:rPr>
          <w:rFonts w:eastAsia="SimSun" w:cs="Arial"/>
          <w:color w:val="000000"/>
          <w:kern w:val="2"/>
          <w:sz w:val="22"/>
          <w:szCs w:val="22"/>
          <w:lang w:val="en-US" w:eastAsia="zh-CN"/>
        </w:rPr>
        <w:t>, 124(2): 428-488.</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Mveyange</w:t>
      </w:r>
      <w:proofErr w:type="spellEnd"/>
      <w:r w:rsidRPr="007D0C05">
        <w:rPr>
          <w:rFonts w:eastAsia="SimSun" w:cs="Arial"/>
          <w:color w:val="000000"/>
          <w:kern w:val="2"/>
          <w:sz w:val="22"/>
          <w:szCs w:val="22"/>
          <w:lang w:val="en-US" w:eastAsia="zh-CN"/>
        </w:rPr>
        <w:t>, Anthony (2015) Night lights and regional income inequality in</w:t>
      </w:r>
      <w:r w:rsidRPr="007D0C05">
        <w:rPr>
          <w:rFonts w:eastAsia="SimSun" w:cs="Arial" w:hint="eastAsia"/>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Africa.</w:t>
      </w:r>
      <w:r w:rsidRPr="007D0C05">
        <w:rPr>
          <w:rFonts w:eastAsia="SimSun" w:cs="Arial"/>
          <w:i/>
          <w:iCs/>
          <w:color w:val="000000"/>
          <w:kern w:val="2"/>
          <w:sz w:val="22"/>
          <w:szCs w:val="22"/>
          <w:lang w:val="en-US" w:eastAsia="zh-CN"/>
        </w:rPr>
        <w:t>WIDER</w:t>
      </w:r>
      <w:proofErr w:type="spellEnd"/>
      <w:r w:rsidRPr="007D0C05">
        <w:rPr>
          <w:rFonts w:eastAsia="SimSun" w:cs="Arial"/>
          <w:i/>
          <w:iCs/>
          <w:color w:val="000000"/>
          <w:kern w:val="2"/>
          <w:sz w:val="22"/>
          <w:szCs w:val="22"/>
          <w:lang w:val="en-US" w:eastAsia="zh-CN"/>
        </w:rPr>
        <w:t xml:space="preserve"> Working Paper</w:t>
      </w:r>
      <w:r w:rsidRPr="007D0C05">
        <w:rPr>
          <w:rFonts w:eastAsia="SimSun" w:cs="Arial"/>
          <w:color w:val="000000"/>
          <w:kern w:val="2"/>
          <w:sz w:val="22"/>
          <w:szCs w:val="22"/>
          <w:lang w:val="en-US" w:eastAsia="zh-CN"/>
        </w:rPr>
        <w:t>, The United Nations</w:t>
      </w:r>
      <w:r w:rsidRPr="007D0C05">
        <w:rPr>
          <w:rFonts w:eastAsia="SimSun" w:cs="Arial" w:hint="eastAsia"/>
          <w:color w:val="000000"/>
          <w:kern w:val="2"/>
          <w:sz w:val="22"/>
          <w:szCs w:val="22"/>
          <w:lang w:val="en-US" w:eastAsia="zh-CN"/>
        </w:rPr>
        <w:t xml:space="preserve"> </w:t>
      </w:r>
      <w:r w:rsidRPr="007D0C05">
        <w:rPr>
          <w:rFonts w:eastAsia="SimSun" w:cs="Arial"/>
          <w:color w:val="000000"/>
          <w:kern w:val="2"/>
          <w:sz w:val="22"/>
          <w:szCs w:val="22"/>
          <w:lang w:val="en-US" w:eastAsia="zh-CN"/>
        </w:rPr>
        <w:t>University World Institute for Development Economics Research (UNU-WIDER), Helsinki.</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Xu, </w:t>
      </w:r>
      <w:proofErr w:type="spellStart"/>
      <w:r w:rsidRPr="007D0C05">
        <w:rPr>
          <w:rFonts w:eastAsia="SimSun" w:cs="Arial"/>
          <w:color w:val="000000"/>
          <w:kern w:val="2"/>
          <w:sz w:val="22"/>
          <w:szCs w:val="22"/>
          <w:lang w:val="en-US" w:eastAsia="zh-CN"/>
        </w:rPr>
        <w:t>Huimin</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Hutao</w:t>
      </w:r>
      <w:proofErr w:type="spellEnd"/>
      <w:r w:rsidRPr="007D0C05">
        <w:rPr>
          <w:rFonts w:eastAsia="SimSun" w:cs="Arial"/>
          <w:color w:val="000000"/>
          <w:kern w:val="2"/>
          <w:sz w:val="22"/>
          <w:szCs w:val="22"/>
          <w:lang w:val="en-US" w:eastAsia="zh-CN"/>
        </w:rPr>
        <w:t xml:space="preserve"> Yang, Xi Li, </w:t>
      </w:r>
      <w:proofErr w:type="spellStart"/>
      <w:r w:rsidRPr="007D0C05">
        <w:rPr>
          <w:rFonts w:eastAsia="SimSun" w:cs="Arial"/>
          <w:color w:val="000000"/>
          <w:kern w:val="2"/>
          <w:sz w:val="22"/>
          <w:szCs w:val="22"/>
          <w:lang w:val="en-US" w:eastAsia="zh-CN"/>
        </w:rPr>
        <w:t>Huiran</w:t>
      </w:r>
      <w:proofErr w:type="spellEnd"/>
      <w:r w:rsidRPr="007D0C05">
        <w:rPr>
          <w:rFonts w:eastAsia="SimSun" w:cs="Arial"/>
          <w:color w:val="000000"/>
          <w:kern w:val="2"/>
          <w:sz w:val="22"/>
          <w:szCs w:val="22"/>
          <w:lang w:val="en-US" w:eastAsia="zh-CN"/>
        </w:rPr>
        <w:t xml:space="preserve"> </w:t>
      </w:r>
      <w:proofErr w:type="spellStart"/>
      <w:r w:rsidRPr="007D0C05">
        <w:rPr>
          <w:rFonts w:eastAsia="SimSun" w:cs="Arial"/>
          <w:color w:val="000000"/>
          <w:kern w:val="2"/>
          <w:sz w:val="22"/>
          <w:szCs w:val="22"/>
          <w:lang w:val="en-US" w:eastAsia="zh-CN"/>
        </w:rPr>
        <w:t>Jin</w:t>
      </w:r>
      <w:proofErr w:type="spellEnd"/>
      <w:r w:rsidRPr="007D0C05">
        <w:rPr>
          <w:rFonts w:eastAsia="SimSun" w:cs="Arial"/>
          <w:color w:val="000000"/>
          <w:kern w:val="2"/>
          <w:sz w:val="22"/>
          <w:szCs w:val="22"/>
          <w:lang w:val="en-US" w:eastAsia="zh-CN"/>
        </w:rPr>
        <w:t xml:space="preserve">, and </w:t>
      </w:r>
      <w:proofErr w:type="spellStart"/>
      <w:r w:rsidRPr="007D0C05">
        <w:rPr>
          <w:rFonts w:eastAsia="SimSun" w:cs="Arial"/>
          <w:color w:val="000000"/>
          <w:kern w:val="2"/>
          <w:sz w:val="22"/>
          <w:szCs w:val="22"/>
          <w:lang w:val="en-US" w:eastAsia="zh-CN"/>
        </w:rPr>
        <w:t>Deren</w:t>
      </w:r>
      <w:proofErr w:type="spellEnd"/>
      <w:r w:rsidRPr="007D0C05">
        <w:rPr>
          <w:rFonts w:eastAsia="SimSun" w:cs="Arial"/>
          <w:color w:val="000000"/>
          <w:kern w:val="2"/>
          <w:sz w:val="22"/>
          <w:szCs w:val="22"/>
          <w:lang w:val="en-US" w:eastAsia="zh-CN"/>
        </w:rPr>
        <w:t xml:space="preserve"> Li (2015) Multi-scale measurement of regional inequality in Mainland China during 2005–2010 using DMSP/OLS night light imagery and population density grid data. </w:t>
      </w:r>
      <w:r w:rsidRPr="007D0C05">
        <w:rPr>
          <w:rFonts w:eastAsia="SimSun" w:cs="Arial"/>
          <w:i/>
          <w:iCs/>
          <w:color w:val="000000"/>
          <w:kern w:val="2"/>
          <w:sz w:val="22"/>
          <w:szCs w:val="22"/>
          <w:lang w:val="en-US" w:eastAsia="zh-CN"/>
        </w:rPr>
        <w:t>Sustainability</w:t>
      </w:r>
      <w:r w:rsidRPr="007D0C05">
        <w:rPr>
          <w:rFonts w:eastAsia="SimSun" w:cs="Arial"/>
          <w:color w:val="000000"/>
          <w:kern w:val="2"/>
          <w:sz w:val="22"/>
          <w:szCs w:val="22"/>
          <w:lang w:val="en-US" w:eastAsia="zh-CN"/>
        </w:rPr>
        <w:t>, 7(10): 13469-13499.</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en-US" w:eastAsia="zh-CN"/>
        </w:rPr>
        <w:t xml:space="preserve">Zhou, </w:t>
      </w:r>
      <w:proofErr w:type="spellStart"/>
      <w:r w:rsidRPr="007D0C05">
        <w:rPr>
          <w:rFonts w:eastAsia="SimSun" w:cs="Arial"/>
          <w:color w:val="000000"/>
          <w:kern w:val="2"/>
          <w:sz w:val="22"/>
          <w:szCs w:val="22"/>
          <w:lang w:val="en-US" w:eastAsia="zh-CN"/>
        </w:rPr>
        <w:t>Yuke</w:t>
      </w:r>
      <w:proofErr w:type="spellEnd"/>
      <w:r w:rsidRPr="007D0C05">
        <w:rPr>
          <w:rFonts w:eastAsia="SimSun" w:cs="Arial"/>
          <w:color w:val="000000"/>
          <w:kern w:val="2"/>
          <w:sz w:val="22"/>
          <w:szCs w:val="22"/>
          <w:lang w:val="en-US" w:eastAsia="zh-CN"/>
        </w:rPr>
        <w:t xml:space="preserve">, Ting Ma, </w:t>
      </w:r>
      <w:proofErr w:type="spellStart"/>
      <w:r w:rsidRPr="007D0C05">
        <w:rPr>
          <w:rFonts w:eastAsia="SimSun" w:cs="Arial"/>
          <w:color w:val="000000"/>
          <w:kern w:val="2"/>
          <w:sz w:val="22"/>
          <w:szCs w:val="22"/>
          <w:lang w:val="en-US" w:eastAsia="zh-CN"/>
        </w:rPr>
        <w:t>Chenghu</w:t>
      </w:r>
      <w:proofErr w:type="spellEnd"/>
      <w:r w:rsidRPr="007D0C05">
        <w:rPr>
          <w:rFonts w:eastAsia="SimSun" w:cs="Arial"/>
          <w:color w:val="000000"/>
          <w:kern w:val="2"/>
          <w:sz w:val="22"/>
          <w:szCs w:val="22"/>
          <w:lang w:val="en-US" w:eastAsia="zh-CN"/>
        </w:rPr>
        <w:t xml:space="preserve"> Zhou, and Tao Xu (2015) Nighttime light derived assessment of regional inequality of socioeconomic development in China. </w:t>
      </w:r>
      <w:r w:rsidRPr="007D0C05">
        <w:rPr>
          <w:rFonts w:eastAsia="SimSun" w:cs="Arial"/>
          <w:i/>
          <w:iCs/>
          <w:color w:val="000000"/>
          <w:kern w:val="2"/>
          <w:sz w:val="22"/>
          <w:szCs w:val="22"/>
          <w:lang w:val="en-US" w:eastAsia="zh-CN"/>
        </w:rPr>
        <w:t>Remote Sensing</w:t>
      </w:r>
      <w:r w:rsidRPr="007D0C05">
        <w:rPr>
          <w:rFonts w:eastAsia="SimSun" w:cs="Arial"/>
          <w:color w:val="000000"/>
          <w:kern w:val="2"/>
          <w:sz w:val="22"/>
          <w:szCs w:val="22"/>
          <w:lang w:val="en-US" w:eastAsia="zh-CN"/>
        </w:rPr>
        <w:t>, 7(2): 1242-1262.</w:t>
      </w:r>
    </w:p>
    <w:p w:rsidR="009052AF" w:rsidRPr="007D0C05" w:rsidRDefault="009052AF" w:rsidP="00C5537E">
      <w:pPr>
        <w:widowControl w:val="0"/>
        <w:ind w:left="720" w:hanging="720"/>
        <w:rPr>
          <w:rFonts w:eastAsia="SimSun" w:cs="Arial"/>
          <w:color w:val="000000"/>
          <w:kern w:val="2"/>
          <w:sz w:val="22"/>
          <w:szCs w:val="22"/>
          <w:lang w:val="en-US" w:eastAsia="zh-CN"/>
        </w:rPr>
      </w:pPr>
      <w:r w:rsidRPr="007D0C05">
        <w:rPr>
          <w:rFonts w:eastAsia="SimSun" w:cs="Arial"/>
          <w:color w:val="000000"/>
          <w:kern w:val="2"/>
          <w:sz w:val="22"/>
          <w:szCs w:val="22"/>
          <w:lang w:val="it-IT" w:eastAsia="zh-CN"/>
        </w:rPr>
        <w:t xml:space="preserve">Gennaioli, </w:t>
      </w:r>
      <w:r w:rsidRPr="007D0C05">
        <w:rPr>
          <w:rFonts w:ascii="Times-Bold" w:eastAsia="DengXian" w:hAnsi="Times-Bold" w:cs="Arial"/>
          <w:color w:val="000000"/>
          <w:kern w:val="2"/>
          <w:sz w:val="22"/>
          <w:szCs w:val="22"/>
          <w:lang w:val="it-IT" w:eastAsia="zh-CN"/>
        </w:rPr>
        <w:t>Nicola</w:t>
      </w:r>
      <w:r w:rsidRPr="007D0C05">
        <w:rPr>
          <w:rFonts w:eastAsia="SimSun" w:cs="Arial"/>
          <w:b/>
          <w:bCs/>
          <w:color w:val="000000"/>
          <w:kern w:val="2"/>
          <w:sz w:val="22"/>
          <w:szCs w:val="22"/>
          <w:lang w:val="it-IT" w:eastAsia="zh-CN"/>
        </w:rPr>
        <w:t>,</w:t>
      </w:r>
      <w:r w:rsidRPr="007D0C05">
        <w:rPr>
          <w:rFonts w:eastAsia="SimSun" w:cs="Arial"/>
          <w:color w:val="000000"/>
          <w:kern w:val="2"/>
          <w:sz w:val="22"/>
          <w:szCs w:val="22"/>
          <w:lang w:val="it-IT" w:eastAsia="zh-CN"/>
        </w:rPr>
        <w:t xml:space="preserve"> Rafael La Porta, </w:t>
      </w:r>
      <w:r w:rsidRPr="007D0C05">
        <w:rPr>
          <w:rFonts w:ascii="Times-Bold" w:eastAsia="DengXian" w:hAnsi="Times-Bold" w:cs="Arial"/>
          <w:color w:val="000000"/>
          <w:kern w:val="2"/>
          <w:sz w:val="22"/>
          <w:szCs w:val="22"/>
          <w:lang w:val="it-IT" w:eastAsia="zh-CN"/>
        </w:rPr>
        <w:t>Florencio Lopez De Silanes, and Andrei Shleifer</w:t>
      </w:r>
      <w:r w:rsidRPr="007D0C05">
        <w:rPr>
          <w:rFonts w:eastAsia="SimSun" w:cs="Arial"/>
          <w:b/>
          <w:bCs/>
          <w:color w:val="000000"/>
          <w:kern w:val="2"/>
          <w:sz w:val="22"/>
          <w:szCs w:val="22"/>
          <w:lang w:val="it-IT" w:eastAsia="zh-CN"/>
        </w:rPr>
        <w:t xml:space="preserve"> </w:t>
      </w:r>
      <w:r w:rsidRPr="007D0C05">
        <w:rPr>
          <w:rFonts w:eastAsia="SimSun" w:cs="Arial"/>
          <w:color w:val="000000"/>
          <w:kern w:val="2"/>
          <w:sz w:val="22"/>
          <w:szCs w:val="22"/>
          <w:lang w:val="it-IT" w:eastAsia="zh-CN"/>
        </w:rPr>
        <w:t>(2014) Growth in regions.</w:t>
      </w:r>
      <w:r w:rsidR="00DB077F" w:rsidRPr="007D0C05">
        <w:rPr>
          <w:rFonts w:eastAsia="SimSun" w:cs="Arial"/>
          <w:i/>
          <w:iCs/>
          <w:color w:val="000000"/>
          <w:kern w:val="2"/>
          <w:sz w:val="22"/>
          <w:szCs w:val="22"/>
          <w:lang w:val="it-IT" w:eastAsia="zh-CN"/>
        </w:rPr>
        <w:t xml:space="preserve"> </w:t>
      </w:r>
      <w:r w:rsidR="00DB077F" w:rsidRPr="007D0C05">
        <w:rPr>
          <w:rFonts w:eastAsia="SimSun" w:cs="Arial"/>
          <w:i/>
          <w:iCs/>
          <w:color w:val="000000"/>
          <w:kern w:val="2"/>
          <w:sz w:val="22"/>
          <w:szCs w:val="22"/>
          <w:lang w:val="en-US" w:eastAsia="zh-CN"/>
        </w:rPr>
        <w:t>Journal of Economic G</w:t>
      </w:r>
      <w:r w:rsidRPr="007D0C05">
        <w:rPr>
          <w:rFonts w:eastAsia="SimSun" w:cs="Arial"/>
          <w:i/>
          <w:iCs/>
          <w:color w:val="000000"/>
          <w:kern w:val="2"/>
          <w:sz w:val="22"/>
          <w:szCs w:val="22"/>
          <w:lang w:val="en-US" w:eastAsia="zh-CN"/>
        </w:rPr>
        <w:t>rowth</w:t>
      </w:r>
      <w:r w:rsidRPr="007D0C05">
        <w:rPr>
          <w:rFonts w:eastAsia="SimSun" w:cs="Arial"/>
          <w:color w:val="000000"/>
          <w:kern w:val="2"/>
          <w:sz w:val="22"/>
          <w:szCs w:val="22"/>
          <w:lang w:val="en-US" w:eastAsia="zh-CN"/>
        </w:rPr>
        <w:t>, 19(3): 259-309.</w:t>
      </w:r>
    </w:p>
    <w:p w:rsidR="009052AF" w:rsidRPr="007D0C05" w:rsidRDefault="009052AF" w:rsidP="00C5537E">
      <w:pPr>
        <w:widowControl w:val="0"/>
        <w:ind w:left="720" w:hanging="720"/>
        <w:rPr>
          <w:rFonts w:eastAsia="SimSun" w:cs="Arial"/>
          <w:color w:val="000000"/>
          <w:kern w:val="2"/>
          <w:sz w:val="22"/>
          <w:szCs w:val="22"/>
          <w:lang w:val="en-US" w:eastAsia="zh-CN"/>
        </w:rPr>
      </w:pPr>
      <w:proofErr w:type="spellStart"/>
      <w:r w:rsidRPr="007D0C05">
        <w:rPr>
          <w:rFonts w:eastAsia="SimSun" w:cs="Arial"/>
          <w:color w:val="000000"/>
          <w:kern w:val="2"/>
          <w:sz w:val="22"/>
          <w:szCs w:val="22"/>
          <w:lang w:val="en-US" w:eastAsia="zh-CN"/>
        </w:rPr>
        <w:t>Elvidge</w:t>
      </w:r>
      <w:proofErr w:type="spellEnd"/>
      <w:r w:rsidRPr="007D0C05">
        <w:rPr>
          <w:rFonts w:eastAsia="SimSun" w:cs="Arial"/>
          <w:color w:val="000000"/>
          <w:kern w:val="2"/>
          <w:sz w:val="22"/>
          <w:szCs w:val="22"/>
          <w:lang w:val="en-US" w:eastAsia="zh-CN"/>
        </w:rPr>
        <w:t xml:space="preserve">, Christopher, Kimberly Baugh, Sharolyn Anderson, Paul Sutton, and </w:t>
      </w:r>
      <w:proofErr w:type="spellStart"/>
      <w:r w:rsidRPr="007D0C05">
        <w:rPr>
          <w:rFonts w:eastAsia="SimSun" w:cs="Arial"/>
          <w:color w:val="000000"/>
          <w:kern w:val="2"/>
          <w:sz w:val="22"/>
          <w:szCs w:val="22"/>
          <w:lang w:val="en-US" w:eastAsia="zh-CN"/>
        </w:rPr>
        <w:t>Tilottama</w:t>
      </w:r>
      <w:proofErr w:type="spellEnd"/>
      <w:r w:rsidRPr="007D0C05">
        <w:rPr>
          <w:rFonts w:eastAsia="SimSun" w:cs="Arial"/>
          <w:color w:val="000000"/>
          <w:kern w:val="2"/>
          <w:sz w:val="22"/>
          <w:szCs w:val="22"/>
          <w:lang w:val="en-US" w:eastAsia="zh-CN"/>
        </w:rPr>
        <w:t xml:space="preserve"> Ghosh (2012) The Night Light Development Index (NLDI): a spatially explicit measure of human development from satellite data. </w:t>
      </w:r>
      <w:r w:rsidRPr="007D0C05">
        <w:rPr>
          <w:rFonts w:eastAsia="SimSun" w:cs="Arial"/>
          <w:i/>
          <w:iCs/>
          <w:color w:val="000000"/>
          <w:kern w:val="2"/>
          <w:sz w:val="22"/>
          <w:szCs w:val="22"/>
          <w:lang w:val="en-US" w:eastAsia="zh-CN"/>
        </w:rPr>
        <w:t>Social Geography</w:t>
      </w:r>
      <w:r w:rsidRPr="007D0C05">
        <w:rPr>
          <w:rFonts w:eastAsia="SimSun" w:cs="Arial"/>
          <w:color w:val="000000"/>
          <w:kern w:val="2"/>
          <w:sz w:val="22"/>
          <w:szCs w:val="22"/>
          <w:lang w:val="en-US" w:eastAsia="zh-CN"/>
        </w:rPr>
        <w:t>, 7(1): 23-35.</w:t>
      </w:r>
    </w:p>
    <w:p w:rsidR="009052AF" w:rsidRPr="007D0C05" w:rsidRDefault="009052AF">
      <w:pPr>
        <w:rPr>
          <w:rFonts w:eastAsia="Times New Roman" w:cs="Arial"/>
          <w:sz w:val="22"/>
          <w:szCs w:val="22"/>
          <w:lang w:bidi="he-IL"/>
        </w:rPr>
      </w:pPr>
      <w:r w:rsidRPr="007D0C05">
        <w:rPr>
          <w:rFonts w:eastAsia="Times New Roman" w:cs="Arial"/>
          <w:sz w:val="22"/>
          <w:szCs w:val="22"/>
          <w:lang w:bidi="he-IL"/>
        </w:rPr>
        <w:br w:type="page"/>
      </w:r>
    </w:p>
    <w:p w:rsidR="009052AF" w:rsidRPr="004A69BE" w:rsidRDefault="009052AF" w:rsidP="009052AF">
      <w:pPr>
        <w:spacing w:after="80" w:line="240" w:lineRule="auto"/>
        <w:jc w:val="center"/>
        <w:rPr>
          <w:rFonts w:eastAsia="Times New Roman"/>
          <w:b/>
          <w:sz w:val="22"/>
          <w:szCs w:val="22"/>
        </w:rPr>
      </w:pPr>
      <w:r w:rsidRPr="004A69BE">
        <w:rPr>
          <w:rFonts w:eastAsia="Times New Roman"/>
          <w:b/>
        </w:rPr>
        <w:lastRenderedPageBreak/>
        <w:t>Appendix B: Details on the Data Sources for the County-level Analysis in Section V</w:t>
      </w:r>
    </w:p>
    <w:p w:rsidR="009052AF" w:rsidRDefault="009052AF" w:rsidP="009052AF">
      <w:pPr>
        <w:widowControl w:val="0"/>
        <w:spacing w:after="80"/>
        <w:jc w:val="both"/>
        <w:rPr>
          <w:rFonts w:asciiTheme="majorBidi" w:hAnsiTheme="majorBidi" w:cstheme="majorBidi"/>
        </w:rPr>
      </w:pPr>
      <w:r w:rsidRPr="00A84704">
        <w:rPr>
          <w:rFonts w:asciiTheme="majorBidi" w:hAnsiTheme="majorBidi" w:cstheme="majorBidi"/>
        </w:rPr>
        <w:t xml:space="preserve">The </w:t>
      </w:r>
      <w:r>
        <w:rPr>
          <w:rFonts w:asciiTheme="majorBidi" w:hAnsiTheme="majorBidi" w:cstheme="majorBidi"/>
        </w:rPr>
        <w:t>county-level GDP data for the United States are from the Bureau of Economic Analy</w:t>
      </w:r>
      <w:r w:rsidRPr="00A84704">
        <w:rPr>
          <w:rFonts w:asciiTheme="majorBidi" w:hAnsiTheme="majorBidi" w:cstheme="majorBidi"/>
        </w:rPr>
        <w:t>sis (BEA)</w:t>
      </w:r>
      <w:r>
        <w:rPr>
          <w:rFonts w:asciiTheme="majorBidi" w:hAnsiTheme="majorBidi" w:cstheme="majorBidi"/>
        </w:rPr>
        <w:t xml:space="preserve"> at: </w:t>
      </w:r>
      <w:hyperlink r:id="rId17" w:history="1">
        <w:r w:rsidRPr="00A84704">
          <w:rPr>
            <w:rStyle w:val="Hyperlink"/>
            <w:rFonts w:asciiTheme="majorBidi" w:hAnsiTheme="majorBidi" w:cstheme="majorBidi"/>
            <w:lang w:val="en-US"/>
          </w:rPr>
          <w:t>https://www.bea.gov/data/gdp/gdp-county-metro-and-other-areas</w:t>
        </w:r>
      </w:hyperlink>
      <w:r>
        <w:rPr>
          <w:rFonts w:asciiTheme="majorBidi" w:hAnsiTheme="majorBidi" w:cstheme="majorBidi"/>
        </w:rPr>
        <w:t>. We used chained series in 2012 dollars. A</w:t>
      </w:r>
      <w:r w:rsidRPr="00A84704">
        <w:rPr>
          <w:rFonts w:asciiTheme="majorBidi" w:hAnsiTheme="majorBidi" w:cstheme="majorBidi"/>
        </w:rPr>
        <w:t xml:space="preserve">nnual estimates are provided separately for each county for the 2001 to 2019 period, </w:t>
      </w:r>
      <w:r>
        <w:rPr>
          <w:rFonts w:asciiTheme="majorBidi" w:hAnsiTheme="majorBidi" w:cstheme="majorBidi"/>
        </w:rPr>
        <w:t xml:space="preserve">with three broad </w:t>
      </w:r>
      <w:r w:rsidRPr="00A84704">
        <w:rPr>
          <w:rFonts w:asciiTheme="majorBidi" w:hAnsiTheme="majorBidi" w:cstheme="majorBidi"/>
        </w:rPr>
        <w:t>except</w:t>
      </w:r>
      <w:r>
        <w:rPr>
          <w:rFonts w:asciiTheme="majorBidi" w:hAnsiTheme="majorBidi" w:cstheme="majorBidi"/>
        </w:rPr>
        <w:t>ions. I</w:t>
      </w:r>
      <w:r w:rsidRPr="00A84704">
        <w:rPr>
          <w:rFonts w:asciiTheme="majorBidi" w:hAnsiTheme="majorBidi" w:cstheme="majorBidi"/>
        </w:rPr>
        <w:t>n Alaska the BEA combin</w:t>
      </w:r>
      <w:r>
        <w:rPr>
          <w:rFonts w:asciiTheme="majorBidi" w:hAnsiTheme="majorBidi" w:cstheme="majorBidi"/>
        </w:rPr>
        <w:t>e some census areas in their re</w:t>
      </w:r>
      <w:r w:rsidRPr="00A84704">
        <w:rPr>
          <w:rFonts w:asciiTheme="majorBidi" w:hAnsiTheme="majorBidi" w:cstheme="majorBidi"/>
        </w:rPr>
        <w:t xml:space="preserve">porting, </w:t>
      </w:r>
      <w:r>
        <w:rPr>
          <w:rFonts w:asciiTheme="majorBidi" w:hAnsiTheme="majorBidi" w:cstheme="majorBidi"/>
        </w:rPr>
        <w:t xml:space="preserve">and </w:t>
      </w:r>
      <w:r w:rsidRPr="00A84704">
        <w:rPr>
          <w:rFonts w:asciiTheme="majorBidi" w:hAnsiTheme="majorBidi" w:cstheme="majorBidi"/>
        </w:rPr>
        <w:t xml:space="preserve">in Hawaii they combine Maui and </w:t>
      </w:r>
      <w:proofErr w:type="spellStart"/>
      <w:r w:rsidRPr="00A84704">
        <w:rPr>
          <w:rFonts w:asciiTheme="majorBidi" w:hAnsiTheme="majorBidi" w:cstheme="majorBidi"/>
        </w:rPr>
        <w:t>Kalawao</w:t>
      </w:r>
      <w:proofErr w:type="spellEnd"/>
      <w:r w:rsidRPr="00A84704">
        <w:rPr>
          <w:rFonts w:asciiTheme="majorBidi" w:hAnsiTheme="majorBidi" w:cstheme="majorBidi"/>
        </w:rPr>
        <w:t xml:space="preserve"> counties</w:t>
      </w:r>
      <w:r>
        <w:rPr>
          <w:rFonts w:asciiTheme="majorBidi" w:hAnsiTheme="majorBidi" w:cstheme="majorBidi"/>
        </w:rPr>
        <w:t xml:space="preserve">. </w:t>
      </w:r>
      <w:r w:rsidRPr="00A84704">
        <w:rPr>
          <w:rFonts w:asciiTheme="majorBidi" w:hAnsiTheme="majorBidi" w:cstheme="majorBidi"/>
        </w:rPr>
        <w:t xml:space="preserve">Virginia </w:t>
      </w:r>
      <w:r>
        <w:rPr>
          <w:rFonts w:asciiTheme="majorBidi" w:hAnsiTheme="majorBidi" w:cstheme="majorBidi"/>
        </w:rPr>
        <w:t>has the most adjustments because the BEA create</w:t>
      </w:r>
      <w:r w:rsidRPr="00A84704">
        <w:rPr>
          <w:rFonts w:asciiTheme="majorBidi" w:hAnsiTheme="majorBidi" w:cstheme="majorBidi"/>
        </w:rPr>
        <w:t xml:space="preserve"> </w:t>
      </w:r>
      <w:r>
        <w:rPr>
          <w:rFonts w:asciiTheme="majorBidi" w:hAnsiTheme="majorBidi" w:cstheme="majorBidi"/>
        </w:rPr>
        <w:t xml:space="preserve">23 </w:t>
      </w:r>
      <w:r w:rsidRPr="00A84704">
        <w:rPr>
          <w:rFonts w:asciiTheme="majorBidi" w:hAnsiTheme="majorBidi" w:cstheme="majorBidi"/>
        </w:rPr>
        <w:t>combination areas w</w:t>
      </w:r>
      <w:r>
        <w:rPr>
          <w:rFonts w:asciiTheme="majorBidi" w:hAnsiTheme="majorBidi" w:cstheme="majorBidi"/>
        </w:rPr>
        <w:t>here one or two independent cit</w:t>
      </w:r>
      <w:r w:rsidRPr="00A84704">
        <w:rPr>
          <w:rFonts w:asciiTheme="majorBidi" w:hAnsiTheme="majorBidi" w:cstheme="majorBidi"/>
        </w:rPr>
        <w:t xml:space="preserve">ies </w:t>
      </w:r>
      <w:r>
        <w:rPr>
          <w:rFonts w:asciiTheme="majorBidi" w:hAnsiTheme="majorBidi" w:cstheme="majorBidi"/>
        </w:rPr>
        <w:t xml:space="preserve">whose population in the </w:t>
      </w:r>
      <w:r w:rsidRPr="00A84704">
        <w:rPr>
          <w:rFonts w:asciiTheme="majorBidi" w:hAnsiTheme="majorBidi" w:cstheme="majorBidi"/>
        </w:rPr>
        <w:t xml:space="preserve">1980 </w:t>
      </w:r>
      <w:r>
        <w:rPr>
          <w:rFonts w:asciiTheme="majorBidi" w:hAnsiTheme="majorBidi" w:cstheme="majorBidi"/>
        </w:rPr>
        <w:t xml:space="preserve">census was </w:t>
      </w:r>
      <w:r w:rsidRPr="00A84704">
        <w:rPr>
          <w:rFonts w:asciiTheme="majorBidi" w:hAnsiTheme="majorBidi" w:cstheme="majorBidi"/>
        </w:rPr>
        <w:t xml:space="preserve">less than 100,000 are combined with an adjacent county. </w:t>
      </w:r>
      <w:r>
        <w:rPr>
          <w:rFonts w:asciiTheme="majorBidi" w:hAnsiTheme="majorBidi" w:cstheme="majorBidi"/>
        </w:rPr>
        <w:t>Overall t</w:t>
      </w:r>
      <w:r w:rsidRPr="00A84704">
        <w:rPr>
          <w:rFonts w:asciiTheme="majorBidi" w:hAnsiTheme="majorBidi" w:cstheme="majorBidi"/>
        </w:rPr>
        <w:t>here are n=3109 counties and combination areas (we refer to all of these as county-level units</w:t>
      </w:r>
      <w:r>
        <w:rPr>
          <w:rFonts w:asciiTheme="majorBidi" w:hAnsiTheme="majorBidi" w:cstheme="majorBidi"/>
        </w:rPr>
        <w:t xml:space="preserve"> or just counties</w:t>
      </w:r>
      <w:r w:rsidRPr="00A84704">
        <w:rPr>
          <w:rFonts w:asciiTheme="majorBidi" w:hAnsiTheme="majorBidi" w:cstheme="majorBidi"/>
        </w:rPr>
        <w:t>) with data available in each year.</w:t>
      </w:r>
      <w:r>
        <w:rPr>
          <w:rFonts w:asciiTheme="majorBidi" w:hAnsiTheme="majorBidi" w:cstheme="majorBidi"/>
        </w:rPr>
        <w:t xml:space="preserve"> </w:t>
      </w:r>
    </w:p>
    <w:p w:rsidR="009052AF" w:rsidRDefault="009052AF" w:rsidP="009052AF">
      <w:pPr>
        <w:spacing w:after="80"/>
        <w:jc w:val="both"/>
        <w:rPr>
          <w:rFonts w:asciiTheme="majorBidi" w:hAnsiTheme="majorBidi" w:cstheme="majorBidi"/>
        </w:rPr>
      </w:pPr>
      <w:r>
        <w:rPr>
          <w:rFonts w:asciiTheme="majorBidi" w:hAnsiTheme="majorBidi" w:cstheme="majorBidi"/>
        </w:rPr>
        <w:t xml:space="preserve">In contrast to the United States, sub-national GDP data for China are not provided by a single unified source. Instead we used </w:t>
      </w:r>
      <w:r w:rsidRPr="00203B6F">
        <w:rPr>
          <w:rFonts w:asciiTheme="majorBidi" w:hAnsiTheme="majorBidi" w:cstheme="majorBidi"/>
          <w:lang w:val="en-US"/>
        </w:rPr>
        <w:t xml:space="preserve">three types of publications </w:t>
      </w:r>
      <w:r>
        <w:rPr>
          <w:rFonts w:asciiTheme="majorBidi" w:hAnsiTheme="majorBidi" w:cstheme="majorBidi"/>
          <w:lang w:val="en-US"/>
        </w:rPr>
        <w:t>from the National Bureau of Statistics (NBS) to build our GDP database</w:t>
      </w:r>
      <w:r w:rsidRPr="00203B6F">
        <w:rPr>
          <w:rFonts w:asciiTheme="majorBidi" w:hAnsiTheme="majorBidi" w:cstheme="majorBidi"/>
          <w:lang w:val="en-US"/>
        </w:rPr>
        <w:t xml:space="preserve">: annual editions of the China Statistical Yearbook (county-level) (in Chinese </w:t>
      </w:r>
      <w:r>
        <w:rPr>
          <w:rFonts w:asciiTheme="majorBidi" w:hAnsiTheme="majorBidi" w:cstheme="majorBidi"/>
          <w:lang w:val="en-US"/>
        </w:rPr>
        <w:t>it i</w:t>
      </w:r>
      <w:r w:rsidRPr="00203B6F">
        <w:rPr>
          <w:rFonts w:asciiTheme="majorBidi" w:hAnsiTheme="majorBidi" w:cstheme="majorBidi"/>
          <w:lang w:val="en-US"/>
        </w:rPr>
        <w:t>s </w:t>
      </w:r>
      <w:proofErr w:type="spellStart"/>
      <w:r w:rsidRPr="00203B6F">
        <w:rPr>
          <w:rFonts w:asciiTheme="majorBidi" w:hAnsiTheme="majorBidi" w:cstheme="majorBidi"/>
          <w:i/>
          <w:iCs/>
          <w:lang w:val="en-US"/>
        </w:rPr>
        <w:t>Zhongguo</w:t>
      </w:r>
      <w:proofErr w:type="spellEnd"/>
      <w:r w:rsidRPr="00203B6F">
        <w:rPr>
          <w:rFonts w:asciiTheme="majorBidi" w:hAnsiTheme="majorBidi" w:cstheme="majorBidi"/>
          <w:i/>
          <w:iCs/>
          <w:lang w:val="en-US"/>
        </w:rPr>
        <w:t xml:space="preserve"> </w:t>
      </w:r>
      <w:proofErr w:type="spellStart"/>
      <w:r w:rsidRPr="00203B6F">
        <w:rPr>
          <w:rFonts w:asciiTheme="majorBidi" w:hAnsiTheme="majorBidi" w:cstheme="majorBidi"/>
          <w:i/>
          <w:iCs/>
          <w:lang w:val="en-US"/>
        </w:rPr>
        <w:t>Xianyu</w:t>
      </w:r>
      <w:proofErr w:type="spellEnd"/>
      <w:r w:rsidRPr="00203B6F">
        <w:rPr>
          <w:rFonts w:asciiTheme="majorBidi" w:hAnsiTheme="majorBidi" w:cstheme="majorBidi"/>
          <w:i/>
          <w:iCs/>
          <w:lang w:val="en-US"/>
        </w:rPr>
        <w:t xml:space="preserve"> Tongji</w:t>
      </w:r>
      <w:r>
        <w:rPr>
          <w:rFonts w:asciiTheme="majorBidi" w:hAnsiTheme="majorBidi" w:cstheme="majorBidi"/>
          <w:i/>
          <w:iCs/>
          <w:lang w:val="en-US"/>
        </w:rPr>
        <w:t xml:space="preserve"> </w:t>
      </w:r>
      <w:proofErr w:type="spellStart"/>
      <w:r>
        <w:rPr>
          <w:rFonts w:asciiTheme="majorBidi" w:hAnsiTheme="majorBidi" w:cstheme="majorBidi"/>
          <w:i/>
          <w:iCs/>
          <w:lang w:val="en-US"/>
        </w:rPr>
        <w:t>Nianjian</w:t>
      </w:r>
      <w:proofErr w:type="spellEnd"/>
      <w:r>
        <w:rPr>
          <w:rFonts w:asciiTheme="majorBidi" w:hAnsiTheme="majorBidi" w:cstheme="majorBidi"/>
          <w:i/>
          <w:iCs/>
          <w:lang w:val="en-US"/>
        </w:rPr>
        <w:t xml:space="preserve"> (</w:t>
      </w:r>
      <w:proofErr w:type="spellStart"/>
      <w:r>
        <w:rPr>
          <w:rFonts w:asciiTheme="majorBidi" w:hAnsiTheme="majorBidi" w:cstheme="majorBidi"/>
          <w:i/>
          <w:iCs/>
          <w:lang w:val="en-US"/>
        </w:rPr>
        <w:t>Xianshi</w:t>
      </w:r>
      <w:proofErr w:type="spellEnd"/>
      <w:r>
        <w:rPr>
          <w:rFonts w:asciiTheme="majorBidi" w:hAnsiTheme="majorBidi" w:cstheme="majorBidi"/>
          <w:i/>
          <w:iCs/>
          <w:lang w:val="en-US"/>
        </w:rPr>
        <w:t xml:space="preserve"> Juan)</w:t>
      </w:r>
      <w:r w:rsidRPr="004A289F">
        <w:rPr>
          <w:rFonts w:asciiTheme="majorBidi" w:hAnsiTheme="majorBidi" w:cstheme="majorBidi"/>
          <w:lang w:val="en-US"/>
        </w:rPr>
        <w:t>)</w:t>
      </w:r>
      <w:r w:rsidRPr="00203B6F">
        <w:rPr>
          <w:rFonts w:asciiTheme="majorBidi" w:hAnsiTheme="majorBidi" w:cstheme="majorBidi"/>
          <w:lang w:val="en-US"/>
        </w:rPr>
        <w:t xml:space="preserve">, annual editions of the China City Statistical Yearbook (known </w:t>
      </w:r>
      <w:r>
        <w:rPr>
          <w:rFonts w:asciiTheme="majorBidi" w:hAnsiTheme="majorBidi" w:cstheme="majorBidi"/>
          <w:lang w:val="en-US"/>
        </w:rPr>
        <w:t>in Chinese as</w:t>
      </w:r>
      <w:r w:rsidRPr="00203B6F">
        <w:rPr>
          <w:rFonts w:asciiTheme="majorBidi" w:hAnsiTheme="majorBidi" w:cstheme="majorBidi"/>
          <w:lang w:val="en-US"/>
        </w:rPr>
        <w:t> </w:t>
      </w:r>
      <w:proofErr w:type="spellStart"/>
      <w:r w:rsidRPr="00203B6F">
        <w:rPr>
          <w:rFonts w:asciiTheme="majorBidi" w:hAnsiTheme="majorBidi" w:cstheme="majorBidi"/>
          <w:i/>
          <w:iCs/>
          <w:lang w:val="en-US"/>
        </w:rPr>
        <w:t>Zhongguo</w:t>
      </w:r>
      <w:proofErr w:type="spellEnd"/>
      <w:r w:rsidRPr="00203B6F">
        <w:rPr>
          <w:rFonts w:asciiTheme="majorBidi" w:hAnsiTheme="majorBidi" w:cstheme="majorBidi"/>
          <w:i/>
          <w:iCs/>
          <w:lang w:val="en-US"/>
        </w:rPr>
        <w:t xml:space="preserve"> </w:t>
      </w:r>
      <w:proofErr w:type="spellStart"/>
      <w:r w:rsidRPr="00203B6F">
        <w:rPr>
          <w:rFonts w:asciiTheme="majorBidi" w:hAnsiTheme="majorBidi" w:cstheme="majorBidi"/>
          <w:i/>
          <w:iCs/>
          <w:lang w:val="en-US"/>
        </w:rPr>
        <w:t>Chengshi</w:t>
      </w:r>
      <w:proofErr w:type="spellEnd"/>
      <w:r w:rsidRPr="00203B6F">
        <w:rPr>
          <w:rFonts w:asciiTheme="majorBidi" w:hAnsiTheme="majorBidi" w:cstheme="majorBidi"/>
          <w:i/>
          <w:iCs/>
          <w:lang w:val="en-US"/>
        </w:rPr>
        <w:t xml:space="preserve"> Tongji </w:t>
      </w:r>
      <w:proofErr w:type="spellStart"/>
      <w:r w:rsidRPr="00203B6F">
        <w:rPr>
          <w:rFonts w:asciiTheme="majorBidi" w:hAnsiTheme="majorBidi" w:cstheme="majorBidi"/>
          <w:i/>
          <w:iCs/>
          <w:lang w:val="en-US"/>
        </w:rPr>
        <w:t>Nianjian</w:t>
      </w:r>
      <w:proofErr w:type="spellEnd"/>
      <w:r w:rsidRPr="00203B6F">
        <w:rPr>
          <w:rFonts w:asciiTheme="majorBidi" w:hAnsiTheme="majorBidi" w:cstheme="majorBidi"/>
          <w:lang w:val="en-US"/>
        </w:rPr>
        <w:t xml:space="preserve">), and annual editions of the Statistical Yearbook for each city </w:t>
      </w:r>
      <w:r>
        <w:rPr>
          <w:rFonts w:asciiTheme="majorBidi" w:hAnsiTheme="majorBidi" w:cstheme="majorBidi"/>
          <w:lang w:val="en-US"/>
        </w:rPr>
        <w:t xml:space="preserve">or province </w:t>
      </w:r>
      <w:r w:rsidRPr="00203B6F">
        <w:rPr>
          <w:rFonts w:asciiTheme="majorBidi" w:hAnsiTheme="majorBidi" w:cstheme="majorBidi"/>
          <w:lang w:val="en-US"/>
        </w:rPr>
        <w:t>(for example the Beij</w:t>
      </w:r>
      <w:r>
        <w:rPr>
          <w:rFonts w:asciiTheme="majorBidi" w:hAnsiTheme="majorBidi" w:cstheme="majorBidi"/>
          <w:lang w:val="en-US"/>
        </w:rPr>
        <w:t>ing Statistical Yearbook) (NBS, various dates)</w:t>
      </w:r>
      <w:r w:rsidRPr="00203B6F">
        <w:rPr>
          <w:rFonts w:asciiTheme="majorBidi" w:hAnsiTheme="majorBidi" w:cstheme="majorBidi"/>
          <w:lang w:val="en-US"/>
        </w:rPr>
        <w:t>. Each edition reports on GDP the p</w:t>
      </w:r>
      <w:r>
        <w:rPr>
          <w:rFonts w:asciiTheme="majorBidi" w:hAnsiTheme="majorBidi" w:cstheme="majorBidi"/>
          <w:lang w:val="en-US"/>
        </w:rPr>
        <w:t>revious year, so we use the 2001 to 2020 editions to obtain annual GDP data from 2000</w:t>
      </w:r>
      <w:r w:rsidRPr="00203B6F">
        <w:rPr>
          <w:rFonts w:asciiTheme="majorBidi" w:hAnsiTheme="majorBidi" w:cstheme="majorBidi"/>
          <w:lang w:val="en-US"/>
        </w:rPr>
        <w:t xml:space="preserve"> to 2019.</w:t>
      </w:r>
      <w:r>
        <w:rPr>
          <w:rFonts w:asciiTheme="majorBidi" w:hAnsiTheme="majorBidi" w:cstheme="majorBidi"/>
          <w:lang w:val="en-US"/>
        </w:rPr>
        <w:t xml:space="preserve"> W</w:t>
      </w:r>
      <w:r>
        <w:rPr>
          <w:rFonts w:asciiTheme="majorBidi" w:hAnsiTheme="majorBidi" w:cstheme="majorBidi"/>
        </w:rPr>
        <w:t xml:space="preserve">hen any county (the typical spatial unit in rural areas) or district (the typical unit in urban areas) was subsequently merged we enforce the same aggregation on earlier years to have a consistent 2000-19 time-series for each spatial unit. Overall, we have annual GDP data for each of </w:t>
      </w:r>
      <w:r>
        <w:rPr>
          <w:rFonts w:asciiTheme="majorBidi" w:hAnsiTheme="majorBidi" w:cstheme="majorBidi"/>
          <w:i/>
          <w:iCs/>
        </w:rPr>
        <w:t>n</w:t>
      </w:r>
      <w:r>
        <w:rPr>
          <w:rFonts w:asciiTheme="majorBidi" w:hAnsiTheme="majorBidi" w:cstheme="majorBidi"/>
        </w:rPr>
        <w:t>=2342 units at the 3</w:t>
      </w:r>
      <w:r w:rsidRPr="00272FAA">
        <w:rPr>
          <w:rFonts w:asciiTheme="majorBidi" w:hAnsiTheme="majorBidi" w:cstheme="majorBidi"/>
          <w:vertAlign w:val="superscript"/>
        </w:rPr>
        <w:t>rd</w:t>
      </w:r>
      <w:r>
        <w:rPr>
          <w:rFonts w:asciiTheme="majorBidi" w:hAnsiTheme="majorBidi" w:cstheme="majorBidi"/>
        </w:rPr>
        <w:t xml:space="preserve"> level of the sub</w:t>
      </w:r>
      <w:r>
        <w:rPr>
          <w:rFonts w:asciiTheme="majorBidi" w:hAnsiTheme="majorBidi" w:cstheme="majorBidi"/>
        </w:rPr>
        <w:noBreakHyphen/>
        <w:t>national administrative hierarchy, where these units maintain a consistent spatial definition from 2000 to 2019. W</w:t>
      </w:r>
      <w:r w:rsidRPr="00A84704">
        <w:rPr>
          <w:rFonts w:asciiTheme="majorBidi" w:hAnsiTheme="majorBidi" w:cstheme="majorBidi"/>
        </w:rPr>
        <w:t xml:space="preserve">e refer to these as </w:t>
      </w:r>
      <w:r>
        <w:rPr>
          <w:rFonts w:asciiTheme="majorBidi" w:hAnsiTheme="majorBidi" w:cstheme="majorBidi"/>
        </w:rPr>
        <w:t xml:space="preserve">either </w:t>
      </w:r>
      <w:r w:rsidRPr="00A84704">
        <w:rPr>
          <w:rFonts w:asciiTheme="majorBidi" w:hAnsiTheme="majorBidi" w:cstheme="majorBidi"/>
        </w:rPr>
        <w:t>county-level units</w:t>
      </w:r>
      <w:r>
        <w:rPr>
          <w:rFonts w:asciiTheme="majorBidi" w:hAnsiTheme="majorBidi" w:cstheme="majorBidi"/>
        </w:rPr>
        <w:t xml:space="preserve"> or just counties.</w:t>
      </w:r>
    </w:p>
    <w:p w:rsidR="009052AF" w:rsidRDefault="009052AF" w:rsidP="009052AF">
      <w:pPr>
        <w:spacing w:after="80"/>
        <w:jc w:val="both"/>
        <w:rPr>
          <w:rFonts w:asciiTheme="majorBidi" w:hAnsiTheme="majorBidi" w:cstheme="majorBidi"/>
        </w:rPr>
      </w:pPr>
      <w:r>
        <w:rPr>
          <w:rFonts w:asciiTheme="majorBidi" w:hAnsiTheme="majorBidi" w:cstheme="majorBidi"/>
        </w:rPr>
        <w:t xml:space="preserve">The DMSP data are </w:t>
      </w:r>
      <w:r w:rsidRPr="003F5E94">
        <w:rPr>
          <w:rFonts w:asciiTheme="majorBidi" w:hAnsiTheme="majorBidi" w:cstheme="majorBidi"/>
        </w:rPr>
        <w:t>annual composites from</w:t>
      </w:r>
      <w:r>
        <w:rPr>
          <w:rFonts w:asciiTheme="majorBidi" w:hAnsiTheme="majorBidi" w:cstheme="majorBidi"/>
        </w:rPr>
        <w:t xml:space="preserve"> </w:t>
      </w:r>
      <w:r w:rsidRPr="003F5E94">
        <w:rPr>
          <w:rFonts w:asciiTheme="majorBidi" w:hAnsiTheme="majorBidi" w:cstheme="majorBidi"/>
        </w:rPr>
        <w:t xml:space="preserve">satellites F14, F15, F16 and F18 </w:t>
      </w:r>
      <w:r>
        <w:rPr>
          <w:rFonts w:asciiTheme="majorBidi" w:hAnsiTheme="majorBidi" w:cstheme="majorBidi"/>
        </w:rPr>
        <w:t xml:space="preserve">that collectively </w:t>
      </w:r>
      <w:r w:rsidRPr="003F5E94">
        <w:rPr>
          <w:rFonts w:asciiTheme="majorBidi" w:hAnsiTheme="majorBidi" w:cstheme="majorBidi"/>
        </w:rPr>
        <w:t>cover ea</w:t>
      </w:r>
      <w:r>
        <w:rPr>
          <w:rFonts w:asciiTheme="majorBidi" w:hAnsiTheme="majorBidi" w:cstheme="majorBidi"/>
        </w:rPr>
        <w:t>ch year from 20</w:t>
      </w:r>
      <w:r w:rsidR="00B9738D">
        <w:rPr>
          <w:rFonts w:asciiTheme="majorBidi" w:hAnsiTheme="majorBidi" w:cstheme="majorBidi"/>
        </w:rPr>
        <w:t>00 to 2013 (with some years having</w:t>
      </w:r>
      <w:r w:rsidRPr="003F5E94">
        <w:rPr>
          <w:rFonts w:asciiTheme="majorBidi" w:hAnsiTheme="majorBidi" w:cstheme="majorBidi"/>
        </w:rPr>
        <w:t xml:space="preserve"> two satellites </w:t>
      </w:r>
      <w:r>
        <w:rPr>
          <w:rFonts w:asciiTheme="majorBidi" w:hAnsiTheme="majorBidi" w:cstheme="majorBidi"/>
        </w:rPr>
        <w:t>providing data</w:t>
      </w:r>
      <w:r w:rsidRPr="003F5E94">
        <w:rPr>
          <w:rFonts w:asciiTheme="majorBidi" w:hAnsiTheme="majorBidi" w:cstheme="majorBidi"/>
        </w:rPr>
        <w:t xml:space="preserve">). The stable lights </w:t>
      </w:r>
      <w:r>
        <w:rPr>
          <w:rFonts w:asciiTheme="majorBidi" w:hAnsiTheme="majorBidi" w:cstheme="majorBidi"/>
        </w:rPr>
        <w:t>product (where ‘stable’ simply means e</w:t>
      </w:r>
      <w:r w:rsidRPr="003F5E94">
        <w:rPr>
          <w:rFonts w:asciiTheme="majorBidi" w:hAnsiTheme="majorBidi" w:cstheme="majorBidi"/>
        </w:rPr>
        <w:t>phemeral lights such as from fires are removed</w:t>
      </w:r>
      <w:r>
        <w:rPr>
          <w:rFonts w:asciiTheme="majorBidi" w:hAnsiTheme="majorBidi" w:cstheme="majorBidi"/>
        </w:rPr>
        <w:t>, it does not necessarily imply temporal consistency)</w:t>
      </w:r>
      <w:r w:rsidRPr="003F5E94">
        <w:rPr>
          <w:rFonts w:asciiTheme="majorBidi" w:hAnsiTheme="majorBidi" w:cstheme="majorBidi"/>
        </w:rPr>
        <w:t xml:space="preserve"> provides 6-bit digital numbers (DN) ranging from 0–63</w:t>
      </w:r>
      <w:r>
        <w:rPr>
          <w:rFonts w:asciiTheme="majorBidi" w:hAnsiTheme="majorBidi" w:cstheme="majorBidi"/>
        </w:rPr>
        <w:t>.</w:t>
      </w:r>
      <w:r w:rsidRPr="003F5E94">
        <w:rPr>
          <w:rFonts w:asciiTheme="majorBidi" w:hAnsiTheme="majorBidi" w:cstheme="majorBidi"/>
        </w:rPr>
        <w:t xml:space="preserve"> The </w:t>
      </w:r>
      <w:r>
        <w:rPr>
          <w:rFonts w:asciiTheme="majorBidi" w:hAnsiTheme="majorBidi" w:cstheme="majorBidi"/>
        </w:rPr>
        <w:t xml:space="preserve">technical details on the steps used to create these data are in Baugh et al (2010) and the data are available at: </w:t>
      </w:r>
      <w:hyperlink r:id="rId18" w:history="1">
        <w:r w:rsidRPr="00723371">
          <w:rPr>
            <w:rStyle w:val="Hyperlink"/>
            <w:rFonts w:asciiTheme="majorBidi" w:hAnsiTheme="majorBidi" w:cstheme="majorBidi"/>
          </w:rPr>
          <w:t>https://eogdata.mines.edu/products/dmsp/</w:t>
        </w:r>
      </w:hyperlink>
      <w:r>
        <w:rPr>
          <w:rFonts w:asciiTheme="majorBidi" w:hAnsiTheme="majorBidi" w:cstheme="majorBidi"/>
        </w:rPr>
        <w:t xml:space="preserve">. </w:t>
      </w:r>
    </w:p>
    <w:p w:rsidR="009052AF" w:rsidRDefault="009052AF" w:rsidP="009052AF">
      <w:pPr>
        <w:widowControl w:val="0"/>
        <w:spacing w:after="80"/>
        <w:jc w:val="both"/>
        <w:rPr>
          <w:rFonts w:asciiTheme="majorBidi" w:hAnsiTheme="majorBidi" w:cstheme="majorBidi"/>
        </w:rPr>
      </w:pPr>
      <w:r>
        <w:rPr>
          <w:rFonts w:asciiTheme="majorBidi" w:hAnsiTheme="majorBidi" w:cstheme="majorBidi"/>
        </w:rPr>
        <w:t>The VNL data are version 2.1</w:t>
      </w:r>
      <w:r w:rsidRPr="00A32531">
        <w:rPr>
          <w:rFonts w:asciiTheme="majorBidi" w:hAnsiTheme="majorBidi" w:cstheme="majorBidi"/>
        </w:rPr>
        <w:t xml:space="preserve"> annual composites </w:t>
      </w:r>
      <w:r>
        <w:rPr>
          <w:rFonts w:asciiTheme="majorBidi" w:hAnsiTheme="majorBidi" w:cstheme="majorBidi"/>
        </w:rPr>
        <w:t>for 2012 to 2019</w:t>
      </w:r>
      <w:r w:rsidRPr="00A32531">
        <w:rPr>
          <w:rFonts w:asciiTheme="majorBidi" w:hAnsiTheme="majorBidi" w:cstheme="majorBidi"/>
        </w:rPr>
        <w:t xml:space="preserve"> </w:t>
      </w:r>
      <w:r>
        <w:rPr>
          <w:rFonts w:asciiTheme="majorBidi" w:hAnsiTheme="majorBidi" w:cstheme="majorBidi"/>
        </w:rPr>
        <w:t xml:space="preserve">from </w:t>
      </w:r>
      <w:proofErr w:type="spellStart"/>
      <w:r>
        <w:rPr>
          <w:rFonts w:asciiTheme="majorBidi" w:hAnsiTheme="majorBidi" w:cstheme="majorBidi"/>
        </w:rPr>
        <w:t>Elvidge</w:t>
      </w:r>
      <w:proofErr w:type="spellEnd"/>
      <w:r>
        <w:rPr>
          <w:rFonts w:asciiTheme="majorBidi" w:hAnsiTheme="majorBidi" w:cstheme="majorBidi"/>
        </w:rPr>
        <w:t xml:space="preserve"> et al (2021) based on </w:t>
      </w:r>
      <w:r w:rsidRPr="00A32531">
        <w:rPr>
          <w:rFonts w:asciiTheme="majorBidi" w:hAnsiTheme="majorBidi" w:cstheme="majorBidi"/>
        </w:rPr>
        <w:t>monthly cloud-free radiance averages</w:t>
      </w:r>
      <w:r>
        <w:rPr>
          <w:rFonts w:asciiTheme="majorBidi" w:hAnsiTheme="majorBidi" w:cstheme="majorBidi"/>
        </w:rPr>
        <w:t xml:space="preserve"> coming from the Suomi/NPP satellite. These data undergo an</w:t>
      </w:r>
      <w:r w:rsidRPr="00A32531">
        <w:rPr>
          <w:rFonts w:asciiTheme="majorBidi" w:hAnsiTheme="majorBidi" w:cstheme="majorBidi"/>
        </w:rPr>
        <w:t xml:space="preserve"> initial filtering to remove extraneous features such as fires and aurora before t</w:t>
      </w:r>
      <w:r>
        <w:rPr>
          <w:rFonts w:asciiTheme="majorBidi" w:hAnsiTheme="majorBidi" w:cstheme="majorBidi"/>
        </w:rPr>
        <w:t>he resulting rough annual compo</w:t>
      </w:r>
      <w:r w:rsidRPr="00A32531">
        <w:rPr>
          <w:rFonts w:asciiTheme="majorBidi" w:hAnsiTheme="majorBidi" w:cstheme="majorBidi"/>
        </w:rPr>
        <w:t xml:space="preserve">sites </w:t>
      </w:r>
      <w:r>
        <w:rPr>
          <w:rFonts w:asciiTheme="majorBidi" w:hAnsiTheme="majorBidi" w:cstheme="majorBidi"/>
        </w:rPr>
        <w:t xml:space="preserve">have further </w:t>
      </w:r>
      <w:r w:rsidRPr="00A32531">
        <w:rPr>
          <w:rFonts w:asciiTheme="majorBidi" w:hAnsiTheme="majorBidi" w:cstheme="majorBidi"/>
        </w:rPr>
        <w:t xml:space="preserve">outlier </w:t>
      </w:r>
      <w:r>
        <w:rPr>
          <w:rFonts w:asciiTheme="majorBidi" w:hAnsiTheme="majorBidi" w:cstheme="majorBidi"/>
        </w:rPr>
        <w:t>removal procedures applied. The l</w:t>
      </w:r>
      <w:r w:rsidRPr="00A32531">
        <w:rPr>
          <w:rFonts w:asciiTheme="majorBidi" w:hAnsiTheme="majorBidi" w:cstheme="majorBidi"/>
        </w:rPr>
        <w:t xml:space="preserve">it grid cells </w:t>
      </w:r>
      <w:r>
        <w:rPr>
          <w:rFonts w:asciiTheme="majorBidi" w:hAnsiTheme="majorBidi" w:cstheme="majorBidi"/>
        </w:rPr>
        <w:t>are isolated from back</w:t>
      </w:r>
      <w:r w:rsidRPr="00A32531">
        <w:rPr>
          <w:rFonts w:asciiTheme="majorBidi" w:hAnsiTheme="majorBidi" w:cstheme="majorBidi"/>
        </w:rPr>
        <w:t>ground</w:t>
      </w:r>
      <w:r>
        <w:rPr>
          <w:rFonts w:asciiTheme="majorBidi" w:hAnsiTheme="majorBidi" w:cstheme="majorBidi"/>
        </w:rPr>
        <w:t xml:space="preserve"> noise using</w:t>
      </w:r>
      <w:r w:rsidRPr="00A32531">
        <w:rPr>
          <w:rFonts w:asciiTheme="majorBidi" w:hAnsiTheme="majorBidi" w:cstheme="majorBidi"/>
        </w:rPr>
        <w:t xml:space="preserve"> </w:t>
      </w:r>
      <w:r>
        <w:rPr>
          <w:rFonts w:asciiTheme="majorBidi" w:hAnsiTheme="majorBidi" w:cstheme="majorBidi"/>
        </w:rPr>
        <w:t xml:space="preserve">multi-year </w:t>
      </w:r>
      <w:r w:rsidRPr="00A32531">
        <w:rPr>
          <w:rFonts w:asciiTheme="majorBidi" w:hAnsiTheme="majorBidi" w:cstheme="majorBidi"/>
        </w:rPr>
        <w:t>threshold</w:t>
      </w:r>
      <w:r>
        <w:rPr>
          <w:rFonts w:asciiTheme="majorBidi" w:hAnsiTheme="majorBidi" w:cstheme="majorBidi"/>
        </w:rPr>
        <w:t xml:space="preserve">s that make these data better for change detection than earlier vintages of VNL data. </w:t>
      </w:r>
      <w:r w:rsidRPr="00A32531">
        <w:rPr>
          <w:rFonts w:asciiTheme="majorBidi" w:hAnsiTheme="majorBidi" w:cstheme="majorBidi"/>
        </w:rPr>
        <w:t>The data are in uni</w:t>
      </w:r>
      <w:r>
        <w:rPr>
          <w:rFonts w:asciiTheme="majorBidi" w:hAnsiTheme="majorBidi" w:cstheme="majorBidi"/>
        </w:rPr>
        <w:t xml:space="preserve">ts of </w:t>
      </w:r>
      <w:proofErr w:type="spellStart"/>
      <w:r>
        <w:rPr>
          <w:rFonts w:asciiTheme="majorBidi" w:hAnsiTheme="majorBidi" w:cstheme="majorBidi"/>
        </w:rPr>
        <w:t>nano</w:t>
      </w:r>
      <w:proofErr w:type="spellEnd"/>
      <w:r>
        <w:rPr>
          <w:rFonts w:asciiTheme="majorBidi" w:hAnsiTheme="majorBidi" w:cstheme="majorBidi"/>
        </w:rPr>
        <w:t xml:space="preserve"> Watts per square </w:t>
      </w:r>
      <w:proofErr w:type="spellStart"/>
      <w:r>
        <w:rPr>
          <w:rFonts w:asciiTheme="majorBidi" w:hAnsiTheme="majorBidi" w:cstheme="majorBidi"/>
        </w:rPr>
        <w:t>cen</w:t>
      </w:r>
      <w:r w:rsidRPr="00A32531">
        <w:rPr>
          <w:rFonts w:asciiTheme="majorBidi" w:hAnsiTheme="majorBidi" w:cstheme="majorBidi"/>
        </w:rPr>
        <w:t>timeter</w:t>
      </w:r>
      <w:proofErr w:type="spellEnd"/>
      <w:r w:rsidRPr="00A32531">
        <w:rPr>
          <w:rFonts w:asciiTheme="majorBidi" w:hAnsiTheme="majorBidi" w:cstheme="majorBidi"/>
        </w:rPr>
        <w:t xml:space="preserve"> per steradian (</w:t>
      </w:r>
      <w:proofErr w:type="spellStart"/>
      <w:r w:rsidRPr="00A32531">
        <w:rPr>
          <w:rFonts w:asciiTheme="majorBidi" w:hAnsiTheme="majorBidi" w:cstheme="majorBidi"/>
        </w:rPr>
        <w:t>nW</w:t>
      </w:r>
      <w:proofErr w:type="spellEnd"/>
      <w:r w:rsidRPr="00A32531">
        <w:rPr>
          <w:rFonts w:asciiTheme="majorBidi" w:hAnsiTheme="majorBidi" w:cstheme="majorBidi"/>
        </w:rPr>
        <w:t>/cm</w:t>
      </w:r>
      <w:r w:rsidRPr="00A32531">
        <w:rPr>
          <w:rFonts w:asciiTheme="majorBidi" w:hAnsiTheme="majorBidi" w:cstheme="majorBidi"/>
          <w:vertAlign w:val="superscript"/>
        </w:rPr>
        <w:t>2</w:t>
      </w:r>
      <w:r w:rsidRPr="00A32531">
        <w:rPr>
          <w:rFonts w:asciiTheme="majorBidi" w:hAnsiTheme="majorBidi" w:cstheme="majorBidi"/>
        </w:rPr>
        <w:t>/</w:t>
      </w:r>
      <w:proofErr w:type="spellStart"/>
      <w:r w:rsidRPr="00A32531">
        <w:rPr>
          <w:rFonts w:asciiTheme="majorBidi" w:hAnsiTheme="majorBidi" w:cstheme="majorBidi"/>
        </w:rPr>
        <w:t>sr</w:t>
      </w:r>
      <w:proofErr w:type="spellEnd"/>
      <w:r w:rsidRPr="00A32531">
        <w:rPr>
          <w:rFonts w:asciiTheme="majorBidi" w:hAnsiTheme="majorBidi" w:cstheme="majorBidi"/>
        </w:rPr>
        <w:t xml:space="preserve">) </w:t>
      </w:r>
      <w:r>
        <w:rPr>
          <w:rFonts w:asciiTheme="majorBidi" w:hAnsiTheme="majorBidi" w:cstheme="majorBidi"/>
        </w:rPr>
        <w:t xml:space="preserve">presented on a 15 arc-second output grid available from: </w:t>
      </w:r>
      <w:hyperlink r:id="rId19" w:history="1">
        <w:r w:rsidRPr="00723371">
          <w:rPr>
            <w:rStyle w:val="Hyperlink"/>
            <w:rFonts w:asciiTheme="majorBidi" w:hAnsiTheme="majorBidi" w:cstheme="majorBidi"/>
          </w:rPr>
          <w:t>https://eogdata.mines.edu/nighttime_light/annual/v21/</w:t>
        </w:r>
      </w:hyperlink>
      <w:r>
        <w:rPr>
          <w:rFonts w:asciiTheme="majorBidi" w:hAnsiTheme="majorBidi" w:cstheme="majorBidi"/>
        </w:rPr>
        <w:t xml:space="preserve">. </w:t>
      </w:r>
    </w:p>
    <w:p w:rsidR="009052AF" w:rsidRDefault="009052AF" w:rsidP="009052AF">
      <w:pPr>
        <w:widowControl w:val="0"/>
        <w:spacing w:after="0"/>
        <w:jc w:val="both"/>
        <w:rPr>
          <w:rFonts w:asciiTheme="majorBidi" w:hAnsiTheme="majorBidi" w:cstheme="majorBidi"/>
          <w:lang w:val="en-US"/>
        </w:rPr>
      </w:pPr>
      <w:r>
        <w:rPr>
          <w:rFonts w:asciiTheme="majorBidi" w:hAnsiTheme="majorBidi" w:cstheme="majorBidi"/>
        </w:rPr>
        <w:t xml:space="preserve">The </w:t>
      </w:r>
      <w:r w:rsidRPr="00A32531">
        <w:rPr>
          <w:rFonts w:asciiTheme="majorBidi" w:hAnsiTheme="majorBidi" w:cstheme="majorBidi"/>
          <w:lang w:val="en-US"/>
        </w:rPr>
        <w:t xml:space="preserve">NASA Black Marble annual composites </w:t>
      </w:r>
      <w:r>
        <w:rPr>
          <w:rFonts w:asciiTheme="majorBidi" w:hAnsiTheme="majorBidi" w:cstheme="majorBidi"/>
          <w:lang w:val="en-US"/>
        </w:rPr>
        <w:t>are derived from the same satellite as VNL V2.1 data but are processed differently (</w:t>
      </w:r>
      <w:r w:rsidRPr="00A32531">
        <w:rPr>
          <w:rFonts w:asciiTheme="majorBidi" w:eastAsia="Times New Roman" w:hAnsiTheme="majorBidi" w:cstheme="majorBidi"/>
          <w:lang w:bidi="he-IL"/>
        </w:rPr>
        <w:t>Román</w:t>
      </w:r>
      <w:r w:rsidRPr="00A32531">
        <w:rPr>
          <w:rFonts w:asciiTheme="majorBidi" w:hAnsiTheme="majorBidi" w:cstheme="majorBidi"/>
          <w:lang w:val="en-US"/>
        </w:rPr>
        <w:t xml:space="preserve"> </w:t>
      </w:r>
      <w:r>
        <w:rPr>
          <w:rFonts w:asciiTheme="majorBidi" w:hAnsiTheme="majorBidi" w:cstheme="majorBidi"/>
          <w:lang w:val="en-US"/>
        </w:rPr>
        <w:t>et al, 2018). The data prod</w:t>
      </w:r>
      <w:r w:rsidRPr="00A32531">
        <w:rPr>
          <w:rFonts w:asciiTheme="majorBidi" w:hAnsiTheme="majorBidi" w:cstheme="majorBidi"/>
          <w:lang w:val="en-US"/>
        </w:rPr>
        <w:t>ucts are corrected for atmospheric, terrain, vegetation, snow, lunar, and stray l</w:t>
      </w:r>
      <w:r>
        <w:rPr>
          <w:rFonts w:asciiTheme="majorBidi" w:hAnsiTheme="majorBidi" w:cstheme="majorBidi"/>
          <w:lang w:val="en-US"/>
        </w:rPr>
        <w:t>ight ef</w:t>
      </w:r>
      <w:r w:rsidRPr="00A32531">
        <w:rPr>
          <w:rFonts w:asciiTheme="majorBidi" w:hAnsiTheme="majorBidi" w:cstheme="majorBidi"/>
          <w:lang w:val="en-US"/>
        </w:rPr>
        <w:t xml:space="preserve">fects on </w:t>
      </w:r>
      <w:r>
        <w:rPr>
          <w:rFonts w:asciiTheme="majorBidi" w:hAnsiTheme="majorBidi" w:cstheme="majorBidi"/>
          <w:lang w:val="en-US"/>
        </w:rPr>
        <w:t xml:space="preserve">the </w:t>
      </w:r>
      <w:r w:rsidRPr="00A32531">
        <w:rPr>
          <w:rFonts w:asciiTheme="majorBidi" w:hAnsiTheme="majorBidi" w:cstheme="majorBidi"/>
          <w:lang w:val="en-US"/>
        </w:rPr>
        <w:t>radiance</w:t>
      </w:r>
      <w:r>
        <w:rPr>
          <w:rFonts w:asciiTheme="majorBidi" w:hAnsiTheme="majorBidi" w:cstheme="majorBidi"/>
          <w:lang w:val="en-US"/>
        </w:rPr>
        <w:t xml:space="preserve"> value</w:t>
      </w:r>
      <w:r w:rsidRPr="00A32531">
        <w:rPr>
          <w:rFonts w:asciiTheme="majorBidi" w:hAnsiTheme="majorBidi" w:cstheme="majorBidi"/>
          <w:lang w:val="en-US"/>
        </w:rPr>
        <w:t>s</w:t>
      </w:r>
      <w:r>
        <w:rPr>
          <w:rFonts w:asciiTheme="majorBidi" w:hAnsiTheme="majorBidi" w:cstheme="majorBidi"/>
          <w:lang w:val="en-US"/>
        </w:rPr>
        <w:t>, which</w:t>
      </w:r>
      <w:r w:rsidRPr="00A32531">
        <w:rPr>
          <w:rFonts w:asciiTheme="majorBidi" w:hAnsiTheme="majorBidi" w:cstheme="majorBidi"/>
          <w:lang w:val="en-US"/>
        </w:rPr>
        <w:t xml:space="preserve"> are calibrated across time and </w:t>
      </w:r>
      <w:r>
        <w:rPr>
          <w:rFonts w:asciiTheme="majorBidi" w:hAnsiTheme="majorBidi" w:cstheme="majorBidi"/>
          <w:lang w:val="en-US"/>
        </w:rPr>
        <w:t xml:space="preserve">are also </w:t>
      </w:r>
      <w:r w:rsidRPr="00A32531">
        <w:rPr>
          <w:rFonts w:asciiTheme="majorBidi" w:hAnsiTheme="majorBidi" w:cstheme="majorBidi"/>
          <w:lang w:val="en-US"/>
        </w:rPr>
        <w:t xml:space="preserve">validated against ground measurements. The data are in units of </w:t>
      </w:r>
      <w:proofErr w:type="spellStart"/>
      <w:r w:rsidRPr="00A32531">
        <w:rPr>
          <w:rFonts w:asciiTheme="majorBidi" w:hAnsiTheme="majorBidi" w:cstheme="majorBidi"/>
          <w:lang w:val="en-US"/>
        </w:rPr>
        <w:t>nano</w:t>
      </w:r>
      <w:proofErr w:type="spellEnd"/>
      <w:r w:rsidRPr="00A32531">
        <w:rPr>
          <w:rFonts w:asciiTheme="majorBidi" w:hAnsiTheme="majorBidi" w:cstheme="majorBidi"/>
          <w:lang w:val="en-US"/>
        </w:rPr>
        <w:t xml:space="preserve"> Watts per square centimeter per steradian (</w:t>
      </w:r>
      <w:proofErr w:type="spellStart"/>
      <w:r w:rsidRPr="00A32531">
        <w:rPr>
          <w:rFonts w:asciiTheme="majorBidi" w:hAnsiTheme="majorBidi" w:cstheme="majorBidi"/>
          <w:lang w:val="en-US"/>
        </w:rPr>
        <w:t>nW</w:t>
      </w:r>
      <w:proofErr w:type="spellEnd"/>
      <w:r w:rsidRPr="00A32531">
        <w:rPr>
          <w:rFonts w:asciiTheme="majorBidi" w:hAnsiTheme="majorBidi" w:cstheme="majorBidi"/>
          <w:lang w:val="en-US"/>
        </w:rPr>
        <w:t>/cm</w:t>
      </w:r>
      <w:r w:rsidRPr="00875171">
        <w:rPr>
          <w:rFonts w:asciiTheme="majorBidi" w:hAnsiTheme="majorBidi" w:cstheme="majorBidi"/>
          <w:vertAlign w:val="superscript"/>
          <w:lang w:val="en-US"/>
        </w:rPr>
        <w:t>2</w:t>
      </w:r>
      <w:r w:rsidRPr="00A32531">
        <w:rPr>
          <w:rFonts w:asciiTheme="majorBidi" w:hAnsiTheme="majorBidi" w:cstheme="majorBidi"/>
          <w:lang w:val="en-US"/>
        </w:rPr>
        <w:t>/</w:t>
      </w:r>
      <w:proofErr w:type="spellStart"/>
      <w:r w:rsidRPr="00A32531">
        <w:rPr>
          <w:rFonts w:asciiTheme="majorBidi" w:hAnsiTheme="majorBidi" w:cstheme="majorBidi"/>
          <w:lang w:val="en-US"/>
        </w:rPr>
        <w:t>sr</w:t>
      </w:r>
      <w:proofErr w:type="spellEnd"/>
      <w:r w:rsidRPr="00A32531">
        <w:rPr>
          <w:rFonts w:asciiTheme="majorBidi" w:hAnsiTheme="majorBidi" w:cstheme="majorBidi"/>
          <w:lang w:val="en-US"/>
        </w:rPr>
        <w:t>)</w:t>
      </w:r>
      <w:r>
        <w:rPr>
          <w:rFonts w:asciiTheme="majorBidi" w:hAnsiTheme="majorBidi" w:cstheme="majorBidi"/>
          <w:lang w:val="en-US"/>
        </w:rPr>
        <w:t>,</w:t>
      </w:r>
      <w:r w:rsidRPr="00A32531">
        <w:rPr>
          <w:rFonts w:asciiTheme="majorBidi" w:hAnsiTheme="majorBidi" w:cstheme="majorBidi"/>
          <w:lang w:val="en-US"/>
        </w:rPr>
        <w:t xml:space="preserve"> with 16-bit precision on a 15 arc-second output grid. We use the all-angle composites</w:t>
      </w:r>
      <w:r>
        <w:rPr>
          <w:rFonts w:asciiTheme="majorBidi" w:hAnsiTheme="majorBidi" w:cstheme="majorBidi"/>
          <w:lang w:val="en-US"/>
        </w:rPr>
        <w:t xml:space="preserve"> for snow-free nights, available from: </w:t>
      </w:r>
      <w:hyperlink r:id="rId20" w:history="1">
        <w:r w:rsidRPr="00802E48">
          <w:rPr>
            <w:rStyle w:val="Hyperlink"/>
            <w:bCs/>
          </w:rPr>
          <w:t>https://ladsweb.modaps.eosdis.nasa.gov/achive/allData/5000/VNP46A4/</w:t>
        </w:r>
      </w:hyperlink>
      <w:r>
        <w:rPr>
          <w:rFonts w:asciiTheme="majorBidi" w:hAnsiTheme="majorBidi" w:cstheme="majorBidi"/>
          <w:lang w:val="en-US"/>
        </w:rPr>
        <w:t>.</w:t>
      </w:r>
    </w:p>
    <w:p w:rsidR="009052AF" w:rsidRPr="009052AF" w:rsidRDefault="009052AF" w:rsidP="009052AF">
      <w:pPr>
        <w:rPr>
          <w:rFonts w:asciiTheme="majorBidi" w:hAnsiTheme="majorBidi" w:cstheme="majorBidi"/>
          <w:b/>
          <w:bCs/>
          <w:sz w:val="22"/>
          <w:szCs w:val="22"/>
        </w:rPr>
      </w:pPr>
      <w:r w:rsidRPr="009052AF">
        <w:rPr>
          <w:rFonts w:asciiTheme="majorBidi" w:hAnsiTheme="majorBidi" w:cstheme="majorBidi"/>
          <w:b/>
          <w:bCs/>
          <w:sz w:val="22"/>
          <w:szCs w:val="22"/>
        </w:rPr>
        <w:lastRenderedPageBreak/>
        <w:t>References</w:t>
      </w:r>
    </w:p>
    <w:p w:rsidR="009052AF" w:rsidRPr="009052AF" w:rsidRDefault="009052AF" w:rsidP="009052AF">
      <w:pPr>
        <w:ind w:left="720" w:hanging="720"/>
        <w:rPr>
          <w:rFonts w:asciiTheme="majorBidi" w:hAnsiTheme="majorBidi" w:cstheme="majorBidi"/>
          <w:sz w:val="22"/>
          <w:szCs w:val="22"/>
          <w:lang w:val="en-US"/>
        </w:rPr>
      </w:pPr>
      <w:r w:rsidRPr="009052AF">
        <w:rPr>
          <w:rFonts w:asciiTheme="majorBidi" w:hAnsiTheme="majorBidi" w:cstheme="majorBidi"/>
          <w:sz w:val="22"/>
          <w:szCs w:val="22"/>
          <w:lang w:val="en-US"/>
        </w:rPr>
        <w:t xml:space="preserve">Baugh, K., </w:t>
      </w:r>
      <w:proofErr w:type="spellStart"/>
      <w:r w:rsidRPr="009052AF">
        <w:rPr>
          <w:rFonts w:asciiTheme="majorBidi" w:hAnsiTheme="majorBidi" w:cstheme="majorBidi"/>
          <w:sz w:val="22"/>
          <w:szCs w:val="22"/>
          <w:lang w:val="en-US"/>
        </w:rPr>
        <w:t>Elvidge</w:t>
      </w:r>
      <w:proofErr w:type="spellEnd"/>
      <w:r w:rsidRPr="009052AF">
        <w:rPr>
          <w:rFonts w:asciiTheme="majorBidi" w:hAnsiTheme="majorBidi" w:cstheme="majorBidi"/>
          <w:sz w:val="22"/>
          <w:szCs w:val="22"/>
          <w:lang w:val="en-US"/>
        </w:rPr>
        <w:t xml:space="preserve">, C., Ghosh, T., &amp; </w:t>
      </w:r>
      <w:proofErr w:type="spellStart"/>
      <w:r w:rsidRPr="009052AF">
        <w:rPr>
          <w:rFonts w:asciiTheme="majorBidi" w:hAnsiTheme="majorBidi" w:cstheme="majorBidi"/>
          <w:sz w:val="22"/>
          <w:szCs w:val="22"/>
          <w:lang w:val="en-US"/>
        </w:rPr>
        <w:t>Ziskin</w:t>
      </w:r>
      <w:proofErr w:type="spellEnd"/>
      <w:r w:rsidRPr="009052AF">
        <w:rPr>
          <w:rFonts w:asciiTheme="majorBidi" w:hAnsiTheme="majorBidi" w:cstheme="majorBidi"/>
          <w:sz w:val="22"/>
          <w:szCs w:val="22"/>
          <w:lang w:val="en-US"/>
        </w:rPr>
        <w:t xml:space="preserve">, D. (2010). Development of a 2009 stable lights product using DMSP-OLS data. </w:t>
      </w:r>
      <w:r w:rsidRPr="009052AF">
        <w:rPr>
          <w:rFonts w:asciiTheme="majorBidi" w:hAnsiTheme="majorBidi" w:cstheme="majorBidi"/>
          <w:i/>
          <w:iCs/>
          <w:sz w:val="22"/>
          <w:szCs w:val="22"/>
          <w:lang w:val="en-US"/>
        </w:rPr>
        <w:t>Proceedings Asia-Pacific Advanced Networks</w:t>
      </w:r>
      <w:r w:rsidRPr="009052AF">
        <w:rPr>
          <w:rFonts w:asciiTheme="majorBidi" w:hAnsiTheme="majorBidi" w:cstheme="majorBidi"/>
          <w:sz w:val="22"/>
          <w:szCs w:val="22"/>
          <w:lang w:val="en-US"/>
        </w:rPr>
        <w:t xml:space="preserve"> </w:t>
      </w:r>
      <w:r w:rsidRPr="009052AF">
        <w:rPr>
          <w:rFonts w:asciiTheme="majorBidi" w:hAnsiTheme="majorBidi" w:cstheme="majorBidi"/>
          <w:i/>
          <w:iCs/>
          <w:sz w:val="22"/>
          <w:szCs w:val="22"/>
          <w:lang w:val="en-US"/>
        </w:rPr>
        <w:t>30</w:t>
      </w:r>
      <w:r w:rsidRPr="009052AF">
        <w:rPr>
          <w:rFonts w:asciiTheme="majorBidi" w:hAnsiTheme="majorBidi" w:cstheme="majorBidi"/>
          <w:sz w:val="22"/>
          <w:szCs w:val="22"/>
          <w:lang w:val="en-US"/>
        </w:rPr>
        <w:t>, 114.</w:t>
      </w:r>
    </w:p>
    <w:p w:rsidR="009052AF" w:rsidRPr="009052AF" w:rsidRDefault="009052AF" w:rsidP="009052AF">
      <w:pPr>
        <w:ind w:left="720" w:hanging="720"/>
        <w:rPr>
          <w:rFonts w:asciiTheme="majorBidi" w:eastAsia="Times New Roman" w:hAnsiTheme="majorBidi" w:cstheme="majorBidi"/>
          <w:sz w:val="22"/>
          <w:szCs w:val="22"/>
          <w:lang w:val="en-US" w:bidi="he-IL"/>
        </w:rPr>
      </w:pPr>
      <w:proofErr w:type="spellStart"/>
      <w:r w:rsidRPr="009052AF">
        <w:rPr>
          <w:rFonts w:asciiTheme="majorBidi" w:eastAsia="Times New Roman" w:hAnsiTheme="majorBidi" w:cstheme="majorBidi"/>
          <w:sz w:val="22"/>
          <w:szCs w:val="22"/>
          <w:lang w:val="en-US" w:bidi="he-IL"/>
        </w:rPr>
        <w:t>Elvidge</w:t>
      </w:r>
      <w:proofErr w:type="spellEnd"/>
      <w:r w:rsidRPr="009052AF">
        <w:rPr>
          <w:rFonts w:asciiTheme="majorBidi" w:eastAsia="Times New Roman" w:hAnsiTheme="majorBidi" w:cstheme="majorBidi"/>
          <w:sz w:val="22"/>
          <w:szCs w:val="22"/>
          <w:lang w:val="en-US" w:bidi="he-IL"/>
        </w:rPr>
        <w:t xml:space="preserve">, C., </w:t>
      </w:r>
      <w:proofErr w:type="spellStart"/>
      <w:r w:rsidRPr="009052AF">
        <w:rPr>
          <w:rFonts w:asciiTheme="majorBidi" w:eastAsia="Times New Roman" w:hAnsiTheme="majorBidi" w:cstheme="majorBidi"/>
          <w:sz w:val="22"/>
          <w:szCs w:val="22"/>
          <w:lang w:val="en-US" w:bidi="he-IL"/>
        </w:rPr>
        <w:t>Zhizhin</w:t>
      </w:r>
      <w:proofErr w:type="spellEnd"/>
      <w:r w:rsidRPr="009052AF">
        <w:rPr>
          <w:rFonts w:asciiTheme="majorBidi" w:eastAsia="Times New Roman" w:hAnsiTheme="majorBidi" w:cstheme="majorBidi"/>
          <w:sz w:val="22"/>
          <w:szCs w:val="22"/>
          <w:lang w:val="en-US" w:bidi="he-IL"/>
        </w:rPr>
        <w:t xml:space="preserve">, M., Ghosh, T., Hsu, F.-C., &amp; Taneja, J. (2021). Annual time series of global VIIRS nighttime lights derived from monthly averages: 2012 to 2019. </w:t>
      </w:r>
      <w:r w:rsidRPr="009052AF">
        <w:rPr>
          <w:rFonts w:asciiTheme="majorBidi" w:eastAsia="Times New Roman" w:hAnsiTheme="majorBidi" w:cstheme="majorBidi"/>
          <w:i/>
          <w:iCs/>
          <w:sz w:val="22"/>
          <w:szCs w:val="22"/>
          <w:lang w:val="en-US" w:bidi="he-IL"/>
        </w:rPr>
        <w:t>Remote Sensing</w:t>
      </w:r>
      <w:r w:rsidRPr="009052AF">
        <w:rPr>
          <w:rFonts w:asciiTheme="majorBidi" w:eastAsia="Times New Roman" w:hAnsiTheme="majorBidi" w:cstheme="majorBidi"/>
          <w:sz w:val="22"/>
          <w:szCs w:val="22"/>
          <w:lang w:val="en-US" w:bidi="he-IL"/>
        </w:rPr>
        <w:t xml:space="preserve"> </w:t>
      </w:r>
      <w:r w:rsidRPr="009052AF">
        <w:rPr>
          <w:rFonts w:asciiTheme="majorBidi" w:eastAsia="Times New Roman" w:hAnsiTheme="majorBidi" w:cstheme="majorBidi"/>
          <w:i/>
          <w:iCs/>
          <w:sz w:val="22"/>
          <w:szCs w:val="22"/>
          <w:lang w:val="en-US" w:bidi="he-IL"/>
        </w:rPr>
        <w:t>13</w:t>
      </w:r>
      <w:r w:rsidRPr="009052AF">
        <w:rPr>
          <w:rFonts w:asciiTheme="majorBidi" w:eastAsia="Times New Roman" w:hAnsiTheme="majorBidi" w:cstheme="majorBidi"/>
          <w:sz w:val="22"/>
          <w:szCs w:val="22"/>
          <w:lang w:val="en-US" w:bidi="he-IL"/>
        </w:rPr>
        <w:t>, 922.</w:t>
      </w:r>
    </w:p>
    <w:p w:rsidR="009052AF" w:rsidRPr="009052AF" w:rsidRDefault="009052AF" w:rsidP="009052AF">
      <w:pPr>
        <w:ind w:left="720" w:hanging="720"/>
        <w:rPr>
          <w:rFonts w:asciiTheme="majorBidi" w:hAnsiTheme="majorBidi" w:cstheme="majorBidi"/>
          <w:sz w:val="22"/>
          <w:szCs w:val="22"/>
        </w:rPr>
      </w:pPr>
      <w:r w:rsidRPr="009052AF">
        <w:rPr>
          <w:rFonts w:asciiTheme="majorBidi" w:hAnsiTheme="majorBidi" w:cstheme="majorBidi"/>
          <w:sz w:val="22"/>
          <w:szCs w:val="22"/>
          <w:lang w:val="en-US"/>
        </w:rPr>
        <w:t>National Bureau of Statistics [NBS]. China Statistical Yearbook (county-</w:t>
      </w:r>
      <w:proofErr w:type="gramStart"/>
      <w:r w:rsidRPr="009052AF">
        <w:rPr>
          <w:rFonts w:asciiTheme="majorBidi" w:hAnsiTheme="majorBidi" w:cstheme="majorBidi"/>
          <w:sz w:val="22"/>
          <w:szCs w:val="22"/>
          <w:lang w:val="en-US"/>
        </w:rPr>
        <w:t>level)[</w:t>
      </w:r>
      <w:proofErr w:type="gramEnd"/>
      <w:r w:rsidRPr="009052AF">
        <w:rPr>
          <w:rFonts w:asciiTheme="majorBidi" w:hAnsiTheme="majorBidi" w:cstheme="majorBidi"/>
          <w:sz w:val="22"/>
          <w:szCs w:val="22"/>
          <w:lang w:val="en-US"/>
        </w:rPr>
        <w:t>M]. Beijing: China Statistics Press, 2001-2020.</w:t>
      </w:r>
    </w:p>
    <w:p w:rsidR="009052AF" w:rsidRPr="009052AF" w:rsidRDefault="009052AF" w:rsidP="009052AF">
      <w:pPr>
        <w:ind w:left="720" w:hanging="720"/>
        <w:rPr>
          <w:rFonts w:asciiTheme="majorBidi" w:hAnsiTheme="majorBidi" w:cstheme="majorBidi"/>
          <w:sz w:val="22"/>
          <w:szCs w:val="22"/>
        </w:rPr>
      </w:pPr>
      <w:r w:rsidRPr="009052AF">
        <w:rPr>
          <w:rFonts w:asciiTheme="majorBidi" w:hAnsiTheme="majorBidi" w:cstheme="majorBidi"/>
          <w:sz w:val="22"/>
          <w:szCs w:val="22"/>
          <w:lang w:val="en-US"/>
        </w:rPr>
        <w:t>National Bureau of Statistics [NBS]. China City Statistical Yearbook[M]. Beijing: China Statistics Press, 2001-2020.</w:t>
      </w:r>
    </w:p>
    <w:p w:rsidR="009052AF" w:rsidRPr="009052AF" w:rsidRDefault="009052AF" w:rsidP="009052AF">
      <w:pPr>
        <w:ind w:left="720" w:hanging="720"/>
        <w:rPr>
          <w:rFonts w:asciiTheme="majorBidi" w:hAnsiTheme="majorBidi" w:cstheme="majorBidi"/>
          <w:sz w:val="22"/>
          <w:szCs w:val="22"/>
          <w:lang w:val="en-US"/>
        </w:rPr>
      </w:pPr>
      <w:r w:rsidRPr="009052AF">
        <w:rPr>
          <w:rFonts w:asciiTheme="majorBidi" w:hAnsiTheme="majorBidi" w:cstheme="majorBidi"/>
          <w:sz w:val="22"/>
          <w:szCs w:val="22"/>
          <w:lang w:val="en-US"/>
        </w:rPr>
        <w:t>National Bureau of Statistics [NBS]. Beijing Statistical Yearbook[M]. Beijing: China Statistics Press, 2001-2020.</w:t>
      </w:r>
    </w:p>
    <w:p w:rsidR="009052AF" w:rsidRPr="009052AF" w:rsidRDefault="009052AF" w:rsidP="009052AF">
      <w:pPr>
        <w:ind w:left="720" w:hanging="720"/>
        <w:rPr>
          <w:rFonts w:asciiTheme="majorBidi" w:eastAsia="Times New Roman" w:hAnsiTheme="majorBidi" w:cstheme="majorBidi"/>
          <w:sz w:val="22"/>
          <w:szCs w:val="22"/>
          <w:lang w:val="en-US" w:bidi="he-IL"/>
        </w:rPr>
      </w:pPr>
      <w:r w:rsidRPr="009052AF">
        <w:rPr>
          <w:rFonts w:asciiTheme="majorBidi" w:eastAsia="Times New Roman" w:hAnsiTheme="majorBidi" w:cstheme="majorBidi"/>
          <w:sz w:val="22"/>
          <w:szCs w:val="22"/>
          <w:lang w:bidi="he-IL"/>
        </w:rPr>
        <w:t xml:space="preserve">Román, M., Wang, Z., Sun, Q., </w:t>
      </w:r>
      <w:proofErr w:type="spellStart"/>
      <w:r w:rsidRPr="009052AF">
        <w:rPr>
          <w:rFonts w:asciiTheme="majorBidi" w:eastAsia="Times New Roman" w:hAnsiTheme="majorBidi" w:cstheme="majorBidi"/>
          <w:sz w:val="22"/>
          <w:szCs w:val="22"/>
          <w:lang w:bidi="he-IL"/>
        </w:rPr>
        <w:t>Kalb</w:t>
      </w:r>
      <w:proofErr w:type="spellEnd"/>
      <w:r w:rsidRPr="009052AF">
        <w:rPr>
          <w:rFonts w:asciiTheme="majorBidi" w:eastAsia="Times New Roman" w:hAnsiTheme="majorBidi" w:cstheme="majorBidi"/>
          <w:sz w:val="22"/>
          <w:szCs w:val="22"/>
          <w:lang w:bidi="he-IL"/>
        </w:rPr>
        <w:t xml:space="preserve">, V., Miller, S., </w:t>
      </w:r>
      <w:proofErr w:type="spellStart"/>
      <w:r w:rsidRPr="009052AF">
        <w:rPr>
          <w:rFonts w:asciiTheme="majorBidi" w:eastAsia="Times New Roman" w:hAnsiTheme="majorBidi" w:cstheme="majorBidi"/>
          <w:sz w:val="22"/>
          <w:szCs w:val="22"/>
          <w:lang w:bidi="he-IL"/>
        </w:rPr>
        <w:t>Molthan</w:t>
      </w:r>
      <w:proofErr w:type="spellEnd"/>
      <w:r w:rsidRPr="009052AF">
        <w:rPr>
          <w:rFonts w:asciiTheme="majorBidi" w:eastAsia="Times New Roman" w:hAnsiTheme="majorBidi" w:cstheme="majorBidi"/>
          <w:sz w:val="22"/>
          <w:szCs w:val="22"/>
          <w:lang w:bidi="he-IL"/>
        </w:rPr>
        <w:t xml:space="preserve">, A., Schultz, L., Bell, J., Stokes, E., Pandey, B., &amp; </w:t>
      </w:r>
      <w:proofErr w:type="spellStart"/>
      <w:r w:rsidRPr="009052AF">
        <w:rPr>
          <w:rFonts w:asciiTheme="majorBidi" w:eastAsia="Times New Roman" w:hAnsiTheme="majorBidi" w:cstheme="majorBidi"/>
          <w:sz w:val="22"/>
          <w:szCs w:val="22"/>
          <w:lang w:bidi="he-IL"/>
        </w:rPr>
        <w:t>Seto</w:t>
      </w:r>
      <w:proofErr w:type="spellEnd"/>
      <w:r w:rsidRPr="009052AF">
        <w:rPr>
          <w:rFonts w:asciiTheme="majorBidi" w:eastAsia="Times New Roman" w:hAnsiTheme="majorBidi" w:cstheme="majorBidi"/>
          <w:sz w:val="22"/>
          <w:szCs w:val="22"/>
          <w:lang w:bidi="he-IL"/>
        </w:rPr>
        <w:t xml:space="preserve">, K. (2018). </w:t>
      </w:r>
      <w:r w:rsidRPr="009052AF">
        <w:rPr>
          <w:rFonts w:asciiTheme="majorBidi" w:eastAsia="Times New Roman" w:hAnsiTheme="majorBidi" w:cstheme="majorBidi"/>
          <w:sz w:val="22"/>
          <w:szCs w:val="22"/>
          <w:lang w:val="en-US" w:bidi="he-IL"/>
        </w:rPr>
        <w:t xml:space="preserve">NASA's Black Marble nighttime lights product suite. </w:t>
      </w:r>
      <w:r w:rsidRPr="009052AF">
        <w:rPr>
          <w:rFonts w:asciiTheme="majorBidi" w:eastAsia="Times New Roman" w:hAnsiTheme="majorBidi" w:cstheme="majorBidi"/>
          <w:i/>
          <w:iCs/>
          <w:sz w:val="22"/>
          <w:szCs w:val="22"/>
          <w:lang w:val="en-US" w:bidi="he-IL"/>
        </w:rPr>
        <w:t>Remote Sensing of the Environment</w:t>
      </w:r>
      <w:r w:rsidRPr="009052AF">
        <w:rPr>
          <w:rFonts w:asciiTheme="majorBidi" w:eastAsia="Times New Roman" w:hAnsiTheme="majorBidi" w:cstheme="majorBidi"/>
          <w:b/>
          <w:bCs/>
          <w:sz w:val="22"/>
          <w:szCs w:val="22"/>
          <w:lang w:val="en-US" w:bidi="he-IL"/>
        </w:rPr>
        <w:t>,</w:t>
      </w:r>
      <w:r w:rsidRPr="009052AF">
        <w:rPr>
          <w:rFonts w:asciiTheme="majorBidi" w:eastAsia="Times New Roman" w:hAnsiTheme="majorBidi" w:cstheme="majorBidi"/>
          <w:sz w:val="22"/>
          <w:szCs w:val="22"/>
          <w:lang w:val="en-US" w:bidi="he-IL"/>
        </w:rPr>
        <w:t xml:space="preserve"> </w:t>
      </w:r>
      <w:r w:rsidRPr="009052AF">
        <w:rPr>
          <w:rFonts w:asciiTheme="majorBidi" w:eastAsia="Times New Roman" w:hAnsiTheme="majorBidi" w:cstheme="majorBidi"/>
          <w:i/>
          <w:iCs/>
          <w:sz w:val="22"/>
          <w:szCs w:val="22"/>
          <w:lang w:val="en-US" w:bidi="he-IL"/>
        </w:rPr>
        <w:t>210</w:t>
      </w:r>
      <w:r w:rsidRPr="009052AF">
        <w:rPr>
          <w:rFonts w:asciiTheme="majorBidi" w:eastAsia="Times New Roman" w:hAnsiTheme="majorBidi" w:cstheme="majorBidi"/>
          <w:sz w:val="22"/>
          <w:szCs w:val="22"/>
          <w:lang w:val="en-US" w:bidi="he-IL"/>
        </w:rPr>
        <w:t>, 113-43.</w:t>
      </w:r>
    </w:p>
    <w:p w:rsidR="009052AF" w:rsidRPr="00166BD9" w:rsidRDefault="009052AF" w:rsidP="009052AF">
      <w:pPr>
        <w:rPr>
          <w:rFonts w:asciiTheme="majorBidi" w:hAnsiTheme="majorBidi" w:cstheme="majorBidi"/>
        </w:rPr>
      </w:pPr>
    </w:p>
    <w:p w:rsidR="009052AF" w:rsidRPr="0086619F" w:rsidRDefault="009052AF" w:rsidP="009052AF">
      <w:pPr>
        <w:spacing w:after="0" w:line="240" w:lineRule="auto"/>
        <w:rPr>
          <w:rFonts w:eastAsia="Times New Roman"/>
          <w:bCs/>
          <w:sz w:val="2"/>
          <w:szCs w:val="2"/>
        </w:rPr>
      </w:pPr>
    </w:p>
    <w:p w:rsidR="009052AF" w:rsidRDefault="009052AF" w:rsidP="009A15CD">
      <w:pPr>
        <w:spacing w:after="80" w:line="276" w:lineRule="auto"/>
        <w:ind w:left="720" w:hanging="720"/>
        <w:rPr>
          <w:rFonts w:eastAsia="Times New Roman" w:cs="Arial"/>
          <w:lang w:bidi="he-IL"/>
        </w:rPr>
      </w:pPr>
    </w:p>
    <w:sectPr w:rsidR="009052AF" w:rsidSect="00E0243C">
      <w:footerReference w:type="defaul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9C8" w:rsidRDefault="00DA69C8" w:rsidP="00A97771">
      <w:pPr>
        <w:spacing w:after="0" w:line="240" w:lineRule="auto"/>
      </w:pPr>
      <w:r>
        <w:separator/>
      </w:r>
    </w:p>
  </w:endnote>
  <w:endnote w:type="continuationSeparator" w:id="0">
    <w:p w:rsidR="00DA69C8" w:rsidRDefault="00DA69C8" w:rsidP="00A9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171763"/>
      <w:docPartObj>
        <w:docPartGallery w:val="Page Numbers (Bottom of Page)"/>
        <w:docPartUnique/>
      </w:docPartObj>
    </w:sdtPr>
    <w:sdtEndPr>
      <w:rPr>
        <w:noProof/>
      </w:rPr>
    </w:sdtEndPr>
    <w:sdtContent>
      <w:p w:rsidR="00C23239" w:rsidRDefault="00C23239" w:rsidP="00FE2861">
        <w:pPr>
          <w:pStyle w:val="Footer"/>
          <w:jc w:val="center"/>
        </w:pPr>
        <w:r>
          <w:fldChar w:fldCharType="begin"/>
        </w:r>
        <w:r>
          <w:instrText xml:space="preserve"> PAGE   \* MERGEFORMAT </w:instrText>
        </w:r>
        <w:r>
          <w:fldChar w:fldCharType="separate"/>
        </w:r>
        <w:r w:rsidR="00C8254D">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726017"/>
      <w:docPartObj>
        <w:docPartGallery w:val="Page Numbers (Bottom of Page)"/>
        <w:docPartUnique/>
      </w:docPartObj>
    </w:sdtPr>
    <w:sdtEndPr>
      <w:rPr>
        <w:noProof/>
      </w:rPr>
    </w:sdtEndPr>
    <w:sdtContent>
      <w:p w:rsidR="00C23239" w:rsidRDefault="00C23239">
        <w:pPr>
          <w:pStyle w:val="Footer"/>
          <w:jc w:val="center"/>
        </w:pPr>
        <w:r>
          <w:fldChar w:fldCharType="begin"/>
        </w:r>
        <w:r>
          <w:instrText xml:space="preserve"> PAGE   \* MERGEFORMAT </w:instrText>
        </w:r>
        <w:r>
          <w:fldChar w:fldCharType="separate"/>
        </w:r>
        <w:r w:rsidR="00F209F5">
          <w:rPr>
            <w:noProof/>
          </w:rPr>
          <w:t>1</w:t>
        </w:r>
        <w:r>
          <w:rPr>
            <w:noProof/>
          </w:rPr>
          <w:fldChar w:fldCharType="end"/>
        </w:r>
      </w:p>
    </w:sdtContent>
  </w:sdt>
  <w:p w:rsidR="00C23239" w:rsidRDefault="00C23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9C8" w:rsidRDefault="00DA69C8" w:rsidP="00A97771">
      <w:pPr>
        <w:spacing w:after="0" w:line="240" w:lineRule="auto"/>
      </w:pPr>
      <w:r>
        <w:separator/>
      </w:r>
    </w:p>
  </w:footnote>
  <w:footnote w:type="continuationSeparator" w:id="0">
    <w:p w:rsidR="00DA69C8" w:rsidRDefault="00DA69C8" w:rsidP="00A97771">
      <w:pPr>
        <w:spacing w:after="0" w:line="240" w:lineRule="auto"/>
      </w:pPr>
      <w:r>
        <w:continuationSeparator/>
      </w:r>
    </w:p>
  </w:footnote>
  <w:footnote w:id="1">
    <w:p w:rsidR="009F6B87" w:rsidRDefault="009F6B87" w:rsidP="009F6B87">
      <w:pPr>
        <w:pStyle w:val="FootnoteText"/>
      </w:pPr>
      <w:r>
        <w:rPr>
          <w:rStyle w:val="FootnoteReference"/>
        </w:rPr>
        <w:footnoteRef/>
      </w:r>
      <w:r>
        <w:t xml:space="preserve"> In comparison, survey-based approaches may be incompatible over time and space, with measured inequality varying with survey welfare indicators (</w:t>
      </w:r>
      <w:r w:rsidRPr="00D73CC9">
        <w:rPr>
          <w:rFonts w:eastAsia="Times New Roman" w:cs="Arial"/>
          <w:lang w:bidi="he-IL"/>
        </w:rPr>
        <w:t>Dei</w:t>
      </w:r>
      <w:r>
        <w:rPr>
          <w:rFonts w:eastAsia="Times New Roman" w:cs="Arial"/>
          <w:lang w:bidi="he-IL"/>
        </w:rPr>
        <w:t>ninger</w:t>
      </w:r>
      <w:r>
        <w:t xml:space="preserve"> and Squire, 1996) and reference periods (Gibson et al, 2003). Surveys are also expensive, at up to U</w:t>
      </w:r>
      <w:r w:rsidRPr="001660D6">
        <w:t>S$4000</w:t>
      </w:r>
      <w:r>
        <w:t xml:space="preserve"> per household, are fielded infrequently, and can be slow to release data (Sharp et al, 2022). Moreover, samples are often just large enough for results to be representative at the first sub-national level (e.g. provinces); survey-to-census imputation (e.g. </w:t>
      </w:r>
      <w:proofErr w:type="spellStart"/>
      <w:r>
        <w:t>Elbers</w:t>
      </w:r>
      <w:proofErr w:type="spellEnd"/>
      <w:r>
        <w:t xml:space="preserve"> et al, 2003) lets inequality estimates be formed at lower levels (e.g. counties) but limits temporal coverage because of census infrequency. The other traditional source of data for estimating spatial inequality is national and regional accounts data. Wide variation in statistical capacity and data availability impose limits on the usefulness of these data (Henderson et al, 2012). </w:t>
      </w:r>
    </w:p>
  </w:footnote>
  <w:footnote w:id="2">
    <w:p w:rsidR="009F6B87" w:rsidRDefault="009F6B87" w:rsidP="009F6B87">
      <w:pPr>
        <w:pStyle w:val="FootnoteText"/>
      </w:pPr>
      <w:r>
        <w:rPr>
          <w:rStyle w:val="FootnoteReference"/>
        </w:rPr>
        <w:footnoteRef/>
      </w:r>
      <w:r>
        <w:t xml:space="preserve"> </w:t>
      </w:r>
      <w:r>
        <w:rPr>
          <w:bCs/>
          <w:lang w:val="en-AU"/>
        </w:rPr>
        <w:t>To provide intuition for this effect, if a flashlight shines directly down onto the ground it illuminates a circle but if it shines on a spot on the ground somewhere ahead it illuminates an ellipse that is far larger than the circle.</w:t>
      </w:r>
    </w:p>
  </w:footnote>
  <w:footnote w:id="3">
    <w:p w:rsidR="009F6B87" w:rsidRDefault="009F6B87" w:rsidP="009F6B87">
      <w:pPr>
        <w:pStyle w:val="FootnoteText"/>
      </w:pPr>
      <w:r>
        <w:rPr>
          <w:rStyle w:val="FootnoteReference"/>
        </w:rPr>
        <w:footnoteRef/>
      </w:r>
      <w:r>
        <w:t xml:space="preserve"> Technical details on these two data sources, which both rely on the Suomi/NPP satellite but process the data in different ways, can be found in </w:t>
      </w:r>
      <w:proofErr w:type="spellStart"/>
      <w:r>
        <w:t>Elvidge</w:t>
      </w:r>
      <w:proofErr w:type="spellEnd"/>
      <w:r>
        <w:t xml:space="preserve"> et al (2021) and </w:t>
      </w:r>
      <w:r>
        <w:rPr>
          <w:rFonts w:asciiTheme="majorBidi" w:hAnsiTheme="majorBidi" w:cstheme="majorBidi"/>
          <w:shd w:val="clear" w:color="auto" w:fill="FFFFFF"/>
        </w:rPr>
        <w:t>Román et al (2018).</w:t>
      </w:r>
    </w:p>
  </w:footnote>
  <w:footnote w:id="4">
    <w:p w:rsidR="009F6B87" w:rsidRDefault="009F6B87" w:rsidP="00600A73">
      <w:pPr>
        <w:pStyle w:val="FootnoteText"/>
      </w:pPr>
      <w:r>
        <w:rPr>
          <w:rStyle w:val="FootnoteReference"/>
        </w:rPr>
        <w:footnoteRef/>
      </w:r>
      <w:r>
        <w:t xml:space="preserve"> In support of the assumption that VNL or BM data provide truer values, </w:t>
      </w:r>
      <w:proofErr w:type="spellStart"/>
      <w:r>
        <w:t>Vuong</w:t>
      </w:r>
      <w:proofErr w:type="spellEnd"/>
      <w:r>
        <w:t xml:space="preserve"> (1989) non-nested tests based on the </w:t>
      </w:r>
      <w:proofErr w:type="spellStart"/>
      <w:r>
        <w:t>Kullback-Liebler</w:t>
      </w:r>
      <w:proofErr w:type="spellEnd"/>
      <w:r>
        <w:t xml:space="preserve"> information criterion show that models using VNL or BM data provide results that are closer to the truth than are models using DMSP data (Gibson, 2021; Zhang and Gibson, 2022). </w:t>
      </w:r>
    </w:p>
  </w:footnote>
  <w:footnote w:id="5">
    <w:p w:rsidR="001749D7" w:rsidRDefault="001749D7" w:rsidP="001749D7">
      <w:pPr>
        <w:pStyle w:val="FootnoteText"/>
      </w:pPr>
      <w:r>
        <w:rPr>
          <w:rStyle w:val="FootnoteReference"/>
        </w:rPr>
        <w:footnoteRef/>
      </w:r>
      <w:r>
        <w:t xml:space="preserve"> Bluhm and Krause (2022) released Pareto-adjusted DMSP data for 1992-2013 for all pixels worldwide which are meant to deal with top-coding (under the assumption that the true luminosity from the top-coded pixels follows a Pareto distribution). Those corrected data were available since the release of their first working paper in 2018. Likewise, a MATLAB script for the Abrahams et al deblurring approach was available since 2015.</w:t>
      </w:r>
    </w:p>
  </w:footnote>
  <w:footnote w:id="6">
    <w:p w:rsidR="001749D7" w:rsidRDefault="001749D7" w:rsidP="001749D7">
      <w:pPr>
        <w:pStyle w:val="FootnoteText"/>
      </w:pPr>
      <w:r>
        <w:rPr>
          <w:rStyle w:val="FootnoteReference"/>
        </w:rPr>
        <w:footnoteRef/>
      </w:r>
      <w:r>
        <w:t xml:space="preserve"> An extended set of DMSP annual composites carrying on past 2013 has been provided by Ghosh et al (2021) but these data do not appear to have been used by any of the inequality studies. Unlike the original DMSP data provided from 1992-2013, which were based on early evening observations, the extended series uses pre-dawn readings and so the composition of lights is likely to be different and this may affect apparent inequality.</w:t>
      </w:r>
    </w:p>
  </w:footnote>
  <w:footnote w:id="7">
    <w:p w:rsidR="001749D7" w:rsidRDefault="001749D7" w:rsidP="001749D7">
      <w:pPr>
        <w:pStyle w:val="FootnoteText"/>
      </w:pPr>
      <w:r>
        <w:rPr>
          <w:rStyle w:val="FootnoteReference"/>
        </w:rPr>
        <w:footnoteRef/>
      </w:r>
      <w:r>
        <w:t xml:space="preserve"> We do not show the inequality estimates from BM data in Figure 2, in order to avoid clutter, but these are very similar to the inequality estimates from the VNL data, and quite distinct to those from the DMSP data.</w:t>
      </w:r>
    </w:p>
  </w:footnote>
  <w:footnote w:id="8">
    <w:p w:rsidR="00D931F6" w:rsidRDefault="00D931F6" w:rsidP="00D931F6">
      <w:pPr>
        <w:pStyle w:val="FootnoteText"/>
      </w:pPr>
      <w:r>
        <w:rPr>
          <w:rStyle w:val="FootnoteReference"/>
        </w:rPr>
        <w:footnoteRef/>
      </w:r>
      <w:r>
        <w:t xml:space="preserve"> Remot</w:t>
      </w:r>
      <w:r w:rsidR="00F209F5">
        <w:t>e sensing researchers often use</w:t>
      </w:r>
      <w:r>
        <w:t xml:space="preserve"> ‘inter-calibrated’ DMSP data but economists ignore these data in favour of using year fixed effects (Gibson et al, 2020). The inter-calibration uses a regression to line-up the results from the various satellites. This just alters the first </w:t>
      </w:r>
      <w:r w:rsidR="00C8254D">
        <w:t>moment of the distribution so has</w:t>
      </w:r>
      <w:r>
        <w:t xml:space="preserve"> no effect on inequality estimates. </w:t>
      </w:r>
    </w:p>
  </w:footnote>
  <w:footnote w:id="9">
    <w:p w:rsidR="001749D7" w:rsidRPr="0013344A" w:rsidRDefault="001749D7" w:rsidP="001749D7">
      <w:pPr>
        <w:pStyle w:val="FootnoteText"/>
      </w:pPr>
      <w:r>
        <w:rPr>
          <w:rStyle w:val="FootnoteReference"/>
        </w:rPr>
        <w:footnoteRef/>
      </w:r>
      <w:r>
        <w:t xml:space="preserve"> The United States also showed this pattern although it is less visually apparent in Figure 2. With DMSP data the Gini coefficient was declining at a trend annual rate of -0.2% and the Theil index at -0.4% (with both trends statistically significant at </w:t>
      </w:r>
      <w:r>
        <w:rPr>
          <w:i/>
          <w:iCs/>
        </w:rPr>
        <w:t>p</w:t>
      </w:r>
      <w:r>
        <w:t xml:space="preserve">&lt;0.05) over the 2001-13 period. These declines were both statistically significantly faster (at the </w:t>
      </w:r>
      <w:r>
        <w:rPr>
          <w:i/>
          <w:iCs/>
        </w:rPr>
        <w:t>p</w:t>
      </w:r>
      <w:r>
        <w:t>&lt;0.04 level) than the trends in the GDP-based inequality measures. Running the same test for differences in time trends with the VNL-based inequality measures from 2012-19 showed no difference in the VNL-based trend compared with what the GDP-based inequality measures showed over that period.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46F1A"/>
    <w:multiLevelType w:val="hybridMultilevel"/>
    <w:tmpl w:val="67E2E9C6"/>
    <w:lvl w:ilvl="0" w:tplc="FBBC02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B8B"/>
    <w:rsid w:val="00001B7E"/>
    <w:rsid w:val="00002279"/>
    <w:rsid w:val="00004403"/>
    <w:rsid w:val="00004567"/>
    <w:rsid w:val="000053DA"/>
    <w:rsid w:val="000065F2"/>
    <w:rsid w:val="00007462"/>
    <w:rsid w:val="00007A41"/>
    <w:rsid w:val="00010C53"/>
    <w:rsid w:val="00012246"/>
    <w:rsid w:val="00013328"/>
    <w:rsid w:val="0001424F"/>
    <w:rsid w:val="0001456C"/>
    <w:rsid w:val="000150BC"/>
    <w:rsid w:val="00016A72"/>
    <w:rsid w:val="000200EC"/>
    <w:rsid w:val="00020BEC"/>
    <w:rsid w:val="00023C81"/>
    <w:rsid w:val="00023ED8"/>
    <w:rsid w:val="0002469C"/>
    <w:rsid w:val="0002493E"/>
    <w:rsid w:val="00025317"/>
    <w:rsid w:val="00026615"/>
    <w:rsid w:val="000271F1"/>
    <w:rsid w:val="00027ABC"/>
    <w:rsid w:val="00027AC8"/>
    <w:rsid w:val="000302A6"/>
    <w:rsid w:val="000304BD"/>
    <w:rsid w:val="00031CE0"/>
    <w:rsid w:val="00031EE7"/>
    <w:rsid w:val="00032873"/>
    <w:rsid w:val="00032B6E"/>
    <w:rsid w:val="00032F1D"/>
    <w:rsid w:val="000359F4"/>
    <w:rsid w:val="00036F59"/>
    <w:rsid w:val="00041814"/>
    <w:rsid w:val="00041C56"/>
    <w:rsid w:val="000429B6"/>
    <w:rsid w:val="000430B4"/>
    <w:rsid w:val="00044576"/>
    <w:rsid w:val="0004457F"/>
    <w:rsid w:val="00044689"/>
    <w:rsid w:val="00045373"/>
    <w:rsid w:val="00047C60"/>
    <w:rsid w:val="0005182B"/>
    <w:rsid w:val="00051CFA"/>
    <w:rsid w:val="00052401"/>
    <w:rsid w:val="00052767"/>
    <w:rsid w:val="00055721"/>
    <w:rsid w:val="00056FE0"/>
    <w:rsid w:val="00057774"/>
    <w:rsid w:val="000663C4"/>
    <w:rsid w:val="00066616"/>
    <w:rsid w:val="00066A91"/>
    <w:rsid w:val="00066F0C"/>
    <w:rsid w:val="000679C1"/>
    <w:rsid w:val="00070934"/>
    <w:rsid w:val="00070E29"/>
    <w:rsid w:val="00071E99"/>
    <w:rsid w:val="000728C5"/>
    <w:rsid w:val="00072F37"/>
    <w:rsid w:val="00074ECB"/>
    <w:rsid w:val="00075759"/>
    <w:rsid w:val="00075D6D"/>
    <w:rsid w:val="000766F8"/>
    <w:rsid w:val="00080066"/>
    <w:rsid w:val="00080123"/>
    <w:rsid w:val="0008015C"/>
    <w:rsid w:val="00081B74"/>
    <w:rsid w:val="0008292B"/>
    <w:rsid w:val="0008350E"/>
    <w:rsid w:val="000841D6"/>
    <w:rsid w:val="00084D97"/>
    <w:rsid w:val="000851F0"/>
    <w:rsid w:val="000875B9"/>
    <w:rsid w:val="00087C02"/>
    <w:rsid w:val="000900CE"/>
    <w:rsid w:val="00091BAC"/>
    <w:rsid w:val="00092079"/>
    <w:rsid w:val="000A3580"/>
    <w:rsid w:val="000A3B13"/>
    <w:rsid w:val="000A3E9C"/>
    <w:rsid w:val="000A4237"/>
    <w:rsid w:val="000A5474"/>
    <w:rsid w:val="000A6977"/>
    <w:rsid w:val="000A75AB"/>
    <w:rsid w:val="000A7729"/>
    <w:rsid w:val="000B11EE"/>
    <w:rsid w:val="000B26C3"/>
    <w:rsid w:val="000B384A"/>
    <w:rsid w:val="000B69D0"/>
    <w:rsid w:val="000B78E9"/>
    <w:rsid w:val="000B7C0F"/>
    <w:rsid w:val="000C0044"/>
    <w:rsid w:val="000C0821"/>
    <w:rsid w:val="000C096F"/>
    <w:rsid w:val="000C0A63"/>
    <w:rsid w:val="000C1545"/>
    <w:rsid w:val="000C1DA7"/>
    <w:rsid w:val="000C21D9"/>
    <w:rsid w:val="000C2308"/>
    <w:rsid w:val="000C2DBE"/>
    <w:rsid w:val="000C368B"/>
    <w:rsid w:val="000C572C"/>
    <w:rsid w:val="000C5757"/>
    <w:rsid w:val="000C63F5"/>
    <w:rsid w:val="000C6826"/>
    <w:rsid w:val="000C6960"/>
    <w:rsid w:val="000C6F48"/>
    <w:rsid w:val="000D158E"/>
    <w:rsid w:val="000D4B3C"/>
    <w:rsid w:val="000D5669"/>
    <w:rsid w:val="000D727D"/>
    <w:rsid w:val="000D79D7"/>
    <w:rsid w:val="000E0071"/>
    <w:rsid w:val="000E00AD"/>
    <w:rsid w:val="000E1BF8"/>
    <w:rsid w:val="000E4023"/>
    <w:rsid w:val="000E4879"/>
    <w:rsid w:val="000E4A01"/>
    <w:rsid w:val="000E5AC1"/>
    <w:rsid w:val="000E5ACF"/>
    <w:rsid w:val="000E6DC9"/>
    <w:rsid w:val="000E752E"/>
    <w:rsid w:val="000E75E5"/>
    <w:rsid w:val="000E7A10"/>
    <w:rsid w:val="000E7DE0"/>
    <w:rsid w:val="000F0020"/>
    <w:rsid w:val="000F06D5"/>
    <w:rsid w:val="000F0817"/>
    <w:rsid w:val="000F0884"/>
    <w:rsid w:val="000F0F9C"/>
    <w:rsid w:val="000F170D"/>
    <w:rsid w:val="000F180D"/>
    <w:rsid w:val="000F1892"/>
    <w:rsid w:val="000F199B"/>
    <w:rsid w:val="000F3FBA"/>
    <w:rsid w:val="000F5A73"/>
    <w:rsid w:val="000F5EB6"/>
    <w:rsid w:val="000F622A"/>
    <w:rsid w:val="000F63D2"/>
    <w:rsid w:val="00100D22"/>
    <w:rsid w:val="00101073"/>
    <w:rsid w:val="0010124A"/>
    <w:rsid w:val="00101C23"/>
    <w:rsid w:val="00102929"/>
    <w:rsid w:val="00104533"/>
    <w:rsid w:val="001046FC"/>
    <w:rsid w:val="001106A9"/>
    <w:rsid w:val="00110C8B"/>
    <w:rsid w:val="00112AC7"/>
    <w:rsid w:val="00114D29"/>
    <w:rsid w:val="001151B0"/>
    <w:rsid w:val="001224B2"/>
    <w:rsid w:val="00123084"/>
    <w:rsid w:val="00124D49"/>
    <w:rsid w:val="001250FD"/>
    <w:rsid w:val="00126BFD"/>
    <w:rsid w:val="00126FD2"/>
    <w:rsid w:val="00133C61"/>
    <w:rsid w:val="001340E6"/>
    <w:rsid w:val="00134337"/>
    <w:rsid w:val="00134537"/>
    <w:rsid w:val="001347AC"/>
    <w:rsid w:val="001358D4"/>
    <w:rsid w:val="00137DC8"/>
    <w:rsid w:val="00144B68"/>
    <w:rsid w:val="00144D60"/>
    <w:rsid w:val="001514FA"/>
    <w:rsid w:val="00151C20"/>
    <w:rsid w:val="001521B9"/>
    <w:rsid w:val="00152B75"/>
    <w:rsid w:val="00153566"/>
    <w:rsid w:val="001547C0"/>
    <w:rsid w:val="001548D2"/>
    <w:rsid w:val="00156B76"/>
    <w:rsid w:val="00161EE3"/>
    <w:rsid w:val="001629B2"/>
    <w:rsid w:val="00163B89"/>
    <w:rsid w:val="001653E3"/>
    <w:rsid w:val="00170A57"/>
    <w:rsid w:val="00171B42"/>
    <w:rsid w:val="00171CB6"/>
    <w:rsid w:val="001745CF"/>
    <w:rsid w:val="001749D7"/>
    <w:rsid w:val="00176C50"/>
    <w:rsid w:val="0018220C"/>
    <w:rsid w:val="00182DF0"/>
    <w:rsid w:val="0018427F"/>
    <w:rsid w:val="00184897"/>
    <w:rsid w:val="00184EBC"/>
    <w:rsid w:val="001862F5"/>
    <w:rsid w:val="0018663B"/>
    <w:rsid w:val="001879DA"/>
    <w:rsid w:val="0019091C"/>
    <w:rsid w:val="00191F05"/>
    <w:rsid w:val="001936B0"/>
    <w:rsid w:val="00194405"/>
    <w:rsid w:val="00194DE6"/>
    <w:rsid w:val="001953B5"/>
    <w:rsid w:val="00196DEE"/>
    <w:rsid w:val="0019712A"/>
    <w:rsid w:val="00197D19"/>
    <w:rsid w:val="001A1111"/>
    <w:rsid w:val="001A1AE4"/>
    <w:rsid w:val="001A1E83"/>
    <w:rsid w:val="001A330D"/>
    <w:rsid w:val="001A3F51"/>
    <w:rsid w:val="001A6B9B"/>
    <w:rsid w:val="001A7193"/>
    <w:rsid w:val="001B0B56"/>
    <w:rsid w:val="001B0EFF"/>
    <w:rsid w:val="001B307F"/>
    <w:rsid w:val="001B33D1"/>
    <w:rsid w:val="001B4E73"/>
    <w:rsid w:val="001B5F59"/>
    <w:rsid w:val="001C1F4D"/>
    <w:rsid w:val="001C3FE8"/>
    <w:rsid w:val="001C7364"/>
    <w:rsid w:val="001D52FC"/>
    <w:rsid w:val="001D68E2"/>
    <w:rsid w:val="001D6BC7"/>
    <w:rsid w:val="001E0F73"/>
    <w:rsid w:val="001E1D87"/>
    <w:rsid w:val="001E2802"/>
    <w:rsid w:val="001E7415"/>
    <w:rsid w:val="001E7B15"/>
    <w:rsid w:val="001E7DBB"/>
    <w:rsid w:val="001F0D09"/>
    <w:rsid w:val="001F6018"/>
    <w:rsid w:val="001F64DA"/>
    <w:rsid w:val="001F75DB"/>
    <w:rsid w:val="001F76DE"/>
    <w:rsid w:val="0020283B"/>
    <w:rsid w:val="00202E7E"/>
    <w:rsid w:val="00206140"/>
    <w:rsid w:val="002113A9"/>
    <w:rsid w:val="00213A18"/>
    <w:rsid w:val="00213C1D"/>
    <w:rsid w:val="00213D13"/>
    <w:rsid w:val="00214622"/>
    <w:rsid w:val="00214726"/>
    <w:rsid w:val="002147F0"/>
    <w:rsid w:val="00214A7D"/>
    <w:rsid w:val="00214C92"/>
    <w:rsid w:val="00214D94"/>
    <w:rsid w:val="0021726B"/>
    <w:rsid w:val="00217731"/>
    <w:rsid w:val="00220548"/>
    <w:rsid w:val="00221253"/>
    <w:rsid w:val="002227FE"/>
    <w:rsid w:val="002235D3"/>
    <w:rsid w:val="0022401B"/>
    <w:rsid w:val="002240A8"/>
    <w:rsid w:val="00224732"/>
    <w:rsid w:val="00225D79"/>
    <w:rsid w:val="00227BD1"/>
    <w:rsid w:val="00227D7A"/>
    <w:rsid w:val="0023069C"/>
    <w:rsid w:val="002319E5"/>
    <w:rsid w:val="00233546"/>
    <w:rsid w:val="00235687"/>
    <w:rsid w:val="00235A3B"/>
    <w:rsid w:val="002428BD"/>
    <w:rsid w:val="00242CDB"/>
    <w:rsid w:val="00243BE9"/>
    <w:rsid w:val="00244069"/>
    <w:rsid w:val="00244F1A"/>
    <w:rsid w:val="002466E8"/>
    <w:rsid w:val="00250584"/>
    <w:rsid w:val="00250D8F"/>
    <w:rsid w:val="00251D61"/>
    <w:rsid w:val="002520F7"/>
    <w:rsid w:val="002524F6"/>
    <w:rsid w:val="00254DE6"/>
    <w:rsid w:val="0025570B"/>
    <w:rsid w:val="00260C95"/>
    <w:rsid w:val="002619E2"/>
    <w:rsid w:val="00261AB7"/>
    <w:rsid w:val="00267618"/>
    <w:rsid w:val="00271BB7"/>
    <w:rsid w:val="00274481"/>
    <w:rsid w:val="00274AE9"/>
    <w:rsid w:val="00275508"/>
    <w:rsid w:val="00275D16"/>
    <w:rsid w:val="0028356F"/>
    <w:rsid w:val="00284373"/>
    <w:rsid w:val="002858B5"/>
    <w:rsid w:val="00287E18"/>
    <w:rsid w:val="002903EF"/>
    <w:rsid w:val="00291A78"/>
    <w:rsid w:val="00291F25"/>
    <w:rsid w:val="002920BD"/>
    <w:rsid w:val="0029226C"/>
    <w:rsid w:val="002936EA"/>
    <w:rsid w:val="00293F73"/>
    <w:rsid w:val="00294D67"/>
    <w:rsid w:val="00296C04"/>
    <w:rsid w:val="00296F29"/>
    <w:rsid w:val="00297677"/>
    <w:rsid w:val="002A1F76"/>
    <w:rsid w:val="002A21F3"/>
    <w:rsid w:val="002A2603"/>
    <w:rsid w:val="002A30C8"/>
    <w:rsid w:val="002A423A"/>
    <w:rsid w:val="002A5E2D"/>
    <w:rsid w:val="002A6915"/>
    <w:rsid w:val="002A6B07"/>
    <w:rsid w:val="002B06A5"/>
    <w:rsid w:val="002B1F34"/>
    <w:rsid w:val="002B3897"/>
    <w:rsid w:val="002B71DC"/>
    <w:rsid w:val="002B7418"/>
    <w:rsid w:val="002C0CBB"/>
    <w:rsid w:val="002C127F"/>
    <w:rsid w:val="002C1C8A"/>
    <w:rsid w:val="002C1FBF"/>
    <w:rsid w:val="002C2413"/>
    <w:rsid w:val="002C25F9"/>
    <w:rsid w:val="002C3EE7"/>
    <w:rsid w:val="002C44AA"/>
    <w:rsid w:val="002C5554"/>
    <w:rsid w:val="002C5B8B"/>
    <w:rsid w:val="002C6994"/>
    <w:rsid w:val="002C74C4"/>
    <w:rsid w:val="002D0466"/>
    <w:rsid w:val="002D05F2"/>
    <w:rsid w:val="002D2D8E"/>
    <w:rsid w:val="002D3117"/>
    <w:rsid w:val="002D31C8"/>
    <w:rsid w:val="002D50DC"/>
    <w:rsid w:val="002D59F7"/>
    <w:rsid w:val="002D6353"/>
    <w:rsid w:val="002E09AF"/>
    <w:rsid w:val="002E115F"/>
    <w:rsid w:val="002E13C3"/>
    <w:rsid w:val="002E25B7"/>
    <w:rsid w:val="002E3247"/>
    <w:rsid w:val="002E3741"/>
    <w:rsid w:val="002E62D9"/>
    <w:rsid w:val="002E6937"/>
    <w:rsid w:val="002F0C3F"/>
    <w:rsid w:val="002F1C9E"/>
    <w:rsid w:val="002F23D5"/>
    <w:rsid w:val="002F35F1"/>
    <w:rsid w:val="002F5BBC"/>
    <w:rsid w:val="002F6CD4"/>
    <w:rsid w:val="0030131B"/>
    <w:rsid w:val="003015B5"/>
    <w:rsid w:val="00301C42"/>
    <w:rsid w:val="00303F15"/>
    <w:rsid w:val="00304E9C"/>
    <w:rsid w:val="00305809"/>
    <w:rsid w:val="00307CB8"/>
    <w:rsid w:val="00310A4D"/>
    <w:rsid w:val="003115C3"/>
    <w:rsid w:val="00312C8D"/>
    <w:rsid w:val="003176A2"/>
    <w:rsid w:val="003215DC"/>
    <w:rsid w:val="003220E4"/>
    <w:rsid w:val="003226F2"/>
    <w:rsid w:val="00322983"/>
    <w:rsid w:val="00323192"/>
    <w:rsid w:val="0032325D"/>
    <w:rsid w:val="0032581D"/>
    <w:rsid w:val="0032699D"/>
    <w:rsid w:val="00326CF7"/>
    <w:rsid w:val="003270BE"/>
    <w:rsid w:val="00327A5A"/>
    <w:rsid w:val="0033098D"/>
    <w:rsid w:val="0033209F"/>
    <w:rsid w:val="0033214C"/>
    <w:rsid w:val="00332AAD"/>
    <w:rsid w:val="0033540C"/>
    <w:rsid w:val="00336CA2"/>
    <w:rsid w:val="0034053E"/>
    <w:rsid w:val="003416E7"/>
    <w:rsid w:val="00342A26"/>
    <w:rsid w:val="00342E38"/>
    <w:rsid w:val="003461E2"/>
    <w:rsid w:val="003466ED"/>
    <w:rsid w:val="00346E44"/>
    <w:rsid w:val="00351228"/>
    <w:rsid w:val="00351695"/>
    <w:rsid w:val="00352283"/>
    <w:rsid w:val="00357070"/>
    <w:rsid w:val="003575FD"/>
    <w:rsid w:val="0035782B"/>
    <w:rsid w:val="00360994"/>
    <w:rsid w:val="003639E3"/>
    <w:rsid w:val="0036420A"/>
    <w:rsid w:val="0036596F"/>
    <w:rsid w:val="00366CD6"/>
    <w:rsid w:val="00367361"/>
    <w:rsid w:val="003705EA"/>
    <w:rsid w:val="00371247"/>
    <w:rsid w:val="00372189"/>
    <w:rsid w:val="0037219C"/>
    <w:rsid w:val="0037345B"/>
    <w:rsid w:val="0037378E"/>
    <w:rsid w:val="00373DC9"/>
    <w:rsid w:val="00374734"/>
    <w:rsid w:val="00374ADC"/>
    <w:rsid w:val="00377520"/>
    <w:rsid w:val="00377714"/>
    <w:rsid w:val="003802F8"/>
    <w:rsid w:val="003815C0"/>
    <w:rsid w:val="00381D95"/>
    <w:rsid w:val="003832DF"/>
    <w:rsid w:val="00385A0E"/>
    <w:rsid w:val="00385E02"/>
    <w:rsid w:val="00386B5A"/>
    <w:rsid w:val="00386EE0"/>
    <w:rsid w:val="00387156"/>
    <w:rsid w:val="00387464"/>
    <w:rsid w:val="0038767B"/>
    <w:rsid w:val="0039140B"/>
    <w:rsid w:val="00391E8D"/>
    <w:rsid w:val="0039259D"/>
    <w:rsid w:val="00392A11"/>
    <w:rsid w:val="003965A5"/>
    <w:rsid w:val="003965EC"/>
    <w:rsid w:val="003967E9"/>
    <w:rsid w:val="003A0386"/>
    <w:rsid w:val="003A1456"/>
    <w:rsid w:val="003A36C0"/>
    <w:rsid w:val="003A496E"/>
    <w:rsid w:val="003A56CD"/>
    <w:rsid w:val="003A75AA"/>
    <w:rsid w:val="003A75AB"/>
    <w:rsid w:val="003A7F49"/>
    <w:rsid w:val="003B03BA"/>
    <w:rsid w:val="003B042D"/>
    <w:rsid w:val="003B0607"/>
    <w:rsid w:val="003B0C66"/>
    <w:rsid w:val="003B1580"/>
    <w:rsid w:val="003B427C"/>
    <w:rsid w:val="003B4381"/>
    <w:rsid w:val="003B4D8E"/>
    <w:rsid w:val="003B5740"/>
    <w:rsid w:val="003B64A6"/>
    <w:rsid w:val="003B7672"/>
    <w:rsid w:val="003B7A69"/>
    <w:rsid w:val="003C2496"/>
    <w:rsid w:val="003C24DF"/>
    <w:rsid w:val="003C5D9F"/>
    <w:rsid w:val="003C60B8"/>
    <w:rsid w:val="003C617A"/>
    <w:rsid w:val="003C6226"/>
    <w:rsid w:val="003C66B6"/>
    <w:rsid w:val="003C7709"/>
    <w:rsid w:val="003D043B"/>
    <w:rsid w:val="003D2AA7"/>
    <w:rsid w:val="003D33C9"/>
    <w:rsid w:val="003D33D2"/>
    <w:rsid w:val="003D4B34"/>
    <w:rsid w:val="003D5189"/>
    <w:rsid w:val="003D5D8A"/>
    <w:rsid w:val="003E023A"/>
    <w:rsid w:val="003E026B"/>
    <w:rsid w:val="003E1DEE"/>
    <w:rsid w:val="003E2175"/>
    <w:rsid w:val="003E2743"/>
    <w:rsid w:val="003E642B"/>
    <w:rsid w:val="003E73FE"/>
    <w:rsid w:val="003E7847"/>
    <w:rsid w:val="003F0198"/>
    <w:rsid w:val="003F1BC3"/>
    <w:rsid w:val="003F2177"/>
    <w:rsid w:val="003F3282"/>
    <w:rsid w:val="003F359E"/>
    <w:rsid w:val="003F465D"/>
    <w:rsid w:val="003F490C"/>
    <w:rsid w:val="003F4B87"/>
    <w:rsid w:val="003F4C23"/>
    <w:rsid w:val="003F6961"/>
    <w:rsid w:val="003F6D59"/>
    <w:rsid w:val="004001ED"/>
    <w:rsid w:val="00404AE6"/>
    <w:rsid w:val="00405EAA"/>
    <w:rsid w:val="0041000D"/>
    <w:rsid w:val="004101BE"/>
    <w:rsid w:val="00410ABE"/>
    <w:rsid w:val="00413C37"/>
    <w:rsid w:val="0041438D"/>
    <w:rsid w:val="004148FF"/>
    <w:rsid w:val="00421CC7"/>
    <w:rsid w:val="0043256F"/>
    <w:rsid w:val="004327EE"/>
    <w:rsid w:val="00433461"/>
    <w:rsid w:val="00434F1E"/>
    <w:rsid w:val="004355AB"/>
    <w:rsid w:val="00435FB9"/>
    <w:rsid w:val="00437255"/>
    <w:rsid w:val="004378F9"/>
    <w:rsid w:val="00446258"/>
    <w:rsid w:val="0044662D"/>
    <w:rsid w:val="00447027"/>
    <w:rsid w:val="00451C9A"/>
    <w:rsid w:val="00451CD2"/>
    <w:rsid w:val="00452061"/>
    <w:rsid w:val="004527A1"/>
    <w:rsid w:val="004529B6"/>
    <w:rsid w:val="00453EAA"/>
    <w:rsid w:val="0045572F"/>
    <w:rsid w:val="00456343"/>
    <w:rsid w:val="00456E61"/>
    <w:rsid w:val="00456F71"/>
    <w:rsid w:val="0045731C"/>
    <w:rsid w:val="00457FE2"/>
    <w:rsid w:val="00460381"/>
    <w:rsid w:val="00461097"/>
    <w:rsid w:val="004640A5"/>
    <w:rsid w:val="00464B9C"/>
    <w:rsid w:val="0046574C"/>
    <w:rsid w:val="004660CE"/>
    <w:rsid w:val="00467A48"/>
    <w:rsid w:val="00467E26"/>
    <w:rsid w:val="00470B2C"/>
    <w:rsid w:val="0047304A"/>
    <w:rsid w:val="00475F32"/>
    <w:rsid w:val="00477CC3"/>
    <w:rsid w:val="0048060A"/>
    <w:rsid w:val="00482133"/>
    <w:rsid w:val="0048292E"/>
    <w:rsid w:val="0048381D"/>
    <w:rsid w:val="0048394C"/>
    <w:rsid w:val="004839DE"/>
    <w:rsid w:val="004855B9"/>
    <w:rsid w:val="004862F3"/>
    <w:rsid w:val="004872D2"/>
    <w:rsid w:val="004901F9"/>
    <w:rsid w:val="00493EE6"/>
    <w:rsid w:val="00494324"/>
    <w:rsid w:val="00496EA0"/>
    <w:rsid w:val="004976CA"/>
    <w:rsid w:val="004A1E78"/>
    <w:rsid w:val="004A2068"/>
    <w:rsid w:val="004A2F9C"/>
    <w:rsid w:val="004A3AE2"/>
    <w:rsid w:val="004A3EAC"/>
    <w:rsid w:val="004A5144"/>
    <w:rsid w:val="004A621D"/>
    <w:rsid w:val="004B0257"/>
    <w:rsid w:val="004B0396"/>
    <w:rsid w:val="004B0F83"/>
    <w:rsid w:val="004B1019"/>
    <w:rsid w:val="004B2158"/>
    <w:rsid w:val="004B48CE"/>
    <w:rsid w:val="004B4D63"/>
    <w:rsid w:val="004B6CCC"/>
    <w:rsid w:val="004C0DAC"/>
    <w:rsid w:val="004C1709"/>
    <w:rsid w:val="004C21C8"/>
    <w:rsid w:val="004C344C"/>
    <w:rsid w:val="004C43EE"/>
    <w:rsid w:val="004C47DB"/>
    <w:rsid w:val="004C5EA1"/>
    <w:rsid w:val="004C6DA3"/>
    <w:rsid w:val="004D26F5"/>
    <w:rsid w:val="004D2BD7"/>
    <w:rsid w:val="004D315B"/>
    <w:rsid w:val="004D5A97"/>
    <w:rsid w:val="004D5CDB"/>
    <w:rsid w:val="004D5DA7"/>
    <w:rsid w:val="004E6525"/>
    <w:rsid w:val="004E73C3"/>
    <w:rsid w:val="004F1F88"/>
    <w:rsid w:val="004F3372"/>
    <w:rsid w:val="004F3C54"/>
    <w:rsid w:val="004F3FCB"/>
    <w:rsid w:val="004F612E"/>
    <w:rsid w:val="004F762C"/>
    <w:rsid w:val="004F7B6C"/>
    <w:rsid w:val="004F7F1B"/>
    <w:rsid w:val="005017BD"/>
    <w:rsid w:val="00501E32"/>
    <w:rsid w:val="005046F4"/>
    <w:rsid w:val="0050594D"/>
    <w:rsid w:val="00506047"/>
    <w:rsid w:val="005063EA"/>
    <w:rsid w:val="00506830"/>
    <w:rsid w:val="00507E37"/>
    <w:rsid w:val="00510E58"/>
    <w:rsid w:val="0051580D"/>
    <w:rsid w:val="0052052A"/>
    <w:rsid w:val="0052077C"/>
    <w:rsid w:val="00520C02"/>
    <w:rsid w:val="00522690"/>
    <w:rsid w:val="00523356"/>
    <w:rsid w:val="0052490F"/>
    <w:rsid w:val="00526A0C"/>
    <w:rsid w:val="00527085"/>
    <w:rsid w:val="00527356"/>
    <w:rsid w:val="0052796B"/>
    <w:rsid w:val="00530D91"/>
    <w:rsid w:val="00530FC8"/>
    <w:rsid w:val="00530FF0"/>
    <w:rsid w:val="005321E5"/>
    <w:rsid w:val="0053301E"/>
    <w:rsid w:val="005336B5"/>
    <w:rsid w:val="005338E9"/>
    <w:rsid w:val="00536611"/>
    <w:rsid w:val="00537144"/>
    <w:rsid w:val="00537736"/>
    <w:rsid w:val="005378DF"/>
    <w:rsid w:val="00540940"/>
    <w:rsid w:val="0054147B"/>
    <w:rsid w:val="00541F35"/>
    <w:rsid w:val="00542CBB"/>
    <w:rsid w:val="00544737"/>
    <w:rsid w:val="00544901"/>
    <w:rsid w:val="00547562"/>
    <w:rsid w:val="00547B30"/>
    <w:rsid w:val="00547BE5"/>
    <w:rsid w:val="005503B6"/>
    <w:rsid w:val="005523DF"/>
    <w:rsid w:val="00555CD4"/>
    <w:rsid w:val="00560CD2"/>
    <w:rsid w:val="00561DAD"/>
    <w:rsid w:val="00564EA6"/>
    <w:rsid w:val="0056551B"/>
    <w:rsid w:val="00566909"/>
    <w:rsid w:val="00566FA7"/>
    <w:rsid w:val="005722DC"/>
    <w:rsid w:val="005741F4"/>
    <w:rsid w:val="0057675C"/>
    <w:rsid w:val="005769F7"/>
    <w:rsid w:val="00576CF1"/>
    <w:rsid w:val="005775C2"/>
    <w:rsid w:val="00577BF6"/>
    <w:rsid w:val="005811DF"/>
    <w:rsid w:val="00582836"/>
    <w:rsid w:val="00582C7C"/>
    <w:rsid w:val="00582FD6"/>
    <w:rsid w:val="00583170"/>
    <w:rsid w:val="00583A9D"/>
    <w:rsid w:val="00584009"/>
    <w:rsid w:val="00585703"/>
    <w:rsid w:val="005865E9"/>
    <w:rsid w:val="00586929"/>
    <w:rsid w:val="00587157"/>
    <w:rsid w:val="00587A31"/>
    <w:rsid w:val="00590169"/>
    <w:rsid w:val="005922B7"/>
    <w:rsid w:val="00592C8E"/>
    <w:rsid w:val="0059408F"/>
    <w:rsid w:val="005966D7"/>
    <w:rsid w:val="00596E37"/>
    <w:rsid w:val="005977D7"/>
    <w:rsid w:val="005A0260"/>
    <w:rsid w:val="005A1042"/>
    <w:rsid w:val="005A243F"/>
    <w:rsid w:val="005A2993"/>
    <w:rsid w:val="005A461C"/>
    <w:rsid w:val="005A4794"/>
    <w:rsid w:val="005A4B57"/>
    <w:rsid w:val="005A545A"/>
    <w:rsid w:val="005A5E61"/>
    <w:rsid w:val="005A66DE"/>
    <w:rsid w:val="005B3645"/>
    <w:rsid w:val="005B473E"/>
    <w:rsid w:val="005B4C84"/>
    <w:rsid w:val="005B59A4"/>
    <w:rsid w:val="005B6B2D"/>
    <w:rsid w:val="005B7948"/>
    <w:rsid w:val="005B7D6B"/>
    <w:rsid w:val="005C2836"/>
    <w:rsid w:val="005C2E59"/>
    <w:rsid w:val="005C323B"/>
    <w:rsid w:val="005C3C5E"/>
    <w:rsid w:val="005C51A6"/>
    <w:rsid w:val="005C6074"/>
    <w:rsid w:val="005C777B"/>
    <w:rsid w:val="005C7A41"/>
    <w:rsid w:val="005C7FCF"/>
    <w:rsid w:val="005D1361"/>
    <w:rsid w:val="005D1A93"/>
    <w:rsid w:val="005D1F08"/>
    <w:rsid w:val="005D2698"/>
    <w:rsid w:val="005D3F48"/>
    <w:rsid w:val="005D4F7F"/>
    <w:rsid w:val="005D6CFF"/>
    <w:rsid w:val="005E0399"/>
    <w:rsid w:val="005E160E"/>
    <w:rsid w:val="005E6824"/>
    <w:rsid w:val="005E7897"/>
    <w:rsid w:val="005F0720"/>
    <w:rsid w:val="005F11CF"/>
    <w:rsid w:val="005F7860"/>
    <w:rsid w:val="006004F8"/>
    <w:rsid w:val="00600A73"/>
    <w:rsid w:val="00600B4D"/>
    <w:rsid w:val="00601072"/>
    <w:rsid w:val="00601715"/>
    <w:rsid w:val="0060211C"/>
    <w:rsid w:val="0060230A"/>
    <w:rsid w:val="00602334"/>
    <w:rsid w:val="00602CB3"/>
    <w:rsid w:val="00603843"/>
    <w:rsid w:val="00604524"/>
    <w:rsid w:val="00605454"/>
    <w:rsid w:val="00607DB5"/>
    <w:rsid w:val="0061099C"/>
    <w:rsid w:val="0061127D"/>
    <w:rsid w:val="00611B1C"/>
    <w:rsid w:val="00611FE5"/>
    <w:rsid w:val="00612E4D"/>
    <w:rsid w:val="0061317E"/>
    <w:rsid w:val="00615CB9"/>
    <w:rsid w:val="00616F31"/>
    <w:rsid w:val="00617583"/>
    <w:rsid w:val="00621BA8"/>
    <w:rsid w:val="00622006"/>
    <w:rsid w:val="00623641"/>
    <w:rsid w:val="00624A4E"/>
    <w:rsid w:val="00630706"/>
    <w:rsid w:val="0063343D"/>
    <w:rsid w:val="006351C8"/>
    <w:rsid w:val="00637B96"/>
    <w:rsid w:val="00640C1E"/>
    <w:rsid w:val="00641F5D"/>
    <w:rsid w:val="0064256F"/>
    <w:rsid w:val="006430B8"/>
    <w:rsid w:val="006432D6"/>
    <w:rsid w:val="00645D7F"/>
    <w:rsid w:val="00646F3E"/>
    <w:rsid w:val="00647C21"/>
    <w:rsid w:val="00647CE4"/>
    <w:rsid w:val="00647F65"/>
    <w:rsid w:val="0065168B"/>
    <w:rsid w:val="00652EB5"/>
    <w:rsid w:val="00655ADB"/>
    <w:rsid w:val="00656259"/>
    <w:rsid w:val="006577A8"/>
    <w:rsid w:val="006579F2"/>
    <w:rsid w:val="00657A8F"/>
    <w:rsid w:val="00661687"/>
    <w:rsid w:val="00663AEB"/>
    <w:rsid w:val="0066585D"/>
    <w:rsid w:val="00665FB1"/>
    <w:rsid w:val="006702A7"/>
    <w:rsid w:val="00670698"/>
    <w:rsid w:val="00670752"/>
    <w:rsid w:val="0067241A"/>
    <w:rsid w:val="00673043"/>
    <w:rsid w:val="006741F0"/>
    <w:rsid w:val="00674F26"/>
    <w:rsid w:val="00675115"/>
    <w:rsid w:val="006760E8"/>
    <w:rsid w:val="00680335"/>
    <w:rsid w:val="00681A39"/>
    <w:rsid w:val="0068603E"/>
    <w:rsid w:val="00692DA7"/>
    <w:rsid w:val="006932DE"/>
    <w:rsid w:val="006934D1"/>
    <w:rsid w:val="006935DB"/>
    <w:rsid w:val="00694592"/>
    <w:rsid w:val="00695332"/>
    <w:rsid w:val="00695ACB"/>
    <w:rsid w:val="00695E2D"/>
    <w:rsid w:val="006A0942"/>
    <w:rsid w:val="006A1853"/>
    <w:rsid w:val="006A30C2"/>
    <w:rsid w:val="006A49CA"/>
    <w:rsid w:val="006A5436"/>
    <w:rsid w:val="006A59AD"/>
    <w:rsid w:val="006A6529"/>
    <w:rsid w:val="006A7104"/>
    <w:rsid w:val="006A7767"/>
    <w:rsid w:val="006A7F30"/>
    <w:rsid w:val="006B23E4"/>
    <w:rsid w:val="006B374C"/>
    <w:rsid w:val="006B396D"/>
    <w:rsid w:val="006B3BED"/>
    <w:rsid w:val="006B4336"/>
    <w:rsid w:val="006B7C93"/>
    <w:rsid w:val="006C422F"/>
    <w:rsid w:val="006C44B6"/>
    <w:rsid w:val="006C482B"/>
    <w:rsid w:val="006C52D9"/>
    <w:rsid w:val="006C6424"/>
    <w:rsid w:val="006C76B3"/>
    <w:rsid w:val="006D18AA"/>
    <w:rsid w:val="006D1D0A"/>
    <w:rsid w:val="006D28EA"/>
    <w:rsid w:val="006D49D1"/>
    <w:rsid w:val="006D6658"/>
    <w:rsid w:val="006E1698"/>
    <w:rsid w:val="006E1A33"/>
    <w:rsid w:val="006E474F"/>
    <w:rsid w:val="006E6113"/>
    <w:rsid w:val="006E6954"/>
    <w:rsid w:val="006E6EA7"/>
    <w:rsid w:val="006F0748"/>
    <w:rsid w:val="006F1946"/>
    <w:rsid w:val="006F26DF"/>
    <w:rsid w:val="006F29EE"/>
    <w:rsid w:val="006F2CD4"/>
    <w:rsid w:val="006F4F14"/>
    <w:rsid w:val="006F5FB3"/>
    <w:rsid w:val="006F6526"/>
    <w:rsid w:val="006F6B8E"/>
    <w:rsid w:val="006F707D"/>
    <w:rsid w:val="006F799B"/>
    <w:rsid w:val="00700872"/>
    <w:rsid w:val="00702703"/>
    <w:rsid w:val="0070376E"/>
    <w:rsid w:val="00703ED8"/>
    <w:rsid w:val="00705214"/>
    <w:rsid w:val="007114A4"/>
    <w:rsid w:val="00711B5B"/>
    <w:rsid w:val="0071265F"/>
    <w:rsid w:val="00714DA8"/>
    <w:rsid w:val="00715ECB"/>
    <w:rsid w:val="007177A8"/>
    <w:rsid w:val="0071780B"/>
    <w:rsid w:val="00717F08"/>
    <w:rsid w:val="00720DBF"/>
    <w:rsid w:val="00723937"/>
    <w:rsid w:val="00725EE4"/>
    <w:rsid w:val="00727528"/>
    <w:rsid w:val="00730837"/>
    <w:rsid w:val="0073232E"/>
    <w:rsid w:val="00733A30"/>
    <w:rsid w:val="00734351"/>
    <w:rsid w:val="00735301"/>
    <w:rsid w:val="00735A9C"/>
    <w:rsid w:val="0073600F"/>
    <w:rsid w:val="00740A96"/>
    <w:rsid w:val="00741202"/>
    <w:rsid w:val="00741776"/>
    <w:rsid w:val="007437F7"/>
    <w:rsid w:val="00743E18"/>
    <w:rsid w:val="00744BAC"/>
    <w:rsid w:val="00745450"/>
    <w:rsid w:val="007468AF"/>
    <w:rsid w:val="00747049"/>
    <w:rsid w:val="007474C2"/>
    <w:rsid w:val="00747BA5"/>
    <w:rsid w:val="00751316"/>
    <w:rsid w:val="00756DB4"/>
    <w:rsid w:val="00757943"/>
    <w:rsid w:val="00757F22"/>
    <w:rsid w:val="007600F8"/>
    <w:rsid w:val="0076032F"/>
    <w:rsid w:val="007624DF"/>
    <w:rsid w:val="007632DB"/>
    <w:rsid w:val="00763CF9"/>
    <w:rsid w:val="00763D6E"/>
    <w:rsid w:val="007717B8"/>
    <w:rsid w:val="007729F5"/>
    <w:rsid w:val="00772E71"/>
    <w:rsid w:val="007732CD"/>
    <w:rsid w:val="007737A3"/>
    <w:rsid w:val="00773D1F"/>
    <w:rsid w:val="0077567C"/>
    <w:rsid w:val="00775A95"/>
    <w:rsid w:val="007760BF"/>
    <w:rsid w:val="007766CE"/>
    <w:rsid w:val="007813CB"/>
    <w:rsid w:val="007835D8"/>
    <w:rsid w:val="00790CFD"/>
    <w:rsid w:val="0079186E"/>
    <w:rsid w:val="00791ABA"/>
    <w:rsid w:val="00791BEA"/>
    <w:rsid w:val="00793B70"/>
    <w:rsid w:val="007957AB"/>
    <w:rsid w:val="007968C5"/>
    <w:rsid w:val="00796B00"/>
    <w:rsid w:val="00796DC9"/>
    <w:rsid w:val="00797832"/>
    <w:rsid w:val="007A04FA"/>
    <w:rsid w:val="007A415D"/>
    <w:rsid w:val="007A4302"/>
    <w:rsid w:val="007A5055"/>
    <w:rsid w:val="007A722F"/>
    <w:rsid w:val="007B0726"/>
    <w:rsid w:val="007B1338"/>
    <w:rsid w:val="007B45F3"/>
    <w:rsid w:val="007B4B54"/>
    <w:rsid w:val="007B5B95"/>
    <w:rsid w:val="007B5EEB"/>
    <w:rsid w:val="007B5F42"/>
    <w:rsid w:val="007C0060"/>
    <w:rsid w:val="007C0AFD"/>
    <w:rsid w:val="007C1CDD"/>
    <w:rsid w:val="007C2C05"/>
    <w:rsid w:val="007C3222"/>
    <w:rsid w:val="007C3E25"/>
    <w:rsid w:val="007C4988"/>
    <w:rsid w:val="007C6206"/>
    <w:rsid w:val="007C676A"/>
    <w:rsid w:val="007C6C7B"/>
    <w:rsid w:val="007C6D5E"/>
    <w:rsid w:val="007D0313"/>
    <w:rsid w:val="007D0C05"/>
    <w:rsid w:val="007D1FD1"/>
    <w:rsid w:val="007D4330"/>
    <w:rsid w:val="007D4367"/>
    <w:rsid w:val="007D670F"/>
    <w:rsid w:val="007D716A"/>
    <w:rsid w:val="007E1017"/>
    <w:rsid w:val="007E2BC4"/>
    <w:rsid w:val="007E3A94"/>
    <w:rsid w:val="007E3C3D"/>
    <w:rsid w:val="007E5B69"/>
    <w:rsid w:val="007E6A7D"/>
    <w:rsid w:val="007F23E7"/>
    <w:rsid w:val="007F268F"/>
    <w:rsid w:val="007F4B11"/>
    <w:rsid w:val="007F6D64"/>
    <w:rsid w:val="007F7137"/>
    <w:rsid w:val="0080262D"/>
    <w:rsid w:val="00802A80"/>
    <w:rsid w:val="0080380C"/>
    <w:rsid w:val="00803C8B"/>
    <w:rsid w:val="00804449"/>
    <w:rsid w:val="008065A8"/>
    <w:rsid w:val="00806D4F"/>
    <w:rsid w:val="00807C5A"/>
    <w:rsid w:val="00807E7C"/>
    <w:rsid w:val="0081149C"/>
    <w:rsid w:val="0081286D"/>
    <w:rsid w:val="00813802"/>
    <w:rsid w:val="008168B6"/>
    <w:rsid w:val="00817218"/>
    <w:rsid w:val="00821D4F"/>
    <w:rsid w:val="00822078"/>
    <w:rsid w:val="00822860"/>
    <w:rsid w:val="00823957"/>
    <w:rsid w:val="0082626C"/>
    <w:rsid w:val="008268F1"/>
    <w:rsid w:val="00832B4A"/>
    <w:rsid w:val="008335F6"/>
    <w:rsid w:val="00833CB7"/>
    <w:rsid w:val="00836317"/>
    <w:rsid w:val="00837F99"/>
    <w:rsid w:val="00837F9B"/>
    <w:rsid w:val="0084159F"/>
    <w:rsid w:val="008419DE"/>
    <w:rsid w:val="00841BCF"/>
    <w:rsid w:val="00842746"/>
    <w:rsid w:val="00842D3D"/>
    <w:rsid w:val="008463EB"/>
    <w:rsid w:val="00846DD6"/>
    <w:rsid w:val="0085025E"/>
    <w:rsid w:val="00851883"/>
    <w:rsid w:val="008518B7"/>
    <w:rsid w:val="008528BF"/>
    <w:rsid w:val="00853925"/>
    <w:rsid w:val="00854781"/>
    <w:rsid w:val="00854C0C"/>
    <w:rsid w:val="00855250"/>
    <w:rsid w:val="00860C38"/>
    <w:rsid w:val="00860F17"/>
    <w:rsid w:val="0086182F"/>
    <w:rsid w:val="00865E08"/>
    <w:rsid w:val="008673D0"/>
    <w:rsid w:val="0087183B"/>
    <w:rsid w:val="0087247F"/>
    <w:rsid w:val="008743F1"/>
    <w:rsid w:val="00880F72"/>
    <w:rsid w:val="0088156A"/>
    <w:rsid w:val="00881831"/>
    <w:rsid w:val="00882924"/>
    <w:rsid w:val="00884525"/>
    <w:rsid w:val="008854F8"/>
    <w:rsid w:val="00885FF3"/>
    <w:rsid w:val="00886096"/>
    <w:rsid w:val="008866A2"/>
    <w:rsid w:val="008904AC"/>
    <w:rsid w:val="008961C1"/>
    <w:rsid w:val="008976CE"/>
    <w:rsid w:val="00897E09"/>
    <w:rsid w:val="008A06E0"/>
    <w:rsid w:val="008A070C"/>
    <w:rsid w:val="008A08FC"/>
    <w:rsid w:val="008A1FCF"/>
    <w:rsid w:val="008A34A9"/>
    <w:rsid w:val="008A36B5"/>
    <w:rsid w:val="008A622D"/>
    <w:rsid w:val="008A6487"/>
    <w:rsid w:val="008A6CA9"/>
    <w:rsid w:val="008A795D"/>
    <w:rsid w:val="008B0E66"/>
    <w:rsid w:val="008B16CA"/>
    <w:rsid w:val="008B2515"/>
    <w:rsid w:val="008B5C22"/>
    <w:rsid w:val="008B5CF7"/>
    <w:rsid w:val="008B6E69"/>
    <w:rsid w:val="008C2B5E"/>
    <w:rsid w:val="008C31C3"/>
    <w:rsid w:val="008C40E6"/>
    <w:rsid w:val="008C6430"/>
    <w:rsid w:val="008D0CCD"/>
    <w:rsid w:val="008D36D0"/>
    <w:rsid w:val="008D4729"/>
    <w:rsid w:val="008D4CA7"/>
    <w:rsid w:val="008D63A2"/>
    <w:rsid w:val="008D6BA3"/>
    <w:rsid w:val="008E07BD"/>
    <w:rsid w:val="008E3BE5"/>
    <w:rsid w:val="008E5462"/>
    <w:rsid w:val="008E5EBA"/>
    <w:rsid w:val="008E6427"/>
    <w:rsid w:val="008F08C9"/>
    <w:rsid w:val="008F1A12"/>
    <w:rsid w:val="008F58AB"/>
    <w:rsid w:val="008F5DB8"/>
    <w:rsid w:val="008F627B"/>
    <w:rsid w:val="009009ED"/>
    <w:rsid w:val="009013F2"/>
    <w:rsid w:val="0090187B"/>
    <w:rsid w:val="00901F58"/>
    <w:rsid w:val="00904060"/>
    <w:rsid w:val="009052AF"/>
    <w:rsid w:val="0090557B"/>
    <w:rsid w:val="00906556"/>
    <w:rsid w:val="00912F6D"/>
    <w:rsid w:val="0091339E"/>
    <w:rsid w:val="00915AD8"/>
    <w:rsid w:val="0091664F"/>
    <w:rsid w:val="00920210"/>
    <w:rsid w:val="00920E18"/>
    <w:rsid w:val="009217E3"/>
    <w:rsid w:val="0092277C"/>
    <w:rsid w:val="009238F5"/>
    <w:rsid w:val="00923A3D"/>
    <w:rsid w:val="009254ED"/>
    <w:rsid w:val="00925695"/>
    <w:rsid w:val="00926FDA"/>
    <w:rsid w:val="00927C7B"/>
    <w:rsid w:val="00927D43"/>
    <w:rsid w:val="009302E0"/>
    <w:rsid w:val="00933546"/>
    <w:rsid w:val="0093367E"/>
    <w:rsid w:val="00933E9A"/>
    <w:rsid w:val="00935460"/>
    <w:rsid w:val="00936B60"/>
    <w:rsid w:val="00936FE4"/>
    <w:rsid w:val="00937089"/>
    <w:rsid w:val="009376CD"/>
    <w:rsid w:val="00937A04"/>
    <w:rsid w:val="00937D8B"/>
    <w:rsid w:val="00942A59"/>
    <w:rsid w:val="009457EF"/>
    <w:rsid w:val="009472D2"/>
    <w:rsid w:val="009509B4"/>
    <w:rsid w:val="00951103"/>
    <w:rsid w:val="00952701"/>
    <w:rsid w:val="00952F3C"/>
    <w:rsid w:val="00955FCE"/>
    <w:rsid w:val="00956728"/>
    <w:rsid w:val="00956EED"/>
    <w:rsid w:val="0096039C"/>
    <w:rsid w:val="00960511"/>
    <w:rsid w:val="0096670D"/>
    <w:rsid w:val="00967384"/>
    <w:rsid w:val="0096772C"/>
    <w:rsid w:val="00967C19"/>
    <w:rsid w:val="00970235"/>
    <w:rsid w:val="0097049A"/>
    <w:rsid w:val="0097064A"/>
    <w:rsid w:val="00970860"/>
    <w:rsid w:val="00972422"/>
    <w:rsid w:val="00972651"/>
    <w:rsid w:val="00973A2D"/>
    <w:rsid w:val="00974AEA"/>
    <w:rsid w:val="00975662"/>
    <w:rsid w:val="009760A6"/>
    <w:rsid w:val="0098105F"/>
    <w:rsid w:val="00981A1A"/>
    <w:rsid w:val="00981CAB"/>
    <w:rsid w:val="00983639"/>
    <w:rsid w:val="00987810"/>
    <w:rsid w:val="00991682"/>
    <w:rsid w:val="00991DF9"/>
    <w:rsid w:val="009928CA"/>
    <w:rsid w:val="009936F7"/>
    <w:rsid w:val="00993D21"/>
    <w:rsid w:val="0099494D"/>
    <w:rsid w:val="009954ED"/>
    <w:rsid w:val="00995DE9"/>
    <w:rsid w:val="009969BD"/>
    <w:rsid w:val="009979C0"/>
    <w:rsid w:val="00997F40"/>
    <w:rsid w:val="009A0C91"/>
    <w:rsid w:val="009A152E"/>
    <w:rsid w:val="009A15CD"/>
    <w:rsid w:val="009A2126"/>
    <w:rsid w:val="009A3C97"/>
    <w:rsid w:val="009A4271"/>
    <w:rsid w:val="009A5730"/>
    <w:rsid w:val="009A62B9"/>
    <w:rsid w:val="009B03C5"/>
    <w:rsid w:val="009B1E94"/>
    <w:rsid w:val="009B4576"/>
    <w:rsid w:val="009B47E4"/>
    <w:rsid w:val="009B5F78"/>
    <w:rsid w:val="009B64F1"/>
    <w:rsid w:val="009B66D3"/>
    <w:rsid w:val="009B68FA"/>
    <w:rsid w:val="009B6960"/>
    <w:rsid w:val="009C0A86"/>
    <w:rsid w:val="009C0D82"/>
    <w:rsid w:val="009C1234"/>
    <w:rsid w:val="009C1A97"/>
    <w:rsid w:val="009C25C6"/>
    <w:rsid w:val="009C399B"/>
    <w:rsid w:val="009C4471"/>
    <w:rsid w:val="009C50B9"/>
    <w:rsid w:val="009C54B6"/>
    <w:rsid w:val="009C5C49"/>
    <w:rsid w:val="009D1035"/>
    <w:rsid w:val="009D12B3"/>
    <w:rsid w:val="009D1406"/>
    <w:rsid w:val="009D29A5"/>
    <w:rsid w:val="009D3011"/>
    <w:rsid w:val="009D4771"/>
    <w:rsid w:val="009D51DB"/>
    <w:rsid w:val="009D6AAB"/>
    <w:rsid w:val="009D6EB8"/>
    <w:rsid w:val="009E0BDB"/>
    <w:rsid w:val="009E1F26"/>
    <w:rsid w:val="009E3B1D"/>
    <w:rsid w:val="009E3BAC"/>
    <w:rsid w:val="009E3CD4"/>
    <w:rsid w:val="009E4750"/>
    <w:rsid w:val="009E5B10"/>
    <w:rsid w:val="009E5FD5"/>
    <w:rsid w:val="009F0F6F"/>
    <w:rsid w:val="009F1C24"/>
    <w:rsid w:val="009F21F4"/>
    <w:rsid w:val="009F2468"/>
    <w:rsid w:val="009F309D"/>
    <w:rsid w:val="009F317E"/>
    <w:rsid w:val="009F5929"/>
    <w:rsid w:val="009F5AE6"/>
    <w:rsid w:val="009F6004"/>
    <w:rsid w:val="009F6B87"/>
    <w:rsid w:val="00A0065E"/>
    <w:rsid w:val="00A02C51"/>
    <w:rsid w:val="00A0302B"/>
    <w:rsid w:val="00A046B0"/>
    <w:rsid w:val="00A04EEE"/>
    <w:rsid w:val="00A07280"/>
    <w:rsid w:val="00A07708"/>
    <w:rsid w:val="00A1336E"/>
    <w:rsid w:val="00A135CD"/>
    <w:rsid w:val="00A13ABC"/>
    <w:rsid w:val="00A157E3"/>
    <w:rsid w:val="00A15972"/>
    <w:rsid w:val="00A159BD"/>
    <w:rsid w:val="00A1606E"/>
    <w:rsid w:val="00A21D41"/>
    <w:rsid w:val="00A22BAB"/>
    <w:rsid w:val="00A247A1"/>
    <w:rsid w:val="00A25CCA"/>
    <w:rsid w:val="00A25F4E"/>
    <w:rsid w:val="00A312F3"/>
    <w:rsid w:val="00A320FC"/>
    <w:rsid w:val="00A3690A"/>
    <w:rsid w:val="00A406A2"/>
    <w:rsid w:val="00A419CC"/>
    <w:rsid w:val="00A42A45"/>
    <w:rsid w:val="00A43367"/>
    <w:rsid w:val="00A446C2"/>
    <w:rsid w:val="00A4478D"/>
    <w:rsid w:val="00A47B1B"/>
    <w:rsid w:val="00A50826"/>
    <w:rsid w:val="00A53B58"/>
    <w:rsid w:val="00A547B2"/>
    <w:rsid w:val="00A55DA9"/>
    <w:rsid w:val="00A55FF2"/>
    <w:rsid w:val="00A566A9"/>
    <w:rsid w:val="00A57C1A"/>
    <w:rsid w:val="00A60D4A"/>
    <w:rsid w:val="00A61755"/>
    <w:rsid w:val="00A62CED"/>
    <w:rsid w:val="00A63080"/>
    <w:rsid w:val="00A6622D"/>
    <w:rsid w:val="00A67CD1"/>
    <w:rsid w:val="00A71303"/>
    <w:rsid w:val="00A7220C"/>
    <w:rsid w:val="00A7229C"/>
    <w:rsid w:val="00A73ECA"/>
    <w:rsid w:val="00A76ED8"/>
    <w:rsid w:val="00A82C8D"/>
    <w:rsid w:val="00A82D8A"/>
    <w:rsid w:val="00A8428F"/>
    <w:rsid w:val="00A84E22"/>
    <w:rsid w:val="00A86049"/>
    <w:rsid w:val="00A86AF2"/>
    <w:rsid w:val="00A87A02"/>
    <w:rsid w:val="00A9155A"/>
    <w:rsid w:val="00A93490"/>
    <w:rsid w:val="00A93E81"/>
    <w:rsid w:val="00A94CA5"/>
    <w:rsid w:val="00A97771"/>
    <w:rsid w:val="00AA2444"/>
    <w:rsid w:val="00AA25FD"/>
    <w:rsid w:val="00AA37C6"/>
    <w:rsid w:val="00AA39EC"/>
    <w:rsid w:val="00AA3F1F"/>
    <w:rsid w:val="00AA4CD3"/>
    <w:rsid w:val="00AA4ECC"/>
    <w:rsid w:val="00AA4FA0"/>
    <w:rsid w:val="00AA5625"/>
    <w:rsid w:val="00AA73A5"/>
    <w:rsid w:val="00AB08BA"/>
    <w:rsid w:val="00AB0D18"/>
    <w:rsid w:val="00AB0E57"/>
    <w:rsid w:val="00AB2207"/>
    <w:rsid w:val="00AB2378"/>
    <w:rsid w:val="00AB595B"/>
    <w:rsid w:val="00AB7015"/>
    <w:rsid w:val="00AB72C3"/>
    <w:rsid w:val="00AC0F07"/>
    <w:rsid w:val="00AC21C2"/>
    <w:rsid w:val="00AC290E"/>
    <w:rsid w:val="00AC3E52"/>
    <w:rsid w:val="00AC4D37"/>
    <w:rsid w:val="00AC50B1"/>
    <w:rsid w:val="00AC5685"/>
    <w:rsid w:val="00AC7E1F"/>
    <w:rsid w:val="00AD0A3C"/>
    <w:rsid w:val="00AD1C2A"/>
    <w:rsid w:val="00AD2BBA"/>
    <w:rsid w:val="00AD3145"/>
    <w:rsid w:val="00AD35AC"/>
    <w:rsid w:val="00AE131F"/>
    <w:rsid w:val="00AE2CE5"/>
    <w:rsid w:val="00AE404C"/>
    <w:rsid w:val="00AE40F5"/>
    <w:rsid w:val="00AE6EED"/>
    <w:rsid w:val="00AE73E2"/>
    <w:rsid w:val="00AF07D5"/>
    <w:rsid w:val="00AF0C78"/>
    <w:rsid w:val="00AF1135"/>
    <w:rsid w:val="00AF2CB8"/>
    <w:rsid w:val="00AF32B3"/>
    <w:rsid w:val="00AF33F8"/>
    <w:rsid w:val="00AF399A"/>
    <w:rsid w:val="00AF3C0F"/>
    <w:rsid w:val="00AF478A"/>
    <w:rsid w:val="00AF51C8"/>
    <w:rsid w:val="00AF547A"/>
    <w:rsid w:val="00B00AA3"/>
    <w:rsid w:val="00B01003"/>
    <w:rsid w:val="00B01446"/>
    <w:rsid w:val="00B01B5E"/>
    <w:rsid w:val="00B05871"/>
    <w:rsid w:val="00B0656D"/>
    <w:rsid w:val="00B10789"/>
    <w:rsid w:val="00B107FD"/>
    <w:rsid w:val="00B1094A"/>
    <w:rsid w:val="00B13A4D"/>
    <w:rsid w:val="00B15348"/>
    <w:rsid w:val="00B15458"/>
    <w:rsid w:val="00B15D84"/>
    <w:rsid w:val="00B16101"/>
    <w:rsid w:val="00B21CCC"/>
    <w:rsid w:val="00B22682"/>
    <w:rsid w:val="00B2284D"/>
    <w:rsid w:val="00B2300A"/>
    <w:rsid w:val="00B23263"/>
    <w:rsid w:val="00B24D38"/>
    <w:rsid w:val="00B254CE"/>
    <w:rsid w:val="00B25AD0"/>
    <w:rsid w:val="00B25BD1"/>
    <w:rsid w:val="00B2616F"/>
    <w:rsid w:val="00B3232F"/>
    <w:rsid w:val="00B33662"/>
    <w:rsid w:val="00B336D4"/>
    <w:rsid w:val="00B34841"/>
    <w:rsid w:val="00B35B11"/>
    <w:rsid w:val="00B35D0D"/>
    <w:rsid w:val="00B36FAF"/>
    <w:rsid w:val="00B4175A"/>
    <w:rsid w:val="00B42705"/>
    <w:rsid w:val="00B427C0"/>
    <w:rsid w:val="00B42B1B"/>
    <w:rsid w:val="00B430F1"/>
    <w:rsid w:val="00B43ADD"/>
    <w:rsid w:val="00B43FED"/>
    <w:rsid w:val="00B44491"/>
    <w:rsid w:val="00B45DE7"/>
    <w:rsid w:val="00B46773"/>
    <w:rsid w:val="00B46CE8"/>
    <w:rsid w:val="00B503EC"/>
    <w:rsid w:val="00B5041D"/>
    <w:rsid w:val="00B52546"/>
    <w:rsid w:val="00B52D27"/>
    <w:rsid w:val="00B5301F"/>
    <w:rsid w:val="00B53744"/>
    <w:rsid w:val="00B54528"/>
    <w:rsid w:val="00B566E2"/>
    <w:rsid w:val="00B576E4"/>
    <w:rsid w:val="00B5790D"/>
    <w:rsid w:val="00B57E84"/>
    <w:rsid w:val="00B61C8E"/>
    <w:rsid w:val="00B61E16"/>
    <w:rsid w:val="00B63294"/>
    <w:rsid w:val="00B6383A"/>
    <w:rsid w:val="00B63D7C"/>
    <w:rsid w:val="00B64166"/>
    <w:rsid w:val="00B650E7"/>
    <w:rsid w:val="00B654A3"/>
    <w:rsid w:val="00B65675"/>
    <w:rsid w:val="00B65938"/>
    <w:rsid w:val="00B664DA"/>
    <w:rsid w:val="00B668C8"/>
    <w:rsid w:val="00B66A5C"/>
    <w:rsid w:val="00B67E99"/>
    <w:rsid w:val="00B7141B"/>
    <w:rsid w:val="00B71CDD"/>
    <w:rsid w:val="00B72AEE"/>
    <w:rsid w:val="00B732CF"/>
    <w:rsid w:val="00B73375"/>
    <w:rsid w:val="00B762C6"/>
    <w:rsid w:val="00B8066A"/>
    <w:rsid w:val="00B83E10"/>
    <w:rsid w:val="00B85B32"/>
    <w:rsid w:val="00B86F7F"/>
    <w:rsid w:val="00B910AE"/>
    <w:rsid w:val="00B91BC9"/>
    <w:rsid w:val="00B91F19"/>
    <w:rsid w:val="00B95680"/>
    <w:rsid w:val="00B95BFD"/>
    <w:rsid w:val="00B9738D"/>
    <w:rsid w:val="00B97C47"/>
    <w:rsid w:val="00BA04BD"/>
    <w:rsid w:val="00BA1121"/>
    <w:rsid w:val="00BA2AD7"/>
    <w:rsid w:val="00BA2BFB"/>
    <w:rsid w:val="00BA38DC"/>
    <w:rsid w:val="00BA4D9B"/>
    <w:rsid w:val="00BA5778"/>
    <w:rsid w:val="00BA58DD"/>
    <w:rsid w:val="00BA5C29"/>
    <w:rsid w:val="00BA66D2"/>
    <w:rsid w:val="00BA7790"/>
    <w:rsid w:val="00BA791D"/>
    <w:rsid w:val="00BB12D9"/>
    <w:rsid w:val="00BB2BAA"/>
    <w:rsid w:val="00BB5B2E"/>
    <w:rsid w:val="00BB6CD3"/>
    <w:rsid w:val="00BB70A4"/>
    <w:rsid w:val="00BB766F"/>
    <w:rsid w:val="00BB769A"/>
    <w:rsid w:val="00BB7F49"/>
    <w:rsid w:val="00BC038A"/>
    <w:rsid w:val="00BC0811"/>
    <w:rsid w:val="00BC222A"/>
    <w:rsid w:val="00BC38B5"/>
    <w:rsid w:val="00BC4E80"/>
    <w:rsid w:val="00BC5145"/>
    <w:rsid w:val="00BD103E"/>
    <w:rsid w:val="00BD25C3"/>
    <w:rsid w:val="00BD260C"/>
    <w:rsid w:val="00BD56E7"/>
    <w:rsid w:val="00BD5D45"/>
    <w:rsid w:val="00BD6111"/>
    <w:rsid w:val="00BD6660"/>
    <w:rsid w:val="00BD6E8A"/>
    <w:rsid w:val="00BD7E64"/>
    <w:rsid w:val="00BE12E6"/>
    <w:rsid w:val="00BE1A47"/>
    <w:rsid w:val="00BE4C3E"/>
    <w:rsid w:val="00BE534D"/>
    <w:rsid w:val="00BE5437"/>
    <w:rsid w:val="00BE6B4B"/>
    <w:rsid w:val="00BF1615"/>
    <w:rsid w:val="00BF5CB7"/>
    <w:rsid w:val="00BF7E70"/>
    <w:rsid w:val="00C013E5"/>
    <w:rsid w:val="00C03265"/>
    <w:rsid w:val="00C03B42"/>
    <w:rsid w:val="00C03C18"/>
    <w:rsid w:val="00C06396"/>
    <w:rsid w:val="00C063AC"/>
    <w:rsid w:val="00C0661B"/>
    <w:rsid w:val="00C06F28"/>
    <w:rsid w:val="00C079FA"/>
    <w:rsid w:val="00C1162C"/>
    <w:rsid w:val="00C122A2"/>
    <w:rsid w:val="00C13FCF"/>
    <w:rsid w:val="00C154A4"/>
    <w:rsid w:val="00C15A41"/>
    <w:rsid w:val="00C167EA"/>
    <w:rsid w:val="00C16A67"/>
    <w:rsid w:val="00C16CF7"/>
    <w:rsid w:val="00C16FBB"/>
    <w:rsid w:val="00C1755C"/>
    <w:rsid w:val="00C2056D"/>
    <w:rsid w:val="00C21F7A"/>
    <w:rsid w:val="00C224CE"/>
    <w:rsid w:val="00C23239"/>
    <w:rsid w:val="00C23955"/>
    <w:rsid w:val="00C24084"/>
    <w:rsid w:val="00C241D9"/>
    <w:rsid w:val="00C24BEB"/>
    <w:rsid w:val="00C27525"/>
    <w:rsid w:val="00C33C7B"/>
    <w:rsid w:val="00C343D9"/>
    <w:rsid w:val="00C3544B"/>
    <w:rsid w:val="00C357CF"/>
    <w:rsid w:val="00C37ADB"/>
    <w:rsid w:val="00C37F68"/>
    <w:rsid w:val="00C40988"/>
    <w:rsid w:val="00C40E8E"/>
    <w:rsid w:val="00C41B68"/>
    <w:rsid w:val="00C43A0B"/>
    <w:rsid w:val="00C45905"/>
    <w:rsid w:val="00C461E6"/>
    <w:rsid w:val="00C513B4"/>
    <w:rsid w:val="00C5177A"/>
    <w:rsid w:val="00C52D82"/>
    <w:rsid w:val="00C5537E"/>
    <w:rsid w:val="00C56785"/>
    <w:rsid w:val="00C573B4"/>
    <w:rsid w:val="00C57A3A"/>
    <w:rsid w:val="00C57C44"/>
    <w:rsid w:val="00C602AA"/>
    <w:rsid w:val="00C61197"/>
    <w:rsid w:val="00C61245"/>
    <w:rsid w:val="00C66173"/>
    <w:rsid w:val="00C70578"/>
    <w:rsid w:val="00C7195D"/>
    <w:rsid w:val="00C723B3"/>
    <w:rsid w:val="00C72511"/>
    <w:rsid w:val="00C75BF2"/>
    <w:rsid w:val="00C768FB"/>
    <w:rsid w:val="00C7708E"/>
    <w:rsid w:val="00C77932"/>
    <w:rsid w:val="00C77CC0"/>
    <w:rsid w:val="00C8047A"/>
    <w:rsid w:val="00C81443"/>
    <w:rsid w:val="00C81E8C"/>
    <w:rsid w:val="00C8254D"/>
    <w:rsid w:val="00C84DA6"/>
    <w:rsid w:val="00C8503F"/>
    <w:rsid w:val="00C854E2"/>
    <w:rsid w:val="00C86204"/>
    <w:rsid w:val="00C90E88"/>
    <w:rsid w:val="00C9210B"/>
    <w:rsid w:val="00C933A5"/>
    <w:rsid w:val="00C942A1"/>
    <w:rsid w:val="00C943FC"/>
    <w:rsid w:val="00C94C9F"/>
    <w:rsid w:val="00C97326"/>
    <w:rsid w:val="00CA32C7"/>
    <w:rsid w:val="00CA3CF1"/>
    <w:rsid w:val="00CA426E"/>
    <w:rsid w:val="00CB216E"/>
    <w:rsid w:val="00CB34D3"/>
    <w:rsid w:val="00CB5AC3"/>
    <w:rsid w:val="00CB5C19"/>
    <w:rsid w:val="00CB5D16"/>
    <w:rsid w:val="00CC1295"/>
    <w:rsid w:val="00CC1BCF"/>
    <w:rsid w:val="00CC1F37"/>
    <w:rsid w:val="00CC22A1"/>
    <w:rsid w:val="00CC4092"/>
    <w:rsid w:val="00CC6FB3"/>
    <w:rsid w:val="00CC746F"/>
    <w:rsid w:val="00CD1075"/>
    <w:rsid w:val="00CD1F79"/>
    <w:rsid w:val="00CD23FF"/>
    <w:rsid w:val="00CD2588"/>
    <w:rsid w:val="00CD2CD3"/>
    <w:rsid w:val="00CD4930"/>
    <w:rsid w:val="00CD5653"/>
    <w:rsid w:val="00CD62A6"/>
    <w:rsid w:val="00CD7F22"/>
    <w:rsid w:val="00CE09ED"/>
    <w:rsid w:val="00CE17EB"/>
    <w:rsid w:val="00CE27EF"/>
    <w:rsid w:val="00CE5774"/>
    <w:rsid w:val="00CE6708"/>
    <w:rsid w:val="00CE6D4F"/>
    <w:rsid w:val="00CE7A5D"/>
    <w:rsid w:val="00CF11DF"/>
    <w:rsid w:val="00CF1B23"/>
    <w:rsid w:val="00CF3D5C"/>
    <w:rsid w:val="00CF55C0"/>
    <w:rsid w:val="00CF5788"/>
    <w:rsid w:val="00D00136"/>
    <w:rsid w:val="00D00213"/>
    <w:rsid w:val="00D01563"/>
    <w:rsid w:val="00D01924"/>
    <w:rsid w:val="00D035A4"/>
    <w:rsid w:val="00D0365F"/>
    <w:rsid w:val="00D04893"/>
    <w:rsid w:val="00D04B9C"/>
    <w:rsid w:val="00D04BBB"/>
    <w:rsid w:val="00D07231"/>
    <w:rsid w:val="00D07FD2"/>
    <w:rsid w:val="00D10542"/>
    <w:rsid w:val="00D11745"/>
    <w:rsid w:val="00D1202F"/>
    <w:rsid w:val="00D121C1"/>
    <w:rsid w:val="00D12B69"/>
    <w:rsid w:val="00D14111"/>
    <w:rsid w:val="00D15381"/>
    <w:rsid w:val="00D16B36"/>
    <w:rsid w:val="00D1721C"/>
    <w:rsid w:val="00D20FE3"/>
    <w:rsid w:val="00D21DAA"/>
    <w:rsid w:val="00D220D6"/>
    <w:rsid w:val="00D23E5D"/>
    <w:rsid w:val="00D24303"/>
    <w:rsid w:val="00D3100C"/>
    <w:rsid w:val="00D31DFA"/>
    <w:rsid w:val="00D3266D"/>
    <w:rsid w:val="00D3503B"/>
    <w:rsid w:val="00D36BF8"/>
    <w:rsid w:val="00D37747"/>
    <w:rsid w:val="00D40362"/>
    <w:rsid w:val="00D40416"/>
    <w:rsid w:val="00D406F2"/>
    <w:rsid w:val="00D409F8"/>
    <w:rsid w:val="00D4156A"/>
    <w:rsid w:val="00D41DB6"/>
    <w:rsid w:val="00D42E54"/>
    <w:rsid w:val="00D44B51"/>
    <w:rsid w:val="00D45821"/>
    <w:rsid w:val="00D47449"/>
    <w:rsid w:val="00D47958"/>
    <w:rsid w:val="00D47B5A"/>
    <w:rsid w:val="00D47F3C"/>
    <w:rsid w:val="00D5356D"/>
    <w:rsid w:val="00D5359A"/>
    <w:rsid w:val="00D55187"/>
    <w:rsid w:val="00D571E6"/>
    <w:rsid w:val="00D573D0"/>
    <w:rsid w:val="00D57494"/>
    <w:rsid w:val="00D61AC1"/>
    <w:rsid w:val="00D61BB3"/>
    <w:rsid w:val="00D633AE"/>
    <w:rsid w:val="00D63E54"/>
    <w:rsid w:val="00D646D5"/>
    <w:rsid w:val="00D66673"/>
    <w:rsid w:val="00D676AD"/>
    <w:rsid w:val="00D71713"/>
    <w:rsid w:val="00D73BDE"/>
    <w:rsid w:val="00D73C64"/>
    <w:rsid w:val="00D7714F"/>
    <w:rsid w:val="00D77470"/>
    <w:rsid w:val="00D808C0"/>
    <w:rsid w:val="00D816C7"/>
    <w:rsid w:val="00D81873"/>
    <w:rsid w:val="00D825C4"/>
    <w:rsid w:val="00D84A8B"/>
    <w:rsid w:val="00D85381"/>
    <w:rsid w:val="00D865EC"/>
    <w:rsid w:val="00D86BF6"/>
    <w:rsid w:val="00D9009D"/>
    <w:rsid w:val="00D903FA"/>
    <w:rsid w:val="00D9131E"/>
    <w:rsid w:val="00D92CF8"/>
    <w:rsid w:val="00D931F6"/>
    <w:rsid w:val="00D93F18"/>
    <w:rsid w:val="00D943DD"/>
    <w:rsid w:val="00D964B0"/>
    <w:rsid w:val="00D96F7E"/>
    <w:rsid w:val="00D97BC8"/>
    <w:rsid w:val="00DA0B00"/>
    <w:rsid w:val="00DA0EA5"/>
    <w:rsid w:val="00DA34FB"/>
    <w:rsid w:val="00DA561D"/>
    <w:rsid w:val="00DA58F1"/>
    <w:rsid w:val="00DA69C8"/>
    <w:rsid w:val="00DB034C"/>
    <w:rsid w:val="00DB03A4"/>
    <w:rsid w:val="00DB077F"/>
    <w:rsid w:val="00DB0D33"/>
    <w:rsid w:val="00DB3261"/>
    <w:rsid w:val="00DB47D3"/>
    <w:rsid w:val="00DB58E0"/>
    <w:rsid w:val="00DB6F71"/>
    <w:rsid w:val="00DB7E64"/>
    <w:rsid w:val="00DC0191"/>
    <w:rsid w:val="00DC0ECC"/>
    <w:rsid w:val="00DD2768"/>
    <w:rsid w:val="00DD6F8E"/>
    <w:rsid w:val="00DE2107"/>
    <w:rsid w:val="00DE2529"/>
    <w:rsid w:val="00DE28EA"/>
    <w:rsid w:val="00DE3E20"/>
    <w:rsid w:val="00DE4D7F"/>
    <w:rsid w:val="00DE65D2"/>
    <w:rsid w:val="00DE6734"/>
    <w:rsid w:val="00DE7627"/>
    <w:rsid w:val="00DF10AE"/>
    <w:rsid w:val="00DF1831"/>
    <w:rsid w:val="00DF2E71"/>
    <w:rsid w:val="00DF3147"/>
    <w:rsid w:val="00DF465F"/>
    <w:rsid w:val="00DF5DA3"/>
    <w:rsid w:val="00E00C60"/>
    <w:rsid w:val="00E00D7C"/>
    <w:rsid w:val="00E0243C"/>
    <w:rsid w:val="00E03CEE"/>
    <w:rsid w:val="00E04D3B"/>
    <w:rsid w:val="00E05661"/>
    <w:rsid w:val="00E05CCA"/>
    <w:rsid w:val="00E07E8C"/>
    <w:rsid w:val="00E103CA"/>
    <w:rsid w:val="00E106CB"/>
    <w:rsid w:val="00E11630"/>
    <w:rsid w:val="00E11683"/>
    <w:rsid w:val="00E118C4"/>
    <w:rsid w:val="00E11DD1"/>
    <w:rsid w:val="00E122D0"/>
    <w:rsid w:val="00E137C3"/>
    <w:rsid w:val="00E20602"/>
    <w:rsid w:val="00E2232B"/>
    <w:rsid w:val="00E22B51"/>
    <w:rsid w:val="00E23253"/>
    <w:rsid w:val="00E24720"/>
    <w:rsid w:val="00E26DB3"/>
    <w:rsid w:val="00E31807"/>
    <w:rsid w:val="00E32486"/>
    <w:rsid w:val="00E32E1C"/>
    <w:rsid w:val="00E34CD1"/>
    <w:rsid w:val="00E35903"/>
    <w:rsid w:val="00E405EE"/>
    <w:rsid w:val="00E41003"/>
    <w:rsid w:val="00E43B33"/>
    <w:rsid w:val="00E43D61"/>
    <w:rsid w:val="00E45228"/>
    <w:rsid w:val="00E46AD0"/>
    <w:rsid w:val="00E47E1D"/>
    <w:rsid w:val="00E5009B"/>
    <w:rsid w:val="00E50445"/>
    <w:rsid w:val="00E5156B"/>
    <w:rsid w:val="00E52AB6"/>
    <w:rsid w:val="00E54150"/>
    <w:rsid w:val="00E5469A"/>
    <w:rsid w:val="00E56EF1"/>
    <w:rsid w:val="00E573A3"/>
    <w:rsid w:val="00E60104"/>
    <w:rsid w:val="00E60A10"/>
    <w:rsid w:val="00E61E6D"/>
    <w:rsid w:val="00E635CD"/>
    <w:rsid w:val="00E63939"/>
    <w:rsid w:val="00E63F84"/>
    <w:rsid w:val="00E64A99"/>
    <w:rsid w:val="00E64D5E"/>
    <w:rsid w:val="00E65FAE"/>
    <w:rsid w:val="00E66958"/>
    <w:rsid w:val="00E67C79"/>
    <w:rsid w:val="00E72AC4"/>
    <w:rsid w:val="00E72EE2"/>
    <w:rsid w:val="00E741A9"/>
    <w:rsid w:val="00E74ADA"/>
    <w:rsid w:val="00E74E43"/>
    <w:rsid w:val="00E759C1"/>
    <w:rsid w:val="00E75A17"/>
    <w:rsid w:val="00E77C07"/>
    <w:rsid w:val="00E77E0C"/>
    <w:rsid w:val="00E80FD9"/>
    <w:rsid w:val="00E81246"/>
    <w:rsid w:val="00E8144F"/>
    <w:rsid w:val="00E81C59"/>
    <w:rsid w:val="00E82B9E"/>
    <w:rsid w:val="00E84BEE"/>
    <w:rsid w:val="00E85C83"/>
    <w:rsid w:val="00E8683A"/>
    <w:rsid w:val="00E87829"/>
    <w:rsid w:val="00E87B13"/>
    <w:rsid w:val="00E87EFC"/>
    <w:rsid w:val="00E90075"/>
    <w:rsid w:val="00E90B98"/>
    <w:rsid w:val="00E90EC3"/>
    <w:rsid w:val="00E916D5"/>
    <w:rsid w:val="00E91D2D"/>
    <w:rsid w:val="00E92719"/>
    <w:rsid w:val="00E92CE4"/>
    <w:rsid w:val="00E93ABC"/>
    <w:rsid w:val="00E95FC6"/>
    <w:rsid w:val="00EA1E0B"/>
    <w:rsid w:val="00EA273E"/>
    <w:rsid w:val="00EA41A0"/>
    <w:rsid w:val="00EA43C8"/>
    <w:rsid w:val="00EA4854"/>
    <w:rsid w:val="00EA4D34"/>
    <w:rsid w:val="00EA5114"/>
    <w:rsid w:val="00EA66F3"/>
    <w:rsid w:val="00EA6E1A"/>
    <w:rsid w:val="00EA7090"/>
    <w:rsid w:val="00EA7427"/>
    <w:rsid w:val="00EA769E"/>
    <w:rsid w:val="00EB221F"/>
    <w:rsid w:val="00EB36A1"/>
    <w:rsid w:val="00EB3B0A"/>
    <w:rsid w:val="00EB3D73"/>
    <w:rsid w:val="00EB5D6B"/>
    <w:rsid w:val="00EC12CF"/>
    <w:rsid w:val="00EC16E8"/>
    <w:rsid w:val="00EC595B"/>
    <w:rsid w:val="00EC5BB4"/>
    <w:rsid w:val="00EC6AA7"/>
    <w:rsid w:val="00EC735B"/>
    <w:rsid w:val="00EC7FE5"/>
    <w:rsid w:val="00ED1EB5"/>
    <w:rsid w:val="00ED5CD1"/>
    <w:rsid w:val="00ED5E9B"/>
    <w:rsid w:val="00EE1DFD"/>
    <w:rsid w:val="00EE1EF4"/>
    <w:rsid w:val="00EE3270"/>
    <w:rsid w:val="00EE4F21"/>
    <w:rsid w:val="00EE6CE9"/>
    <w:rsid w:val="00EE6DC1"/>
    <w:rsid w:val="00EE7128"/>
    <w:rsid w:val="00EF364D"/>
    <w:rsid w:val="00EF365E"/>
    <w:rsid w:val="00EF4291"/>
    <w:rsid w:val="00EF4F66"/>
    <w:rsid w:val="00EF5434"/>
    <w:rsid w:val="00EF6CE3"/>
    <w:rsid w:val="00EF7482"/>
    <w:rsid w:val="00F01264"/>
    <w:rsid w:val="00F0149A"/>
    <w:rsid w:val="00F039AC"/>
    <w:rsid w:val="00F03DB3"/>
    <w:rsid w:val="00F07464"/>
    <w:rsid w:val="00F07FEC"/>
    <w:rsid w:val="00F16FC9"/>
    <w:rsid w:val="00F201CD"/>
    <w:rsid w:val="00F209F5"/>
    <w:rsid w:val="00F212A8"/>
    <w:rsid w:val="00F221A0"/>
    <w:rsid w:val="00F23BE4"/>
    <w:rsid w:val="00F24828"/>
    <w:rsid w:val="00F24BA6"/>
    <w:rsid w:val="00F2521C"/>
    <w:rsid w:val="00F25298"/>
    <w:rsid w:val="00F2581B"/>
    <w:rsid w:val="00F3005F"/>
    <w:rsid w:val="00F327D7"/>
    <w:rsid w:val="00F33527"/>
    <w:rsid w:val="00F35108"/>
    <w:rsid w:val="00F360E8"/>
    <w:rsid w:val="00F361EA"/>
    <w:rsid w:val="00F36B5A"/>
    <w:rsid w:val="00F40B31"/>
    <w:rsid w:val="00F40E38"/>
    <w:rsid w:val="00F43497"/>
    <w:rsid w:val="00F4471B"/>
    <w:rsid w:val="00F4565A"/>
    <w:rsid w:val="00F465C8"/>
    <w:rsid w:val="00F47232"/>
    <w:rsid w:val="00F47606"/>
    <w:rsid w:val="00F52159"/>
    <w:rsid w:val="00F54EF0"/>
    <w:rsid w:val="00F5611B"/>
    <w:rsid w:val="00F56C2F"/>
    <w:rsid w:val="00F60D82"/>
    <w:rsid w:val="00F62AF0"/>
    <w:rsid w:val="00F65609"/>
    <w:rsid w:val="00F6666B"/>
    <w:rsid w:val="00F66849"/>
    <w:rsid w:val="00F67582"/>
    <w:rsid w:val="00F734B1"/>
    <w:rsid w:val="00F73C9C"/>
    <w:rsid w:val="00F74D9D"/>
    <w:rsid w:val="00F75524"/>
    <w:rsid w:val="00F770AD"/>
    <w:rsid w:val="00F77E67"/>
    <w:rsid w:val="00F80469"/>
    <w:rsid w:val="00F806FB"/>
    <w:rsid w:val="00F84335"/>
    <w:rsid w:val="00F902A7"/>
    <w:rsid w:val="00F90D87"/>
    <w:rsid w:val="00F90FAF"/>
    <w:rsid w:val="00F914C4"/>
    <w:rsid w:val="00F92B7B"/>
    <w:rsid w:val="00F92C47"/>
    <w:rsid w:val="00F93A98"/>
    <w:rsid w:val="00F95057"/>
    <w:rsid w:val="00F96420"/>
    <w:rsid w:val="00FA1384"/>
    <w:rsid w:val="00FA265F"/>
    <w:rsid w:val="00FA3849"/>
    <w:rsid w:val="00FB0DFC"/>
    <w:rsid w:val="00FB532F"/>
    <w:rsid w:val="00FC1095"/>
    <w:rsid w:val="00FC1242"/>
    <w:rsid w:val="00FC1CB2"/>
    <w:rsid w:val="00FC3E2B"/>
    <w:rsid w:val="00FC6A49"/>
    <w:rsid w:val="00FC73A0"/>
    <w:rsid w:val="00FC74F0"/>
    <w:rsid w:val="00FC78A0"/>
    <w:rsid w:val="00FC78D1"/>
    <w:rsid w:val="00FD0052"/>
    <w:rsid w:val="00FD22A8"/>
    <w:rsid w:val="00FD5C43"/>
    <w:rsid w:val="00FD7FB0"/>
    <w:rsid w:val="00FE1BE3"/>
    <w:rsid w:val="00FE225D"/>
    <w:rsid w:val="00FE2719"/>
    <w:rsid w:val="00FE2861"/>
    <w:rsid w:val="00FE317D"/>
    <w:rsid w:val="00FE38C9"/>
    <w:rsid w:val="00FE3CD4"/>
    <w:rsid w:val="00FE4C55"/>
    <w:rsid w:val="00FE51E0"/>
    <w:rsid w:val="00FE5311"/>
    <w:rsid w:val="00FE56C8"/>
    <w:rsid w:val="00FE694E"/>
    <w:rsid w:val="00FE6FE9"/>
    <w:rsid w:val="00FE7970"/>
    <w:rsid w:val="00FF295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8B27B79A-E8CB-4BFF-A50D-920BEA7F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6CD"/>
  </w:style>
  <w:style w:type="paragraph" w:styleId="Heading1">
    <w:name w:val="heading 1"/>
    <w:basedOn w:val="Normal"/>
    <w:next w:val="Normal"/>
    <w:link w:val="Heading1Char"/>
    <w:uiPriority w:val="9"/>
    <w:qFormat/>
    <w:rsid w:val="00AA56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AA4F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
    <w:name w:val="1AutoList2"/>
    <w:rsid w:val="002C5B8B"/>
    <w:pPr>
      <w:widowControl w:val="0"/>
      <w:tabs>
        <w:tab w:val="left" w:pos="720"/>
      </w:tabs>
      <w:spacing w:after="0" w:line="240" w:lineRule="auto"/>
      <w:ind w:left="720" w:hanging="720"/>
      <w:jc w:val="both"/>
    </w:pPr>
    <w:rPr>
      <w:rFonts w:eastAsia="Times New Roman"/>
      <w:snapToGrid w:val="0"/>
      <w:szCs w:val="20"/>
      <w:lang w:val="en-AU"/>
    </w:rPr>
  </w:style>
  <w:style w:type="paragraph" w:styleId="BalloonText">
    <w:name w:val="Balloon Text"/>
    <w:basedOn w:val="Normal"/>
    <w:link w:val="BalloonTextChar"/>
    <w:uiPriority w:val="99"/>
    <w:semiHidden/>
    <w:unhideWhenUsed/>
    <w:rsid w:val="00E10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CA"/>
    <w:rPr>
      <w:rFonts w:ascii="Segoe UI" w:hAnsi="Segoe UI" w:cs="Segoe UI"/>
      <w:sz w:val="18"/>
      <w:szCs w:val="18"/>
    </w:rPr>
  </w:style>
  <w:style w:type="paragraph" w:styleId="FootnoteText">
    <w:name w:val="footnote text"/>
    <w:aliases w:val="single space,FOOTNOTES,ft,footnote text,Footnote Text Char2 Char,Footnote Text Char1 Char Char,Footnote Text Char Char Char Char,Footnote Text Char2 Char Char Char Char,Footnote Text Char Char Char Char Char Char,ADB"/>
    <w:basedOn w:val="Normal"/>
    <w:link w:val="FootnoteTextChar"/>
    <w:uiPriority w:val="99"/>
    <w:unhideWhenUsed/>
    <w:qFormat/>
    <w:rsid w:val="00A97771"/>
    <w:pPr>
      <w:spacing w:after="0" w:line="240" w:lineRule="auto"/>
    </w:pPr>
    <w:rPr>
      <w:sz w:val="20"/>
      <w:szCs w:val="20"/>
    </w:rPr>
  </w:style>
  <w:style w:type="character" w:customStyle="1" w:styleId="FootnoteTextChar">
    <w:name w:val="Footnote Text Char"/>
    <w:aliases w:val="single space Char,FOOTNOTES Char,ft Char,footnote text Char,Footnote Text Char2 Char Char,Footnote Text Char1 Char Char Char,Footnote Text Char Char Char Char Char,Footnote Text Char2 Char Char Char Char Char,ADB Char"/>
    <w:basedOn w:val="DefaultParagraphFont"/>
    <w:link w:val="FootnoteText"/>
    <w:uiPriority w:val="99"/>
    <w:rsid w:val="00A97771"/>
    <w:rPr>
      <w:sz w:val="20"/>
      <w:szCs w:val="20"/>
    </w:rPr>
  </w:style>
  <w:style w:type="character" w:styleId="FootnoteReference">
    <w:name w:val="footnote reference"/>
    <w:aliases w:val="ftref,Error-Fußnotenzeichen5,Error-Fußnotenzeichen6,Error-Fußnotenzeichen3,Footnote Reference1,referencia nota al pie,Знак сноски 1,Footnote Reference Number,Footnote Reference_LVL6,Footnote Reference_LVL61,Footnote Reference_LVL62"/>
    <w:basedOn w:val="DefaultParagraphFont"/>
    <w:uiPriority w:val="99"/>
    <w:unhideWhenUsed/>
    <w:rsid w:val="00A97771"/>
    <w:rPr>
      <w:vertAlign w:val="superscript"/>
    </w:rPr>
  </w:style>
  <w:style w:type="character" w:styleId="Hyperlink">
    <w:name w:val="Hyperlink"/>
    <w:basedOn w:val="DefaultParagraphFont"/>
    <w:uiPriority w:val="99"/>
    <w:unhideWhenUsed/>
    <w:rsid w:val="00FE56C8"/>
    <w:rPr>
      <w:color w:val="0563C1" w:themeColor="hyperlink"/>
      <w:u w:val="single"/>
    </w:rPr>
  </w:style>
  <w:style w:type="character" w:customStyle="1" w:styleId="Heading1Char">
    <w:name w:val="Heading 1 Char"/>
    <w:basedOn w:val="DefaultParagraphFont"/>
    <w:link w:val="Heading1"/>
    <w:uiPriority w:val="9"/>
    <w:rsid w:val="00AA56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81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1DF"/>
  </w:style>
  <w:style w:type="paragraph" w:styleId="Footer">
    <w:name w:val="footer"/>
    <w:basedOn w:val="Normal"/>
    <w:link w:val="FooterChar"/>
    <w:uiPriority w:val="99"/>
    <w:unhideWhenUsed/>
    <w:rsid w:val="00581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1DF"/>
  </w:style>
  <w:style w:type="paragraph" w:styleId="ListParagraph">
    <w:name w:val="List Paragraph"/>
    <w:basedOn w:val="Normal"/>
    <w:uiPriority w:val="34"/>
    <w:qFormat/>
    <w:rsid w:val="004327EE"/>
    <w:pPr>
      <w:ind w:left="720"/>
      <w:contextualSpacing/>
    </w:pPr>
  </w:style>
  <w:style w:type="paragraph" w:styleId="BodyText3">
    <w:name w:val="Body Text 3"/>
    <w:basedOn w:val="Normal"/>
    <w:link w:val="BodyText3Char"/>
    <w:rsid w:val="0032699D"/>
    <w:pPr>
      <w:spacing w:after="120" w:line="240" w:lineRule="auto"/>
    </w:pPr>
    <w:rPr>
      <w:rFonts w:eastAsia="Times New Roman"/>
      <w:sz w:val="16"/>
      <w:szCs w:val="20"/>
      <w:lang w:val="en-US"/>
    </w:rPr>
  </w:style>
  <w:style w:type="character" w:customStyle="1" w:styleId="BodyText3Char">
    <w:name w:val="Body Text 3 Char"/>
    <w:basedOn w:val="DefaultParagraphFont"/>
    <w:link w:val="BodyText3"/>
    <w:rsid w:val="0032699D"/>
    <w:rPr>
      <w:rFonts w:eastAsia="Times New Roman"/>
      <w:sz w:val="16"/>
      <w:szCs w:val="20"/>
      <w:lang w:val="en-US"/>
    </w:rPr>
  </w:style>
  <w:style w:type="character" w:styleId="HTMLCite">
    <w:name w:val="HTML Cite"/>
    <w:basedOn w:val="DefaultParagraphFont"/>
    <w:uiPriority w:val="99"/>
    <w:semiHidden/>
    <w:unhideWhenUsed/>
    <w:rsid w:val="00467A48"/>
    <w:rPr>
      <w:i/>
      <w:iCs/>
    </w:rPr>
  </w:style>
  <w:style w:type="paragraph" w:styleId="PlainText">
    <w:name w:val="Plain Text"/>
    <w:basedOn w:val="Normal"/>
    <w:link w:val="PlainTextChar"/>
    <w:unhideWhenUsed/>
    <w:rsid w:val="00FE286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2861"/>
    <w:rPr>
      <w:rFonts w:ascii="Consolas" w:hAnsi="Consolas"/>
      <w:sz w:val="21"/>
      <w:szCs w:val="21"/>
    </w:rPr>
  </w:style>
  <w:style w:type="table" w:styleId="TableGrid">
    <w:name w:val="Table Grid"/>
    <w:basedOn w:val="TableNormal"/>
    <w:uiPriority w:val="39"/>
    <w:rsid w:val="00FE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author">
    <w:name w:val="post-author"/>
    <w:basedOn w:val="DefaultParagraphFont"/>
    <w:rsid w:val="001A3F51"/>
  </w:style>
  <w:style w:type="character" w:customStyle="1" w:styleId="apple-converted-space">
    <w:name w:val="apple-converted-space"/>
    <w:basedOn w:val="DefaultParagraphFont"/>
    <w:rsid w:val="001A3F51"/>
  </w:style>
  <w:style w:type="character" w:styleId="CommentReference">
    <w:name w:val="annotation reference"/>
    <w:basedOn w:val="DefaultParagraphFont"/>
    <w:uiPriority w:val="99"/>
    <w:semiHidden/>
    <w:unhideWhenUsed/>
    <w:rsid w:val="00C43A0B"/>
    <w:rPr>
      <w:sz w:val="16"/>
      <w:szCs w:val="16"/>
    </w:rPr>
  </w:style>
  <w:style w:type="paragraph" w:styleId="CommentText">
    <w:name w:val="annotation text"/>
    <w:basedOn w:val="Normal"/>
    <w:link w:val="CommentTextChar"/>
    <w:uiPriority w:val="99"/>
    <w:unhideWhenUsed/>
    <w:rsid w:val="00C43A0B"/>
    <w:pPr>
      <w:spacing w:line="240" w:lineRule="auto"/>
    </w:pPr>
    <w:rPr>
      <w:sz w:val="20"/>
      <w:szCs w:val="20"/>
    </w:rPr>
  </w:style>
  <w:style w:type="character" w:customStyle="1" w:styleId="CommentTextChar">
    <w:name w:val="Comment Text Char"/>
    <w:basedOn w:val="DefaultParagraphFont"/>
    <w:link w:val="CommentText"/>
    <w:uiPriority w:val="99"/>
    <w:rsid w:val="00C43A0B"/>
    <w:rPr>
      <w:sz w:val="20"/>
      <w:szCs w:val="20"/>
    </w:rPr>
  </w:style>
  <w:style w:type="paragraph" w:styleId="CommentSubject">
    <w:name w:val="annotation subject"/>
    <w:basedOn w:val="CommentText"/>
    <w:next w:val="CommentText"/>
    <w:link w:val="CommentSubjectChar"/>
    <w:uiPriority w:val="99"/>
    <w:semiHidden/>
    <w:unhideWhenUsed/>
    <w:rsid w:val="00C43A0B"/>
    <w:rPr>
      <w:b/>
      <w:bCs/>
    </w:rPr>
  </w:style>
  <w:style w:type="character" w:customStyle="1" w:styleId="CommentSubjectChar">
    <w:name w:val="Comment Subject Char"/>
    <w:basedOn w:val="CommentTextChar"/>
    <w:link w:val="CommentSubject"/>
    <w:uiPriority w:val="99"/>
    <w:semiHidden/>
    <w:rsid w:val="00C43A0B"/>
    <w:rPr>
      <w:b/>
      <w:bCs/>
      <w:sz w:val="20"/>
      <w:szCs w:val="20"/>
    </w:rPr>
  </w:style>
  <w:style w:type="character" w:styleId="PlaceholderText">
    <w:name w:val="Placeholder Text"/>
    <w:basedOn w:val="DefaultParagraphFont"/>
    <w:uiPriority w:val="99"/>
    <w:semiHidden/>
    <w:rsid w:val="00CF3D5C"/>
    <w:rPr>
      <w:color w:val="808080"/>
    </w:rPr>
  </w:style>
  <w:style w:type="paragraph" w:styleId="NormalWeb">
    <w:name w:val="Normal (Web)"/>
    <w:basedOn w:val="Normal"/>
    <w:uiPriority w:val="99"/>
    <w:unhideWhenUsed/>
    <w:rsid w:val="00B16101"/>
    <w:pPr>
      <w:spacing w:before="100" w:beforeAutospacing="1" w:after="100" w:afterAutospacing="1" w:line="240" w:lineRule="auto"/>
    </w:pPr>
    <w:rPr>
      <w:rFonts w:eastAsia="Times New Roman"/>
      <w:lang w:val="en-US"/>
    </w:rPr>
  </w:style>
  <w:style w:type="character" w:customStyle="1" w:styleId="Heading5Char">
    <w:name w:val="Heading 5 Char"/>
    <w:basedOn w:val="DefaultParagraphFont"/>
    <w:link w:val="Heading5"/>
    <w:uiPriority w:val="9"/>
    <w:semiHidden/>
    <w:rsid w:val="00AA4FA0"/>
    <w:rPr>
      <w:rFonts w:asciiTheme="majorHAnsi" w:eastAsiaTheme="majorEastAsia" w:hAnsiTheme="majorHAnsi" w:cstheme="majorBidi"/>
      <w:color w:val="2E74B5" w:themeColor="accent1" w:themeShade="BF"/>
    </w:rPr>
  </w:style>
  <w:style w:type="paragraph" w:styleId="HTMLPreformatted">
    <w:name w:val="HTML Preformatted"/>
    <w:basedOn w:val="Normal"/>
    <w:link w:val="HTMLPreformattedChar"/>
    <w:uiPriority w:val="99"/>
    <w:semiHidden/>
    <w:unhideWhenUsed/>
    <w:rsid w:val="00F476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606"/>
    <w:rPr>
      <w:rFonts w:ascii="Consolas" w:hAnsi="Consolas"/>
      <w:sz w:val="20"/>
      <w:szCs w:val="20"/>
    </w:rPr>
  </w:style>
  <w:style w:type="character" w:customStyle="1" w:styleId="PlainTextChar1">
    <w:name w:val="Plain Text Char1"/>
    <w:basedOn w:val="DefaultParagraphFont"/>
    <w:uiPriority w:val="99"/>
    <w:rsid w:val="005B7D6B"/>
    <w:rPr>
      <w:rFonts w:ascii="Consolas" w:hAnsi="Consolas" w:cs="Consolas"/>
      <w:sz w:val="21"/>
      <w:szCs w:val="21"/>
    </w:rPr>
  </w:style>
  <w:style w:type="character" w:styleId="FollowedHyperlink">
    <w:name w:val="FollowedHyperlink"/>
    <w:basedOn w:val="DefaultParagraphFont"/>
    <w:uiPriority w:val="99"/>
    <w:semiHidden/>
    <w:unhideWhenUsed/>
    <w:rsid w:val="00F40E38"/>
    <w:rPr>
      <w:color w:val="954F72" w:themeColor="followedHyperlink"/>
      <w:u w:val="single"/>
    </w:rPr>
  </w:style>
  <w:style w:type="character" w:customStyle="1" w:styleId="hgkelc">
    <w:name w:val="hgkelc"/>
    <w:basedOn w:val="DefaultParagraphFont"/>
    <w:rsid w:val="00133C61"/>
  </w:style>
  <w:style w:type="paragraph" w:customStyle="1" w:styleId="Default">
    <w:name w:val="Default"/>
    <w:rsid w:val="00E67C79"/>
    <w:pPr>
      <w:autoSpaceDE w:val="0"/>
      <w:autoSpaceDN w:val="0"/>
      <w:adjustRightInd w:val="0"/>
      <w:spacing w:after="0" w:line="240" w:lineRule="auto"/>
    </w:pPr>
    <w:rPr>
      <w:rFonts w:eastAsia="Times New Roman"/>
      <w:color w:val="000000"/>
      <w:lang w:eastAsia="en-NZ"/>
    </w:rPr>
  </w:style>
  <w:style w:type="paragraph" w:customStyle="1" w:styleId="CM3">
    <w:name w:val="CM3"/>
    <w:basedOn w:val="Default"/>
    <w:next w:val="Default"/>
    <w:rsid w:val="00E67C79"/>
    <w:pPr>
      <w:widowControl w:val="0"/>
    </w:pPr>
    <w:rPr>
      <w:color w:val="auto"/>
      <w:lang w:val="en-US" w:eastAsia="en-US"/>
    </w:rPr>
  </w:style>
  <w:style w:type="paragraph" w:customStyle="1" w:styleId="CM4">
    <w:name w:val="CM4"/>
    <w:basedOn w:val="Default"/>
    <w:next w:val="Default"/>
    <w:rsid w:val="00E67C79"/>
    <w:pPr>
      <w:widowControl w:val="0"/>
      <w:spacing w:line="253" w:lineRule="atLeast"/>
    </w:pPr>
    <w:rPr>
      <w:color w:val="auto"/>
      <w:lang w:val="en-US" w:eastAsia="en-US"/>
    </w:rPr>
  </w:style>
  <w:style w:type="paragraph" w:customStyle="1" w:styleId="CM23">
    <w:name w:val="CM23"/>
    <w:basedOn w:val="Default"/>
    <w:next w:val="Default"/>
    <w:rsid w:val="00E67C79"/>
    <w:pPr>
      <w:widowControl w:val="0"/>
      <w:spacing w:after="233"/>
    </w:pPr>
    <w:rPr>
      <w:color w:val="auto"/>
      <w:lang w:val="en-US" w:eastAsia="en-US"/>
    </w:rPr>
  </w:style>
  <w:style w:type="paragraph" w:customStyle="1" w:styleId="MDPI31text">
    <w:name w:val="MDPI_3.1_text"/>
    <w:qFormat/>
    <w:rsid w:val="00D816C7"/>
    <w:pPr>
      <w:adjustRightInd w:val="0"/>
      <w:snapToGrid w:val="0"/>
      <w:spacing w:after="0" w:line="228" w:lineRule="auto"/>
      <w:ind w:left="2608" w:firstLine="425"/>
      <w:jc w:val="both"/>
    </w:pPr>
    <w:rPr>
      <w:rFonts w:ascii="Palatino Linotype" w:eastAsia="Times New Roman" w:hAnsi="Palatino Linotype"/>
      <w:snapToGrid w:val="0"/>
      <w:color w:val="000000"/>
      <w:sz w:val="20"/>
      <w:szCs w:val="22"/>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7775">
      <w:bodyDiv w:val="1"/>
      <w:marLeft w:val="0"/>
      <w:marRight w:val="0"/>
      <w:marTop w:val="0"/>
      <w:marBottom w:val="0"/>
      <w:divBdr>
        <w:top w:val="none" w:sz="0" w:space="0" w:color="auto"/>
        <w:left w:val="none" w:sz="0" w:space="0" w:color="auto"/>
        <w:bottom w:val="none" w:sz="0" w:space="0" w:color="auto"/>
        <w:right w:val="none" w:sz="0" w:space="0" w:color="auto"/>
      </w:divBdr>
    </w:div>
    <w:div w:id="195125462">
      <w:bodyDiv w:val="1"/>
      <w:marLeft w:val="0"/>
      <w:marRight w:val="0"/>
      <w:marTop w:val="0"/>
      <w:marBottom w:val="0"/>
      <w:divBdr>
        <w:top w:val="none" w:sz="0" w:space="0" w:color="auto"/>
        <w:left w:val="none" w:sz="0" w:space="0" w:color="auto"/>
        <w:bottom w:val="none" w:sz="0" w:space="0" w:color="auto"/>
        <w:right w:val="none" w:sz="0" w:space="0" w:color="auto"/>
      </w:divBdr>
    </w:div>
    <w:div w:id="227884796">
      <w:bodyDiv w:val="1"/>
      <w:marLeft w:val="0"/>
      <w:marRight w:val="0"/>
      <w:marTop w:val="0"/>
      <w:marBottom w:val="0"/>
      <w:divBdr>
        <w:top w:val="none" w:sz="0" w:space="0" w:color="auto"/>
        <w:left w:val="none" w:sz="0" w:space="0" w:color="auto"/>
        <w:bottom w:val="none" w:sz="0" w:space="0" w:color="auto"/>
        <w:right w:val="none" w:sz="0" w:space="0" w:color="auto"/>
      </w:divBdr>
    </w:div>
    <w:div w:id="324552745">
      <w:bodyDiv w:val="1"/>
      <w:marLeft w:val="0"/>
      <w:marRight w:val="0"/>
      <w:marTop w:val="0"/>
      <w:marBottom w:val="0"/>
      <w:divBdr>
        <w:top w:val="none" w:sz="0" w:space="0" w:color="auto"/>
        <w:left w:val="none" w:sz="0" w:space="0" w:color="auto"/>
        <w:bottom w:val="none" w:sz="0" w:space="0" w:color="auto"/>
        <w:right w:val="none" w:sz="0" w:space="0" w:color="auto"/>
      </w:divBdr>
    </w:div>
    <w:div w:id="477308404">
      <w:bodyDiv w:val="1"/>
      <w:marLeft w:val="0"/>
      <w:marRight w:val="0"/>
      <w:marTop w:val="0"/>
      <w:marBottom w:val="0"/>
      <w:divBdr>
        <w:top w:val="none" w:sz="0" w:space="0" w:color="auto"/>
        <w:left w:val="none" w:sz="0" w:space="0" w:color="auto"/>
        <w:bottom w:val="none" w:sz="0" w:space="0" w:color="auto"/>
        <w:right w:val="none" w:sz="0" w:space="0" w:color="auto"/>
      </w:divBdr>
    </w:div>
    <w:div w:id="619651659">
      <w:bodyDiv w:val="1"/>
      <w:marLeft w:val="0"/>
      <w:marRight w:val="0"/>
      <w:marTop w:val="0"/>
      <w:marBottom w:val="0"/>
      <w:divBdr>
        <w:top w:val="none" w:sz="0" w:space="0" w:color="auto"/>
        <w:left w:val="none" w:sz="0" w:space="0" w:color="auto"/>
        <w:bottom w:val="none" w:sz="0" w:space="0" w:color="auto"/>
        <w:right w:val="none" w:sz="0" w:space="0" w:color="auto"/>
      </w:divBdr>
    </w:div>
    <w:div w:id="732853316">
      <w:bodyDiv w:val="1"/>
      <w:marLeft w:val="0"/>
      <w:marRight w:val="0"/>
      <w:marTop w:val="0"/>
      <w:marBottom w:val="0"/>
      <w:divBdr>
        <w:top w:val="none" w:sz="0" w:space="0" w:color="auto"/>
        <w:left w:val="none" w:sz="0" w:space="0" w:color="auto"/>
        <w:bottom w:val="none" w:sz="0" w:space="0" w:color="auto"/>
        <w:right w:val="none" w:sz="0" w:space="0" w:color="auto"/>
      </w:divBdr>
    </w:div>
    <w:div w:id="871965759">
      <w:bodyDiv w:val="1"/>
      <w:marLeft w:val="0"/>
      <w:marRight w:val="0"/>
      <w:marTop w:val="0"/>
      <w:marBottom w:val="0"/>
      <w:divBdr>
        <w:top w:val="none" w:sz="0" w:space="0" w:color="auto"/>
        <w:left w:val="none" w:sz="0" w:space="0" w:color="auto"/>
        <w:bottom w:val="none" w:sz="0" w:space="0" w:color="auto"/>
        <w:right w:val="none" w:sz="0" w:space="0" w:color="auto"/>
      </w:divBdr>
      <w:divsChild>
        <w:div w:id="607080256">
          <w:marLeft w:val="0"/>
          <w:marRight w:val="0"/>
          <w:marTop w:val="0"/>
          <w:marBottom w:val="0"/>
          <w:divBdr>
            <w:top w:val="none" w:sz="0" w:space="0" w:color="auto"/>
            <w:left w:val="none" w:sz="0" w:space="0" w:color="auto"/>
            <w:bottom w:val="none" w:sz="0" w:space="0" w:color="auto"/>
            <w:right w:val="none" w:sz="0" w:space="0" w:color="auto"/>
          </w:divBdr>
        </w:div>
        <w:div w:id="1927416874">
          <w:marLeft w:val="0"/>
          <w:marRight w:val="0"/>
          <w:marTop w:val="0"/>
          <w:marBottom w:val="0"/>
          <w:divBdr>
            <w:top w:val="none" w:sz="0" w:space="0" w:color="auto"/>
            <w:left w:val="none" w:sz="0" w:space="0" w:color="auto"/>
            <w:bottom w:val="none" w:sz="0" w:space="0" w:color="auto"/>
            <w:right w:val="none" w:sz="0" w:space="0" w:color="auto"/>
          </w:divBdr>
        </w:div>
        <w:div w:id="698699032">
          <w:marLeft w:val="0"/>
          <w:marRight w:val="0"/>
          <w:marTop w:val="0"/>
          <w:marBottom w:val="0"/>
          <w:divBdr>
            <w:top w:val="none" w:sz="0" w:space="0" w:color="auto"/>
            <w:left w:val="none" w:sz="0" w:space="0" w:color="auto"/>
            <w:bottom w:val="none" w:sz="0" w:space="0" w:color="auto"/>
            <w:right w:val="none" w:sz="0" w:space="0" w:color="auto"/>
          </w:divBdr>
        </w:div>
      </w:divsChild>
    </w:div>
    <w:div w:id="941650059">
      <w:bodyDiv w:val="1"/>
      <w:marLeft w:val="0"/>
      <w:marRight w:val="0"/>
      <w:marTop w:val="0"/>
      <w:marBottom w:val="0"/>
      <w:divBdr>
        <w:top w:val="none" w:sz="0" w:space="0" w:color="auto"/>
        <w:left w:val="none" w:sz="0" w:space="0" w:color="auto"/>
        <w:bottom w:val="none" w:sz="0" w:space="0" w:color="auto"/>
        <w:right w:val="none" w:sz="0" w:space="0" w:color="auto"/>
      </w:divBdr>
    </w:div>
    <w:div w:id="1140876714">
      <w:bodyDiv w:val="1"/>
      <w:marLeft w:val="0"/>
      <w:marRight w:val="0"/>
      <w:marTop w:val="0"/>
      <w:marBottom w:val="0"/>
      <w:divBdr>
        <w:top w:val="none" w:sz="0" w:space="0" w:color="auto"/>
        <w:left w:val="none" w:sz="0" w:space="0" w:color="auto"/>
        <w:bottom w:val="none" w:sz="0" w:space="0" w:color="auto"/>
        <w:right w:val="none" w:sz="0" w:space="0" w:color="auto"/>
      </w:divBdr>
    </w:div>
    <w:div w:id="1210530782">
      <w:bodyDiv w:val="1"/>
      <w:marLeft w:val="0"/>
      <w:marRight w:val="0"/>
      <w:marTop w:val="0"/>
      <w:marBottom w:val="0"/>
      <w:divBdr>
        <w:top w:val="none" w:sz="0" w:space="0" w:color="auto"/>
        <w:left w:val="none" w:sz="0" w:space="0" w:color="auto"/>
        <w:bottom w:val="none" w:sz="0" w:space="0" w:color="auto"/>
        <w:right w:val="none" w:sz="0" w:space="0" w:color="auto"/>
      </w:divBdr>
    </w:div>
    <w:div w:id="1218662986">
      <w:bodyDiv w:val="1"/>
      <w:marLeft w:val="0"/>
      <w:marRight w:val="0"/>
      <w:marTop w:val="0"/>
      <w:marBottom w:val="0"/>
      <w:divBdr>
        <w:top w:val="none" w:sz="0" w:space="0" w:color="auto"/>
        <w:left w:val="none" w:sz="0" w:space="0" w:color="auto"/>
        <w:bottom w:val="none" w:sz="0" w:space="0" w:color="auto"/>
        <w:right w:val="none" w:sz="0" w:space="0" w:color="auto"/>
      </w:divBdr>
    </w:div>
    <w:div w:id="1254127886">
      <w:bodyDiv w:val="1"/>
      <w:marLeft w:val="0"/>
      <w:marRight w:val="0"/>
      <w:marTop w:val="0"/>
      <w:marBottom w:val="0"/>
      <w:divBdr>
        <w:top w:val="none" w:sz="0" w:space="0" w:color="auto"/>
        <w:left w:val="none" w:sz="0" w:space="0" w:color="auto"/>
        <w:bottom w:val="none" w:sz="0" w:space="0" w:color="auto"/>
        <w:right w:val="none" w:sz="0" w:space="0" w:color="auto"/>
      </w:divBdr>
    </w:div>
    <w:div w:id="1395619013">
      <w:bodyDiv w:val="1"/>
      <w:marLeft w:val="0"/>
      <w:marRight w:val="0"/>
      <w:marTop w:val="0"/>
      <w:marBottom w:val="0"/>
      <w:divBdr>
        <w:top w:val="none" w:sz="0" w:space="0" w:color="auto"/>
        <w:left w:val="none" w:sz="0" w:space="0" w:color="auto"/>
        <w:bottom w:val="none" w:sz="0" w:space="0" w:color="auto"/>
        <w:right w:val="none" w:sz="0" w:space="0" w:color="auto"/>
      </w:divBdr>
    </w:div>
    <w:div w:id="1486430863">
      <w:bodyDiv w:val="1"/>
      <w:marLeft w:val="0"/>
      <w:marRight w:val="0"/>
      <w:marTop w:val="0"/>
      <w:marBottom w:val="0"/>
      <w:divBdr>
        <w:top w:val="none" w:sz="0" w:space="0" w:color="auto"/>
        <w:left w:val="none" w:sz="0" w:space="0" w:color="auto"/>
        <w:bottom w:val="none" w:sz="0" w:space="0" w:color="auto"/>
        <w:right w:val="none" w:sz="0" w:space="0" w:color="auto"/>
      </w:divBdr>
      <w:divsChild>
        <w:div w:id="117336757">
          <w:marLeft w:val="0"/>
          <w:marRight w:val="0"/>
          <w:marTop w:val="0"/>
          <w:marBottom w:val="0"/>
          <w:divBdr>
            <w:top w:val="none" w:sz="0" w:space="0" w:color="auto"/>
            <w:left w:val="none" w:sz="0" w:space="0" w:color="auto"/>
            <w:bottom w:val="none" w:sz="0" w:space="0" w:color="auto"/>
            <w:right w:val="none" w:sz="0" w:space="0" w:color="auto"/>
          </w:divBdr>
        </w:div>
        <w:div w:id="1384409518">
          <w:marLeft w:val="0"/>
          <w:marRight w:val="0"/>
          <w:marTop w:val="0"/>
          <w:marBottom w:val="0"/>
          <w:divBdr>
            <w:top w:val="none" w:sz="0" w:space="0" w:color="auto"/>
            <w:left w:val="none" w:sz="0" w:space="0" w:color="auto"/>
            <w:bottom w:val="none" w:sz="0" w:space="0" w:color="auto"/>
            <w:right w:val="none" w:sz="0" w:space="0" w:color="auto"/>
          </w:divBdr>
        </w:div>
        <w:div w:id="1751462381">
          <w:marLeft w:val="0"/>
          <w:marRight w:val="0"/>
          <w:marTop w:val="0"/>
          <w:marBottom w:val="0"/>
          <w:divBdr>
            <w:top w:val="none" w:sz="0" w:space="0" w:color="auto"/>
            <w:left w:val="none" w:sz="0" w:space="0" w:color="auto"/>
            <w:bottom w:val="none" w:sz="0" w:space="0" w:color="auto"/>
            <w:right w:val="none" w:sz="0" w:space="0" w:color="auto"/>
          </w:divBdr>
        </w:div>
      </w:divsChild>
    </w:div>
    <w:div w:id="1492671403">
      <w:bodyDiv w:val="1"/>
      <w:marLeft w:val="0"/>
      <w:marRight w:val="0"/>
      <w:marTop w:val="0"/>
      <w:marBottom w:val="0"/>
      <w:divBdr>
        <w:top w:val="none" w:sz="0" w:space="0" w:color="auto"/>
        <w:left w:val="none" w:sz="0" w:space="0" w:color="auto"/>
        <w:bottom w:val="none" w:sz="0" w:space="0" w:color="auto"/>
        <w:right w:val="none" w:sz="0" w:space="0" w:color="auto"/>
      </w:divBdr>
    </w:div>
    <w:div w:id="1505197990">
      <w:bodyDiv w:val="1"/>
      <w:marLeft w:val="0"/>
      <w:marRight w:val="0"/>
      <w:marTop w:val="0"/>
      <w:marBottom w:val="0"/>
      <w:divBdr>
        <w:top w:val="none" w:sz="0" w:space="0" w:color="auto"/>
        <w:left w:val="none" w:sz="0" w:space="0" w:color="auto"/>
        <w:bottom w:val="none" w:sz="0" w:space="0" w:color="auto"/>
        <w:right w:val="none" w:sz="0" w:space="0" w:color="auto"/>
      </w:divBdr>
      <w:divsChild>
        <w:div w:id="1366251374">
          <w:marLeft w:val="0"/>
          <w:marRight w:val="0"/>
          <w:marTop w:val="0"/>
          <w:marBottom w:val="0"/>
          <w:divBdr>
            <w:top w:val="none" w:sz="0" w:space="0" w:color="auto"/>
            <w:left w:val="none" w:sz="0" w:space="0" w:color="auto"/>
            <w:bottom w:val="none" w:sz="0" w:space="0" w:color="auto"/>
            <w:right w:val="none" w:sz="0" w:space="0" w:color="auto"/>
          </w:divBdr>
        </w:div>
        <w:div w:id="834342753">
          <w:marLeft w:val="0"/>
          <w:marRight w:val="0"/>
          <w:marTop w:val="0"/>
          <w:marBottom w:val="0"/>
          <w:divBdr>
            <w:top w:val="none" w:sz="0" w:space="0" w:color="auto"/>
            <w:left w:val="none" w:sz="0" w:space="0" w:color="auto"/>
            <w:bottom w:val="none" w:sz="0" w:space="0" w:color="auto"/>
            <w:right w:val="none" w:sz="0" w:space="0" w:color="auto"/>
          </w:divBdr>
        </w:div>
        <w:div w:id="2140493335">
          <w:marLeft w:val="0"/>
          <w:marRight w:val="0"/>
          <w:marTop w:val="0"/>
          <w:marBottom w:val="0"/>
          <w:divBdr>
            <w:top w:val="none" w:sz="0" w:space="0" w:color="auto"/>
            <w:left w:val="none" w:sz="0" w:space="0" w:color="auto"/>
            <w:bottom w:val="none" w:sz="0" w:space="0" w:color="auto"/>
            <w:right w:val="none" w:sz="0" w:space="0" w:color="auto"/>
          </w:divBdr>
        </w:div>
      </w:divsChild>
    </w:div>
    <w:div w:id="1532186022">
      <w:bodyDiv w:val="1"/>
      <w:marLeft w:val="0"/>
      <w:marRight w:val="0"/>
      <w:marTop w:val="0"/>
      <w:marBottom w:val="0"/>
      <w:divBdr>
        <w:top w:val="none" w:sz="0" w:space="0" w:color="auto"/>
        <w:left w:val="none" w:sz="0" w:space="0" w:color="auto"/>
        <w:bottom w:val="none" w:sz="0" w:space="0" w:color="auto"/>
        <w:right w:val="none" w:sz="0" w:space="0" w:color="auto"/>
      </w:divBdr>
    </w:div>
    <w:div w:id="1677151941">
      <w:bodyDiv w:val="1"/>
      <w:marLeft w:val="0"/>
      <w:marRight w:val="0"/>
      <w:marTop w:val="0"/>
      <w:marBottom w:val="0"/>
      <w:divBdr>
        <w:top w:val="none" w:sz="0" w:space="0" w:color="auto"/>
        <w:left w:val="none" w:sz="0" w:space="0" w:color="auto"/>
        <w:bottom w:val="none" w:sz="0" w:space="0" w:color="auto"/>
        <w:right w:val="none" w:sz="0" w:space="0" w:color="auto"/>
      </w:divBdr>
    </w:div>
    <w:div w:id="1717895521">
      <w:bodyDiv w:val="1"/>
      <w:marLeft w:val="0"/>
      <w:marRight w:val="0"/>
      <w:marTop w:val="0"/>
      <w:marBottom w:val="0"/>
      <w:divBdr>
        <w:top w:val="none" w:sz="0" w:space="0" w:color="auto"/>
        <w:left w:val="none" w:sz="0" w:space="0" w:color="auto"/>
        <w:bottom w:val="none" w:sz="0" w:space="0" w:color="auto"/>
        <w:right w:val="none" w:sz="0" w:space="0" w:color="auto"/>
      </w:divBdr>
      <w:divsChild>
        <w:div w:id="976495324">
          <w:marLeft w:val="0"/>
          <w:marRight w:val="0"/>
          <w:marTop w:val="0"/>
          <w:marBottom w:val="150"/>
          <w:divBdr>
            <w:top w:val="none" w:sz="0" w:space="0" w:color="auto"/>
            <w:left w:val="none" w:sz="0" w:space="0" w:color="auto"/>
            <w:bottom w:val="none" w:sz="0" w:space="0" w:color="auto"/>
            <w:right w:val="none" w:sz="0" w:space="0" w:color="auto"/>
          </w:divBdr>
        </w:div>
      </w:divsChild>
    </w:div>
    <w:div w:id="203241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eogdata.mines.edu/products/dms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bea.gov/data/gdp/gdp-county-metro-and-other-areas" TargetMode="External"/><Relationship Id="rId2" Type="http://schemas.openxmlformats.org/officeDocument/2006/relationships/numbering" Target="numbering.xml"/><Relationship Id="rId16" Type="http://schemas.openxmlformats.org/officeDocument/2006/relationships/hyperlink" Target="https://doi.org/10.1080/1540496X.2022.2119810" TargetMode="External"/><Relationship Id="rId20" Type="http://schemas.openxmlformats.org/officeDocument/2006/relationships/hyperlink" Target="https://ladsweb.modaps.eosdis.nasa.gov/achive/allData/5000/VNP46A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eogdata.mines.edu/nighttime_light/annual/v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1540496X.2022.2119810"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1CB08-AA17-434A-99EA-FD24DB11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22</Pages>
  <Words>7402</Words>
  <Characters>42193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49497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Gibson</dc:creator>
  <cp:lastModifiedBy>Geua Boe-Gibson</cp:lastModifiedBy>
  <cp:revision>4</cp:revision>
  <cp:lastPrinted>2022-11-26T00:19:00Z</cp:lastPrinted>
  <dcterms:created xsi:type="dcterms:W3CDTF">2022-11-26T02:24:00Z</dcterms:created>
  <dcterms:modified xsi:type="dcterms:W3CDTF">2022-11-26T03:53:00Z</dcterms:modified>
</cp:coreProperties>
</file>